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center"/>
        <w:rPr>
          <w:rFonts w:hint="eastAsia" w:ascii="宋体" w:hAnsi="宋体" w:eastAsia="宋体" w:cs="宋体"/>
          <w:i w:val="0"/>
          <w:caps w:val="0"/>
          <w:color w:val="333333"/>
          <w:spacing w:val="0"/>
          <w:sz w:val="44"/>
          <w:szCs w:val="44"/>
          <w:lang w:val="en-US" w:eastAsia="zh-CN"/>
        </w:rPr>
      </w:pPr>
      <w:r>
        <w:rPr>
          <w:rFonts w:hint="eastAsia" w:ascii="宋体" w:hAnsi="宋体" w:eastAsia="宋体" w:cs="宋体"/>
          <w:i w:val="0"/>
          <w:caps w:val="0"/>
          <w:color w:val="333333"/>
          <w:spacing w:val="0"/>
          <w:sz w:val="44"/>
          <w:szCs w:val="44"/>
          <w:lang w:val="en-US" w:eastAsia="zh-CN"/>
        </w:rPr>
        <w:t>泗水县星村镇2021年政府信息公开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center"/>
        <w:rPr>
          <w:rFonts w:hint="eastAsia" w:ascii="宋体" w:hAnsi="宋体" w:eastAsia="宋体" w:cs="宋体"/>
          <w:i w:val="0"/>
          <w:caps w:val="0"/>
          <w:color w:val="333333"/>
          <w:spacing w:val="0"/>
          <w:sz w:val="44"/>
          <w:szCs w:val="44"/>
          <w:lang w:val="en-US" w:eastAsia="zh-CN"/>
        </w:rPr>
      </w:pPr>
      <w:r>
        <w:rPr>
          <w:rFonts w:hint="eastAsia" w:ascii="宋体" w:hAnsi="宋体" w:eastAsia="宋体" w:cs="宋体"/>
          <w:i w:val="0"/>
          <w:caps w:val="0"/>
          <w:color w:val="333333"/>
          <w:spacing w:val="0"/>
          <w:sz w:val="44"/>
          <w:szCs w:val="44"/>
          <w:lang w:val="en-US" w:eastAsia="zh-CN"/>
        </w:rPr>
        <w:t>年度报告</w:t>
      </w:r>
    </w:p>
    <w:p>
      <w:pPr>
        <w:keepNext w:val="0"/>
        <w:keepLines w:val="0"/>
        <w:pageBreakBefore w:val="0"/>
        <w:kinsoku/>
        <w:overflowPunct/>
        <w:topLinePunct w:val="0"/>
        <w:autoSpaceDE/>
        <w:autoSpaceDN/>
        <w:bidi w:val="0"/>
        <w:adjustRightInd/>
        <w:snapToGrid/>
        <w:spacing w:line="420" w:lineRule="atLeast"/>
        <w:ind w:right="-105" w:rightChars="-50" w:firstLine="417" w:firstLineChars="174"/>
        <w:jc w:val="left"/>
        <w:textAlignment w:val="auto"/>
        <w:rPr>
          <w:rFonts w:hint="eastAsia" w:asciiTheme="minorHAnsi" w:hAnsiTheme="minorHAnsi" w:eastAsiaTheme="minorEastAsia" w:cstheme="minorBidi"/>
          <w:kern w:val="0"/>
          <w:sz w:val="24"/>
          <w:szCs w:val="24"/>
          <w:lang w:val="en-US" w:eastAsia="zh-CN" w:bidi="ar"/>
        </w:rPr>
      </w:pPr>
    </w:p>
    <w:p>
      <w:pPr>
        <w:keepNext w:val="0"/>
        <w:keepLines w:val="0"/>
        <w:pageBreakBefore w:val="0"/>
        <w:kinsoku/>
        <w:overflowPunct/>
        <w:topLinePunct w:val="0"/>
        <w:autoSpaceDE/>
        <w:autoSpaceDN/>
        <w:bidi w:val="0"/>
        <w:adjustRightInd/>
        <w:snapToGrid/>
        <w:spacing w:line="420" w:lineRule="atLeast"/>
        <w:ind w:right="-105" w:rightChars="-50" w:firstLine="417" w:firstLineChars="174"/>
        <w:jc w:val="left"/>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本报告由星村镇人民政府按照《中华人民共和国政府信息公开条例》（以下简称《条例》）和《中华人民共和国政府信息公开工作年度报告格式》（国办公开办函〔2021〕30号）要求编制。</w:t>
      </w:r>
    </w:p>
    <w:p>
      <w:pPr>
        <w:keepNext w:val="0"/>
        <w:keepLines w:val="0"/>
        <w:pageBreakBefore w:val="0"/>
        <w:kinsoku/>
        <w:overflowPunct/>
        <w:topLinePunct w:val="0"/>
        <w:autoSpaceDE/>
        <w:autoSpaceDN/>
        <w:bidi w:val="0"/>
        <w:adjustRightInd/>
        <w:snapToGrid/>
        <w:spacing w:line="420" w:lineRule="atLeast"/>
        <w:ind w:right="-105" w:rightChars="-50" w:firstLine="417" w:firstLineChars="174"/>
        <w:jc w:val="left"/>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overflowPunct/>
        <w:topLinePunct w:val="0"/>
        <w:autoSpaceDE/>
        <w:autoSpaceDN/>
        <w:bidi w:val="0"/>
        <w:adjustRightInd/>
        <w:snapToGrid/>
        <w:spacing w:line="420" w:lineRule="atLeast"/>
        <w:ind w:right="-105" w:rightChars="-50" w:firstLine="417" w:firstLineChars="174"/>
        <w:jc w:val="left"/>
        <w:textAlignment w:val="auto"/>
        <w:rPr>
          <w:rFonts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本报告所列数据的统计期限自2021年1月1日起至2021年12月31日止。本报告电子版可在“中国·</w:t>
      </w:r>
      <w:r>
        <w:rPr>
          <w:rFonts w:hint="eastAsia" w:cstheme="minorBidi"/>
          <w:kern w:val="0"/>
          <w:sz w:val="24"/>
          <w:szCs w:val="24"/>
          <w:lang w:val="en-US" w:eastAsia="zh-CN" w:bidi="ar"/>
        </w:rPr>
        <w:t>泗水</w:t>
      </w:r>
      <w:r>
        <w:rPr>
          <w:rFonts w:hint="eastAsia" w:asciiTheme="minorHAnsi" w:hAnsiTheme="minorHAnsi" w:eastAsiaTheme="minorEastAsia" w:cstheme="minorBidi"/>
          <w:kern w:val="0"/>
          <w:sz w:val="24"/>
          <w:szCs w:val="24"/>
          <w:lang w:val="en-US" w:eastAsia="zh-CN" w:bidi="ar"/>
        </w:rPr>
        <w:t>”政府门户网站（具体网址）查阅或下载。如对本报告有疑问，请与</w:t>
      </w:r>
      <w:r>
        <w:rPr>
          <w:rFonts w:hint="eastAsia" w:cstheme="minorBidi"/>
          <w:kern w:val="0"/>
          <w:sz w:val="24"/>
          <w:szCs w:val="24"/>
          <w:lang w:val="en-US" w:eastAsia="zh-CN" w:bidi="ar"/>
        </w:rPr>
        <w:t>星村镇人民政府</w:t>
      </w:r>
      <w:r>
        <w:rPr>
          <w:rFonts w:hint="eastAsia" w:asciiTheme="minorHAnsi" w:hAnsiTheme="minorHAnsi" w:eastAsiaTheme="minorEastAsia" w:cstheme="minorBidi"/>
          <w:kern w:val="0"/>
          <w:sz w:val="24"/>
          <w:szCs w:val="24"/>
          <w:lang w:val="en-US" w:eastAsia="zh-CN" w:bidi="ar"/>
        </w:rPr>
        <w:t>联系（地址：</w:t>
      </w:r>
      <w:r>
        <w:rPr>
          <w:rFonts w:hint="eastAsia" w:cstheme="minorBidi"/>
          <w:kern w:val="0"/>
          <w:sz w:val="24"/>
          <w:szCs w:val="24"/>
          <w:lang w:val="en-US" w:eastAsia="zh-CN" w:bidi="ar"/>
        </w:rPr>
        <w:t>泗水县星村镇星村大街26号</w:t>
      </w:r>
      <w:r>
        <w:rPr>
          <w:rFonts w:hint="eastAsia" w:asciiTheme="minorHAnsi" w:hAnsiTheme="minorHAnsi" w:eastAsiaTheme="minorEastAsia" w:cstheme="minorBidi"/>
          <w:kern w:val="0"/>
          <w:sz w:val="24"/>
          <w:szCs w:val="24"/>
          <w:lang w:val="en-US" w:eastAsia="zh-CN" w:bidi="ar"/>
        </w:rPr>
        <w:t>，联系电话：0537-</w:t>
      </w:r>
      <w:r>
        <w:rPr>
          <w:rFonts w:hint="eastAsia" w:cstheme="minorBidi"/>
          <w:kern w:val="0"/>
          <w:sz w:val="24"/>
          <w:szCs w:val="24"/>
          <w:lang w:val="en-US" w:eastAsia="zh-CN" w:bidi="ar"/>
        </w:rPr>
        <w:t>4161018</w:t>
      </w:r>
      <w:r>
        <w:rPr>
          <w:rFonts w:hint="eastAsia" w:asciiTheme="minorHAnsi" w:hAnsiTheme="minorHAnsi" w:eastAsiaTheme="minorEastAsia" w:cstheme="minorBidi"/>
          <w:kern w:val="0"/>
          <w:sz w:val="24"/>
          <w:szCs w:val="24"/>
          <w:lang w:val="en-US" w:eastAsia="zh-CN" w:bidi="ar"/>
        </w:rPr>
        <w:t>）。</w:t>
      </w:r>
    </w:p>
    <w:p>
      <w:pPr>
        <w:pStyle w:val="2"/>
        <w:keepNext w:val="0"/>
        <w:keepLines w:val="0"/>
        <w:widowControl/>
        <w:suppressLineNumbers w:val="0"/>
        <w:ind w:left="0" w:firstLine="420"/>
      </w:pPr>
      <w:r>
        <w:t xml:space="preserve">一、总体情况 </w:t>
      </w:r>
    </w:p>
    <w:p>
      <w:pPr>
        <w:pStyle w:val="2"/>
        <w:keepNext w:val="0"/>
        <w:keepLines w:val="0"/>
        <w:widowControl/>
        <w:suppressLineNumbers w:val="0"/>
        <w:ind w:left="0" w:firstLine="420"/>
      </w:pPr>
      <w:r>
        <w:t>依据《中华人民共和国政府信息公开条例》、《山东省政府信息公开办法》以及《泗水县人民政府办公室关于做好202</w:t>
      </w:r>
      <w:r>
        <w:rPr>
          <w:rFonts w:hint="eastAsia"/>
          <w:lang w:val="en-US" w:eastAsia="zh-CN"/>
        </w:rPr>
        <w:t>1</w:t>
      </w:r>
      <w:r>
        <w:t>年度政府信息公开年度报告编制发布工作的通知》要求和总体部署，结合本镇工作实际，编制完成了《星村镇202</w:t>
      </w:r>
      <w:r>
        <w:rPr>
          <w:rFonts w:hint="eastAsia"/>
          <w:lang w:val="en-US" w:eastAsia="zh-CN"/>
        </w:rPr>
        <w:t>1</w:t>
      </w:r>
      <w:r>
        <w:t>年度政府信息公开工作年度报告》（以下简称《报告》）。现特向社会公开202</w:t>
      </w:r>
      <w:r>
        <w:rPr>
          <w:rFonts w:hint="eastAsia"/>
          <w:lang w:val="en-US" w:eastAsia="zh-CN"/>
        </w:rPr>
        <w:t>1</w:t>
      </w:r>
      <w:r>
        <w:t>年度政府信息公开年度报告。本报告由概述、政府信息公开的组织领导和制度建设情况，主动公开政府信息情况等方面组成。</w:t>
      </w:r>
    </w:p>
    <w:p>
      <w:pPr>
        <w:pStyle w:val="2"/>
        <w:keepNext w:val="0"/>
        <w:keepLines w:val="0"/>
        <w:widowControl/>
        <w:numPr>
          <w:ilvl w:val="0"/>
          <w:numId w:val="1"/>
        </w:numPr>
        <w:suppressLineNumbers w:val="0"/>
        <w:ind w:left="0" w:firstLine="420"/>
        <w:rPr>
          <w:rFonts w:hint="eastAsia"/>
          <w:lang w:eastAsia="zh-CN"/>
        </w:rPr>
      </w:pPr>
      <w:r>
        <w:rPr>
          <w:rFonts w:hint="eastAsia"/>
          <w:lang w:eastAsia="zh-CN"/>
        </w:rPr>
        <w:t>主动公开情况</w:t>
      </w:r>
    </w:p>
    <w:p>
      <w:pPr>
        <w:pStyle w:val="2"/>
        <w:keepNext w:val="0"/>
        <w:keepLines w:val="0"/>
        <w:widowControl/>
        <w:suppressLineNumbers w:val="0"/>
        <w:ind w:left="0" w:firstLine="420"/>
        <w:jc w:val="left"/>
      </w:pPr>
      <w:r>
        <w:rPr>
          <w:rFonts w:hint="eastAsia"/>
        </w:rPr>
        <w:t>202</w:t>
      </w:r>
      <w:r>
        <w:rPr>
          <w:rFonts w:hint="eastAsia"/>
          <w:lang w:val="en-US" w:eastAsia="zh-CN"/>
        </w:rPr>
        <w:t>1</w:t>
      </w:r>
      <w:r>
        <w:rPr>
          <w:rFonts w:hint="eastAsia"/>
        </w:rPr>
        <w:t>年度，我镇按照泗水县政府信息公开要求，及时对站点信息进行更新，在泗水县人民政府门户网站发布信息</w:t>
      </w:r>
      <w:r>
        <w:rPr>
          <w:rFonts w:hint="eastAsia"/>
          <w:lang w:val="en-US" w:eastAsia="zh-CN"/>
        </w:rPr>
        <w:t>69</w:t>
      </w:r>
      <w:r>
        <w:rPr>
          <w:rFonts w:hint="eastAsia"/>
        </w:rPr>
        <w:t>条，其中主要发布内容包括：微信公众号</w:t>
      </w:r>
      <w:r>
        <w:rPr>
          <w:rFonts w:hint="eastAsia"/>
          <w:lang w:val="en-US" w:eastAsia="zh-CN"/>
        </w:rPr>
        <w:t>64</w:t>
      </w:r>
      <w:r>
        <w:rPr>
          <w:rFonts w:hint="eastAsia"/>
        </w:rPr>
        <w:t>条，乡镇工作动态信息</w:t>
      </w:r>
      <w:r>
        <w:rPr>
          <w:rFonts w:hint="eastAsia"/>
          <w:lang w:val="en-US" w:eastAsia="zh-CN"/>
        </w:rPr>
        <w:t>5</w:t>
      </w:r>
      <w:r>
        <w:rPr>
          <w:rFonts w:hint="eastAsia"/>
        </w:rPr>
        <w:t>条，所公开信息严格按照《条例》和省市县政府信息公开相关规定制度，充分确保政府信息公开的及时性、有效性和全面性。</w:t>
      </w:r>
    </w:p>
    <w:p>
      <w:pPr>
        <w:pStyle w:val="2"/>
        <w:keepNext w:val="0"/>
        <w:keepLines w:val="0"/>
        <w:widowControl/>
        <w:numPr>
          <w:ilvl w:val="0"/>
          <w:numId w:val="1"/>
        </w:numPr>
        <w:suppressLineNumbers w:val="0"/>
        <w:ind w:left="0" w:firstLine="420"/>
        <w:rPr>
          <w:rFonts w:hint="eastAsia"/>
          <w:lang w:eastAsia="zh-CN"/>
        </w:rPr>
      </w:pPr>
      <w:r>
        <w:rPr>
          <w:rFonts w:hint="eastAsia"/>
          <w:lang w:eastAsia="zh-CN"/>
        </w:rPr>
        <w:t>依申请公开情况</w:t>
      </w:r>
    </w:p>
    <w:p>
      <w:pPr>
        <w:pStyle w:val="2"/>
        <w:keepNext w:val="0"/>
        <w:keepLines w:val="0"/>
        <w:widowControl/>
        <w:numPr>
          <w:ilvl w:val="0"/>
          <w:numId w:val="0"/>
        </w:numPr>
        <w:suppressLineNumbers w:val="0"/>
        <w:ind w:right="0" w:rightChars="0" w:firstLine="480" w:firstLineChars="200"/>
        <w:rPr>
          <w:rFonts w:hint="eastAsia"/>
          <w:lang w:eastAsia="zh-CN"/>
        </w:rPr>
      </w:pPr>
      <w:r>
        <w:rPr>
          <w:rFonts w:ascii="宋体" w:hAnsi="宋体" w:eastAsia="宋体" w:cs="宋体"/>
          <w:color w:val="333333"/>
          <w:sz w:val="24"/>
          <w:szCs w:val="24"/>
        </w:rPr>
        <w:t>202</w:t>
      </w:r>
      <w:r>
        <w:rPr>
          <w:rFonts w:hint="eastAsia" w:ascii="宋体" w:hAnsi="宋体" w:eastAsia="宋体" w:cs="宋体"/>
          <w:color w:val="333333"/>
          <w:sz w:val="24"/>
          <w:szCs w:val="24"/>
          <w:lang w:val="en-US" w:eastAsia="zh-CN"/>
        </w:rPr>
        <w:t>1</w:t>
      </w:r>
      <w:r>
        <w:rPr>
          <w:rFonts w:ascii="宋体" w:hAnsi="宋体" w:eastAsia="宋体" w:cs="宋体"/>
          <w:color w:val="333333"/>
          <w:sz w:val="24"/>
          <w:szCs w:val="24"/>
        </w:rPr>
        <w:t>年度，我</w:t>
      </w:r>
      <w:r>
        <w:rPr>
          <w:rFonts w:hint="eastAsia" w:ascii="宋体" w:hAnsi="宋体" w:eastAsia="宋体" w:cs="宋体"/>
          <w:color w:val="333333"/>
          <w:sz w:val="24"/>
          <w:szCs w:val="24"/>
          <w:lang w:eastAsia="zh-CN"/>
        </w:rPr>
        <w:t>镇</w:t>
      </w:r>
      <w:r>
        <w:rPr>
          <w:rFonts w:ascii="宋体" w:hAnsi="宋体" w:eastAsia="宋体" w:cs="宋体"/>
          <w:color w:val="333333"/>
          <w:sz w:val="24"/>
          <w:szCs w:val="24"/>
        </w:rPr>
        <w:t>未收到来自公民、法人或者其他组织对申请公开政府信息的申请。</w:t>
      </w:r>
    </w:p>
    <w:p>
      <w:pPr>
        <w:pStyle w:val="2"/>
        <w:keepNext w:val="0"/>
        <w:keepLines w:val="0"/>
        <w:widowControl/>
        <w:numPr>
          <w:ilvl w:val="0"/>
          <w:numId w:val="1"/>
        </w:numPr>
        <w:suppressLineNumbers w:val="0"/>
        <w:ind w:left="0" w:leftChars="0" w:firstLine="420" w:firstLineChars="0"/>
        <w:rPr>
          <w:rFonts w:hint="eastAsia"/>
          <w:lang w:eastAsia="zh-CN"/>
        </w:rPr>
      </w:pPr>
      <w:r>
        <w:rPr>
          <w:rFonts w:hint="eastAsia"/>
          <w:lang w:eastAsia="zh-CN"/>
        </w:rPr>
        <w:t>政府信息管理情况</w:t>
      </w:r>
    </w:p>
    <w:p>
      <w:pPr>
        <w:pStyle w:val="2"/>
        <w:keepNext w:val="0"/>
        <w:keepLines w:val="0"/>
        <w:widowControl/>
        <w:suppressLineNumbers w:val="0"/>
        <w:ind w:left="0" w:firstLine="420"/>
        <w:jc w:val="left"/>
        <w:rPr>
          <w:rFonts w:hint="eastAsia"/>
        </w:rPr>
      </w:pPr>
      <w:r>
        <w:rPr>
          <w:rFonts w:hint="eastAsia"/>
        </w:rPr>
        <w:t>建立健全政府信息管理动态调整机制。我镇安排专人负责政府信息公开工作，主要职责包括具体承办信息公开事项、维护和更新政府信息、编制信息公开指南、公开目录和年度报告等。进一步完善政务信息常态化管理机制，不断建立健全政务信息制作、公开、存档等制度，及时动态调整信息。</w:t>
      </w:r>
    </w:p>
    <w:p>
      <w:pPr>
        <w:pStyle w:val="2"/>
        <w:keepNext w:val="0"/>
        <w:keepLines w:val="0"/>
        <w:widowControl/>
        <w:suppressLineNumbers w:val="0"/>
        <w:ind w:left="0" w:firstLine="420"/>
        <w:rPr>
          <w:rFonts w:hint="eastAsia" w:eastAsiaTheme="minorEastAsia"/>
          <w:lang w:eastAsia="zh-CN"/>
        </w:rPr>
      </w:pPr>
      <w:r>
        <w:t>（四）</w:t>
      </w:r>
      <w:r>
        <w:rPr>
          <w:rFonts w:hint="eastAsia"/>
          <w:lang w:eastAsia="zh-CN"/>
        </w:rPr>
        <w:t>政府信息公开平台建设情况</w:t>
      </w:r>
    </w:p>
    <w:p>
      <w:pPr>
        <w:pStyle w:val="2"/>
        <w:keepNext w:val="0"/>
        <w:keepLines w:val="0"/>
        <w:widowControl/>
        <w:suppressLineNumbers w:val="0"/>
        <w:ind w:left="0" w:firstLine="420"/>
      </w:pPr>
      <w:r>
        <w:rPr>
          <w:rFonts w:hint="eastAsia"/>
        </w:rPr>
        <w:t>采用多种形式，进一步加强政府网站建设，不断拓宽政府信息公开渠道，明确了由专人负责，各科室协同配合的工作机制，确保了信息公开的准确、及时、客观。</w:t>
      </w:r>
    </w:p>
    <w:p>
      <w:pPr>
        <w:pStyle w:val="2"/>
        <w:keepNext w:val="0"/>
        <w:keepLines w:val="0"/>
        <w:widowControl/>
        <w:numPr>
          <w:ilvl w:val="0"/>
          <w:numId w:val="0"/>
        </w:numPr>
        <w:suppressLineNumbers w:val="0"/>
        <w:ind w:right="0" w:rightChars="0" w:firstLine="480" w:firstLineChars="200"/>
        <w:rPr>
          <w:rFonts w:hint="eastAsia"/>
          <w:lang w:eastAsia="zh-CN"/>
        </w:rPr>
      </w:pPr>
      <w:r>
        <w:rPr>
          <w:rFonts w:hint="eastAsia"/>
          <w:lang w:eastAsia="zh-CN"/>
        </w:rPr>
        <w:t>（五）监督保障情况</w:t>
      </w:r>
    </w:p>
    <w:p>
      <w:pPr>
        <w:pStyle w:val="2"/>
        <w:keepNext w:val="0"/>
        <w:keepLines w:val="0"/>
        <w:widowControl/>
        <w:suppressLineNumbers w:val="0"/>
        <w:ind w:left="0" w:firstLine="420"/>
      </w:pPr>
      <w:r>
        <w:t>星村镇积极回应社会关切，积极开展释疑解惑。对公众关切和疑惑，加强与宣传部门、互联网信息内容主管部门以及有关新闻媒体的沟通联系，</w:t>
      </w:r>
      <w:r>
        <w:rPr>
          <w:rFonts w:hint="eastAsia"/>
          <w:lang w:eastAsia="zh-CN"/>
        </w:rPr>
        <w:t>利用“星圣福地”微信公众号，</w:t>
      </w:r>
      <w:r>
        <w:t>主动发声，回应质疑，澄清事实，凝聚共识，扩大政企、政民、政社互动交流，增进社会各界对政府工作的了解、理解和支持。同时做好网上民声、公开电话等工作，接受公众建议和情况反映，有序引导公众参与。</w:t>
      </w:r>
    </w:p>
    <w:p>
      <w:pPr>
        <w:pStyle w:val="2"/>
        <w:keepNext w:val="0"/>
        <w:keepLines w:val="0"/>
        <w:widowControl/>
        <w:numPr>
          <w:ilvl w:val="0"/>
          <w:numId w:val="0"/>
        </w:numPr>
        <w:suppressLineNumbers w:val="0"/>
        <w:ind w:left="420" w:leftChars="0" w:right="0" w:rightChars="0"/>
        <w:rPr>
          <w:rFonts w:hint="eastAsia"/>
          <w:lang w:eastAsia="zh-CN"/>
        </w:rPr>
      </w:pPr>
    </w:p>
    <w:p>
      <w:pPr>
        <w:pStyle w:val="2"/>
        <w:keepNext w:val="0"/>
        <w:keepLines w:val="0"/>
        <w:widowControl/>
        <w:suppressLineNumbers w:val="0"/>
        <w:ind w:left="0" w:firstLine="420"/>
      </w:pPr>
      <w:r>
        <w:t>二、主动公开政府信息情况</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108" w:type="dxa"/>
          <w:bottom w:w="0" w:type="dxa"/>
          <w:right w:w="108" w:type="dxa"/>
        </w:tblCellMar>
      </w:tblPr>
      <w:tblGrid>
        <w:gridCol w:w="2206"/>
        <w:gridCol w:w="2206"/>
        <w:gridCol w:w="2206"/>
        <w:gridCol w:w="22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黑体简体" w:hAnsi="黑体" w:eastAsia="方正黑体简体" w:cs="宋体"/>
                <w:b w:val="0"/>
                <w:bCs/>
                <w:color w:val="000000"/>
                <w:sz w:val="24"/>
                <w:szCs w:val="24"/>
              </w:rPr>
            </w:pPr>
            <w:r>
              <w:rPr>
                <w:rFonts w:hint="eastAsia" w:ascii="方正黑体简体" w:hAnsi="黑体" w:eastAsia="方正黑体简体" w:cs="宋体"/>
                <w:b w:val="0"/>
                <w:bCs/>
                <w:color w:val="000000"/>
                <w:sz w:val="24"/>
                <w:szCs w:val="24"/>
              </w:rPr>
              <w:t>第二十条第（一）项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信息内容</w:t>
            </w:r>
          </w:p>
        </w:tc>
        <w:tc>
          <w:tcPr>
            <w:tcW w:w="2206" w:type="dxa"/>
            <w:shd w:val="clear" w:color="auto" w:fill="FFFFFF"/>
            <w:noWrap w:val="0"/>
            <w:vAlign w:val="center"/>
          </w:tcPr>
          <w:p>
            <w:pPr>
              <w:widowControl/>
              <w:spacing w:line="340" w:lineRule="exact"/>
              <w:jc w:val="center"/>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本年制发件数</w:t>
            </w:r>
          </w:p>
        </w:tc>
        <w:tc>
          <w:tcPr>
            <w:tcW w:w="2206" w:type="dxa"/>
            <w:shd w:val="clear" w:color="auto" w:fill="FFFFFF"/>
            <w:noWrap w:val="0"/>
            <w:vAlign w:val="center"/>
          </w:tcPr>
          <w:p>
            <w:pPr>
              <w:widowControl/>
              <w:spacing w:line="340" w:lineRule="exact"/>
              <w:jc w:val="center"/>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本年废止件数</w:t>
            </w:r>
          </w:p>
        </w:tc>
        <w:tc>
          <w:tcPr>
            <w:tcW w:w="2206" w:type="dxa"/>
            <w:shd w:val="clear" w:color="auto" w:fill="FFFFFF"/>
            <w:noWrap w:val="0"/>
            <w:vAlign w:val="center"/>
          </w:tcPr>
          <w:p>
            <w:pPr>
              <w:widowControl/>
              <w:spacing w:line="340" w:lineRule="exact"/>
              <w:jc w:val="center"/>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现行有效件数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规章</w:t>
            </w:r>
          </w:p>
        </w:tc>
        <w:tc>
          <w:tcPr>
            <w:tcW w:w="2206" w:type="dxa"/>
            <w:shd w:val="clear" w:color="auto" w:fill="FFFFFF"/>
            <w:noWrap w:val="0"/>
            <w:vAlign w:val="center"/>
          </w:tcPr>
          <w:p>
            <w:pPr>
              <w:widowControl/>
              <w:spacing w:line="340" w:lineRule="exact"/>
              <w:jc w:val="center"/>
              <w:rPr>
                <w:rFonts w:hint="eastAsia" w:ascii="方正仿宋简体" w:hAnsi="宋体" w:eastAsia="方正仿宋简体" w:cs="宋体"/>
                <w:b w:val="0"/>
                <w:bCs/>
                <w:color w:val="000000"/>
                <w:sz w:val="24"/>
                <w:szCs w:val="24"/>
                <w:lang w:val="en-US" w:eastAsia="zh-CN"/>
              </w:rPr>
            </w:pPr>
            <w:r>
              <w:rPr>
                <w:rFonts w:hint="eastAsia" w:ascii="方正仿宋简体" w:hAnsi="宋体" w:eastAsia="方正仿宋简体" w:cs="宋体"/>
                <w:b w:val="0"/>
                <w:bCs/>
                <w:color w:val="000000"/>
                <w:sz w:val="24"/>
                <w:szCs w:val="24"/>
                <w:lang w:val="en-US" w:eastAsia="zh-CN"/>
              </w:rPr>
              <w:t>0</w:t>
            </w:r>
          </w:p>
        </w:tc>
        <w:tc>
          <w:tcPr>
            <w:tcW w:w="2206" w:type="dxa"/>
            <w:shd w:val="clear" w:color="auto" w:fill="FFFFFF"/>
            <w:noWrap w:val="0"/>
            <w:vAlign w:val="center"/>
          </w:tcPr>
          <w:p>
            <w:pPr>
              <w:widowControl/>
              <w:spacing w:line="340" w:lineRule="exact"/>
              <w:jc w:val="center"/>
              <w:rPr>
                <w:rFonts w:hint="eastAsia" w:ascii="方正仿宋简体" w:hAnsi="宋体" w:eastAsia="方正仿宋简体" w:cs="宋体"/>
                <w:b w:val="0"/>
                <w:bCs/>
                <w:color w:val="000000"/>
                <w:sz w:val="24"/>
                <w:szCs w:val="24"/>
                <w:lang w:val="en-US" w:eastAsia="zh-CN"/>
              </w:rPr>
            </w:pPr>
            <w:r>
              <w:rPr>
                <w:rFonts w:hint="eastAsia" w:ascii="方正仿宋简体" w:hAnsi="宋体" w:eastAsia="方正仿宋简体" w:cs="宋体"/>
                <w:b w:val="0"/>
                <w:bCs/>
                <w:color w:val="000000"/>
                <w:sz w:val="24"/>
                <w:szCs w:val="24"/>
                <w:lang w:val="en-US" w:eastAsia="zh-CN"/>
              </w:rPr>
              <w:t>0</w:t>
            </w:r>
          </w:p>
        </w:tc>
        <w:tc>
          <w:tcPr>
            <w:tcW w:w="2206" w:type="dxa"/>
            <w:shd w:val="clear" w:color="auto" w:fill="FFFFFF"/>
            <w:noWrap w:val="0"/>
            <w:vAlign w:val="center"/>
          </w:tcPr>
          <w:p>
            <w:pPr>
              <w:widowControl/>
              <w:spacing w:line="340" w:lineRule="exact"/>
              <w:jc w:val="left"/>
              <w:rPr>
                <w:rFonts w:hint="default" w:ascii="方正仿宋简体" w:hAnsi="Calibri" w:eastAsia="方正仿宋简体" w:cs="Calibri"/>
                <w:b w:val="0"/>
                <w:bCs/>
                <w:color w:val="000000"/>
                <w:sz w:val="24"/>
                <w:szCs w:val="24"/>
                <w:lang w:val="en-US" w:eastAsia="zh-CN"/>
              </w:rPr>
            </w:pPr>
            <w:r>
              <w:rPr>
                <w:rFonts w:hint="eastAsia" w:ascii="方正仿宋简体" w:hAnsi="Calibri" w:eastAsia="方正仿宋简体" w:cs="Calibri"/>
                <w:b w:val="0"/>
                <w:bCs/>
                <w:color w:val="000000"/>
                <w:sz w:val="24"/>
                <w:szCs w:val="24"/>
              </w:rPr>
              <w:t>　</w:t>
            </w:r>
            <w:r>
              <w:rPr>
                <w:rFonts w:hint="eastAsia" w:ascii="方正仿宋简体" w:hAnsi="Calibri" w:eastAsia="方正仿宋简体" w:cs="Calibri"/>
                <w:b w:val="0"/>
                <w:bCs/>
                <w:color w:val="000000"/>
                <w:sz w:val="24"/>
                <w:szCs w:val="24"/>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行政规范性文件</w:t>
            </w:r>
          </w:p>
        </w:tc>
        <w:tc>
          <w:tcPr>
            <w:tcW w:w="2206" w:type="dxa"/>
            <w:shd w:val="clear" w:color="auto" w:fill="FFFFFF"/>
            <w:noWrap w:val="0"/>
            <w:vAlign w:val="center"/>
          </w:tcPr>
          <w:p>
            <w:pPr>
              <w:widowControl/>
              <w:spacing w:line="340" w:lineRule="exact"/>
              <w:jc w:val="center"/>
              <w:rPr>
                <w:rFonts w:hint="default" w:ascii="方正仿宋简体" w:hAnsi="宋体" w:eastAsia="方正仿宋简体" w:cs="宋体"/>
                <w:b w:val="0"/>
                <w:bCs/>
                <w:color w:val="000000"/>
                <w:sz w:val="24"/>
                <w:szCs w:val="24"/>
                <w:lang w:val="en-US" w:eastAsia="zh-CN"/>
              </w:rPr>
            </w:pPr>
            <w:r>
              <w:rPr>
                <w:rFonts w:hint="eastAsia" w:ascii="方正仿宋简体" w:hAnsi="宋体" w:eastAsia="方正仿宋简体" w:cs="宋体"/>
                <w:b w:val="0"/>
                <w:bCs/>
                <w:color w:val="000000"/>
                <w:sz w:val="24"/>
                <w:szCs w:val="24"/>
                <w:lang w:val="en-US" w:eastAsia="zh-CN"/>
              </w:rPr>
              <w:t>0</w:t>
            </w:r>
          </w:p>
        </w:tc>
        <w:tc>
          <w:tcPr>
            <w:tcW w:w="2206" w:type="dxa"/>
            <w:shd w:val="clear" w:color="auto" w:fill="FFFFFF"/>
            <w:noWrap w:val="0"/>
            <w:vAlign w:val="center"/>
          </w:tcPr>
          <w:p>
            <w:pPr>
              <w:widowControl/>
              <w:spacing w:line="340" w:lineRule="exact"/>
              <w:jc w:val="center"/>
              <w:rPr>
                <w:rFonts w:hint="eastAsia" w:ascii="方正仿宋简体" w:hAnsi="宋体" w:eastAsia="方正仿宋简体" w:cs="宋体"/>
                <w:b w:val="0"/>
                <w:bCs/>
                <w:color w:val="000000"/>
                <w:sz w:val="24"/>
                <w:szCs w:val="24"/>
                <w:lang w:val="en-US" w:eastAsia="zh-CN"/>
              </w:rPr>
            </w:pPr>
            <w:r>
              <w:rPr>
                <w:rFonts w:hint="eastAsia" w:ascii="方正仿宋简体" w:hAnsi="宋体" w:eastAsia="方正仿宋简体" w:cs="宋体"/>
                <w:b w:val="0"/>
                <w:bCs/>
                <w:color w:val="000000"/>
                <w:sz w:val="24"/>
                <w:szCs w:val="24"/>
                <w:lang w:val="en-US" w:eastAsia="zh-CN"/>
              </w:rPr>
              <w:t>0</w:t>
            </w:r>
          </w:p>
        </w:tc>
        <w:tc>
          <w:tcPr>
            <w:tcW w:w="2206" w:type="dxa"/>
            <w:shd w:val="clear" w:color="auto" w:fill="FFFFFF"/>
            <w:noWrap w:val="0"/>
            <w:vAlign w:val="center"/>
          </w:tcPr>
          <w:p>
            <w:pPr>
              <w:widowControl/>
              <w:spacing w:line="340" w:lineRule="exact"/>
              <w:jc w:val="left"/>
              <w:rPr>
                <w:rFonts w:hint="default" w:ascii="方正仿宋简体" w:hAnsi="Calibri" w:eastAsia="方正仿宋简体" w:cs="Calibri"/>
                <w:b w:val="0"/>
                <w:bCs/>
                <w:color w:val="000000"/>
                <w:sz w:val="24"/>
                <w:szCs w:val="24"/>
                <w:lang w:val="en-US" w:eastAsia="zh-CN"/>
              </w:rPr>
            </w:pPr>
            <w:r>
              <w:rPr>
                <w:rFonts w:hint="eastAsia" w:ascii="方正仿宋简体" w:hAnsi="Calibri" w:eastAsia="方正仿宋简体" w:cs="Calibri"/>
                <w:b w:val="0"/>
                <w:bCs/>
                <w:color w:val="000000"/>
                <w:sz w:val="24"/>
                <w:szCs w:val="24"/>
              </w:rPr>
              <w:t>　</w:t>
            </w:r>
            <w:r>
              <w:rPr>
                <w:rFonts w:hint="eastAsia" w:ascii="方正仿宋简体" w:hAnsi="Calibri" w:eastAsia="方正仿宋简体" w:cs="Calibri"/>
                <w:b w:val="0"/>
                <w:bCs/>
                <w:color w:val="000000"/>
                <w:sz w:val="24"/>
                <w:szCs w:val="24"/>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仿宋简体" w:hAnsi="黑体" w:eastAsia="方正仿宋简体" w:cs="宋体"/>
                <w:b w:val="0"/>
                <w:bCs/>
                <w:color w:val="000000"/>
                <w:sz w:val="24"/>
                <w:szCs w:val="24"/>
              </w:rPr>
            </w:pPr>
            <w:r>
              <w:rPr>
                <w:rFonts w:hint="eastAsia" w:ascii="方正黑体简体" w:hAnsi="黑体" w:eastAsia="方正黑体简体" w:cs="宋体"/>
                <w:b w:val="0"/>
                <w:bCs/>
                <w:color w:val="000000"/>
                <w:sz w:val="24"/>
                <w:szCs w:val="24"/>
              </w:rPr>
              <w:t>第二十条第（五）项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信息内容</w:t>
            </w:r>
          </w:p>
        </w:tc>
        <w:tc>
          <w:tcPr>
            <w:tcW w:w="6618" w:type="dxa"/>
            <w:gridSpan w:val="3"/>
            <w:shd w:val="clear" w:color="auto" w:fill="FFFFFF"/>
            <w:noWrap w:val="0"/>
            <w:vAlign w:val="center"/>
          </w:tcPr>
          <w:p>
            <w:pPr>
              <w:widowControl/>
              <w:spacing w:line="340" w:lineRule="exact"/>
              <w:jc w:val="center"/>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行政许可</w:t>
            </w:r>
          </w:p>
        </w:tc>
        <w:tc>
          <w:tcPr>
            <w:tcW w:w="6618" w:type="dxa"/>
            <w:gridSpan w:val="3"/>
            <w:shd w:val="clear" w:color="auto" w:fill="FFFFFF"/>
            <w:noWrap w:val="0"/>
            <w:vAlign w:val="center"/>
          </w:tcPr>
          <w:p>
            <w:pPr>
              <w:widowControl/>
              <w:spacing w:line="340" w:lineRule="exact"/>
              <w:jc w:val="center"/>
              <w:rPr>
                <w:rFonts w:hint="eastAsia" w:ascii="方正仿宋简体" w:hAnsi="Calibri" w:eastAsia="方正仿宋简体" w:cs="Calibri"/>
                <w:b w:val="0"/>
                <w:bCs/>
                <w:color w:val="000000"/>
                <w:sz w:val="24"/>
                <w:szCs w:val="24"/>
                <w:lang w:val="en-US" w:eastAsia="zh-CN"/>
              </w:rPr>
            </w:pPr>
            <w:r>
              <w:rPr>
                <w:rFonts w:hint="eastAsia" w:ascii="方正仿宋简体" w:hAnsi="Calibri" w:eastAsia="方正仿宋简体" w:cs="Calibri"/>
                <w:b w:val="0"/>
                <w:bCs/>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仿宋简体" w:hAnsi="黑体" w:eastAsia="方正仿宋简体" w:cs="宋体"/>
                <w:b w:val="0"/>
                <w:bCs/>
                <w:color w:val="000000"/>
                <w:sz w:val="24"/>
                <w:szCs w:val="24"/>
              </w:rPr>
            </w:pPr>
            <w:r>
              <w:rPr>
                <w:rFonts w:hint="eastAsia" w:ascii="方正黑体简体" w:hAnsi="黑体" w:eastAsia="方正黑体简体" w:cs="宋体"/>
                <w:b w:val="0"/>
                <w:bCs/>
                <w:color w:val="000000"/>
                <w:sz w:val="24"/>
                <w:szCs w:val="24"/>
              </w:rPr>
              <w:t>第二十条第（六）项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信息内容</w:t>
            </w:r>
          </w:p>
        </w:tc>
        <w:tc>
          <w:tcPr>
            <w:tcW w:w="6618" w:type="dxa"/>
            <w:gridSpan w:val="3"/>
            <w:shd w:val="clear" w:color="auto" w:fill="FFFFFF"/>
            <w:noWrap w:val="0"/>
            <w:vAlign w:val="center"/>
          </w:tcPr>
          <w:p>
            <w:pPr>
              <w:widowControl/>
              <w:spacing w:line="340" w:lineRule="exact"/>
              <w:jc w:val="center"/>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行政处罚</w:t>
            </w:r>
          </w:p>
        </w:tc>
        <w:tc>
          <w:tcPr>
            <w:tcW w:w="6618" w:type="dxa"/>
            <w:gridSpan w:val="3"/>
            <w:shd w:val="clear" w:color="auto" w:fill="FFFFFF"/>
            <w:noWrap w:val="0"/>
            <w:vAlign w:val="center"/>
          </w:tcPr>
          <w:p>
            <w:pPr>
              <w:widowControl/>
              <w:spacing w:line="340" w:lineRule="exact"/>
              <w:jc w:val="center"/>
              <w:rPr>
                <w:rFonts w:hint="eastAsia" w:ascii="方正仿宋简体" w:hAnsi="宋体" w:eastAsia="方正仿宋简体" w:cs="宋体"/>
                <w:b w:val="0"/>
                <w:bCs/>
                <w:color w:val="000000"/>
                <w:sz w:val="24"/>
                <w:szCs w:val="24"/>
                <w:lang w:val="en-US" w:eastAsia="zh-CN"/>
              </w:rPr>
            </w:pPr>
            <w:r>
              <w:rPr>
                <w:rFonts w:hint="eastAsia" w:ascii="方正仿宋简体" w:hAnsi="宋体" w:eastAsia="方正仿宋简体" w:cs="宋体"/>
                <w:b w:val="0"/>
                <w:bCs/>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行政强制</w:t>
            </w:r>
          </w:p>
        </w:tc>
        <w:tc>
          <w:tcPr>
            <w:tcW w:w="6618" w:type="dxa"/>
            <w:gridSpan w:val="3"/>
            <w:shd w:val="clear" w:color="auto" w:fill="FFFFFF"/>
            <w:noWrap w:val="0"/>
            <w:vAlign w:val="center"/>
          </w:tcPr>
          <w:p>
            <w:pPr>
              <w:widowControl/>
              <w:spacing w:line="340" w:lineRule="exact"/>
              <w:jc w:val="center"/>
              <w:rPr>
                <w:rFonts w:hint="eastAsia" w:ascii="方正仿宋简体" w:hAnsi="宋体" w:eastAsia="方正仿宋简体" w:cs="宋体"/>
                <w:b w:val="0"/>
                <w:bCs/>
                <w:color w:val="000000"/>
                <w:sz w:val="24"/>
                <w:szCs w:val="24"/>
                <w:lang w:val="en-US" w:eastAsia="zh-CN"/>
              </w:rPr>
            </w:pPr>
            <w:r>
              <w:rPr>
                <w:rFonts w:hint="eastAsia" w:ascii="方正仿宋简体" w:hAnsi="宋体" w:eastAsia="方正仿宋简体" w:cs="宋体"/>
                <w:b w:val="0"/>
                <w:bCs/>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仿宋简体" w:hAnsi="黑体" w:eastAsia="方正仿宋简体" w:cs="宋体"/>
                <w:b w:val="0"/>
                <w:bCs/>
                <w:color w:val="000000"/>
                <w:sz w:val="24"/>
                <w:szCs w:val="24"/>
              </w:rPr>
            </w:pPr>
            <w:r>
              <w:rPr>
                <w:rFonts w:hint="eastAsia" w:ascii="方正黑体简体" w:hAnsi="黑体" w:eastAsia="方正黑体简体" w:cs="宋体"/>
                <w:b w:val="0"/>
                <w:bCs/>
                <w:color w:val="000000"/>
                <w:sz w:val="24"/>
                <w:szCs w:val="24"/>
              </w:rPr>
              <w:t>第二十条第（八）项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信息内容</w:t>
            </w:r>
          </w:p>
        </w:tc>
        <w:tc>
          <w:tcPr>
            <w:tcW w:w="6618" w:type="dxa"/>
            <w:gridSpan w:val="3"/>
            <w:shd w:val="clear" w:color="auto" w:fill="FFFFFF"/>
            <w:noWrap w:val="0"/>
            <w:vAlign w:val="center"/>
          </w:tcPr>
          <w:p>
            <w:pPr>
              <w:widowControl/>
              <w:spacing w:line="340" w:lineRule="exact"/>
              <w:jc w:val="center"/>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本年收费金额（单位：万元）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val="0"/>
                <w:bCs/>
                <w:color w:val="000000"/>
                <w:sz w:val="24"/>
                <w:szCs w:val="24"/>
              </w:rPr>
            </w:pPr>
            <w:r>
              <w:rPr>
                <w:rFonts w:hint="eastAsia" w:ascii="方正仿宋简体" w:hAnsi="宋体" w:eastAsia="方正仿宋简体" w:cs="宋体"/>
                <w:b w:val="0"/>
                <w:bCs/>
                <w:color w:val="000000"/>
                <w:sz w:val="24"/>
                <w:szCs w:val="24"/>
              </w:rPr>
              <w:t>行政事业性收费</w:t>
            </w:r>
          </w:p>
        </w:tc>
        <w:tc>
          <w:tcPr>
            <w:tcW w:w="6618" w:type="dxa"/>
            <w:gridSpan w:val="3"/>
            <w:shd w:val="clear" w:color="auto" w:fill="FFFFFF"/>
            <w:noWrap w:val="0"/>
            <w:vAlign w:val="center"/>
          </w:tcPr>
          <w:p>
            <w:pPr>
              <w:widowControl/>
              <w:spacing w:line="340" w:lineRule="exact"/>
              <w:jc w:val="center"/>
              <w:rPr>
                <w:rFonts w:hint="eastAsia" w:ascii="方正仿宋简体" w:hAnsi="Calibri" w:eastAsia="方正仿宋简体" w:cs="Calibri"/>
                <w:b w:val="0"/>
                <w:bCs/>
                <w:color w:val="000000"/>
                <w:sz w:val="24"/>
                <w:szCs w:val="24"/>
                <w:lang w:val="en-US" w:eastAsia="zh-CN"/>
              </w:rPr>
            </w:pPr>
            <w:r>
              <w:rPr>
                <w:rFonts w:hint="eastAsia" w:ascii="方正仿宋简体" w:hAnsi="Calibri" w:eastAsia="方正仿宋简体" w:cs="Calibri"/>
                <w:b w:val="0"/>
                <w:bCs/>
                <w:color w:val="000000"/>
                <w:sz w:val="24"/>
                <w:szCs w:val="24"/>
                <w:lang w:val="en-US" w:eastAsia="zh-CN"/>
              </w:rPr>
              <w:t>0</w:t>
            </w:r>
          </w:p>
        </w:tc>
      </w:tr>
    </w:tbl>
    <w:p>
      <w:pPr>
        <w:spacing w:line="240" w:lineRule="exact"/>
        <w:ind w:right="-105" w:rightChars="-50"/>
        <w:jc w:val="center"/>
        <w:rPr>
          <w:rFonts w:ascii="方正黑体简体" w:hAnsi="文星仿宋" w:eastAsia="方正黑体简体" w:cs="方正仿宋简体"/>
          <w:b w:val="0"/>
          <w:bCs/>
          <w:color w:val="000000"/>
          <w:sz w:val="30"/>
          <w:szCs w:val="30"/>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5"/>
        <w:gridCol w:w="1162"/>
        <w:gridCol w:w="2581"/>
        <w:gridCol w:w="829"/>
        <w:gridCol w:w="567"/>
        <w:gridCol w:w="567"/>
        <w:gridCol w:w="571"/>
        <w:gridCol w:w="567"/>
        <w:gridCol w:w="567"/>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restart"/>
            <w:noWrap w:val="0"/>
            <w:tcMar>
              <w:left w:w="108" w:type="dxa"/>
              <w:right w:w="108" w:type="dxa"/>
            </w:tcMar>
            <w:vAlign w:val="center"/>
          </w:tcPr>
          <w:p>
            <w:pPr>
              <w:widowControl/>
              <w:spacing w:line="260" w:lineRule="exact"/>
              <w:jc w:val="center"/>
              <w:rPr>
                <w:rFonts w:ascii="方正黑体简体" w:hAnsi="黑体" w:eastAsia="方正黑体简体"/>
                <w:b w:val="0"/>
                <w:bCs/>
                <w:sz w:val="21"/>
                <w:szCs w:val="21"/>
              </w:rPr>
            </w:pPr>
            <w:r>
              <w:rPr>
                <w:rFonts w:hint="eastAsia" w:ascii="方正黑体简体" w:hAnsi="黑体" w:eastAsia="方正黑体简体"/>
                <w:b w:val="0"/>
                <w:bCs/>
                <w:sz w:val="21"/>
                <w:szCs w:val="21"/>
              </w:rPr>
              <w:t>（本列数据的勾稽关系为：第一项加第二项之和，</w:t>
            </w:r>
          </w:p>
          <w:p>
            <w:pPr>
              <w:widowControl/>
              <w:spacing w:line="260" w:lineRule="exact"/>
              <w:jc w:val="center"/>
              <w:rPr>
                <w:rFonts w:ascii="方正黑体简体" w:eastAsia="方正黑体简体"/>
                <w:b w:val="0"/>
                <w:bCs/>
                <w:sz w:val="21"/>
                <w:szCs w:val="21"/>
              </w:rPr>
            </w:pPr>
            <w:r>
              <w:rPr>
                <w:rFonts w:hint="eastAsia" w:ascii="方正黑体简体" w:hAnsi="黑体" w:eastAsia="方正黑体简体"/>
                <w:b w:val="0"/>
                <w:bCs/>
                <w:sz w:val="21"/>
                <w:szCs w:val="21"/>
              </w:rPr>
              <w:t>等于第三项加第四项之和）</w:t>
            </w:r>
          </w:p>
        </w:tc>
        <w:tc>
          <w:tcPr>
            <w:tcW w:w="4129" w:type="dxa"/>
            <w:gridSpan w:val="7"/>
            <w:noWrap w:val="0"/>
            <w:tcMar>
              <w:left w:w="108" w:type="dxa"/>
              <w:right w:w="108" w:type="dxa"/>
            </w:tcMar>
            <w:vAlign w:val="center"/>
          </w:tcPr>
          <w:p>
            <w:pPr>
              <w:widowControl/>
              <w:spacing w:line="260" w:lineRule="exact"/>
              <w:jc w:val="center"/>
              <w:rPr>
                <w:rFonts w:ascii="方正黑体简体" w:hAnsi="黑体" w:eastAsia="方正黑体简体"/>
                <w:b w:val="0"/>
                <w:bCs/>
                <w:sz w:val="21"/>
                <w:szCs w:val="21"/>
              </w:rPr>
            </w:pPr>
            <w:r>
              <w:rPr>
                <w:rFonts w:hint="eastAsia" w:ascii="方正黑体简体" w:hAnsi="黑体" w:eastAsia="方正黑体简体"/>
                <w:b w:val="0"/>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continue"/>
            <w:noWrap w:val="0"/>
            <w:tcMar>
              <w:left w:w="108" w:type="dxa"/>
              <w:right w:w="108" w:type="dxa"/>
            </w:tcMar>
            <w:vAlign w:val="center"/>
          </w:tcPr>
          <w:p>
            <w:pPr>
              <w:spacing w:line="260" w:lineRule="exact"/>
              <w:jc w:val="center"/>
              <w:rPr>
                <w:rFonts w:ascii="方正黑体简体" w:eastAsia="方正黑体简体"/>
                <w:b w:val="0"/>
                <w:bCs/>
                <w:sz w:val="21"/>
                <w:szCs w:val="21"/>
              </w:rPr>
            </w:pPr>
          </w:p>
        </w:tc>
        <w:tc>
          <w:tcPr>
            <w:tcW w:w="829" w:type="dxa"/>
            <w:vMerge w:val="restart"/>
            <w:noWrap w:val="0"/>
            <w:tcMar>
              <w:left w:w="108" w:type="dxa"/>
              <w:right w:w="108" w:type="dxa"/>
            </w:tcMar>
            <w:vAlign w:val="center"/>
          </w:tcPr>
          <w:p>
            <w:pPr>
              <w:widowControl/>
              <w:spacing w:line="260" w:lineRule="exact"/>
              <w:jc w:val="center"/>
              <w:rPr>
                <w:rFonts w:ascii="方正黑体简体" w:hAnsi="黑体" w:eastAsia="方正黑体简体"/>
                <w:b w:val="0"/>
                <w:bCs/>
                <w:sz w:val="21"/>
                <w:szCs w:val="21"/>
              </w:rPr>
            </w:pPr>
            <w:r>
              <w:rPr>
                <w:rFonts w:hint="eastAsia" w:ascii="方正黑体简体" w:hAnsi="黑体" w:eastAsia="方正黑体简体"/>
                <w:b w:val="0"/>
                <w:bCs/>
                <w:sz w:val="21"/>
                <w:szCs w:val="21"/>
              </w:rPr>
              <w:t>自然人</w:t>
            </w:r>
          </w:p>
        </w:tc>
        <w:tc>
          <w:tcPr>
            <w:tcW w:w="2839" w:type="dxa"/>
            <w:gridSpan w:val="5"/>
            <w:noWrap w:val="0"/>
            <w:tcMar>
              <w:left w:w="108" w:type="dxa"/>
              <w:right w:w="108" w:type="dxa"/>
            </w:tcMar>
            <w:vAlign w:val="center"/>
          </w:tcPr>
          <w:p>
            <w:pPr>
              <w:widowControl/>
              <w:spacing w:line="260" w:lineRule="exact"/>
              <w:jc w:val="center"/>
              <w:rPr>
                <w:rFonts w:ascii="方正黑体简体" w:hAnsi="黑体" w:eastAsia="方正黑体简体"/>
                <w:b w:val="0"/>
                <w:bCs/>
                <w:sz w:val="21"/>
                <w:szCs w:val="21"/>
              </w:rPr>
            </w:pPr>
            <w:r>
              <w:rPr>
                <w:rFonts w:hint="eastAsia" w:ascii="方正黑体简体" w:hAnsi="黑体" w:eastAsia="方正黑体简体"/>
                <w:b w:val="0"/>
                <w:bCs/>
                <w:sz w:val="21"/>
                <w:szCs w:val="21"/>
              </w:rPr>
              <w:t>法人或其他组织</w:t>
            </w:r>
          </w:p>
        </w:tc>
        <w:tc>
          <w:tcPr>
            <w:tcW w:w="461" w:type="dxa"/>
            <w:vMerge w:val="restart"/>
            <w:noWrap w:val="0"/>
            <w:tcMar>
              <w:left w:w="108" w:type="dxa"/>
              <w:right w:w="108" w:type="dxa"/>
            </w:tcMar>
            <w:vAlign w:val="center"/>
          </w:tcPr>
          <w:p>
            <w:pPr>
              <w:widowControl/>
              <w:spacing w:line="260" w:lineRule="exact"/>
              <w:jc w:val="center"/>
              <w:rPr>
                <w:rFonts w:ascii="方正黑体简体" w:hAnsi="黑体" w:eastAsia="方正黑体简体"/>
                <w:b w:val="0"/>
                <w:bCs/>
                <w:sz w:val="21"/>
                <w:szCs w:val="21"/>
              </w:rPr>
            </w:pPr>
            <w:r>
              <w:rPr>
                <w:rFonts w:hint="eastAsia" w:ascii="方正黑体简体" w:hAnsi="黑体" w:eastAsia="方正黑体简体"/>
                <w:b w:val="0"/>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continue"/>
            <w:noWrap w:val="0"/>
            <w:tcMar>
              <w:left w:w="108" w:type="dxa"/>
              <w:right w:w="108" w:type="dxa"/>
            </w:tcMar>
            <w:vAlign w:val="center"/>
          </w:tcPr>
          <w:p>
            <w:pPr>
              <w:spacing w:line="260" w:lineRule="exact"/>
              <w:jc w:val="center"/>
              <w:rPr>
                <w:rFonts w:ascii="方正仿宋简体" w:eastAsia="方正仿宋简体"/>
                <w:b w:val="0"/>
                <w:bCs/>
                <w:sz w:val="21"/>
                <w:szCs w:val="21"/>
              </w:rPr>
            </w:pPr>
          </w:p>
        </w:tc>
        <w:tc>
          <w:tcPr>
            <w:tcW w:w="829" w:type="dxa"/>
            <w:vMerge w:val="continue"/>
            <w:noWrap w:val="0"/>
            <w:tcMar>
              <w:left w:w="108" w:type="dxa"/>
              <w:right w:w="108" w:type="dxa"/>
            </w:tcMar>
            <w:vAlign w:val="center"/>
          </w:tcPr>
          <w:p>
            <w:pPr>
              <w:spacing w:line="260" w:lineRule="exact"/>
              <w:jc w:val="center"/>
              <w:rPr>
                <w:rFonts w:ascii="方正仿宋简体" w:hAnsi="黑体" w:eastAsia="方正仿宋简体"/>
                <w:b w:val="0"/>
                <w:bCs/>
                <w:sz w:val="21"/>
                <w:szCs w:val="21"/>
              </w:rPr>
            </w:pPr>
          </w:p>
        </w:tc>
        <w:tc>
          <w:tcPr>
            <w:tcW w:w="567" w:type="dxa"/>
            <w:noWrap w:val="0"/>
            <w:tcMar>
              <w:left w:w="108" w:type="dxa"/>
              <w:right w:w="108" w:type="dxa"/>
            </w:tcMar>
            <w:vAlign w:val="center"/>
          </w:tcPr>
          <w:p>
            <w:pPr>
              <w:widowControl/>
              <w:spacing w:line="260" w:lineRule="exact"/>
              <w:ind w:left="-106" w:leftChars="-51" w:right="-107" w:rightChars="-51" w:hanging="1"/>
              <w:jc w:val="center"/>
              <w:rPr>
                <w:rFonts w:ascii="方正黑体简体" w:hAnsi="黑体" w:eastAsia="方正黑体简体"/>
                <w:b w:val="0"/>
                <w:bCs/>
                <w:sz w:val="21"/>
                <w:szCs w:val="21"/>
              </w:rPr>
            </w:pPr>
            <w:r>
              <w:rPr>
                <w:rFonts w:hint="eastAsia" w:ascii="方正黑体简体" w:hAnsi="黑体" w:eastAsia="方正黑体简体"/>
                <w:b w:val="0"/>
                <w:bCs/>
                <w:sz w:val="21"/>
                <w:szCs w:val="21"/>
              </w:rPr>
              <w:t>商业企业</w:t>
            </w:r>
          </w:p>
        </w:tc>
        <w:tc>
          <w:tcPr>
            <w:tcW w:w="567" w:type="dxa"/>
            <w:noWrap w:val="0"/>
            <w:tcMar>
              <w:left w:w="108" w:type="dxa"/>
              <w:right w:w="108" w:type="dxa"/>
            </w:tcMar>
            <w:vAlign w:val="center"/>
          </w:tcPr>
          <w:p>
            <w:pPr>
              <w:widowControl/>
              <w:spacing w:line="260" w:lineRule="exact"/>
              <w:ind w:left="-107" w:leftChars="-51" w:right="-107" w:rightChars="-51"/>
              <w:jc w:val="center"/>
              <w:rPr>
                <w:rFonts w:ascii="方正黑体简体" w:hAnsi="黑体" w:eastAsia="方正黑体简体"/>
                <w:b w:val="0"/>
                <w:bCs/>
                <w:sz w:val="21"/>
                <w:szCs w:val="21"/>
              </w:rPr>
            </w:pPr>
            <w:r>
              <w:rPr>
                <w:rFonts w:hint="eastAsia" w:ascii="方正黑体简体" w:hAnsi="黑体" w:eastAsia="方正黑体简体"/>
                <w:b w:val="0"/>
                <w:bCs/>
                <w:sz w:val="21"/>
                <w:szCs w:val="21"/>
              </w:rPr>
              <w:t>科研机构</w:t>
            </w:r>
          </w:p>
        </w:tc>
        <w:tc>
          <w:tcPr>
            <w:tcW w:w="571" w:type="dxa"/>
            <w:noWrap w:val="0"/>
            <w:tcMar>
              <w:left w:w="108" w:type="dxa"/>
              <w:right w:w="108" w:type="dxa"/>
            </w:tcMar>
            <w:vAlign w:val="center"/>
          </w:tcPr>
          <w:p>
            <w:pPr>
              <w:widowControl/>
              <w:spacing w:line="260" w:lineRule="exact"/>
              <w:ind w:left="-107" w:leftChars="-51" w:right="-107" w:rightChars="-51"/>
              <w:jc w:val="center"/>
              <w:rPr>
                <w:rFonts w:ascii="方正黑体简体" w:hAnsi="黑体" w:eastAsia="方正黑体简体"/>
                <w:b w:val="0"/>
                <w:bCs/>
                <w:sz w:val="21"/>
                <w:szCs w:val="21"/>
              </w:rPr>
            </w:pPr>
            <w:r>
              <w:rPr>
                <w:rFonts w:hint="eastAsia" w:ascii="方正黑体简体" w:hAnsi="黑体" w:eastAsia="方正黑体简体"/>
                <w:b w:val="0"/>
                <w:bCs/>
                <w:sz w:val="21"/>
                <w:szCs w:val="21"/>
              </w:rPr>
              <w:t>社会公益组织</w:t>
            </w:r>
          </w:p>
        </w:tc>
        <w:tc>
          <w:tcPr>
            <w:tcW w:w="567" w:type="dxa"/>
            <w:noWrap w:val="0"/>
            <w:tcMar>
              <w:left w:w="108" w:type="dxa"/>
              <w:right w:w="108" w:type="dxa"/>
            </w:tcMar>
            <w:vAlign w:val="center"/>
          </w:tcPr>
          <w:p>
            <w:pPr>
              <w:widowControl/>
              <w:spacing w:line="260" w:lineRule="exact"/>
              <w:ind w:left="-106" w:leftChars="-51" w:right="-107" w:rightChars="-51" w:hanging="1"/>
              <w:jc w:val="center"/>
              <w:rPr>
                <w:rFonts w:ascii="方正黑体简体" w:hAnsi="黑体" w:eastAsia="方正黑体简体"/>
                <w:b w:val="0"/>
                <w:bCs/>
                <w:sz w:val="21"/>
                <w:szCs w:val="21"/>
              </w:rPr>
            </w:pPr>
            <w:r>
              <w:rPr>
                <w:rFonts w:hint="eastAsia" w:ascii="方正黑体简体" w:hAnsi="黑体" w:eastAsia="方正黑体简体"/>
                <w:b w:val="0"/>
                <w:bCs/>
                <w:sz w:val="21"/>
                <w:szCs w:val="21"/>
              </w:rPr>
              <w:t>法律服务机构</w:t>
            </w:r>
          </w:p>
        </w:tc>
        <w:tc>
          <w:tcPr>
            <w:tcW w:w="567" w:type="dxa"/>
            <w:noWrap w:val="0"/>
            <w:tcMar>
              <w:left w:w="108" w:type="dxa"/>
              <w:right w:w="108" w:type="dxa"/>
            </w:tcMar>
            <w:vAlign w:val="center"/>
          </w:tcPr>
          <w:p>
            <w:pPr>
              <w:widowControl/>
              <w:spacing w:line="260" w:lineRule="exact"/>
              <w:ind w:left="-63" w:leftChars="-30" w:right="-134" w:rightChars="-64"/>
              <w:jc w:val="center"/>
              <w:rPr>
                <w:rFonts w:ascii="方正黑体简体" w:hAnsi="黑体" w:eastAsia="方正黑体简体"/>
                <w:b w:val="0"/>
                <w:bCs/>
                <w:sz w:val="21"/>
                <w:szCs w:val="21"/>
              </w:rPr>
            </w:pPr>
            <w:r>
              <w:rPr>
                <w:rFonts w:hint="eastAsia" w:ascii="方正黑体简体" w:hAnsi="黑体" w:eastAsia="方正黑体简体"/>
                <w:b w:val="0"/>
                <w:bCs/>
                <w:sz w:val="21"/>
                <w:szCs w:val="21"/>
              </w:rPr>
              <w:t>其他</w:t>
            </w:r>
          </w:p>
        </w:tc>
        <w:tc>
          <w:tcPr>
            <w:tcW w:w="461" w:type="dxa"/>
            <w:vMerge w:val="continue"/>
            <w:noWrap w:val="0"/>
            <w:tcMar>
              <w:left w:w="108" w:type="dxa"/>
              <w:right w:w="108" w:type="dxa"/>
            </w:tcMar>
            <w:vAlign w:val="center"/>
          </w:tcPr>
          <w:p>
            <w:pPr>
              <w:spacing w:line="260" w:lineRule="exact"/>
              <w:jc w:val="center"/>
              <w:rPr>
                <w:rFonts w:ascii="方正仿宋简体" w:eastAsia="方正仿宋简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一、</w:t>
            </w:r>
            <w:bookmarkStart w:id="0" w:name="_Hlk66973412"/>
            <w:r>
              <w:rPr>
                <w:rFonts w:hint="eastAsia" w:ascii="方正仿宋简体" w:hAnsi="黑体" w:eastAsia="方正仿宋简体"/>
                <w:b w:val="0"/>
                <w:bCs/>
                <w:sz w:val="21"/>
                <w:szCs w:val="21"/>
              </w:rPr>
              <w:t>本年新收政府信息公开申请数量</w:t>
            </w:r>
            <w:bookmarkEnd w:id="0"/>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b w:val="0"/>
                <w:bCs/>
                <w:sz w:val="21"/>
                <w:szCs w:val="21"/>
                <w:lang w:val="en-US" w:eastAsia="zh-CN"/>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b w:val="0"/>
                <w:bCs/>
                <w:sz w:val="21"/>
                <w:szCs w:val="21"/>
                <w:lang w:val="en-US" w:eastAsia="zh-CN"/>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b w:val="0"/>
                <w:bCs/>
                <w:sz w:val="21"/>
                <w:szCs w:val="21"/>
                <w:lang w:val="en-US" w:eastAsia="zh-CN"/>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b w:val="0"/>
                <w:bCs/>
                <w:sz w:val="21"/>
                <w:szCs w:val="21"/>
                <w:lang w:val="en-US" w:eastAsia="zh-CN"/>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b w:val="0"/>
                <w:bCs/>
                <w:sz w:val="21"/>
                <w:szCs w:val="21"/>
                <w:lang w:val="en-US" w:eastAsia="zh-CN"/>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b w:val="0"/>
                <w:bCs/>
                <w:sz w:val="21"/>
                <w:szCs w:val="21"/>
                <w:lang w:val="en-US" w:eastAsia="zh-CN"/>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val="0"/>
                <w:bCs/>
                <w:sz w:val="21"/>
                <w:szCs w:val="21"/>
                <w:lang w:val="en-US" w:eastAsia="zh-CN"/>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二、上年结转政府信息公开申请数量</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restart"/>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三、本年度办理结果</w:t>
            </w:r>
          </w:p>
        </w:tc>
        <w:tc>
          <w:tcPr>
            <w:tcW w:w="3743" w:type="dxa"/>
            <w:gridSpan w:val="2"/>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（一）予以公开</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3743" w:type="dxa"/>
            <w:gridSpan w:val="2"/>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（二）部分公开（</w:t>
            </w:r>
            <w:bookmarkStart w:id="1" w:name="_Hlk66973981"/>
            <w:r>
              <w:rPr>
                <w:rFonts w:hint="eastAsia" w:ascii="方正仿宋简体" w:hAnsi="黑体" w:eastAsia="方正仿宋简体"/>
                <w:b w:val="0"/>
                <w:bCs/>
                <w:sz w:val="21"/>
                <w:szCs w:val="21"/>
              </w:rPr>
              <w:t>区分处理的，只计这一情形，不计其他情形</w:t>
            </w:r>
            <w:bookmarkEnd w:id="1"/>
            <w:r>
              <w:rPr>
                <w:rFonts w:hint="eastAsia" w:ascii="方正仿宋简体" w:hAnsi="黑体" w:eastAsia="方正仿宋简体"/>
                <w:b w:val="0"/>
                <w:bCs/>
                <w:sz w:val="21"/>
                <w:szCs w:val="21"/>
              </w:rPr>
              <w:t>）</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restart"/>
            <w:noWrap w:val="0"/>
            <w:tcMar>
              <w:left w:w="108" w:type="dxa"/>
              <w:right w:w="108" w:type="dxa"/>
            </w:tcMar>
            <w:vAlign w:val="center"/>
          </w:tcPr>
          <w:p>
            <w:pPr>
              <w:widowControl/>
              <w:spacing w:line="260" w:lineRule="exact"/>
              <w:ind w:left="-107" w:leftChars="-51"/>
              <w:rPr>
                <w:rFonts w:ascii="方正仿宋简体" w:hAnsi="黑体" w:eastAsia="方正仿宋简体"/>
                <w:b w:val="0"/>
                <w:bCs/>
                <w:sz w:val="21"/>
                <w:szCs w:val="21"/>
              </w:rPr>
            </w:pPr>
            <w:r>
              <w:rPr>
                <w:rFonts w:hint="eastAsia" w:ascii="方正仿宋简体" w:hAnsi="黑体" w:eastAsia="方正仿宋简体"/>
                <w:b w:val="0"/>
                <w:bCs/>
                <w:sz w:val="21"/>
                <w:szCs w:val="21"/>
              </w:rPr>
              <w:t>（三）不予公开</w:t>
            </w: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1.属于国家秘密</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2.</w:t>
            </w:r>
            <w:bookmarkStart w:id="2" w:name="_Hlk66974104"/>
            <w:r>
              <w:rPr>
                <w:rFonts w:hint="eastAsia" w:ascii="方正仿宋简体" w:hAnsi="黑体" w:eastAsia="方正仿宋简体"/>
                <w:b w:val="0"/>
                <w:bCs/>
                <w:sz w:val="21"/>
                <w:szCs w:val="21"/>
              </w:rPr>
              <w:t>其他法律行政法规禁止公开</w:t>
            </w:r>
            <w:bookmarkEnd w:id="2"/>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3.危及“三安全一稳定”</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4.</w:t>
            </w:r>
            <w:bookmarkStart w:id="3" w:name="_Hlk66974290"/>
            <w:r>
              <w:rPr>
                <w:rFonts w:hint="eastAsia" w:ascii="方正仿宋简体" w:hAnsi="黑体" w:eastAsia="方正仿宋简体"/>
                <w:b w:val="0"/>
                <w:bCs/>
                <w:sz w:val="21"/>
                <w:szCs w:val="21"/>
              </w:rPr>
              <w:t>保护第三方合法权益</w:t>
            </w:r>
            <w:bookmarkEnd w:id="3"/>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5.属于三类内部事务信息</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6.</w:t>
            </w:r>
            <w:bookmarkStart w:id="4" w:name="_Hlk66974555"/>
            <w:r>
              <w:rPr>
                <w:rFonts w:hint="eastAsia" w:ascii="方正仿宋简体" w:hAnsi="黑体" w:eastAsia="方正仿宋简体"/>
                <w:b w:val="0"/>
                <w:bCs/>
                <w:sz w:val="21"/>
                <w:szCs w:val="21"/>
              </w:rPr>
              <w:t>属于四类过程性信息</w:t>
            </w:r>
            <w:bookmarkEnd w:id="4"/>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7.属于行政执法案卷</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8.</w:t>
            </w:r>
            <w:bookmarkStart w:id="5" w:name="_Hlk66975211"/>
            <w:r>
              <w:rPr>
                <w:rFonts w:hint="eastAsia" w:ascii="方正仿宋简体" w:hAnsi="黑体" w:eastAsia="方正仿宋简体"/>
                <w:b w:val="0"/>
                <w:bCs/>
                <w:sz w:val="21"/>
                <w:szCs w:val="21"/>
              </w:rPr>
              <w:t>属于行政查询事项</w:t>
            </w:r>
            <w:bookmarkEnd w:id="5"/>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restart"/>
            <w:noWrap w:val="0"/>
            <w:tcMar>
              <w:left w:w="108" w:type="dxa"/>
              <w:right w:w="108" w:type="dxa"/>
            </w:tcMar>
            <w:vAlign w:val="center"/>
          </w:tcPr>
          <w:p>
            <w:pPr>
              <w:widowControl/>
              <w:spacing w:line="260" w:lineRule="exact"/>
              <w:ind w:left="-107" w:leftChars="-51"/>
              <w:rPr>
                <w:rFonts w:ascii="方正仿宋简体" w:hAnsi="黑体" w:eastAsia="方正仿宋简体"/>
                <w:b w:val="0"/>
                <w:bCs/>
                <w:sz w:val="21"/>
                <w:szCs w:val="21"/>
              </w:rPr>
            </w:pPr>
            <w:r>
              <w:rPr>
                <w:rFonts w:hint="eastAsia" w:ascii="方正仿宋简体" w:hAnsi="黑体" w:eastAsia="方正仿宋简体"/>
                <w:b w:val="0"/>
                <w:bCs/>
                <w:sz w:val="21"/>
                <w:szCs w:val="21"/>
              </w:rPr>
              <w:t>（四）无法提供</w:t>
            </w: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1.本机关不掌握相关政府信息</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ind w:left="-107" w:leftChars="-51"/>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2.</w:t>
            </w:r>
            <w:bookmarkStart w:id="6" w:name="_Hlk66975392"/>
            <w:r>
              <w:rPr>
                <w:rFonts w:hint="eastAsia" w:ascii="方正仿宋简体" w:hAnsi="黑体" w:eastAsia="方正仿宋简体"/>
                <w:b w:val="0"/>
                <w:bCs/>
                <w:sz w:val="21"/>
                <w:szCs w:val="21"/>
              </w:rPr>
              <w:t>没有现成信息需要另行制作</w:t>
            </w:r>
            <w:bookmarkEnd w:id="6"/>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ind w:left="-107" w:leftChars="-51"/>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3.</w:t>
            </w:r>
            <w:bookmarkStart w:id="7" w:name="_Hlk66975466"/>
            <w:r>
              <w:rPr>
                <w:rFonts w:hint="eastAsia" w:ascii="方正仿宋简体" w:hAnsi="黑体" w:eastAsia="方正仿宋简体"/>
                <w:b w:val="0"/>
                <w:bCs/>
                <w:spacing w:val="-8"/>
                <w:sz w:val="21"/>
                <w:szCs w:val="21"/>
              </w:rPr>
              <w:t>补正后申请内容仍不明确</w:t>
            </w:r>
            <w:bookmarkEnd w:id="7"/>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restart"/>
            <w:noWrap w:val="0"/>
            <w:tcMar>
              <w:left w:w="108" w:type="dxa"/>
              <w:right w:w="108" w:type="dxa"/>
            </w:tcMar>
            <w:vAlign w:val="center"/>
          </w:tcPr>
          <w:p>
            <w:pPr>
              <w:widowControl/>
              <w:spacing w:line="260" w:lineRule="exact"/>
              <w:ind w:left="-107" w:leftChars="-51"/>
              <w:rPr>
                <w:rFonts w:ascii="方正仿宋简体" w:hAnsi="黑体" w:eastAsia="方正仿宋简体"/>
                <w:b w:val="0"/>
                <w:bCs/>
                <w:sz w:val="21"/>
                <w:szCs w:val="21"/>
              </w:rPr>
            </w:pPr>
            <w:r>
              <w:rPr>
                <w:rFonts w:hint="eastAsia" w:ascii="方正仿宋简体" w:hAnsi="黑体" w:eastAsia="方正仿宋简体"/>
                <w:b w:val="0"/>
                <w:bCs/>
                <w:sz w:val="21"/>
                <w:szCs w:val="21"/>
              </w:rPr>
              <w:t>（五）不予处理</w:t>
            </w: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1.</w:t>
            </w:r>
            <w:bookmarkStart w:id="8" w:name="_Hlk66975537"/>
            <w:r>
              <w:rPr>
                <w:rFonts w:hint="eastAsia" w:ascii="方正仿宋简体" w:hAnsi="黑体" w:eastAsia="方正仿宋简体"/>
                <w:b w:val="0"/>
                <w:bCs/>
                <w:sz w:val="21"/>
                <w:szCs w:val="21"/>
              </w:rPr>
              <w:t>信访举报投诉类申请</w:t>
            </w:r>
            <w:bookmarkEnd w:id="8"/>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2.重复申请</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3.要求提供公开出版物</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4.</w:t>
            </w:r>
            <w:r>
              <w:rPr>
                <w:rFonts w:hint="eastAsia" w:ascii="方正仿宋简体" w:hAnsi="黑体" w:eastAsia="方正仿宋简体"/>
                <w:b w:val="0"/>
                <w:bCs/>
                <w:spacing w:val="-8"/>
                <w:sz w:val="21"/>
                <w:szCs w:val="21"/>
              </w:rPr>
              <w:t>无正当理由大量反复申请</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5.要求行政机关确认或重新出具已获取信息</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restart"/>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（六）其他处理</w:t>
            </w:r>
          </w:p>
        </w:tc>
        <w:tc>
          <w:tcPr>
            <w:tcW w:w="2581" w:type="dxa"/>
            <w:noWrap w:val="0"/>
            <w:vAlign w:val="center"/>
          </w:tcPr>
          <w:p>
            <w:pPr>
              <w:widowControl/>
              <w:spacing w:line="260" w:lineRule="exact"/>
              <w:rPr>
                <w:rFonts w:ascii="方正仿宋简体" w:hAnsi="楷体" w:eastAsia="方正仿宋简体"/>
                <w:b w:val="0"/>
                <w:bCs/>
                <w:sz w:val="21"/>
                <w:szCs w:val="21"/>
              </w:rPr>
            </w:pPr>
            <w:r>
              <w:rPr>
                <w:rFonts w:hint="eastAsia" w:ascii="方正仿宋简体" w:hAnsi="楷体" w:eastAsia="方正仿宋简体"/>
                <w:b w:val="0"/>
                <w:bCs/>
                <w:sz w:val="21"/>
                <w:szCs w:val="21"/>
              </w:rPr>
              <w:t>1.申请人无正当理由逾期不补正、行政机关不再处理其政府信息公开申请</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p>
        </w:tc>
        <w:tc>
          <w:tcPr>
            <w:tcW w:w="2581" w:type="dxa"/>
            <w:noWrap w:val="0"/>
            <w:vAlign w:val="center"/>
          </w:tcPr>
          <w:p>
            <w:pPr>
              <w:widowControl/>
              <w:spacing w:line="260" w:lineRule="exact"/>
              <w:rPr>
                <w:rFonts w:ascii="方正仿宋简体" w:hAnsi="黑体" w:eastAsia="方正仿宋简体"/>
                <w:b w:val="0"/>
                <w:bCs/>
                <w:sz w:val="21"/>
                <w:szCs w:val="21"/>
              </w:rPr>
            </w:pPr>
            <w:r>
              <w:rPr>
                <w:rFonts w:hint="eastAsia" w:ascii="方正仿宋简体" w:hAnsi="楷体" w:eastAsia="方正仿宋简体"/>
                <w:b w:val="0"/>
                <w:bCs/>
                <w:sz w:val="21"/>
                <w:szCs w:val="21"/>
              </w:rPr>
              <w:t>2.申请人逾期未按收费通知要求缴纳费用、行政机关不再处理其政府信息公开申请</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1162" w:type="dxa"/>
            <w:vMerge w:val="continue"/>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p>
        </w:tc>
        <w:tc>
          <w:tcPr>
            <w:tcW w:w="2581" w:type="dxa"/>
            <w:noWrap w:val="0"/>
            <w:vAlign w:val="center"/>
          </w:tcPr>
          <w:p>
            <w:pPr>
              <w:widowControl/>
              <w:spacing w:line="260" w:lineRule="exact"/>
              <w:rPr>
                <w:rFonts w:ascii="方正仿宋简体" w:hAnsi="黑体" w:eastAsia="方正仿宋简体"/>
                <w:b w:val="0"/>
                <w:bCs/>
                <w:sz w:val="21"/>
                <w:szCs w:val="21"/>
              </w:rPr>
            </w:pPr>
            <w:r>
              <w:rPr>
                <w:rFonts w:hint="eastAsia" w:ascii="方正仿宋简体" w:hAnsi="楷体" w:eastAsia="方正仿宋简体"/>
                <w:b w:val="0"/>
                <w:bCs/>
                <w:sz w:val="21"/>
                <w:szCs w:val="21"/>
              </w:rPr>
              <w:t>3.其他</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val="0"/>
                <w:bCs/>
                <w:sz w:val="21"/>
                <w:szCs w:val="21"/>
              </w:rPr>
            </w:pPr>
          </w:p>
        </w:tc>
        <w:tc>
          <w:tcPr>
            <w:tcW w:w="3743" w:type="dxa"/>
            <w:gridSpan w:val="2"/>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（七）总计</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noWrap w:val="0"/>
            <w:tcMar>
              <w:left w:w="108" w:type="dxa"/>
              <w:right w:w="108" w:type="dxa"/>
            </w:tcMar>
            <w:vAlign w:val="center"/>
          </w:tcPr>
          <w:p>
            <w:pPr>
              <w:widowControl/>
              <w:spacing w:line="260" w:lineRule="exact"/>
              <w:rPr>
                <w:rFonts w:ascii="方正仿宋简体" w:hAnsi="黑体" w:eastAsia="方正仿宋简体"/>
                <w:b w:val="0"/>
                <w:bCs/>
                <w:sz w:val="21"/>
                <w:szCs w:val="21"/>
              </w:rPr>
            </w:pPr>
            <w:r>
              <w:rPr>
                <w:rFonts w:hint="eastAsia" w:ascii="方正仿宋简体" w:hAnsi="黑体" w:eastAsia="方正仿宋简体"/>
                <w:b w:val="0"/>
                <w:bCs/>
                <w:sz w:val="21"/>
                <w:szCs w:val="21"/>
              </w:rPr>
              <w:t>四、结转下年度继续办理</w:t>
            </w:r>
          </w:p>
        </w:tc>
        <w:tc>
          <w:tcPr>
            <w:tcW w:w="829"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ascii="方正仿宋简体" w:eastAsia="方正仿宋简体"/>
                <w:b w:val="0"/>
                <w:bCs/>
                <w:sz w:val="21"/>
                <w:szCs w:val="21"/>
              </w:rPr>
            </w:pPr>
            <w:r>
              <w:rPr>
                <w:rFonts w:hint="eastAsia" w:ascii="方正仿宋简体" w:eastAsia="方正仿宋简体"/>
                <w:b w:val="0"/>
                <w:bCs/>
                <w:sz w:val="21"/>
                <w:szCs w:val="21"/>
                <w:lang w:val="en-US" w:eastAsia="zh-CN"/>
              </w:rPr>
              <w:t>0</w:t>
            </w:r>
          </w:p>
        </w:tc>
      </w:tr>
    </w:tbl>
    <w:p>
      <w:pPr>
        <w:spacing w:line="240" w:lineRule="exact"/>
        <w:ind w:right="-105" w:rightChars="-50"/>
        <w:jc w:val="center"/>
        <w:rPr>
          <w:rFonts w:ascii="方正黑体简体" w:hAnsi="文星仿宋" w:eastAsia="方正黑体简体" w:cs="方正仿宋简体"/>
          <w:b w:val="0"/>
          <w:bCs/>
          <w:color w:val="000000"/>
          <w:sz w:val="30"/>
          <w:szCs w:val="30"/>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479"/>
        <w:gridCol w:w="550"/>
        <w:gridCol w:w="605"/>
        <w:gridCol w:w="605"/>
        <w:gridCol w:w="605"/>
        <w:gridCol w:w="578"/>
        <w:gridCol w:w="605"/>
        <w:gridCol w:w="605"/>
        <w:gridCol w:w="605"/>
        <w:gridCol w:w="606"/>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2895" w:type="dxa"/>
            <w:gridSpan w:val="5"/>
            <w:noWrap w:val="0"/>
            <w:tcMar>
              <w:left w:w="108" w:type="dxa"/>
              <w:right w:w="108" w:type="dxa"/>
            </w:tcMar>
            <w:vAlign w:val="center"/>
          </w:tcPr>
          <w:p>
            <w:pPr>
              <w:widowControl/>
              <w:spacing w:line="320" w:lineRule="exact"/>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行政复议</w:t>
            </w:r>
          </w:p>
        </w:tc>
        <w:tc>
          <w:tcPr>
            <w:tcW w:w="5922" w:type="dxa"/>
            <w:gridSpan w:val="10"/>
            <w:noWrap w:val="0"/>
            <w:tcMar>
              <w:left w:w="108" w:type="dxa"/>
              <w:right w:w="108" w:type="dxa"/>
            </w:tcMar>
            <w:vAlign w:val="center"/>
          </w:tcPr>
          <w:p>
            <w:pPr>
              <w:widowControl/>
              <w:spacing w:line="320" w:lineRule="exact"/>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pPr>
              <w:widowControl/>
              <w:spacing w:line="320" w:lineRule="exact"/>
              <w:ind w:left="-149" w:leftChars="-71" w:right="-170" w:rightChars="-81"/>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结果</w:t>
            </w:r>
          </w:p>
          <w:p>
            <w:pPr>
              <w:widowControl/>
              <w:spacing w:line="320" w:lineRule="exact"/>
              <w:ind w:left="-149" w:leftChars="-71" w:right="-170" w:rightChars="-81"/>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维持</w:t>
            </w:r>
          </w:p>
        </w:tc>
        <w:tc>
          <w:tcPr>
            <w:tcW w:w="604" w:type="dxa"/>
            <w:vMerge w:val="restart"/>
            <w:noWrap w:val="0"/>
            <w:tcMar>
              <w:left w:w="108" w:type="dxa"/>
              <w:right w:w="108" w:type="dxa"/>
            </w:tcMar>
            <w:vAlign w:val="center"/>
          </w:tcPr>
          <w:p>
            <w:pPr>
              <w:widowControl/>
              <w:spacing w:line="320" w:lineRule="exact"/>
              <w:ind w:left="-43" w:leftChars="-21" w:right="-132" w:rightChars="-63" w:hanging="1"/>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结果纠正</w:t>
            </w:r>
          </w:p>
        </w:tc>
        <w:tc>
          <w:tcPr>
            <w:tcW w:w="604" w:type="dxa"/>
            <w:vMerge w:val="restart"/>
            <w:noWrap w:val="0"/>
            <w:tcMar>
              <w:left w:w="108" w:type="dxa"/>
              <w:right w:w="108" w:type="dxa"/>
            </w:tcMar>
            <w:vAlign w:val="center"/>
          </w:tcPr>
          <w:p>
            <w:pPr>
              <w:widowControl/>
              <w:spacing w:line="320" w:lineRule="exact"/>
              <w:ind w:left="-82" w:leftChars="-39" w:right="-97" w:rightChars="-46"/>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其他结果</w:t>
            </w:r>
          </w:p>
        </w:tc>
        <w:tc>
          <w:tcPr>
            <w:tcW w:w="604" w:type="dxa"/>
            <w:vMerge w:val="restart"/>
            <w:noWrap w:val="0"/>
            <w:tcMar>
              <w:left w:w="108" w:type="dxa"/>
              <w:right w:w="108" w:type="dxa"/>
            </w:tcMar>
            <w:vAlign w:val="center"/>
          </w:tcPr>
          <w:p>
            <w:pPr>
              <w:widowControl/>
              <w:spacing w:line="320" w:lineRule="exact"/>
              <w:ind w:left="-118" w:leftChars="-56" w:right="-118" w:rightChars="-56"/>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尚未</w:t>
            </w:r>
          </w:p>
          <w:p>
            <w:pPr>
              <w:widowControl/>
              <w:spacing w:line="320" w:lineRule="exact"/>
              <w:ind w:left="-118" w:leftChars="-56" w:right="-118" w:rightChars="-56"/>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审结</w:t>
            </w:r>
          </w:p>
        </w:tc>
        <w:tc>
          <w:tcPr>
            <w:tcW w:w="479" w:type="dxa"/>
            <w:vMerge w:val="restart"/>
            <w:noWrap w:val="0"/>
            <w:tcMar>
              <w:left w:w="108" w:type="dxa"/>
              <w:right w:w="108" w:type="dxa"/>
            </w:tcMar>
            <w:vAlign w:val="center"/>
          </w:tcPr>
          <w:p>
            <w:pPr>
              <w:widowControl/>
              <w:spacing w:line="320" w:lineRule="exact"/>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总</w:t>
            </w:r>
          </w:p>
          <w:p>
            <w:pPr>
              <w:widowControl/>
              <w:spacing w:line="320" w:lineRule="exact"/>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计</w:t>
            </w:r>
          </w:p>
        </w:tc>
        <w:tc>
          <w:tcPr>
            <w:tcW w:w="2943" w:type="dxa"/>
            <w:gridSpan w:val="5"/>
            <w:noWrap w:val="0"/>
            <w:tcMar>
              <w:left w:w="108" w:type="dxa"/>
              <w:right w:w="108" w:type="dxa"/>
            </w:tcMar>
            <w:vAlign w:val="center"/>
          </w:tcPr>
          <w:p>
            <w:pPr>
              <w:widowControl/>
              <w:spacing w:line="320" w:lineRule="exact"/>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未经复议直接起诉</w:t>
            </w:r>
          </w:p>
        </w:tc>
        <w:tc>
          <w:tcPr>
            <w:tcW w:w="2979" w:type="dxa"/>
            <w:gridSpan w:val="5"/>
            <w:noWrap w:val="0"/>
            <w:tcMar>
              <w:left w:w="108" w:type="dxa"/>
              <w:right w:w="108" w:type="dxa"/>
            </w:tcMar>
            <w:vAlign w:val="center"/>
          </w:tcPr>
          <w:p>
            <w:pPr>
              <w:widowControl/>
              <w:spacing w:line="320" w:lineRule="exact"/>
              <w:jc w:val="center"/>
              <w:rPr>
                <w:rFonts w:ascii="方正黑体简体" w:hAnsi="黑体" w:eastAsia="方正黑体简体"/>
                <w:b w:val="0"/>
                <w:bCs/>
                <w:sz w:val="24"/>
                <w:szCs w:val="24"/>
              </w:rPr>
            </w:pPr>
            <w:bookmarkStart w:id="9" w:name="_Hlk67039688"/>
            <w:r>
              <w:rPr>
                <w:rFonts w:hint="eastAsia" w:ascii="方正黑体简体" w:hAnsi="黑体" w:eastAsia="方正黑体简体"/>
                <w:b w:val="0"/>
                <w:bCs/>
                <w:sz w:val="24"/>
                <w:szCs w:val="24"/>
              </w:rPr>
              <w:t>复议后起诉</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pPr>
              <w:spacing w:line="320" w:lineRule="exact"/>
              <w:rPr>
                <w:rFonts w:ascii="方正黑体简体" w:hAnsi="黑体" w:eastAsia="方正黑体简体"/>
                <w:b w:val="0"/>
                <w:bCs/>
                <w:sz w:val="24"/>
                <w:szCs w:val="24"/>
              </w:rPr>
            </w:pPr>
          </w:p>
        </w:tc>
        <w:tc>
          <w:tcPr>
            <w:tcW w:w="604" w:type="dxa"/>
            <w:vMerge w:val="continue"/>
            <w:noWrap w:val="0"/>
            <w:tcMar>
              <w:left w:w="108" w:type="dxa"/>
              <w:right w:w="108" w:type="dxa"/>
            </w:tcMar>
            <w:vAlign w:val="center"/>
          </w:tcPr>
          <w:p>
            <w:pPr>
              <w:spacing w:line="320" w:lineRule="exact"/>
              <w:rPr>
                <w:rFonts w:ascii="方正黑体简体" w:hAnsi="黑体" w:eastAsia="方正黑体简体"/>
                <w:b w:val="0"/>
                <w:bCs/>
                <w:sz w:val="24"/>
                <w:szCs w:val="24"/>
              </w:rPr>
            </w:pPr>
          </w:p>
        </w:tc>
        <w:tc>
          <w:tcPr>
            <w:tcW w:w="604" w:type="dxa"/>
            <w:vMerge w:val="continue"/>
            <w:noWrap w:val="0"/>
            <w:tcMar>
              <w:left w:w="108" w:type="dxa"/>
              <w:right w:w="108" w:type="dxa"/>
            </w:tcMar>
            <w:vAlign w:val="center"/>
          </w:tcPr>
          <w:p>
            <w:pPr>
              <w:spacing w:line="320" w:lineRule="exact"/>
              <w:rPr>
                <w:rFonts w:ascii="方正黑体简体" w:hAnsi="黑体" w:eastAsia="方正黑体简体"/>
                <w:b w:val="0"/>
                <w:bCs/>
                <w:sz w:val="24"/>
                <w:szCs w:val="24"/>
              </w:rPr>
            </w:pPr>
          </w:p>
        </w:tc>
        <w:tc>
          <w:tcPr>
            <w:tcW w:w="604" w:type="dxa"/>
            <w:vMerge w:val="continue"/>
            <w:noWrap w:val="0"/>
            <w:tcMar>
              <w:left w:w="108" w:type="dxa"/>
              <w:right w:w="108" w:type="dxa"/>
            </w:tcMar>
            <w:vAlign w:val="center"/>
          </w:tcPr>
          <w:p>
            <w:pPr>
              <w:spacing w:line="320" w:lineRule="exact"/>
              <w:rPr>
                <w:rFonts w:ascii="方正黑体简体" w:hAnsi="黑体" w:eastAsia="方正黑体简体"/>
                <w:b w:val="0"/>
                <w:bCs/>
                <w:sz w:val="24"/>
                <w:szCs w:val="24"/>
              </w:rPr>
            </w:pPr>
          </w:p>
        </w:tc>
        <w:tc>
          <w:tcPr>
            <w:tcW w:w="479" w:type="dxa"/>
            <w:vMerge w:val="continue"/>
            <w:noWrap w:val="0"/>
            <w:tcMar>
              <w:left w:w="108" w:type="dxa"/>
              <w:right w:w="108" w:type="dxa"/>
            </w:tcMar>
            <w:vAlign w:val="center"/>
          </w:tcPr>
          <w:p>
            <w:pPr>
              <w:spacing w:line="320" w:lineRule="exact"/>
              <w:rPr>
                <w:rFonts w:ascii="方正黑体简体" w:hAnsi="黑体" w:eastAsia="方正黑体简体"/>
                <w:b w:val="0"/>
                <w:bCs/>
                <w:sz w:val="24"/>
                <w:szCs w:val="24"/>
              </w:rPr>
            </w:pPr>
          </w:p>
        </w:tc>
        <w:tc>
          <w:tcPr>
            <w:tcW w:w="550" w:type="dxa"/>
            <w:noWrap w:val="0"/>
            <w:tcMar>
              <w:left w:w="108" w:type="dxa"/>
              <w:right w:w="108" w:type="dxa"/>
            </w:tcMar>
            <w:vAlign w:val="center"/>
          </w:tcPr>
          <w:p>
            <w:pPr>
              <w:widowControl/>
              <w:spacing w:line="320" w:lineRule="exact"/>
              <w:ind w:left="-105" w:leftChars="-50" w:right="-126" w:rightChars="-60"/>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结果维持</w:t>
            </w:r>
          </w:p>
        </w:tc>
        <w:tc>
          <w:tcPr>
            <w:tcW w:w="605" w:type="dxa"/>
            <w:noWrap w:val="0"/>
            <w:tcMar>
              <w:left w:w="108" w:type="dxa"/>
              <w:right w:w="108" w:type="dxa"/>
            </w:tcMar>
            <w:vAlign w:val="center"/>
          </w:tcPr>
          <w:p>
            <w:pPr>
              <w:widowControl/>
              <w:spacing w:line="320" w:lineRule="exact"/>
              <w:ind w:left="-86" w:leftChars="-41" w:right="-88" w:rightChars="-42"/>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结果纠正</w:t>
            </w:r>
          </w:p>
        </w:tc>
        <w:tc>
          <w:tcPr>
            <w:tcW w:w="605" w:type="dxa"/>
            <w:noWrap w:val="0"/>
            <w:tcMar>
              <w:left w:w="108" w:type="dxa"/>
              <w:right w:w="108" w:type="dxa"/>
            </w:tcMar>
            <w:vAlign w:val="center"/>
          </w:tcPr>
          <w:p>
            <w:pPr>
              <w:widowControl/>
              <w:spacing w:line="320" w:lineRule="exact"/>
              <w:ind w:left="-126" w:leftChars="-60" w:right="-136" w:rightChars="-65"/>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其他</w:t>
            </w:r>
          </w:p>
          <w:p>
            <w:pPr>
              <w:widowControl/>
              <w:spacing w:line="320" w:lineRule="exact"/>
              <w:ind w:left="-126" w:leftChars="-60" w:right="-136" w:rightChars="-65"/>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结果</w:t>
            </w:r>
          </w:p>
        </w:tc>
        <w:tc>
          <w:tcPr>
            <w:tcW w:w="605" w:type="dxa"/>
            <w:noWrap w:val="0"/>
            <w:tcMar>
              <w:left w:w="108" w:type="dxa"/>
              <w:right w:w="108" w:type="dxa"/>
            </w:tcMar>
            <w:vAlign w:val="center"/>
          </w:tcPr>
          <w:p>
            <w:pPr>
              <w:widowControl/>
              <w:spacing w:line="320" w:lineRule="exact"/>
              <w:ind w:left="-164" w:leftChars="-78" w:right="-153" w:rightChars="-73"/>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尚未</w:t>
            </w:r>
          </w:p>
          <w:p>
            <w:pPr>
              <w:widowControl/>
              <w:spacing w:line="320" w:lineRule="exact"/>
              <w:ind w:left="-164" w:leftChars="-78" w:right="-153" w:rightChars="-73"/>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审结</w:t>
            </w:r>
          </w:p>
        </w:tc>
        <w:tc>
          <w:tcPr>
            <w:tcW w:w="578" w:type="dxa"/>
            <w:noWrap w:val="0"/>
            <w:tcMar>
              <w:left w:w="108" w:type="dxa"/>
              <w:right w:w="108" w:type="dxa"/>
            </w:tcMar>
            <w:vAlign w:val="center"/>
          </w:tcPr>
          <w:p>
            <w:pPr>
              <w:widowControl/>
              <w:spacing w:line="320" w:lineRule="exact"/>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总计</w:t>
            </w:r>
          </w:p>
        </w:tc>
        <w:tc>
          <w:tcPr>
            <w:tcW w:w="605" w:type="dxa"/>
            <w:noWrap w:val="0"/>
            <w:tcMar>
              <w:left w:w="108" w:type="dxa"/>
              <w:right w:w="108" w:type="dxa"/>
            </w:tcMar>
            <w:vAlign w:val="center"/>
          </w:tcPr>
          <w:p>
            <w:pPr>
              <w:widowControl/>
              <w:spacing w:line="320" w:lineRule="exact"/>
              <w:ind w:left="-99" w:leftChars="-47" w:right="-78" w:rightChars="-37"/>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结果维持</w:t>
            </w:r>
          </w:p>
        </w:tc>
        <w:tc>
          <w:tcPr>
            <w:tcW w:w="605" w:type="dxa"/>
            <w:noWrap w:val="0"/>
            <w:tcMar>
              <w:left w:w="108" w:type="dxa"/>
              <w:right w:w="108" w:type="dxa"/>
            </w:tcMar>
            <w:vAlign w:val="center"/>
          </w:tcPr>
          <w:p>
            <w:pPr>
              <w:widowControl/>
              <w:spacing w:line="320" w:lineRule="exact"/>
              <w:ind w:left="-136" w:leftChars="-65" w:right="-124" w:rightChars="-59"/>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结果</w:t>
            </w:r>
          </w:p>
          <w:p>
            <w:pPr>
              <w:widowControl/>
              <w:spacing w:line="320" w:lineRule="exact"/>
              <w:ind w:left="-136" w:leftChars="-65" w:right="-124" w:rightChars="-59"/>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纠正</w:t>
            </w:r>
          </w:p>
        </w:tc>
        <w:tc>
          <w:tcPr>
            <w:tcW w:w="605" w:type="dxa"/>
            <w:noWrap w:val="0"/>
            <w:tcMar>
              <w:left w:w="108" w:type="dxa"/>
              <w:right w:w="108" w:type="dxa"/>
            </w:tcMar>
            <w:vAlign w:val="center"/>
          </w:tcPr>
          <w:p>
            <w:pPr>
              <w:widowControl/>
              <w:spacing w:line="320" w:lineRule="exact"/>
              <w:ind w:left="-173" w:leftChars="-83" w:right="-134" w:rightChars="-64" w:hanging="1"/>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其他</w:t>
            </w:r>
          </w:p>
          <w:p>
            <w:pPr>
              <w:widowControl/>
              <w:spacing w:line="320" w:lineRule="exact"/>
              <w:ind w:left="-173" w:leftChars="-83" w:right="-134" w:rightChars="-64" w:hanging="1"/>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结果</w:t>
            </w:r>
          </w:p>
        </w:tc>
        <w:tc>
          <w:tcPr>
            <w:tcW w:w="606" w:type="dxa"/>
            <w:noWrap w:val="0"/>
            <w:tcMar>
              <w:left w:w="108" w:type="dxa"/>
              <w:right w:w="108" w:type="dxa"/>
            </w:tcMar>
            <w:vAlign w:val="center"/>
          </w:tcPr>
          <w:p>
            <w:pPr>
              <w:widowControl/>
              <w:spacing w:line="320" w:lineRule="exact"/>
              <w:ind w:left="-67" w:leftChars="-33" w:right="-105" w:rightChars="-50" w:hanging="2" w:hangingChars="1"/>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尚未审结</w:t>
            </w:r>
          </w:p>
        </w:tc>
        <w:tc>
          <w:tcPr>
            <w:tcW w:w="558" w:type="dxa"/>
            <w:noWrap w:val="0"/>
            <w:tcMar>
              <w:left w:w="108" w:type="dxa"/>
              <w:right w:w="108" w:type="dxa"/>
            </w:tcMar>
            <w:vAlign w:val="center"/>
          </w:tcPr>
          <w:p>
            <w:pPr>
              <w:widowControl/>
              <w:spacing w:line="320" w:lineRule="exact"/>
              <w:jc w:val="center"/>
              <w:rPr>
                <w:rFonts w:ascii="方正黑体简体" w:hAnsi="黑体" w:eastAsia="方正黑体简体"/>
                <w:b w:val="0"/>
                <w:bCs/>
                <w:sz w:val="24"/>
                <w:szCs w:val="24"/>
              </w:rPr>
            </w:pPr>
            <w:r>
              <w:rPr>
                <w:rFonts w:hint="eastAsia" w:ascii="方正黑体简体" w:hAnsi="黑体" w:eastAsia="方正黑体简体"/>
                <w:b w:val="0"/>
                <w:bCs/>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04"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604"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604"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604"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479"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550"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605"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605"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605"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578"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605" w:type="dxa"/>
            <w:noWrap w:val="0"/>
            <w:tcMar>
              <w:left w:w="108" w:type="dxa"/>
              <w:right w:w="108" w:type="dxa"/>
            </w:tcMar>
            <w:vAlign w:val="center"/>
          </w:tcPr>
          <w:p>
            <w:pPr>
              <w:widowControl/>
              <w:spacing w:after="180" w:line="320" w:lineRule="exact"/>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605"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605"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606"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c>
          <w:tcPr>
            <w:tcW w:w="558" w:type="dxa"/>
            <w:noWrap w:val="0"/>
            <w:tcMar>
              <w:left w:w="108" w:type="dxa"/>
              <w:right w:w="108" w:type="dxa"/>
            </w:tcMar>
            <w:vAlign w:val="center"/>
          </w:tcPr>
          <w:p>
            <w:pPr>
              <w:widowControl/>
              <w:spacing w:after="180" w:line="320" w:lineRule="exact"/>
              <w:jc w:val="center"/>
              <w:rPr>
                <w:rFonts w:ascii="方正黑体简体" w:eastAsia="方正黑体简体"/>
                <w:b w:val="0"/>
                <w:bCs/>
                <w:sz w:val="24"/>
                <w:szCs w:val="24"/>
              </w:rPr>
            </w:pPr>
            <w:r>
              <w:rPr>
                <w:rFonts w:hint="eastAsia" w:ascii="方正仿宋简体" w:eastAsia="方正仿宋简体"/>
                <w:b w:val="0"/>
                <w:bCs/>
                <w:sz w:val="21"/>
                <w:szCs w:val="21"/>
                <w:lang w:val="en-US" w:eastAsia="zh-CN"/>
              </w:rPr>
              <w:t>0</w:t>
            </w:r>
          </w:p>
        </w:tc>
      </w:tr>
    </w:tbl>
    <w:p>
      <w:pPr>
        <w:spacing w:line="590" w:lineRule="exact"/>
        <w:ind w:right="-105" w:rightChars="-50" w:firstLine="640" w:firstLineChars="200"/>
        <w:rPr>
          <w:rFonts w:ascii="方正仿宋简体" w:hAnsi="文星仿宋" w:eastAsia="方正仿宋简体" w:cs="方正仿宋简体"/>
          <w:b w:val="0"/>
          <w:bCs/>
          <w:color w:val="000000"/>
          <w:sz w:val="32"/>
          <w:szCs w:val="32"/>
        </w:rPr>
      </w:pPr>
    </w:p>
    <w:p>
      <w:pPr>
        <w:spacing w:line="590" w:lineRule="exact"/>
        <w:ind w:right="-105" w:rightChars="-50" w:firstLine="640" w:firstLineChars="200"/>
        <w:rPr>
          <w:rFonts w:ascii="方正仿宋简体" w:hAnsi="文星仿宋" w:eastAsia="方正仿宋简体" w:cs="方正仿宋简体"/>
          <w:b/>
          <w:color w:val="000000"/>
          <w:sz w:val="32"/>
          <w:szCs w:val="32"/>
        </w:rPr>
      </w:pPr>
    </w:p>
    <w:p>
      <w:pPr>
        <w:spacing w:line="590" w:lineRule="exact"/>
        <w:ind w:right="-105" w:rightChars="-50" w:firstLine="640" w:firstLineChars="200"/>
        <w:rPr>
          <w:rFonts w:ascii="方正仿宋简体" w:hAnsi="文星仿宋" w:eastAsia="方正仿宋简体" w:cs="方正仿宋简体"/>
          <w:b/>
          <w:color w:val="000000"/>
          <w:sz w:val="32"/>
          <w:szCs w:val="32"/>
        </w:rPr>
      </w:pPr>
    </w:p>
    <w:p>
      <w:pPr>
        <w:spacing w:line="590" w:lineRule="exact"/>
        <w:ind w:right="-105" w:rightChars="-50" w:firstLine="640" w:firstLineChars="200"/>
        <w:rPr>
          <w:rFonts w:ascii="方正仿宋简体" w:hAnsi="文星仿宋" w:eastAsia="方正仿宋简体" w:cs="方正仿宋简体"/>
          <w:b/>
          <w:color w:val="000000"/>
          <w:sz w:val="32"/>
          <w:szCs w:val="32"/>
        </w:rPr>
      </w:pPr>
    </w:p>
    <w:p>
      <w:pPr>
        <w:pStyle w:val="2"/>
        <w:keepNext w:val="0"/>
        <w:keepLines w:val="0"/>
        <w:widowControl/>
        <w:suppressLineNumbers w:val="0"/>
        <w:ind w:left="0" w:firstLine="420"/>
      </w:pPr>
      <w:r>
        <w:t>五、政府信息公开工作存在的主要问题及改进情况</w:t>
      </w:r>
    </w:p>
    <w:p>
      <w:pPr>
        <w:pStyle w:val="2"/>
        <w:keepNext w:val="0"/>
        <w:keepLines w:val="0"/>
        <w:widowControl/>
        <w:suppressLineNumbers w:val="0"/>
        <w:spacing w:line="450" w:lineRule="atLeast"/>
        <w:ind w:firstLine="480" w:firstLineChars="200"/>
        <w:jc w:val="left"/>
        <w:rPr>
          <w:color w:val="333333"/>
          <w:sz w:val="24"/>
          <w:szCs w:val="24"/>
        </w:rPr>
      </w:pPr>
      <w:r>
        <w:t>202</w:t>
      </w:r>
      <w:r>
        <w:rPr>
          <w:rFonts w:hint="eastAsia"/>
          <w:lang w:val="en-US" w:eastAsia="zh-CN"/>
        </w:rPr>
        <w:t>1</w:t>
      </w:r>
      <w:r>
        <w:t>年度，星村镇政务公开、政府信息公开和审计公开工作取得了一定的成绩，但对照上级的要求和公众的期望，还存在一些不足。</w:t>
      </w:r>
      <w:r>
        <w:rPr>
          <w:color w:val="333333"/>
          <w:sz w:val="24"/>
          <w:szCs w:val="24"/>
        </w:rPr>
        <w:t>一是公开</w:t>
      </w:r>
      <w:r>
        <w:rPr>
          <w:rFonts w:hint="eastAsia"/>
          <w:color w:val="333333"/>
          <w:sz w:val="24"/>
          <w:szCs w:val="24"/>
          <w:lang w:eastAsia="zh-CN"/>
        </w:rPr>
        <w:t>内容过于单一</w:t>
      </w:r>
      <w:r>
        <w:rPr>
          <w:color w:val="333333"/>
          <w:sz w:val="24"/>
          <w:szCs w:val="24"/>
        </w:rPr>
        <w:t>，二是公开业务</w:t>
      </w:r>
      <w:r>
        <w:rPr>
          <w:rFonts w:hint="eastAsia"/>
          <w:color w:val="333333"/>
          <w:sz w:val="24"/>
          <w:szCs w:val="24"/>
          <w:lang w:eastAsia="zh-CN"/>
        </w:rPr>
        <w:t>人员</w:t>
      </w:r>
      <w:r>
        <w:rPr>
          <w:color w:val="333333"/>
          <w:sz w:val="24"/>
          <w:szCs w:val="24"/>
        </w:rPr>
        <w:t>知识</w:t>
      </w:r>
      <w:r>
        <w:rPr>
          <w:rFonts w:hint="eastAsia"/>
          <w:color w:val="333333"/>
          <w:sz w:val="24"/>
          <w:szCs w:val="24"/>
          <w:lang w:eastAsia="zh-CN"/>
        </w:rPr>
        <w:t>不精</w:t>
      </w:r>
      <w:r>
        <w:rPr>
          <w:color w:val="333333"/>
          <w:sz w:val="24"/>
          <w:szCs w:val="24"/>
        </w:rPr>
        <w:t>，三是政务信息公开的时效性有待进一步提高。下步工作中，街道将认真贯彻《中华人民共和国政府信息公开条例》和山东省、济宁市、</w:t>
      </w:r>
      <w:r>
        <w:rPr>
          <w:rFonts w:hint="eastAsia"/>
          <w:color w:val="333333"/>
          <w:sz w:val="24"/>
          <w:szCs w:val="24"/>
          <w:lang w:eastAsia="zh-CN"/>
        </w:rPr>
        <w:t>泗水县</w:t>
      </w:r>
      <w:r>
        <w:rPr>
          <w:color w:val="333333"/>
          <w:sz w:val="24"/>
          <w:szCs w:val="24"/>
        </w:rPr>
        <w:t>的有关要求，进一步压实政府信息公开工作责任，不断提高政府信息公开工作的质量，补齐工作短板，确保政府信息公开工作更上一个新台阶。一是不断拓展和丰富政府信息公开内容，</w:t>
      </w:r>
      <w:r>
        <w:rPr>
          <w:rFonts w:hint="eastAsia"/>
          <w:color w:val="333333"/>
          <w:sz w:val="24"/>
          <w:szCs w:val="24"/>
          <w:lang w:eastAsia="zh-CN"/>
        </w:rPr>
        <w:t>发送图文并茂的内容，简单易懂。</w:t>
      </w:r>
      <w:r>
        <w:rPr>
          <w:color w:val="333333"/>
          <w:sz w:val="24"/>
          <w:szCs w:val="24"/>
        </w:rPr>
        <w:t>二是组织开展信息公开工作人员业务培训，</w:t>
      </w:r>
      <w:r>
        <w:rPr>
          <w:rFonts w:hint="eastAsia"/>
          <w:color w:val="333333"/>
          <w:sz w:val="24"/>
          <w:szCs w:val="24"/>
          <w:lang w:eastAsia="zh-CN"/>
        </w:rPr>
        <w:t>积极参加上级部位组织的学习活动，</w:t>
      </w:r>
      <w:r>
        <w:rPr>
          <w:color w:val="333333"/>
          <w:sz w:val="24"/>
          <w:szCs w:val="24"/>
        </w:rPr>
        <w:t>学习《中华人民共和国政府信息公开条例》，对照条例，认真清理政府信息公开事项。三是及时收集发布各部门各领域的有效信息；做到应公开的及时公开，不应公开的要做好保密工作。</w:t>
      </w:r>
    </w:p>
    <w:p>
      <w:pPr>
        <w:pStyle w:val="2"/>
        <w:keepNext w:val="0"/>
        <w:keepLines w:val="0"/>
        <w:widowControl/>
        <w:numPr>
          <w:ilvl w:val="0"/>
          <w:numId w:val="2"/>
        </w:numPr>
        <w:suppressLineNumbers w:val="0"/>
        <w:ind w:left="0" w:firstLine="420"/>
      </w:pPr>
      <w:r>
        <w:t>其他需报告的事项</w:t>
      </w:r>
    </w:p>
    <w:p>
      <w:pPr>
        <w:pStyle w:val="2"/>
        <w:keepNext w:val="0"/>
        <w:keepLines w:val="0"/>
        <w:widowControl/>
        <w:numPr>
          <w:ilvl w:val="0"/>
          <w:numId w:val="3"/>
        </w:numPr>
        <w:suppressLineNumbers w:val="0"/>
        <w:ind w:left="420" w:leftChars="0" w:right="0" w:rightChars="0"/>
        <w:rPr>
          <w:rFonts w:hint="eastAsia"/>
          <w:lang w:eastAsia="zh-CN"/>
        </w:rPr>
      </w:pPr>
      <w:r>
        <w:rPr>
          <w:rFonts w:hint="eastAsia"/>
          <w:lang w:eastAsia="zh-CN"/>
        </w:rPr>
        <w:t>政府信息公开收费情况</w:t>
      </w:r>
    </w:p>
    <w:p>
      <w:pPr>
        <w:pStyle w:val="2"/>
        <w:keepNext w:val="0"/>
        <w:keepLines w:val="0"/>
        <w:widowControl/>
        <w:suppressLineNumbers w:val="0"/>
        <w:ind w:firstLine="480" w:firstLineChars="200"/>
        <w:rPr>
          <w:rFonts w:hint="eastAsia"/>
          <w:lang w:val="en-US" w:eastAsia="zh-CN"/>
        </w:rPr>
      </w:pPr>
      <w:r>
        <w:rPr>
          <w:rFonts w:hint="eastAsia"/>
          <w:lang w:val="en-US" w:eastAsia="zh-CN"/>
        </w:rPr>
        <w:t>依据《政府信息公开信息处理费管理办法》，2021年度我单位无收费情况。</w:t>
      </w:r>
    </w:p>
    <w:p>
      <w:pPr>
        <w:pStyle w:val="2"/>
        <w:keepNext w:val="0"/>
        <w:keepLines w:val="0"/>
        <w:widowControl/>
        <w:suppressLineNumbers w:val="0"/>
        <w:ind w:firstLine="480" w:firstLineChars="200"/>
      </w:pPr>
      <w:r>
        <w:t>（</w:t>
      </w:r>
      <w:r>
        <w:rPr>
          <w:rFonts w:hint="eastAsia"/>
          <w:lang w:eastAsia="zh-CN"/>
        </w:rPr>
        <w:t>二</w:t>
      </w:r>
      <w:r>
        <w:t>）</w:t>
      </w:r>
      <w:r>
        <w:rPr>
          <w:shd w:val="clear" w:fill="FFFFFF"/>
        </w:rPr>
        <w:t>人大代表建议和政协委员提案办理结果公开情况</w:t>
      </w:r>
    </w:p>
    <w:p>
      <w:pPr>
        <w:pStyle w:val="2"/>
        <w:keepNext w:val="0"/>
        <w:keepLines w:val="0"/>
        <w:widowControl/>
        <w:suppressLineNumbers w:val="0"/>
        <w:shd w:val="clear" w:fill="FFFFFF"/>
        <w:ind w:left="0" w:firstLine="645"/>
      </w:pPr>
      <w:r>
        <w:rPr>
          <w:shd w:val="clear" w:fill="FFFFFF"/>
        </w:rPr>
        <w:t>根据《山东省人民政府办公厅关于做好人大代表建议和政协提案办理结果公开工作的通知》（鲁政办字〔2016〕63号）要求，全镇各级、各部门高度重视建议和提案办理结果公开工作。全镇共办理人大代表建议5件、政协提案</w:t>
      </w:r>
      <w:r>
        <w:rPr>
          <w:rFonts w:hint="eastAsia"/>
          <w:shd w:val="clear" w:fill="FFFFFF"/>
          <w:lang w:val="en-US" w:eastAsia="zh-CN"/>
        </w:rPr>
        <w:t>11</w:t>
      </w:r>
      <w:r>
        <w:rPr>
          <w:shd w:val="clear" w:fill="FFFFFF"/>
        </w:rPr>
        <w:t>件，办复率均为100%，除涉及国家秘密、工作秘密的，均在网站予以公开。</w:t>
      </w:r>
    </w:p>
    <w:p>
      <w:pPr>
        <w:pStyle w:val="2"/>
        <w:keepNext w:val="0"/>
        <w:keepLines w:val="0"/>
        <w:widowControl/>
        <w:suppressLineNumbers w:val="0"/>
        <w:shd w:val="clear" w:fill="FFFFFF"/>
        <w:ind w:left="0" w:firstLine="645"/>
      </w:pPr>
      <w:r>
        <w:rPr>
          <w:shd w:val="clear" w:fill="FFFFFF"/>
        </w:rPr>
        <w:t>（</w:t>
      </w:r>
      <w:r>
        <w:rPr>
          <w:rFonts w:hint="eastAsia"/>
          <w:shd w:val="clear" w:fill="FFFFFF"/>
          <w:lang w:eastAsia="zh-CN"/>
        </w:rPr>
        <w:t>三</w:t>
      </w:r>
      <w:r>
        <w:rPr>
          <w:shd w:val="clear" w:fill="FFFFFF"/>
        </w:rPr>
        <w:t>）有关数据统计说明</w:t>
      </w:r>
    </w:p>
    <w:p>
      <w:pPr>
        <w:pStyle w:val="2"/>
        <w:keepNext w:val="0"/>
        <w:keepLines w:val="0"/>
        <w:widowControl/>
        <w:suppressLineNumbers w:val="0"/>
        <w:shd w:val="clear" w:fill="FFFFFF"/>
        <w:ind w:left="0" w:firstLine="645"/>
        <w:rPr>
          <w:shd w:val="clear" w:fill="FFFFFF"/>
        </w:rPr>
      </w:pPr>
      <w:r>
        <w:rPr>
          <w:shd w:val="clear" w:fill="FFFFFF"/>
        </w:rPr>
        <w:t>本年度报告中所列数据统计期限从202</w:t>
      </w:r>
      <w:r>
        <w:rPr>
          <w:rFonts w:hint="eastAsia"/>
          <w:shd w:val="clear" w:fill="FFFFFF"/>
          <w:lang w:val="en-US" w:eastAsia="zh-CN"/>
        </w:rPr>
        <w:t>1</w:t>
      </w:r>
      <w:r>
        <w:rPr>
          <w:shd w:val="clear" w:fill="FFFFFF"/>
        </w:rPr>
        <w:t>年1月1日到12月31日止。本报告可在“中国.泗水党政门户网站（www.sishui.gov.cn）下载。如对本报告有任何疑问，请与星村镇人民政府联系；电话0537-4161018，邮编273209；电子邮箱：</w:t>
      </w:r>
      <w:r>
        <w:rPr>
          <w:shd w:val="clear" w:fill="FFFFFF"/>
        </w:rPr>
        <w:fldChar w:fldCharType="begin"/>
      </w:r>
      <w:r>
        <w:rPr>
          <w:shd w:val="clear" w:fill="FFFFFF"/>
        </w:rPr>
        <w:instrText xml:space="preserve"> HYPERLINK "mailto:ssxczdzb@163.com。" </w:instrText>
      </w:r>
      <w:r>
        <w:rPr>
          <w:shd w:val="clear" w:fill="FFFFFF"/>
        </w:rPr>
        <w:fldChar w:fldCharType="separate"/>
      </w:r>
      <w:r>
        <w:rPr>
          <w:rStyle w:val="5"/>
          <w:shd w:val="clear" w:fill="FFFFFF"/>
        </w:rPr>
        <w:t>ssxczdzb@163.com。</w:t>
      </w:r>
      <w:r>
        <w:rPr>
          <w:shd w:val="clear" w:fill="FFFFFF"/>
        </w:rPr>
        <w:fldChar w:fldCharType="end"/>
      </w:r>
    </w:p>
    <w:p>
      <w:pPr>
        <w:pStyle w:val="2"/>
        <w:keepNext w:val="0"/>
        <w:keepLines w:val="0"/>
        <w:widowControl/>
        <w:suppressLineNumbers w:val="0"/>
        <w:shd w:val="clear" w:fill="FFFFFF"/>
        <w:ind w:left="0" w:firstLine="645"/>
        <w:rPr>
          <w:shd w:val="clear" w:fill="FFFFFF"/>
        </w:rPr>
      </w:pPr>
    </w:p>
    <w:p>
      <w:pPr>
        <w:pStyle w:val="2"/>
        <w:keepNext w:val="0"/>
        <w:keepLines w:val="0"/>
        <w:widowControl/>
        <w:suppressLineNumbers w:val="0"/>
        <w:ind w:left="0" w:firstLine="420"/>
      </w:pPr>
      <w:bookmarkStart w:id="10" w:name="_GoBack"/>
      <w:bookmarkEnd w:id="10"/>
    </w:p>
    <w:p>
      <w:pPr>
        <w:pStyle w:val="2"/>
        <w:keepNext w:val="0"/>
        <w:keepLines w:val="0"/>
        <w:widowControl/>
        <w:suppressLineNumbers w:val="0"/>
        <w:ind w:left="0" w:firstLine="42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2000000000000000000"/>
    <w:charset w:val="86"/>
    <w:family w:val="script"/>
    <w:pitch w:val="default"/>
    <w:sig w:usb0="00000000" w:usb1="00000000" w:usb2="00000012" w:usb3="00000000" w:csb0="00040001"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7E9C9"/>
    <w:multiLevelType w:val="singleLevel"/>
    <w:tmpl w:val="0E27E9C9"/>
    <w:lvl w:ilvl="0" w:tentative="0">
      <w:start w:val="1"/>
      <w:numFmt w:val="chineseCounting"/>
      <w:suff w:val="nothing"/>
      <w:lvlText w:val="（%1）"/>
      <w:lvlJc w:val="left"/>
      <w:rPr>
        <w:rFonts w:hint="eastAsia"/>
      </w:rPr>
    </w:lvl>
  </w:abstractNum>
  <w:abstractNum w:abstractNumId="1">
    <w:nsid w:val="2A08D5A6"/>
    <w:multiLevelType w:val="singleLevel"/>
    <w:tmpl w:val="2A08D5A6"/>
    <w:lvl w:ilvl="0" w:tentative="0">
      <w:start w:val="1"/>
      <w:numFmt w:val="chineseCounting"/>
      <w:suff w:val="nothing"/>
      <w:lvlText w:val="（%1）"/>
      <w:lvlJc w:val="left"/>
      <w:rPr>
        <w:rFonts w:hint="eastAsia"/>
      </w:rPr>
    </w:lvl>
  </w:abstractNum>
  <w:abstractNum w:abstractNumId="2">
    <w:nsid w:val="31ABA510"/>
    <w:multiLevelType w:val="singleLevel"/>
    <w:tmpl w:val="31ABA510"/>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E775D"/>
    <w:rsid w:val="155357C0"/>
    <w:rsid w:val="19F30E27"/>
    <w:rsid w:val="1B6D231F"/>
    <w:rsid w:val="267C2752"/>
    <w:rsid w:val="28BA7F95"/>
    <w:rsid w:val="2B830B12"/>
    <w:rsid w:val="2D8A60D3"/>
    <w:rsid w:val="2E3B6E20"/>
    <w:rsid w:val="3204595E"/>
    <w:rsid w:val="35AC688D"/>
    <w:rsid w:val="3D31661F"/>
    <w:rsid w:val="42526D83"/>
    <w:rsid w:val="42A76F80"/>
    <w:rsid w:val="4E4D76CF"/>
    <w:rsid w:val="50DC68A4"/>
    <w:rsid w:val="589E6E07"/>
    <w:rsid w:val="59F6057D"/>
    <w:rsid w:val="619167ED"/>
    <w:rsid w:val="64A41536"/>
    <w:rsid w:val="669435F8"/>
    <w:rsid w:val="6B15282D"/>
    <w:rsid w:val="6B805CF4"/>
    <w:rsid w:val="6BB838E4"/>
    <w:rsid w:val="71C71401"/>
    <w:rsid w:val="729100D7"/>
    <w:rsid w:val="734F0FD2"/>
    <w:rsid w:val="76877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line="420" w:lineRule="atLeast"/>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2022-01-06T05:57:00Z</dcterms:created>
  <dc:creator>Administrator</dc:creator>
  <cp:lastModifiedBy>Administrator</cp:lastModifiedBy>
  <dcterms:modified xsi:type="dcterms:W3CDTF">2022-01-17T06:45:54Z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A106B4AC3333442A8132507957D2E53B</vt:lpwstr>
  </property>
</Properties>
</file>