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235DC6">
      <w:pPr>
        <w:pStyle w:val="3"/>
        <w:keepNext/>
        <w:keepLines/>
        <w:pageBreakBefore w:val="0"/>
        <w:widowControl w:val="0"/>
        <w:kinsoku/>
        <w:wordWrap/>
        <w:overflowPunct/>
        <w:topLinePunct w:val="0"/>
        <w:autoSpaceDE/>
        <w:autoSpaceDN/>
        <w:bidi w:val="0"/>
        <w:adjustRightInd/>
        <w:snapToGrid/>
        <w:spacing w:before="0" w:after="0" w:line="700" w:lineRule="exact"/>
        <w:jc w:val="center"/>
        <w:textAlignment w:val="auto"/>
        <w:rPr>
          <w:rFonts w:hint="eastAsia" w:ascii="方正小标宋简体" w:hAnsi="方正小标宋简体" w:eastAsia="方正小标宋简体" w:cs="方正小标宋简体"/>
          <w:color w:val="0C0C0C"/>
          <w:lang w:val="en-US" w:eastAsia="zh-CN"/>
        </w:rPr>
      </w:pPr>
    </w:p>
    <w:p w14:paraId="1FF4D4ED">
      <w:pPr>
        <w:pStyle w:val="3"/>
        <w:keepNext/>
        <w:keepLines/>
        <w:pageBreakBefore w:val="0"/>
        <w:widowControl w:val="0"/>
        <w:kinsoku/>
        <w:wordWrap/>
        <w:overflowPunct/>
        <w:topLinePunct w:val="0"/>
        <w:autoSpaceDE/>
        <w:autoSpaceDN/>
        <w:bidi w:val="0"/>
        <w:adjustRightInd/>
        <w:snapToGrid/>
        <w:spacing w:before="0" w:after="0" w:line="700" w:lineRule="exact"/>
        <w:jc w:val="center"/>
        <w:textAlignment w:val="auto"/>
        <w:rPr>
          <w:rFonts w:hint="eastAsia" w:ascii="方正小标宋简体" w:hAnsi="方正小标宋简体" w:eastAsia="方正小标宋简体" w:cs="方正小标宋简体"/>
          <w:color w:val="auto"/>
          <w:lang w:val="en-US" w:eastAsia="zh-CN"/>
        </w:rPr>
      </w:pPr>
      <w:r>
        <w:rPr>
          <w:rFonts w:hint="eastAsia" w:ascii="方正小标宋简体" w:hAnsi="方正小标宋简体" w:eastAsia="方正小标宋简体" w:cs="方正小标宋简体"/>
          <w:color w:val="auto"/>
          <w:lang w:val="en-US" w:eastAsia="zh-CN"/>
        </w:rPr>
        <w:t>泗水县人民政府</w:t>
      </w:r>
    </w:p>
    <w:p w14:paraId="3DCBC0F2">
      <w:pPr>
        <w:pStyle w:val="3"/>
        <w:keepNext/>
        <w:keepLines/>
        <w:pageBreakBefore w:val="0"/>
        <w:widowControl w:val="0"/>
        <w:kinsoku/>
        <w:wordWrap/>
        <w:overflowPunct/>
        <w:topLinePunct w:val="0"/>
        <w:autoSpaceDE/>
        <w:autoSpaceDN/>
        <w:bidi w:val="0"/>
        <w:adjustRightInd/>
        <w:snapToGrid/>
        <w:spacing w:before="0" w:after="0" w:line="700" w:lineRule="exact"/>
        <w:jc w:val="center"/>
        <w:textAlignment w:val="auto"/>
        <w:rPr>
          <w:rFonts w:hint="eastAsia" w:ascii="方正小标宋简体" w:hAnsi="方正小标宋简体" w:eastAsia="方正小标宋简体" w:cs="方正小标宋简体"/>
          <w:b/>
          <w:color w:val="auto"/>
          <w:sz w:val="32"/>
          <w:szCs w:val="32"/>
        </w:rPr>
      </w:pPr>
      <w:r>
        <w:rPr>
          <w:rFonts w:hint="default" w:ascii="Times New Roman" w:hAnsi="Times New Roman" w:eastAsia="方正小标宋简体" w:cs="Times New Roman"/>
          <w:color w:val="auto"/>
        </w:rPr>
        <w:t>202</w:t>
      </w:r>
      <w:r>
        <w:rPr>
          <w:rFonts w:hint="eastAsia" w:eastAsia="方正小标宋简体" w:cs="Times New Roman"/>
          <w:color w:val="auto"/>
          <w:lang w:val="en-US" w:eastAsia="zh-CN"/>
        </w:rPr>
        <w:t>4</w:t>
      </w:r>
      <w:r>
        <w:rPr>
          <w:rFonts w:hint="eastAsia" w:ascii="方正小标宋简体" w:hAnsi="方正小标宋简体" w:eastAsia="方正小标宋简体" w:cs="方正小标宋简体"/>
          <w:color w:val="auto"/>
        </w:rPr>
        <w:t>年政府信息公开工作年度报告</w:t>
      </w:r>
    </w:p>
    <w:p w14:paraId="7DE2DA49">
      <w:pPr>
        <w:spacing w:line="590" w:lineRule="exact"/>
        <w:ind w:right="-105" w:rightChars="-50" w:firstLine="643" w:firstLineChars="200"/>
        <w:rPr>
          <w:rFonts w:hint="eastAsia" w:ascii="方正仿宋简体" w:hAnsi="方正仿宋简体" w:eastAsia="方正仿宋简体" w:cs="方正仿宋简体"/>
          <w:b/>
          <w:color w:val="auto"/>
          <w:sz w:val="32"/>
          <w:szCs w:val="32"/>
        </w:rPr>
      </w:pPr>
    </w:p>
    <w:p w14:paraId="183A64B3">
      <w:pPr>
        <w:spacing w:line="590" w:lineRule="exact"/>
        <w:ind w:right="-105" w:rightChars="-50" w:firstLine="643" w:firstLineChars="200"/>
        <w:rPr>
          <w:rFonts w:hint="eastAsia" w:ascii="方正仿宋简体" w:hAnsi="方正仿宋简体" w:eastAsia="方正仿宋简体" w:cs="方正仿宋简体"/>
          <w:b/>
          <w:color w:val="auto"/>
          <w:sz w:val="32"/>
          <w:szCs w:val="32"/>
        </w:rPr>
      </w:pPr>
      <w:r>
        <w:rPr>
          <w:rFonts w:hint="eastAsia" w:ascii="方正仿宋简体" w:hAnsi="方正仿宋简体" w:eastAsia="方正仿宋简体" w:cs="方正仿宋简体"/>
          <w:b/>
          <w:color w:val="auto"/>
          <w:sz w:val="32"/>
          <w:szCs w:val="32"/>
        </w:rPr>
        <w:t>本报告由</w:t>
      </w:r>
      <w:r>
        <w:rPr>
          <w:rFonts w:hint="eastAsia" w:ascii="方正仿宋简体" w:hAnsi="方正仿宋简体" w:eastAsia="方正仿宋简体" w:cs="方正仿宋简体"/>
          <w:b/>
          <w:color w:val="auto"/>
          <w:sz w:val="32"/>
          <w:szCs w:val="32"/>
          <w:lang w:val="en-US" w:eastAsia="zh-CN"/>
        </w:rPr>
        <w:t>山东省济宁市泗水县人民政府</w:t>
      </w:r>
      <w:r>
        <w:rPr>
          <w:rFonts w:hint="eastAsia" w:ascii="方正仿宋简体" w:hAnsi="方正仿宋简体" w:eastAsia="方正仿宋简体" w:cs="方正仿宋简体"/>
          <w:b/>
          <w:color w:val="auto"/>
          <w:sz w:val="32"/>
          <w:szCs w:val="32"/>
        </w:rPr>
        <w:t>按照《中华人民共和国政府信息公开条例》（以下简称《条例》）和《中华人民共和国政府信息公开工作年度报告格式》（国办公开办函〔</w:t>
      </w:r>
      <w:r>
        <w:rPr>
          <w:rFonts w:hint="default" w:ascii="Times New Roman" w:hAnsi="Times New Roman" w:eastAsia="方正仿宋简体" w:cs="Times New Roman"/>
          <w:b/>
          <w:color w:val="auto"/>
          <w:sz w:val="32"/>
          <w:szCs w:val="32"/>
        </w:rPr>
        <w:t>2021</w:t>
      </w:r>
      <w:r>
        <w:rPr>
          <w:rFonts w:hint="eastAsia" w:ascii="方正仿宋简体" w:hAnsi="方正仿宋简体" w:eastAsia="方正仿宋简体" w:cs="方正仿宋简体"/>
          <w:b/>
          <w:color w:val="auto"/>
          <w:sz w:val="32"/>
          <w:szCs w:val="32"/>
        </w:rPr>
        <w:t>〕</w:t>
      </w:r>
      <w:r>
        <w:rPr>
          <w:rFonts w:hint="default" w:ascii="Times New Roman" w:hAnsi="Times New Roman" w:eastAsia="方正仿宋简体" w:cs="Times New Roman"/>
          <w:b/>
          <w:color w:val="auto"/>
          <w:sz w:val="32"/>
          <w:szCs w:val="32"/>
        </w:rPr>
        <w:t>30</w:t>
      </w:r>
      <w:r>
        <w:rPr>
          <w:rFonts w:hint="eastAsia" w:ascii="方正仿宋简体" w:hAnsi="方正仿宋简体" w:eastAsia="方正仿宋简体" w:cs="方正仿宋简体"/>
          <w:b/>
          <w:color w:val="auto"/>
          <w:sz w:val="32"/>
          <w:szCs w:val="32"/>
        </w:rPr>
        <w:t>号）要求编制。</w:t>
      </w:r>
    </w:p>
    <w:p w14:paraId="5132DFEC">
      <w:pPr>
        <w:spacing w:line="590" w:lineRule="exact"/>
        <w:ind w:right="-105" w:rightChars="-50" w:firstLine="643" w:firstLineChars="200"/>
        <w:rPr>
          <w:rFonts w:hint="eastAsia" w:ascii="方正仿宋简体" w:hAnsi="方正仿宋简体" w:eastAsia="方正仿宋简体" w:cs="方正仿宋简体"/>
          <w:b/>
          <w:color w:val="auto"/>
          <w:sz w:val="32"/>
          <w:szCs w:val="32"/>
        </w:rPr>
      </w:pPr>
      <w:r>
        <w:rPr>
          <w:rFonts w:hint="eastAsia" w:ascii="方正仿宋简体" w:hAnsi="方正仿宋简体" w:eastAsia="方正仿宋简体" w:cs="方正仿宋简体"/>
          <w:b/>
          <w:color w:val="auto"/>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58A17A9A">
      <w:pPr>
        <w:spacing w:line="590" w:lineRule="exact"/>
        <w:ind w:right="-105" w:rightChars="-50" w:firstLine="643" w:firstLineChars="200"/>
        <w:rPr>
          <w:rFonts w:hint="eastAsia" w:ascii="方正仿宋简体" w:hAnsi="方正仿宋简体" w:eastAsia="方正仿宋简体" w:cs="方正仿宋简体"/>
          <w:b/>
          <w:color w:val="auto"/>
          <w:sz w:val="32"/>
          <w:szCs w:val="32"/>
        </w:rPr>
      </w:pPr>
      <w:r>
        <w:rPr>
          <w:rFonts w:hint="eastAsia" w:ascii="方正仿宋简体" w:hAnsi="方正仿宋简体" w:eastAsia="方正仿宋简体" w:cs="方正仿宋简体"/>
          <w:b/>
          <w:color w:val="auto"/>
          <w:sz w:val="32"/>
          <w:szCs w:val="32"/>
        </w:rPr>
        <w:t>本报告所列数据的统计期限自</w:t>
      </w:r>
      <w:r>
        <w:rPr>
          <w:rFonts w:hint="default" w:ascii="Times New Roman" w:hAnsi="Times New Roman" w:eastAsia="方正仿宋简体" w:cs="Times New Roman"/>
          <w:b/>
          <w:color w:val="auto"/>
          <w:sz w:val="32"/>
          <w:szCs w:val="32"/>
        </w:rPr>
        <w:t>202</w:t>
      </w:r>
      <w:r>
        <w:rPr>
          <w:rFonts w:hint="eastAsia" w:eastAsia="方正仿宋简体" w:cs="Times New Roman"/>
          <w:b/>
          <w:color w:val="auto"/>
          <w:sz w:val="32"/>
          <w:szCs w:val="32"/>
          <w:lang w:val="en-US" w:eastAsia="zh-CN"/>
        </w:rPr>
        <w:t>4</w:t>
      </w:r>
      <w:r>
        <w:rPr>
          <w:rFonts w:hint="eastAsia" w:ascii="方正仿宋简体" w:hAnsi="方正仿宋简体" w:eastAsia="方正仿宋简体" w:cs="方正仿宋简体"/>
          <w:b/>
          <w:color w:val="auto"/>
          <w:sz w:val="32"/>
          <w:szCs w:val="32"/>
        </w:rPr>
        <w:t>年</w:t>
      </w:r>
      <w:r>
        <w:rPr>
          <w:rFonts w:hint="default" w:ascii="Times New Roman" w:hAnsi="Times New Roman" w:eastAsia="方正仿宋简体" w:cs="Times New Roman"/>
          <w:b/>
          <w:color w:val="auto"/>
          <w:sz w:val="32"/>
          <w:szCs w:val="32"/>
        </w:rPr>
        <w:t>1</w:t>
      </w:r>
      <w:r>
        <w:rPr>
          <w:rFonts w:hint="eastAsia" w:ascii="方正仿宋简体" w:hAnsi="方正仿宋简体" w:eastAsia="方正仿宋简体" w:cs="方正仿宋简体"/>
          <w:b/>
          <w:color w:val="auto"/>
          <w:sz w:val="32"/>
          <w:szCs w:val="32"/>
        </w:rPr>
        <w:t>月</w:t>
      </w:r>
      <w:r>
        <w:rPr>
          <w:rFonts w:hint="default" w:ascii="Times New Roman" w:hAnsi="Times New Roman" w:eastAsia="方正仿宋简体" w:cs="Times New Roman"/>
          <w:b/>
          <w:color w:val="auto"/>
          <w:sz w:val="32"/>
          <w:szCs w:val="32"/>
        </w:rPr>
        <w:t>1</w:t>
      </w:r>
      <w:r>
        <w:rPr>
          <w:rFonts w:hint="eastAsia" w:ascii="方正仿宋简体" w:hAnsi="方正仿宋简体" w:eastAsia="方正仿宋简体" w:cs="方正仿宋简体"/>
          <w:b/>
          <w:color w:val="auto"/>
          <w:sz w:val="32"/>
          <w:szCs w:val="32"/>
        </w:rPr>
        <w:t>日起至</w:t>
      </w:r>
      <w:r>
        <w:rPr>
          <w:rFonts w:hint="default" w:ascii="Times New Roman" w:hAnsi="Times New Roman" w:eastAsia="方正仿宋简体" w:cs="Times New Roman"/>
          <w:b/>
          <w:color w:val="auto"/>
          <w:sz w:val="32"/>
          <w:szCs w:val="32"/>
        </w:rPr>
        <w:t>202</w:t>
      </w:r>
      <w:r>
        <w:rPr>
          <w:rFonts w:hint="eastAsia" w:eastAsia="方正仿宋简体" w:cs="Times New Roman"/>
          <w:b/>
          <w:color w:val="auto"/>
          <w:sz w:val="32"/>
          <w:szCs w:val="32"/>
          <w:lang w:val="en-US" w:eastAsia="zh-CN"/>
        </w:rPr>
        <w:t>4</w:t>
      </w:r>
      <w:r>
        <w:rPr>
          <w:rFonts w:hint="eastAsia" w:ascii="方正仿宋简体" w:hAnsi="方正仿宋简体" w:eastAsia="方正仿宋简体" w:cs="方正仿宋简体"/>
          <w:b/>
          <w:color w:val="auto"/>
          <w:sz w:val="32"/>
          <w:szCs w:val="32"/>
        </w:rPr>
        <w:t>年</w:t>
      </w:r>
      <w:r>
        <w:rPr>
          <w:rFonts w:hint="default" w:ascii="Times New Roman" w:hAnsi="Times New Roman" w:eastAsia="方正仿宋简体" w:cs="Times New Roman"/>
          <w:b/>
          <w:color w:val="auto"/>
          <w:sz w:val="32"/>
          <w:szCs w:val="32"/>
        </w:rPr>
        <w:t>12</w:t>
      </w:r>
      <w:r>
        <w:rPr>
          <w:rFonts w:hint="eastAsia" w:ascii="方正仿宋简体" w:hAnsi="方正仿宋简体" w:eastAsia="方正仿宋简体" w:cs="方正仿宋简体"/>
          <w:b/>
          <w:color w:val="auto"/>
          <w:sz w:val="32"/>
          <w:szCs w:val="32"/>
        </w:rPr>
        <w:t>月</w:t>
      </w:r>
      <w:r>
        <w:rPr>
          <w:rFonts w:hint="default" w:ascii="Times New Roman" w:hAnsi="Times New Roman" w:eastAsia="方正仿宋简体" w:cs="Times New Roman"/>
          <w:b/>
          <w:color w:val="auto"/>
          <w:sz w:val="32"/>
          <w:szCs w:val="32"/>
        </w:rPr>
        <w:t>31</w:t>
      </w:r>
      <w:r>
        <w:rPr>
          <w:rFonts w:hint="eastAsia" w:ascii="方正仿宋简体" w:hAnsi="方正仿宋简体" w:eastAsia="方正仿宋简体" w:cs="方正仿宋简体"/>
          <w:b/>
          <w:color w:val="auto"/>
          <w:sz w:val="32"/>
          <w:szCs w:val="32"/>
        </w:rPr>
        <w:t>日止。本报告电子版可在“中国·</w:t>
      </w:r>
      <w:r>
        <w:rPr>
          <w:rFonts w:hint="eastAsia" w:ascii="方正仿宋简体" w:hAnsi="方正仿宋简体" w:eastAsia="方正仿宋简体" w:cs="方正仿宋简体"/>
          <w:b/>
          <w:color w:val="auto"/>
          <w:sz w:val="32"/>
          <w:szCs w:val="32"/>
          <w:lang w:val="en-US" w:eastAsia="zh-CN"/>
        </w:rPr>
        <w:t>泗水</w:t>
      </w:r>
      <w:r>
        <w:rPr>
          <w:rFonts w:hint="eastAsia" w:ascii="方正仿宋简体" w:hAnsi="方正仿宋简体" w:eastAsia="方正仿宋简体" w:cs="方正仿宋简体"/>
          <w:b/>
          <w:color w:val="auto"/>
          <w:sz w:val="32"/>
          <w:szCs w:val="32"/>
        </w:rPr>
        <w:t>”政府门户网站（</w:t>
      </w:r>
      <w:r>
        <w:rPr>
          <w:rFonts w:hint="default" w:ascii="Times New Roman" w:hAnsi="Times New Roman" w:eastAsia="方正仿宋简体" w:cs="Times New Roman"/>
          <w:b/>
          <w:color w:val="auto"/>
          <w:sz w:val="32"/>
          <w:szCs w:val="32"/>
        </w:rPr>
        <w:t>www.sishui.gov.cn</w:t>
      </w:r>
      <w:r>
        <w:rPr>
          <w:rFonts w:hint="eastAsia" w:ascii="方正仿宋简体" w:hAnsi="方正仿宋简体" w:eastAsia="方正仿宋简体" w:cs="方正仿宋简体"/>
          <w:b/>
          <w:color w:val="auto"/>
          <w:sz w:val="32"/>
          <w:szCs w:val="32"/>
        </w:rPr>
        <w:t>）查阅或下载。如对本报告有疑问，请与</w:t>
      </w:r>
      <w:r>
        <w:rPr>
          <w:rFonts w:hint="eastAsia" w:ascii="方正仿宋简体" w:hAnsi="方正仿宋简体" w:eastAsia="方正仿宋简体" w:cs="方正仿宋简体"/>
          <w:b/>
          <w:color w:val="auto"/>
          <w:sz w:val="32"/>
          <w:szCs w:val="32"/>
          <w:lang w:val="en-US" w:eastAsia="zh-CN"/>
        </w:rPr>
        <w:t>山东省济宁市泗水县人民政府办公室</w:t>
      </w:r>
      <w:r>
        <w:rPr>
          <w:rFonts w:hint="eastAsia" w:ascii="方正仿宋简体" w:hAnsi="方正仿宋简体" w:eastAsia="方正仿宋简体" w:cs="方正仿宋简体"/>
          <w:b/>
          <w:color w:val="auto"/>
          <w:sz w:val="32"/>
          <w:szCs w:val="32"/>
        </w:rPr>
        <w:t>联系（地址：泗水县泉兴路</w:t>
      </w:r>
      <w:r>
        <w:rPr>
          <w:rFonts w:hint="default" w:ascii="Times New Roman" w:hAnsi="Times New Roman" w:eastAsia="方正仿宋简体" w:cs="Times New Roman"/>
          <w:b/>
          <w:color w:val="auto"/>
          <w:sz w:val="32"/>
          <w:szCs w:val="32"/>
        </w:rPr>
        <w:t>7</w:t>
      </w:r>
      <w:r>
        <w:rPr>
          <w:rFonts w:hint="eastAsia" w:ascii="方正仿宋简体" w:hAnsi="方正仿宋简体" w:eastAsia="方正仿宋简体" w:cs="方正仿宋简体"/>
          <w:b/>
          <w:color w:val="auto"/>
          <w:sz w:val="32"/>
          <w:szCs w:val="32"/>
        </w:rPr>
        <w:t>号行政中心，联系电话：</w:t>
      </w:r>
      <w:r>
        <w:rPr>
          <w:rFonts w:hint="default" w:ascii="Times New Roman" w:hAnsi="Times New Roman" w:eastAsia="方正仿宋简体" w:cs="Times New Roman"/>
          <w:b/>
          <w:color w:val="auto"/>
          <w:sz w:val="32"/>
          <w:szCs w:val="32"/>
        </w:rPr>
        <w:t>0537-</w:t>
      </w:r>
      <w:r>
        <w:rPr>
          <w:rFonts w:hint="default" w:ascii="Times New Roman" w:hAnsi="Times New Roman" w:eastAsia="方正仿宋简体" w:cs="Times New Roman"/>
          <w:b/>
          <w:color w:val="auto"/>
          <w:sz w:val="32"/>
          <w:szCs w:val="32"/>
          <w:lang w:val="en-US" w:eastAsia="zh-CN"/>
        </w:rPr>
        <w:t>4221207</w:t>
      </w:r>
      <w:r>
        <w:rPr>
          <w:rFonts w:hint="eastAsia" w:ascii="方正仿宋简体" w:hAnsi="方正仿宋简体" w:eastAsia="方正仿宋简体" w:cs="方正仿宋简体"/>
          <w:b/>
          <w:color w:val="auto"/>
          <w:sz w:val="32"/>
          <w:szCs w:val="32"/>
        </w:rPr>
        <w:t>）。</w:t>
      </w:r>
    </w:p>
    <w:p w14:paraId="05E25FA2">
      <w:pPr>
        <w:spacing w:line="590" w:lineRule="exact"/>
        <w:ind w:right="-105" w:rightChars="-50" w:firstLine="643" w:firstLineChars="200"/>
        <w:rPr>
          <w:rFonts w:hint="eastAsia" w:ascii="仿宋" w:hAnsi="仿宋" w:eastAsia="仿宋" w:cs="仿宋"/>
          <w:b/>
          <w:color w:val="auto"/>
          <w:sz w:val="32"/>
          <w:szCs w:val="32"/>
        </w:rPr>
      </w:pPr>
      <w:r>
        <w:rPr>
          <w:rFonts w:hint="eastAsia" w:ascii="方正黑体简体" w:hAnsi="方正黑体简体" w:eastAsia="方正黑体简体" w:cs="方正黑体简体"/>
          <w:b/>
          <w:color w:val="auto"/>
          <w:sz w:val="32"/>
          <w:szCs w:val="32"/>
        </w:rPr>
        <w:t>一、总体情况</w:t>
      </w:r>
    </w:p>
    <w:p w14:paraId="3E5D11D8">
      <w:pPr>
        <w:spacing w:line="590" w:lineRule="exact"/>
        <w:ind w:right="-105" w:rightChars="-50" w:firstLine="643" w:firstLineChars="200"/>
        <w:rPr>
          <w:rFonts w:hint="eastAsia" w:ascii="方正仿宋简体" w:hAnsi="方正仿宋简体" w:eastAsia="方正仿宋简体" w:cs="方正仿宋简体"/>
          <w:b/>
          <w:color w:val="auto"/>
          <w:sz w:val="32"/>
          <w:szCs w:val="32"/>
          <w:lang w:val="en-US" w:eastAsia="zh-CN"/>
        </w:rPr>
      </w:pPr>
      <w:r>
        <w:rPr>
          <w:rFonts w:hint="default" w:ascii="方正仿宋简体" w:hAnsi="方正仿宋简体" w:eastAsia="方正仿宋简体" w:cs="方正仿宋简体"/>
          <w:b/>
          <w:color w:val="auto"/>
          <w:sz w:val="32"/>
          <w:szCs w:val="32"/>
          <w:lang w:val="en-US" w:eastAsia="zh-CN"/>
        </w:rPr>
        <w:t>202</w:t>
      </w:r>
      <w:r>
        <w:rPr>
          <w:rFonts w:hint="eastAsia" w:ascii="方正仿宋简体" w:hAnsi="方正仿宋简体" w:eastAsia="方正仿宋简体" w:cs="方正仿宋简体"/>
          <w:b/>
          <w:color w:val="auto"/>
          <w:sz w:val="32"/>
          <w:szCs w:val="32"/>
          <w:lang w:val="en-US" w:eastAsia="zh-CN"/>
        </w:rPr>
        <w:t>4年，泗水县人民政府以习近平新时代中国特色社会主义思想为指导，严格执行《中华人民共和国政府信息公开条例》，认真履行政府信息公开工作职责，坚持信息公开为中心工作服务的原则。</w:t>
      </w:r>
    </w:p>
    <w:p w14:paraId="043FEF67">
      <w:pPr>
        <w:numPr>
          <w:ilvl w:val="0"/>
          <w:numId w:val="0"/>
        </w:numPr>
        <w:spacing w:line="590" w:lineRule="exact"/>
        <w:ind w:right="-105" w:rightChars="-50" w:firstLine="643" w:firstLineChars="200"/>
        <w:rPr>
          <w:rFonts w:hint="eastAsia"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（一）政府信息</w:t>
      </w:r>
      <w:r>
        <w:rPr>
          <w:rFonts w:hint="eastAsia" w:ascii="方正楷体简体" w:hAnsi="方正楷体简体" w:eastAsia="方正楷体简体" w:cs="方正楷体简体"/>
          <w:b/>
          <w:color w:val="auto"/>
          <w:sz w:val="32"/>
          <w:szCs w:val="32"/>
        </w:rPr>
        <w:t>主动公开</w:t>
      </w:r>
      <w:r>
        <w:rPr>
          <w:rFonts w:hint="eastAsia" w:ascii="方正楷体简体" w:hAnsi="方正楷体简体" w:eastAsia="方正楷体简体" w:cs="方正楷体简体"/>
          <w:b/>
          <w:color w:val="auto"/>
          <w:sz w:val="32"/>
          <w:szCs w:val="32"/>
          <w:lang w:val="en-US" w:eastAsia="zh-CN"/>
        </w:rPr>
        <w:t>工作</w:t>
      </w:r>
    </w:p>
    <w:p w14:paraId="7E51FFB6">
      <w:pPr>
        <w:spacing w:line="590" w:lineRule="exact"/>
        <w:ind w:right="-105" w:rightChars="-50" w:firstLine="643" w:firstLineChars="200"/>
        <w:rPr>
          <w:rFonts w:hint="eastAsia" w:ascii="方正仿宋简体" w:hAnsi="方正仿宋简体" w:eastAsia="方正仿宋简体" w:cs="方正仿宋简体"/>
          <w:b/>
          <w:color w:val="auto"/>
          <w:sz w:val="32"/>
          <w:szCs w:val="32"/>
          <w:lang w:val="en-US" w:eastAsia="zh-CN"/>
        </w:rPr>
      </w:pPr>
      <w:r>
        <w:rPr>
          <w:rFonts w:hint="eastAsia" w:ascii="方正仿宋简体" w:hAnsi="方正仿宋简体" w:eastAsia="方正仿宋简体" w:cs="方正仿宋简体"/>
          <w:b/>
          <w:color w:val="auto"/>
          <w:sz w:val="32"/>
          <w:szCs w:val="32"/>
          <w:lang w:val="en-US" w:eastAsia="zh-CN"/>
        </w:rPr>
        <w:t>坚持“以公开为常态、不公开为例外”，扎实抓好惠民利企的政府信息公开工作。及时发布优化营商环境相关信息1510条、财政领域信息546条、教育领域信息246条、医疗保障领域信息364条、住房保障领域政务信息217条，食品药品领域信息182条，稳岗就业领域265条，社会救助及养老服务领域信息310条。行政许可137485件，实施行政处罚4402件、行政强制155件。持续加强专题专栏建设，有序规范科学高效公开政府信息。</w:t>
      </w:r>
    </w:p>
    <w:p w14:paraId="2822E44C">
      <w:pPr>
        <w:pStyle w:val="2"/>
        <w:rPr>
          <w:rFonts w:hint="eastAsia" w:ascii="方正仿宋简体" w:hAnsi="方正仿宋简体" w:eastAsia="方正仿宋简体" w:cs="方正仿宋简体"/>
          <w:b/>
          <w:color w:val="FF0000"/>
          <w:sz w:val="32"/>
          <w:szCs w:val="32"/>
          <w:lang w:val="en-US" w:eastAsia="zh-CN"/>
        </w:rPr>
      </w:pPr>
      <w:r>
        <w:rPr>
          <w:rFonts w:hint="eastAsia" w:ascii="方正仿宋简体" w:hAnsi="方正仿宋简体" w:eastAsia="方正仿宋简体" w:cs="方正仿宋简体"/>
          <w:b/>
          <w:color w:val="FF0000"/>
          <w:sz w:val="32"/>
          <w:szCs w:val="32"/>
          <w:lang w:val="en-US" w:eastAsia="zh-CN"/>
        </w:rPr>
        <w:drawing>
          <wp:inline distT="0" distB="0" distL="114300" distR="114300">
            <wp:extent cx="5080000" cy="381000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6B4BCBFA">
      <w:pPr>
        <w:pStyle w:val="2"/>
        <w:rPr>
          <w:rFonts w:hint="eastAsia"/>
          <w:color w:val="0C0C0C"/>
        </w:rPr>
      </w:pPr>
    </w:p>
    <w:p w14:paraId="536E064A">
      <w:pPr>
        <w:spacing w:line="590" w:lineRule="exact"/>
        <w:ind w:right="-105" w:rightChars="-50" w:firstLine="643" w:firstLineChars="200"/>
        <w:rPr>
          <w:rFonts w:hint="default"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（二）依申请公开工作</w:t>
      </w:r>
    </w:p>
    <w:p w14:paraId="74B66A82">
      <w:pPr>
        <w:spacing w:line="590" w:lineRule="exact"/>
        <w:ind w:right="-105" w:rightChars="-50" w:firstLine="643" w:firstLineChars="200"/>
        <w:rPr>
          <w:rFonts w:hint="eastAsia" w:ascii="方正仿宋简体" w:hAnsi="方正仿宋简体" w:eastAsia="方正仿宋简体" w:cs="方正仿宋简体"/>
          <w:b/>
          <w:color w:val="auto"/>
          <w:sz w:val="32"/>
          <w:szCs w:val="32"/>
          <w:lang w:val="en-US" w:eastAsia="zh-CN"/>
        </w:rPr>
      </w:pPr>
      <w:r>
        <w:rPr>
          <w:rFonts w:hint="default" w:ascii="Times New Roman" w:hAnsi="Times New Roman" w:eastAsia="方正仿宋简体" w:cs="Times New Roman"/>
          <w:b/>
          <w:color w:val="auto"/>
          <w:sz w:val="32"/>
          <w:szCs w:val="32"/>
          <w:lang w:val="en-US" w:eastAsia="zh-CN"/>
        </w:rPr>
        <w:t>202</w:t>
      </w:r>
      <w:r>
        <w:rPr>
          <w:rFonts w:hint="eastAsia" w:eastAsia="方正仿宋简体" w:cs="Times New Roman"/>
          <w:b/>
          <w:color w:val="auto"/>
          <w:sz w:val="32"/>
          <w:szCs w:val="32"/>
          <w:lang w:val="en-US" w:eastAsia="zh-CN"/>
        </w:rPr>
        <w:t>4</w:t>
      </w:r>
      <w:r>
        <w:rPr>
          <w:rFonts w:hint="eastAsia" w:ascii="方正仿宋简体" w:hAnsi="方正仿宋简体" w:eastAsia="方正仿宋简体" w:cs="方正仿宋简体"/>
          <w:b/>
          <w:color w:val="auto"/>
          <w:sz w:val="32"/>
          <w:szCs w:val="32"/>
          <w:lang w:val="en-US" w:eastAsia="zh-CN"/>
        </w:rPr>
        <w:t>年，全县共受理信息公开申请</w:t>
      </w:r>
      <w:r>
        <w:rPr>
          <w:rFonts w:hint="eastAsia" w:eastAsia="方正仿宋简体" w:cs="Times New Roman"/>
          <w:b/>
          <w:color w:val="auto"/>
          <w:sz w:val="32"/>
          <w:szCs w:val="32"/>
          <w:lang w:val="en-US" w:eastAsia="zh-CN"/>
        </w:rPr>
        <w:t>69</w:t>
      </w:r>
      <w:r>
        <w:rPr>
          <w:rFonts w:hint="eastAsia" w:ascii="方正仿宋简体" w:hAnsi="方正仿宋简体" w:eastAsia="方正仿宋简体" w:cs="方正仿宋简体"/>
          <w:b/>
          <w:color w:val="auto"/>
          <w:sz w:val="32"/>
          <w:szCs w:val="32"/>
          <w:lang w:val="en-US" w:eastAsia="zh-CN"/>
        </w:rPr>
        <w:t>件，与往年相比数量增加</w:t>
      </w:r>
      <w:r>
        <w:rPr>
          <w:rFonts w:hint="eastAsia" w:eastAsia="方正仿宋简体" w:cs="Times New Roman"/>
          <w:b/>
          <w:color w:val="auto"/>
          <w:sz w:val="32"/>
          <w:szCs w:val="32"/>
          <w:lang w:val="en-US" w:eastAsia="zh-CN"/>
        </w:rPr>
        <w:t>3</w:t>
      </w:r>
      <w:r>
        <w:rPr>
          <w:rFonts w:hint="eastAsia" w:ascii="方正仿宋简体" w:hAnsi="方正仿宋简体" w:eastAsia="方正仿宋简体" w:cs="方正仿宋简体"/>
          <w:b/>
          <w:color w:val="auto"/>
          <w:sz w:val="32"/>
          <w:szCs w:val="32"/>
          <w:lang w:val="en-US" w:eastAsia="zh-CN"/>
        </w:rPr>
        <w:t>件，</w:t>
      </w:r>
      <w:bookmarkStart w:id="10" w:name="_GoBack"/>
      <w:r>
        <w:rPr>
          <w:rFonts w:hint="eastAsia" w:ascii="方正仿宋简体" w:hAnsi="方正仿宋简体" w:eastAsia="方正仿宋简体" w:cs="方正仿宋简体"/>
          <w:b/>
          <w:color w:val="auto"/>
          <w:sz w:val="32"/>
          <w:szCs w:val="32"/>
          <w:lang w:val="en-US" w:eastAsia="zh-CN"/>
        </w:rPr>
        <w:t>其中予以公开</w:t>
      </w:r>
      <w:r>
        <w:rPr>
          <w:rFonts w:hint="eastAsia" w:eastAsia="方正仿宋简体" w:cs="Times New Roman"/>
          <w:b/>
          <w:color w:val="auto"/>
          <w:sz w:val="32"/>
          <w:szCs w:val="32"/>
          <w:lang w:val="en-US" w:eastAsia="zh-CN"/>
        </w:rPr>
        <w:t>39</w:t>
      </w:r>
      <w:r>
        <w:rPr>
          <w:rFonts w:hint="eastAsia" w:ascii="方正仿宋简体" w:hAnsi="方正仿宋简体" w:eastAsia="方正仿宋简体" w:cs="方正仿宋简体"/>
          <w:b/>
          <w:color w:val="auto"/>
          <w:sz w:val="32"/>
          <w:szCs w:val="32"/>
          <w:lang w:val="en-US" w:eastAsia="zh-CN"/>
        </w:rPr>
        <w:t>件、本机关不掌握相关政府信息</w:t>
      </w:r>
      <w:r>
        <w:rPr>
          <w:rFonts w:hint="eastAsia" w:eastAsia="方正仿宋简体" w:cs="Times New Roman"/>
          <w:b/>
          <w:color w:val="auto"/>
          <w:sz w:val="32"/>
          <w:szCs w:val="32"/>
          <w:lang w:val="en-US" w:eastAsia="zh-CN"/>
        </w:rPr>
        <w:t>16</w:t>
      </w:r>
      <w:r>
        <w:rPr>
          <w:rFonts w:hint="eastAsia" w:ascii="方正仿宋简体" w:hAnsi="方正仿宋简体" w:eastAsia="方正仿宋简体" w:cs="方正仿宋简体"/>
          <w:b/>
          <w:color w:val="auto"/>
          <w:sz w:val="32"/>
          <w:szCs w:val="32"/>
          <w:lang w:val="en-US" w:eastAsia="zh-CN"/>
        </w:rPr>
        <w:t>件，属于三类内部事务信息10件，保护第三方合法权益1件，无正当理由大量反复申请1件，其他处理2件，</w:t>
      </w:r>
      <w:r>
        <w:rPr>
          <w:rFonts w:hint="eastAsia" w:ascii="仿宋" w:hAnsi="仿宋" w:eastAsia="仿宋" w:cs="仿宋"/>
          <w:b/>
          <w:color w:val="auto"/>
          <w:sz w:val="32"/>
          <w:szCs w:val="32"/>
          <w:lang w:val="en-US" w:eastAsia="zh-CN"/>
        </w:rPr>
        <w:t>未收取任何费用</w:t>
      </w:r>
      <w:r>
        <w:rPr>
          <w:rFonts w:hint="eastAsia" w:ascii="仿宋" w:hAnsi="仿宋" w:eastAsia="仿宋" w:cs="仿宋"/>
          <w:b/>
          <w:color w:val="auto"/>
          <w:sz w:val="32"/>
          <w:szCs w:val="32"/>
        </w:rPr>
        <w:t>。</w:t>
      </w:r>
      <w:bookmarkEnd w:id="10"/>
      <w:r>
        <w:rPr>
          <w:rFonts w:hint="eastAsia" w:ascii="仿宋" w:hAnsi="仿宋" w:eastAsia="仿宋" w:cs="仿宋"/>
          <w:b/>
          <w:color w:val="auto"/>
          <w:sz w:val="32"/>
          <w:szCs w:val="32"/>
          <w:lang w:val="en-US" w:eastAsia="zh-CN"/>
        </w:rPr>
        <w:t>申请内容主要涉及土地征收、学校招生、民生问题等，</w:t>
      </w:r>
      <w:r>
        <w:rPr>
          <w:rFonts w:hint="eastAsia" w:ascii="方正仿宋简体" w:hAnsi="方正仿宋简体" w:eastAsia="方正仿宋简体" w:cs="方正仿宋简体"/>
          <w:b/>
          <w:color w:val="auto"/>
          <w:sz w:val="32"/>
          <w:szCs w:val="32"/>
          <w:lang w:val="en-US" w:eastAsia="zh-CN"/>
        </w:rPr>
        <w:t>均依法答复，答复率</w:t>
      </w:r>
      <w:r>
        <w:rPr>
          <w:rFonts w:hint="default" w:ascii="Times New Roman" w:hAnsi="Times New Roman" w:eastAsia="方正仿宋简体" w:cs="Times New Roman"/>
          <w:b/>
          <w:color w:val="auto"/>
          <w:sz w:val="32"/>
          <w:szCs w:val="32"/>
          <w:lang w:val="en-US" w:eastAsia="zh-CN"/>
        </w:rPr>
        <w:t>100%</w:t>
      </w:r>
      <w:r>
        <w:rPr>
          <w:rFonts w:hint="eastAsia" w:ascii="方正仿宋简体" w:hAnsi="方正仿宋简体" w:eastAsia="方正仿宋简体" w:cs="方正仿宋简体"/>
          <w:b/>
          <w:color w:val="auto"/>
          <w:sz w:val="32"/>
          <w:szCs w:val="32"/>
          <w:lang w:val="en-US" w:eastAsia="zh-CN"/>
        </w:rPr>
        <w:t>。因依申请公开工作引发行政复议</w:t>
      </w:r>
      <w:r>
        <w:rPr>
          <w:rFonts w:hint="eastAsia" w:eastAsia="方正仿宋简体" w:cs="Times New Roman"/>
          <w:b/>
          <w:color w:val="auto"/>
          <w:sz w:val="32"/>
          <w:szCs w:val="32"/>
          <w:lang w:val="en-US" w:eastAsia="zh-CN"/>
        </w:rPr>
        <w:t>13</w:t>
      </w:r>
      <w:r>
        <w:rPr>
          <w:rFonts w:hint="eastAsia" w:ascii="方正仿宋简体" w:hAnsi="方正仿宋简体" w:eastAsia="方正仿宋简体" w:cs="方正仿宋简体"/>
          <w:b/>
          <w:color w:val="auto"/>
          <w:sz w:val="32"/>
          <w:szCs w:val="32"/>
          <w:lang w:val="en-US" w:eastAsia="zh-CN"/>
        </w:rPr>
        <w:t>件、行政诉讼案件</w:t>
      </w:r>
      <w:r>
        <w:rPr>
          <w:rFonts w:hint="eastAsia" w:eastAsia="方正仿宋简体" w:cs="Times New Roman"/>
          <w:b/>
          <w:color w:val="auto"/>
          <w:sz w:val="32"/>
          <w:szCs w:val="32"/>
          <w:lang w:val="en-US" w:eastAsia="zh-CN"/>
        </w:rPr>
        <w:t>5</w:t>
      </w:r>
      <w:r>
        <w:rPr>
          <w:rFonts w:hint="eastAsia" w:ascii="方正仿宋简体" w:hAnsi="方正仿宋简体" w:eastAsia="方正仿宋简体" w:cs="方正仿宋简体"/>
          <w:b/>
          <w:color w:val="auto"/>
          <w:sz w:val="32"/>
          <w:szCs w:val="32"/>
          <w:lang w:val="en-US" w:eastAsia="zh-CN"/>
        </w:rPr>
        <w:t>件。</w:t>
      </w:r>
    </w:p>
    <w:p w14:paraId="1874842E">
      <w:pPr>
        <w:pStyle w:val="2"/>
        <w:rPr>
          <w:rFonts w:hint="eastAsia" w:ascii="方正仿宋简体" w:hAnsi="方正仿宋简体" w:eastAsia="方正仿宋简体" w:cs="方正仿宋简体"/>
          <w:b/>
          <w:color w:val="FF0000"/>
          <w:sz w:val="32"/>
          <w:szCs w:val="32"/>
          <w:lang w:val="en-US" w:eastAsia="zh-CN"/>
        </w:rPr>
      </w:pPr>
    </w:p>
    <w:p w14:paraId="6CFA4E9A">
      <w:pPr>
        <w:pStyle w:val="2"/>
        <w:rPr>
          <w:rFonts w:hint="eastAsia" w:ascii="方正仿宋简体" w:hAnsi="方正仿宋简体" w:eastAsia="方正仿宋简体" w:cs="方正仿宋简体"/>
          <w:b/>
          <w:color w:val="FF0000"/>
          <w:sz w:val="32"/>
          <w:szCs w:val="32"/>
          <w:lang w:val="en-US" w:eastAsia="zh-CN"/>
        </w:rPr>
      </w:pPr>
      <w:r>
        <w:rPr>
          <w:rFonts w:hint="eastAsia" w:ascii="方正仿宋简体" w:hAnsi="方正仿宋简体" w:eastAsia="方正仿宋简体" w:cs="方正仿宋简体"/>
          <w:b/>
          <w:color w:val="FF0000"/>
          <w:sz w:val="32"/>
          <w:szCs w:val="32"/>
          <w:lang w:val="en-US" w:eastAsia="zh-CN"/>
        </w:rPr>
        <w:drawing>
          <wp:inline distT="0" distB="0" distL="114300" distR="114300">
            <wp:extent cx="5080000" cy="3810000"/>
            <wp:effectExtent l="4445" t="4445" r="20955"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23C59B5">
      <w:pPr>
        <w:pStyle w:val="2"/>
        <w:rPr>
          <w:rFonts w:hint="eastAsia" w:ascii="方正仿宋简体" w:hAnsi="方正仿宋简体" w:eastAsia="方正仿宋简体" w:cs="方正仿宋简体"/>
          <w:b/>
          <w:color w:val="FF0000"/>
          <w:sz w:val="32"/>
          <w:szCs w:val="32"/>
          <w:lang w:val="en-US" w:eastAsia="zh-CN"/>
        </w:rPr>
      </w:pPr>
    </w:p>
    <w:p w14:paraId="64DF5531">
      <w:pPr>
        <w:pStyle w:val="2"/>
        <w:rPr>
          <w:rFonts w:hint="default" w:ascii="仿宋" w:hAnsi="仿宋" w:eastAsia="仿宋" w:cs="仿宋"/>
          <w:b w:val="0"/>
          <w:bCs/>
          <w:color w:val="0C0C0C"/>
          <w:sz w:val="32"/>
          <w:szCs w:val="32"/>
          <w:lang w:val="en-US" w:eastAsia="zh-CN"/>
        </w:rPr>
      </w:pPr>
      <w:r>
        <w:rPr>
          <w:rFonts w:hint="default" w:ascii="仿宋" w:hAnsi="仿宋" w:eastAsia="仿宋" w:cs="仿宋"/>
          <w:b w:val="0"/>
          <w:bCs/>
          <w:color w:val="0C0C0C"/>
          <w:sz w:val="32"/>
          <w:szCs w:val="32"/>
          <w:lang w:val="en-US" w:eastAsia="zh-CN"/>
        </w:rPr>
        <w:drawing>
          <wp:inline distT="0" distB="0" distL="114300" distR="114300">
            <wp:extent cx="5151120" cy="3860800"/>
            <wp:effectExtent l="0" t="0" r="5080" b="0"/>
            <wp:docPr id="1" name="图片 1" descr="5a5d490e37177b00934a35965d014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a5d490e37177b00934a35965d0145f"/>
                    <pic:cNvPicPr>
                      <a:picLocks noChangeAspect="1"/>
                    </pic:cNvPicPr>
                  </pic:nvPicPr>
                  <pic:blipFill>
                    <a:blip r:embed="rId7"/>
                    <a:stretch>
                      <a:fillRect/>
                    </a:stretch>
                  </pic:blipFill>
                  <pic:spPr>
                    <a:xfrm>
                      <a:off x="0" y="0"/>
                      <a:ext cx="5151120" cy="3860800"/>
                    </a:xfrm>
                    <a:prstGeom prst="rect">
                      <a:avLst/>
                    </a:prstGeom>
                  </pic:spPr>
                </pic:pic>
              </a:graphicData>
            </a:graphic>
          </wp:inline>
        </w:drawing>
      </w:r>
    </w:p>
    <w:p w14:paraId="29582230">
      <w:pPr>
        <w:pStyle w:val="2"/>
        <w:rPr>
          <w:rFonts w:hint="eastAsia" w:ascii="仿宋" w:hAnsi="仿宋" w:eastAsia="仿宋" w:cs="仿宋"/>
          <w:b w:val="0"/>
          <w:bCs/>
          <w:color w:val="0C0C0C"/>
          <w:sz w:val="32"/>
          <w:szCs w:val="32"/>
          <w:lang w:val="en-US" w:eastAsia="zh-CN"/>
        </w:rPr>
      </w:pPr>
    </w:p>
    <w:p w14:paraId="5BFA903F">
      <w:pPr>
        <w:spacing w:line="590" w:lineRule="exact"/>
        <w:ind w:right="-105" w:rightChars="-50" w:firstLine="643" w:firstLineChars="200"/>
        <w:rPr>
          <w:rFonts w:hint="default"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（三）政府信息管理工作</w:t>
      </w:r>
    </w:p>
    <w:p w14:paraId="108120B9">
      <w:pPr>
        <w:spacing w:line="590" w:lineRule="exact"/>
        <w:ind w:left="0" w:leftChars="0" w:right="-105" w:rightChars="-50" w:firstLine="643" w:firstLineChars="200"/>
        <w:rPr>
          <w:rFonts w:hint="eastAsia" w:ascii="方正仿宋简体" w:hAnsi="方正仿宋简体" w:eastAsia="方正仿宋简体" w:cs="方正仿宋简体"/>
          <w:b/>
          <w:color w:val="auto"/>
          <w:sz w:val="32"/>
          <w:szCs w:val="32"/>
          <w:lang w:val="en-US" w:eastAsia="zh-CN"/>
        </w:rPr>
      </w:pPr>
      <w:r>
        <w:rPr>
          <w:rFonts w:hint="eastAsia" w:ascii="方正仿宋简体" w:hAnsi="方正仿宋简体" w:eastAsia="方正仿宋简体" w:cs="方正仿宋简体"/>
          <w:b/>
          <w:color w:val="auto"/>
          <w:sz w:val="32"/>
          <w:szCs w:val="32"/>
          <w:lang w:val="en-US" w:eastAsia="zh-CN"/>
        </w:rPr>
        <w:t>推进泗水县政府现行有效行政规范性文件与省、市政府文件库数据对接，及时在县政府门户网站政府信息公开专栏对已废止的行政规范性文件进行标注，按照省市政府数据联通相关部署要求，积极开展现行有效行政规范性文件库数据入库工作，累计向省政府门户网站政策文件数据库推送现行有效行政规范性文件8件，实现县政府规范性文件与省市文件库的数据一致、同步更新。</w:t>
      </w:r>
    </w:p>
    <w:p w14:paraId="2D5064D4">
      <w:pPr>
        <w:numPr>
          <w:ilvl w:val="0"/>
          <w:numId w:val="0"/>
        </w:numPr>
        <w:spacing w:line="590" w:lineRule="exact"/>
        <w:ind w:right="-105" w:rightChars="-50" w:firstLine="643" w:firstLineChars="200"/>
        <w:rPr>
          <w:rFonts w:hint="default"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（四）政府信息公开平台建设工作</w:t>
      </w:r>
    </w:p>
    <w:p w14:paraId="2D6616DC">
      <w:pPr>
        <w:spacing w:line="590" w:lineRule="exact"/>
        <w:ind w:left="0" w:leftChars="0" w:right="-105" w:rightChars="-50" w:firstLine="643" w:firstLineChars="200"/>
        <w:rPr>
          <w:rFonts w:hint="eastAsia" w:ascii="方正仿宋简体" w:hAnsi="方正仿宋简体" w:eastAsia="方正仿宋简体" w:cs="方正仿宋简体"/>
          <w:b/>
          <w:color w:val="auto"/>
          <w:sz w:val="32"/>
          <w:szCs w:val="32"/>
          <w:lang w:val="en-US" w:eastAsia="zh-CN"/>
        </w:rPr>
      </w:pPr>
      <w:r>
        <w:rPr>
          <w:rFonts w:hint="default" w:ascii="方正仿宋简体" w:hAnsi="方正仿宋简体" w:eastAsia="方正仿宋简体" w:cs="方正仿宋简体"/>
          <w:b/>
          <w:color w:val="auto"/>
          <w:sz w:val="32"/>
          <w:szCs w:val="32"/>
          <w:lang w:val="en-US" w:eastAsia="zh-CN"/>
        </w:rPr>
        <w:t>今年以来，调整、合并冗余网站栏目70余个；</w:t>
      </w:r>
      <w:r>
        <w:rPr>
          <w:rFonts w:hint="eastAsia" w:ascii="方正仿宋简体" w:hAnsi="方正仿宋简体" w:eastAsia="方正仿宋简体" w:cs="方正仿宋简体"/>
          <w:b/>
          <w:color w:val="auto"/>
          <w:sz w:val="32"/>
          <w:szCs w:val="32"/>
          <w:lang w:val="en-US" w:eastAsia="zh-CN"/>
        </w:rPr>
        <w:t>配合省市技术平台改造，优化升级依申请公开平台建设。</w:t>
      </w:r>
      <w:r>
        <w:rPr>
          <w:rFonts w:hint="default" w:ascii="方正仿宋简体" w:hAnsi="方正仿宋简体" w:eastAsia="方正仿宋简体" w:cs="方正仿宋简体"/>
          <w:b/>
          <w:color w:val="auto"/>
          <w:sz w:val="32"/>
          <w:szCs w:val="32"/>
          <w:lang w:val="en-US" w:eastAsia="zh-CN"/>
        </w:rPr>
        <w:t>完成四个季度政府网站自查整改，调度整改不合格栏目100余次。政务新媒体方面，全面推进政务新媒体“瘦身提质”工作，全国政务新媒体信息报送系统关停账号32个；组织政务新媒体群完成上级信息转发120余篇；常态化做好政务新媒体更新预警提醒工作。202</w:t>
      </w:r>
      <w:r>
        <w:rPr>
          <w:rFonts w:hint="eastAsia" w:ascii="方正仿宋简体" w:hAnsi="方正仿宋简体" w:eastAsia="方正仿宋简体" w:cs="方正仿宋简体"/>
          <w:b/>
          <w:color w:val="auto"/>
          <w:sz w:val="32"/>
          <w:szCs w:val="32"/>
          <w:lang w:val="en-US" w:eastAsia="zh-CN"/>
        </w:rPr>
        <w:t>4年累计发布政府公报</w:t>
      </w:r>
      <w:r>
        <w:rPr>
          <w:rFonts w:hint="default" w:ascii="方正仿宋简体" w:hAnsi="方正仿宋简体" w:eastAsia="方正仿宋简体" w:cs="方正仿宋简体"/>
          <w:b/>
          <w:color w:val="auto"/>
          <w:sz w:val="32"/>
          <w:szCs w:val="32"/>
          <w:lang w:val="en-US" w:eastAsia="zh-CN"/>
        </w:rPr>
        <w:t>6</w:t>
      </w:r>
      <w:r>
        <w:rPr>
          <w:rFonts w:hint="eastAsia" w:ascii="方正仿宋简体" w:hAnsi="方正仿宋简体" w:eastAsia="方正仿宋简体" w:cs="方正仿宋简体"/>
          <w:b/>
          <w:color w:val="auto"/>
          <w:sz w:val="32"/>
          <w:szCs w:val="32"/>
          <w:lang w:val="en-US" w:eastAsia="zh-CN"/>
        </w:rPr>
        <w:t>期。</w:t>
      </w:r>
    </w:p>
    <w:p w14:paraId="1389D25C">
      <w:pPr>
        <w:spacing w:line="590" w:lineRule="exact"/>
        <w:ind w:right="-105" w:rightChars="-50" w:firstLine="643" w:firstLineChars="200"/>
        <w:rPr>
          <w:rFonts w:hint="eastAsia"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rPr>
        <w:t>（五）监督保障</w:t>
      </w:r>
      <w:r>
        <w:rPr>
          <w:rFonts w:hint="eastAsia" w:ascii="方正楷体简体" w:hAnsi="方正楷体简体" w:eastAsia="方正楷体简体" w:cs="方正楷体简体"/>
          <w:b/>
          <w:color w:val="auto"/>
          <w:sz w:val="32"/>
          <w:szCs w:val="32"/>
          <w:lang w:val="en-US" w:eastAsia="zh-CN"/>
        </w:rPr>
        <w:t>工作</w:t>
      </w:r>
    </w:p>
    <w:p w14:paraId="3DAF7E02">
      <w:pPr>
        <w:spacing w:line="590" w:lineRule="exact"/>
        <w:ind w:left="0" w:leftChars="0" w:right="-105" w:rightChars="-50" w:firstLine="643" w:firstLineChars="200"/>
        <w:rPr>
          <w:rFonts w:hint="eastAsia" w:ascii="方正仿宋简体" w:hAnsi="方正仿宋简体" w:eastAsia="方正仿宋简体" w:cs="方正仿宋简体"/>
          <w:b/>
          <w:color w:val="auto"/>
          <w:sz w:val="32"/>
          <w:szCs w:val="32"/>
          <w:lang w:val="en-US" w:eastAsia="zh-CN"/>
        </w:rPr>
      </w:pPr>
      <w:r>
        <w:rPr>
          <w:rFonts w:hint="eastAsia" w:ascii="方正仿宋简体" w:hAnsi="方正仿宋简体" w:eastAsia="方正仿宋简体" w:cs="方正仿宋简体"/>
          <w:b/>
          <w:color w:val="auto"/>
          <w:sz w:val="32"/>
          <w:szCs w:val="32"/>
          <w:lang w:val="en-US" w:eastAsia="zh-CN"/>
        </w:rPr>
        <w:t>一是做好</w:t>
      </w:r>
      <w:r>
        <w:rPr>
          <w:rFonts w:hint="default" w:ascii="方正仿宋简体" w:hAnsi="方正仿宋简体" w:eastAsia="方正仿宋简体" w:cs="方正仿宋简体"/>
          <w:b/>
          <w:color w:val="auto"/>
          <w:sz w:val="32"/>
          <w:szCs w:val="32"/>
          <w:lang w:val="en-US" w:eastAsia="zh-CN"/>
        </w:rPr>
        <w:t>工作</w:t>
      </w:r>
      <w:r>
        <w:rPr>
          <w:rFonts w:hint="eastAsia" w:ascii="方正仿宋简体" w:hAnsi="方正仿宋简体" w:eastAsia="方正仿宋简体" w:cs="方正仿宋简体"/>
          <w:b/>
          <w:color w:val="auto"/>
          <w:sz w:val="32"/>
          <w:szCs w:val="32"/>
          <w:lang w:val="en-US" w:eastAsia="zh-CN"/>
        </w:rPr>
        <w:t>安排</w:t>
      </w:r>
      <w:r>
        <w:rPr>
          <w:rFonts w:hint="default" w:ascii="方正仿宋简体" w:hAnsi="方正仿宋简体" w:eastAsia="方正仿宋简体" w:cs="方正仿宋简体"/>
          <w:b/>
          <w:color w:val="auto"/>
          <w:sz w:val="32"/>
          <w:szCs w:val="32"/>
          <w:lang w:val="en-US" w:eastAsia="zh-CN"/>
        </w:rPr>
        <w:t>，根据</w:t>
      </w:r>
      <w:r>
        <w:rPr>
          <w:rFonts w:hint="eastAsia" w:ascii="方正仿宋简体" w:hAnsi="方正仿宋简体" w:eastAsia="方正仿宋简体" w:cs="方正仿宋简体"/>
          <w:b/>
          <w:color w:val="auto"/>
          <w:sz w:val="32"/>
          <w:szCs w:val="32"/>
          <w:lang w:val="en-US" w:eastAsia="zh-CN"/>
        </w:rPr>
        <w:t>省市</w:t>
      </w:r>
      <w:r>
        <w:rPr>
          <w:rFonts w:hint="default" w:ascii="方正仿宋简体" w:hAnsi="方正仿宋简体" w:eastAsia="方正仿宋简体" w:cs="方正仿宋简体"/>
          <w:b/>
          <w:color w:val="auto"/>
          <w:sz w:val="32"/>
          <w:szCs w:val="32"/>
          <w:lang w:val="en-US" w:eastAsia="zh-CN"/>
        </w:rPr>
        <w:t>202</w:t>
      </w:r>
      <w:r>
        <w:rPr>
          <w:rFonts w:hint="eastAsia" w:ascii="方正仿宋简体" w:hAnsi="方正仿宋简体" w:eastAsia="方正仿宋简体" w:cs="方正仿宋简体"/>
          <w:b/>
          <w:color w:val="auto"/>
          <w:sz w:val="32"/>
          <w:szCs w:val="32"/>
          <w:lang w:val="en-US" w:eastAsia="zh-CN"/>
        </w:rPr>
        <w:t>4</w:t>
      </w:r>
      <w:r>
        <w:rPr>
          <w:rFonts w:hint="default" w:ascii="方正仿宋简体" w:hAnsi="方正仿宋简体" w:eastAsia="方正仿宋简体" w:cs="方正仿宋简体"/>
          <w:b/>
          <w:color w:val="auto"/>
          <w:sz w:val="32"/>
          <w:szCs w:val="32"/>
          <w:lang w:val="en-US" w:eastAsia="zh-CN"/>
        </w:rPr>
        <w:t>年政务公开工作要点，结合我</w:t>
      </w:r>
      <w:r>
        <w:rPr>
          <w:rFonts w:hint="eastAsia" w:ascii="方正仿宋简体" w:hAnsi="方正仿宋简体" w:eastAsia="方正仿宋简体" w:cs="方正仿宋简体"/>
          <w:b/>
          <w:color w:val="auto"/>
          <w:sz w:val="32"/>
          <w:szCs w:val="32"/>
          <w:lang w:val="en-US" w:eastAsia="zh-CN"/>
        </w:rPr>
        <w:t>县</w:t>
      </w:r>
      <w:r>
        <w:rPr>
          <w:rFonts w:hint="default" w:ascii="方正仿宋简体" w:hAnsi="方正仿宋简体" w:eastAsia="方正仿宋简体" w:cs="方正仿宋简体"/>
          <w:b/>
          <w:color w:val="auto"/>
          <w:sz w:val="32"/>
          <w:szCs w:val="32"/>
          <w:lang w:val="en-US" w:eastAsia="zh-CN"/>
        </w:rPr>
        <w:t>实际下发任务清单，细化工作任务，压实工作责任</w:t>
      </w:r>
      <w:r>
        <w:rPr>
          <w:rFonts w:hint="eastAsia" w:ascii="方正仿宋简体" w:hAnsi="方正仿宋简体" w:eastAsia="方正仿宋简体" w:cs="方正仿宋简体"/>
          <w:b/>
          <w:color w:val="auto"/>
          <w:sz w:val="32"/>
          <w:szCs w:val="32"/>
          <w:lang w:val="en-US" w:eastAsia="zh-CN"/>
        </w:rPr>
        <w:t>。二是加大培训力度，召开2024年度全县政务公开工作培训会，围绕省市政务公开工作要点、依申请公开等工作开展专题培训。三是开展政务公开督导工作，做好常态化检查和督促整改，持续将政务公开工作纳入全县经济社会发展考核，确保政务公开有序推进。</w:t>
      </w:r>
    </w:p>
    <w:p w14:paraId="5DE8BD86">
      <w:pPr>
        <w:spacing w:line="590" w:lineRule="exact"/>
        <w:ind w:right="-105" w:rightChars="-50" w:firstLine="643" w:firstLineChars="200"/>
        <w:rPr>
          <w:rFonts w:hint="eastAsia" w:ascii="仿宋_GB2312" w:eastAsia="仿宋_GB2312"/>
          <w:b/>
          <w:bCs/>
          <w:color w:val="0C0C0C"/>
          <w:sz w:val="28"/>
          <w:szCs w:val="28"/>
        </w:rPr>
      </w:pPr>
      <w:r>
        <w:rPr>
          <w:rFonts w:hint="eastAsia" w:ascii="方正黑体简体" w:hAnsi="方正黑体简体" w:eastAsia="方正黑体简体" w:cs="方正黑体简体"/>
          <w:b/>
          <w:color w:val="0C0C0C"/>
          <w:sz w:val="32"/>
          <w:szCs w:val="32"/>
        </w:rPr>
        <w:t>二、主动公开政府信息情况</w:t>
      </w:r>
    </w:p>
    <w:tbl>
      <w:tblPr>
        <w:tblStyle w:val="9"/>
        <w:tblW w:w="5000" w:type="pct"/>
        <w:tblInd w:w="0" w:type="dxa"/>
        <w:tblLayout w:type="autofit"/>
        <w:tblCellMar>
          <w:top w:w="0" w:type="dxa"/>
          <w:left w:w="108" w:type="dxa"/>
          <w:bottom w:w="0" w:type="dxa"/>
          <w:right w:w="108" w:type="dxa"/>
        </w:tblCellMar>
      </w:tblPr>
      <w:tblGrid>
        <w:gridCol w:w="2130"/>
        <w:gridCol w:w="2130"/>
        <w:gridCol w:w="2131"/>
        <w:gridCol w:w="2131"/>
      </w:tblGrid>
      <w:tr w14:paraId="7844DC31">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606C674">
            <w:pPr>
              <w:widowControl/>
              <w:jc w:val="center"/>
              <w:rPr>
                <w:rFonts w:ascii="黑体" w:hAnsi="黑体" w:eastAsia="黑体" w:cs="宋体"/>
                <w:color w:val="0C0C0C"/>
                <w:kern w:val="0"/>
                <w:szCs w:val="21"/>
              </w:rPr>
            </w:pPr>
            <w:r>
              <w:rPr>
                <w:rFonts w:hint="eastAsia" w:ascii="黑体" w:hAnsi="黑体" w:eastAsia="黑体" w:cs="宋体"/>
                <w:color w:val="0C0C0C"/>
                <w:kern w:val="0"/>
                <w:szCs w:val="21"/>
              </w:rPr>
              <w:t>第二十条第（一）项</w:t>
            </w:r>
          </w:p>
        </w:tc>
      </w:tr>
      <w:tr w14:paraId="59B0EC3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319A1C33">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信息内容</w:t>
            </w:r>
          </w:p>
        </w:tc>
        <w:tc>
          <w:tcPr>
            <w:tcW w:w="1250" w:type="pct"/>
            <w:tcBorders>
              <w:top w:val="nil"/>
              <w:left w:val="nil"/>
              <w:bottom w:val="single" w:color="auto" w:sz="8" w:space="0"/>
              <w:right w:val="single" w:color="auto" w:sz="8" w:space="0"/>
            </w:tcBorders>
            <w:noWrap w:val="0"/>
            <w:vAlign w:val="center"/>
          </w:tcPr>
          <w:p w14:paraId="15CBBFBB">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本年制发件数</w:t>
            </w:r>
          </w:p>
        </w:tc>
        <w:tc>
          <w:tcPr>
            <w:tcW w:w="1250" w:type="pct"/>
            <w:tcBorders>
              <w:top w:val="nil"/>
              <w:left w:val="nil"/>
              <w:bottom w:val="single" w:color="auto" w:sz="8" w:space="0"/>
              <w:right w:val="single" w:color="auto" w:sz="8" w:space="0"/>
            </w:tcBorders>
            <w:noWrap w:val="0"/>
            <w:vAlign w:val="center"/>
          </w:tcPr>
          <w:p w14:paraId="654CC175">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本年废止件数</w:t>
            </w:r>
          </w:p>
        </w:tc>
        <w:tc>
          <w:tcPr>
            <w:tcW w:w="1250" w:type="pct"/>
            <w:tcBorders>
              <w:top w:val="nil"/>
              <w:left w:val="nil"/>
              <w:bottom w:val="single" w:color="auto" w:sz="8" w:space="0"/>
              <w:right w:val="single" w:color="auto" w:sz="8" w:space="0"/>
            </w:tcBorders>
            <w:noWrap w:val="0"/>
            <w:vAlign w:val="center"/>
          </w:tcPr>
          <w:p w14:paraId="24F52415">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现行有效件数</w:t>
            </w:r>
          </w:p>
        </w:tc>
      </w:tr>
      <w:tr w14:paraId="27D78C5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4" w:space="0"/>
              <w:right w:val="single" w:color="auto" w:sz="8" w:space="0"/>
            </w:tcBorders>
            <w:noWrap w:val="0"/>
            <w:vAlign w:val="center"/>
          </w:tcPr>
          <w:p w14:paraId="36F88760">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规章</w:t>
            </w:r>
          </w:p>
        </w:tc>
        <w:tc>
          <w:tcPr>
            <w:tcW w:w="1250" w:type="pct"/>
            <w:tcBorders>
              <w:top w:val="nil"/>
              <w:left w:val="nil"/>
              <w:bottom w:val="single" w:color="auto" w:sz="4" w:space="0"/>
              <w:right w:val="single" w:color="auto" w:sz="8" w:space="0"/>
            </w:tcBorders>
            <w:noWrap w:val="0"/>
            <w:vAlign w:val="center"/>
          </w:tcPr>
          <w:p w14:paraId="6FA01C10">
            <w:pPr>
              <w:widowControl/>
              <w:jc w:val="center"/>
              <w:rPr>
                <w:rFonts w:hint="default"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lang w:val="en-US" w:eastAsia="zh-CN"/>
              </w:rPr>
              <w:t>0</w:t>
            </w:r>
          </w:p>
        </w:tc>
        <w:tc>
          <w:tcPr>
            <w:tcW w:w="1250" w:type="pct"/>
            <w:tcBorders>
              <w:top w:val="nil"/>
              <w:left w:val="nil"/>
              <w:bottom w:val="single" w:color="auto" w:sz="4" w:space="0"/>
              <w:right w:val="single" w:color="auto" w:sz="8" w:space="0"/>
            </w:tcBorders>
            <w:noWrap w:val="0"/>
            <w:vAlign w:val="center"/>
          </w:tcPr>
          <w:p w14:paraId="68B0F2CF">
            <w:pPr>
              <w:widowControl/>
              <w:jc w:val="center"/>
              <w:rPr>
                <w:rFonts w:hint="default"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lang w:val="en-US" w:eastAsia="zh-CN"/>
              </w:rPr>
              <w:t>0</w:t>
            </w:r>
          </w:p>
        </w:tc>
        <w:tc>
          <w:tcPr>
            <w:tcW w:w="1250" w:type="pct"/>
            <w:tcBorders>
              <w:top w:val="nil"/>
              <w:left w:val="nil"/>
              <w:bottom w:val="single" w:color="auto" w:sz="4" w:space="0"/>
              <w:right w:val="single" w:color="auto" w:sz="8" w:space="0"/>
            </w:tcBorders>
            <w:noWrap w:val="0"/>
            <w:vAlign w:val="center"/>
          </w:tcPr>
          <w:p w14:paraId="66187D3D">
            <w:pPr>
              <w:widowControl/>
              <w:jc w:val="center"/>
              <w:rPr>
                <w:rFonts w:hint="default"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lang w:val="en-US" w:eastAsia="zh-CN"/>
              </w:rPr>
              <w:t>0</w:t>
            </w:r>
          </w:p>
        </w:tc>
      </w:tr>
      <w:tr w14:paraId="5BD253ED">
        <w:tblPrEx>
          <w:tblCellMar>
            <w:top w:w="0" w:type="dxa"/>
            <w:left w:w="108" w:type="dxa"/>
            <w:bottom w:w="0" w:type="dxa"/>
            <w:right w:w="108" w:type="dxa"/>
          </w:tblCellMar>
        </w:tblPrEx>
        <w:trPr>
          <w:trHeight w:val="567" w:hRule="atLeast"/>
        </w:trPr>
        <w:tc>
          <w:tcPr>
            <w:tcW w:w="1250" w:type="pct"/>
            <w:tcBorders>
              <w:top w:val="single" w:color="auto" w:sz="4" w:space="0"/>
              <w:left w:val="single" w:color="auto" w:sz="4" w:space="0"/>
              <w:bottom w:val="single" w:color="auto" w:sz="4" w:space="0"/>
              <w:right w:val="single" w:color="auto" w:sz="4" w:space="0"/>
            </w:tcBorders>
            <w:noWrap w:val="0"/>
            <w:vAlign w:val="center"/>
          </w:tcPr>
          <w:p w14:paraId="3DAC213F">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行政规范性文件</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02DD6DC9">
            <w:pPr>
              <w:widowControl/>
              <w:jc w:val="center"/>
              <w:rPr>
                <w:rFonts w:hint="default" w:ascii="Times New Roman" w:hAnsi="Times New Roman" w:eastAsia="仿宋_GB2312" w:cs="Times New Roman"/>
                <w:color w:val="auto"/>
                <w:kern w:val="0"/>
                <w:szCs w:val="21"/>
                <w:lang w:eastAsia="zh-CN"/>
              </w:rPr>
            </w:pPr>
            <w:r>
              <w:rPr>
                <w:rFonts w:hint="eastAsia" w:eastAsia="仿宋_GB2312" w:cs="Times New Roman"/>
                <w:color w:val="auto"/>
                <w:kern w:val="0"/>
                <w:szCs w:val="21"/>
                <w:lang w:val="en-US" w:eastAsia="zh-CN"/>
              </w:rPr>
              <w:t>1</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070CEA14">
            <w:pPr>
              <w:widowControl/>
              <w:jc w:val="center"/>
              <w:rPr>
                <w:rFonts w:hint="default" w:ascii="Times New Roman" w:hAnsi="Times New Roman" w:eastAsia="仿宋_GB2312" w:cs="Times New Roman"/>
                <w:color w:val="auto"/>
                <w:kern w:val="0"/>
                <w:szCs w:val="21"/>
                <w:lang w:eastAsia="zh-CN"/>
              </w:rPr>
            </w:pPr>
            <w:r>
              <w:rPr>
                <w:rFonts w:hint="eastAsia" w:eastAsia="仿宋_GB2312" w:cs="Times New Roman"/>
                <w:color w:val="auto"/>
                <w:kern w:val="0"/>
                <w:szCs w:val="21"/>
                <w:lang w:val="en-US" w:eastAsia="zh-CN"/>
              </w:rPr>
              <w:t>4</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7BC2F75C">
            <w:pPr>
              <w:widowControl/>
              <w:jc w:val="center"/>
              <w:rPr>
                <w:rFonts w:hint="default" w:ascii="Times New Roman" w:hAnsi="Times New Roman" w:eastAsia="仿宋_GB2312" w:cs="Times New Roman"/>
                <w:color w:val="auto"/>
                <w:kern w:val="0"/>
                <w:szCs w:val="21"/>
                <w:lang w:val="en-US" w:eastAsia="zh-CN"/>
              </w:rPr>
            </w:pPr>
            <w:r>
              <w:rPr>
                <w:rFonts w:hint="eastAsia" w:eastAsia="仿宋_GB2312" w:cs="Times New Roman"/>
                <w:color w:val="auto"/>
                <w:kern w:val="0"/>
                <w:szCs w:val="21"/>
                <w:lang w:val="en-US" w:eastAsia="zh-CN"/>
              </w:rPr>
              <w:t>8</w:t>
            </w:r>
          </w:p>
        </w:tc>
      </w:tr>
      <w:tr w14:paraId="2A487710">
        <w:tblPrEx>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shd w:val="clear" w:color="000000" w:fill="C6D9F1"/>
            <w:noWrap w:val="0"/>
            <w:vAlign w:val="center"/>
          </w:tcPr>
          <w:p w14:paraId="71FD1C6E">
            <w:pPr>
              <w:widowControl/>
              <w:jc w:val="center"/>
              <w:rPr>
                <w:rFonts w:ascii="黑体" w:hAnsi="黑体" w:eastAsia="黑体" w:cs="宋体"/>
                <w:color w:val="0C0C0C"/>
                <w:kern w:val="0"/>
                <w:szCs w:val="21"/>
              </w:rPr>
            </w:pPr>
            <w:r>
              <w:rPr>
                <w:rFonts w:hint="eastAsia" w:ascii="黑体" w:hAnsi="黑体" w:eastAsia="黑体" w:cs="宋体"/>
                <w:color w:val="0C0C0C"/>
                <w:kern w:val="0"/>
                <w:szCs w:val="21"/>
              </w:rPr>
              <w:t>第二十条第（五）项</w:t>
            </w:r>
          </w:p>
        </w:tc>
      </w:tr>
      <w:tr w14:paraId="30F53F39">
        <w:tblPrEx>
          <w:tblCellMar>
            <w:top w:w="0" w:type="dxa"/>
            <w:left w:w="108" w:type="dxa"/>
            <w:bottom w:w="0" w:type="dxa"/>
            <w:right w:w="108" w:type="dxa"/>
          </w:tblCellMar>
        </w:tblPrEx>
        <w:trPr>
          <w:trHeight w:val="567" w:hRule="atLeast"/>
        </w:trPr>
        <w:tc>
          <w:tcPr>
            <w:tcW w:w="1250" w:type="pct"/>
            <w:tcBorders>
              <w:top w:val="single" w:color="auto" w:sz="4" w:space="0"/>
              <w:left w:val="single" w:color="auto" w:sz="4" w:space="0"/>
              <w:bottom w:val="single" w:color="auto" w:sz="4" w:space="0"/>
              <w:right w:val="single" w:color="auto" w:sz="4" w:space="0"/>
            </w:tcBorders>
            <w:noWrap w:val="0"/>
            <w:vAlign w:val="center"/>
          </w:tcPr>
          <w:p w14:paraId="76C2AE8E">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信息内容</w:t>
            </w:r>
          </w:p>
        </w:tc>
        <w:tc>
          <w:tcPr>
            <w:tcW w:w="3750" w:type="pct"/>
            <w:gridSpan w:val="3"/>
            <w:tcBorders>
              <w:top w:val="single" w:color="auto" w:sz="4" w:space="0"/>
              <w:left w:val="single" w:color="auto" w:sz="4" w:space="0"/>
              <w:bottom w:val="single" w:color="auto" w:sz="4" w:space="0"/>
              <w:right w:val="single" w:color="auto" w:sz="4" w:space="0"/>
            </w:tcBorders>
            <w:noWrap w:val="0"/>
            <w:vAlign w:val="center"/>
          </w:tcPr>
          <w:p w14:paraId="14DD6055">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本年处理决定数量</w:t>
            </w:r>
          </w:p>
        </w:tc>
      </w:tr>
      <w:tr w14:paraId="3F52FB13">
        <w:tblPrEx>
          <w:tblCellMar>
            <w:top w:w="0" w:type="dxa"/>
            <w:left w:w="108" w:type="dxa"/>
            <w:bottom w:w="0" w:type="dxa"/>
            <w:right w:w="108" w:type="dxa"/>
          </w:tblCellMar>
        </w:tblPrEx>
        <w:trPr>
          <w:trHeight w:val="567" w:hRule="atLeast"/>
        </w:trPr>
        <w:tc>
          <w:tcPr>
            <w:tcW w:w="1250" w:type="pct"/>
            <w:tcBorders>
              <w:top w:val="single" w:color="auto" w:sz="4" w:space="0"/>
              <w:left w:val="single" w:color="auto" w:sz="4" w:space="0"/>
              <w:bottom w:val="single" w:color="auto" w:sz="4" w:space="0"/>
              <w:right w:val="single" w:color="auto" w:sz="4" w:space="0"/>
            </w:tcBorders>
            <w:noWrap w:val="0"/>
            <w:vAlign w:val="center"/>
          </w:tcPr>
          <w:p w14:paraId="49D8BCBF">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行政许可</w:t>
            </w:r>
          </w:p>
        </w:tc>
        <w:tc>
          <w:tcPr>
            <w:tcW w:w="3750" w:type="pct"/>
            <w:gridSpan w:val="3"/>
            <w:tcBorders>
              <w:top w:val="single" w:color="auto" w:sz="4" w:space="0"/>
              <w:left w:val="single" w:color="auto" w:sz="4" w:space="0"/>
              <w:bottom w:val="single" w:color="auto" w:sz="4" w:space="0"/>
              <w:right w:val="single" w:color="auto" w:sz="4" w:space="0"/>
            </w:tcBorders>
            <w:noWrap w:val="0"/>
            <w:vAlign w:val="center"/>
          </w:tcPr>
          <w:p w14:paraId="01C4F595">
            <w:pPr>
              <w:widowControl/>
              <w:jc w:val="center"/>
              <w:rPr>
                <w:rFonts w:hint="default" w:ascii="仿宋_GB2312" w:hAnsi="Calibri" w:eastAsia="仿宋_GB2312" w:cs="Calibri"/>
                <w:color w:val="0C0C0C"/>
                <w:kern w:val="0"/>
                <w:szCs w:val="21"/>
                <w:lang w:val="en-US" w:eastAsia="zh-CN"/>
              </w:rPr>
            </w:pPr>
            <w:r>
              <w:rPr>
                <w:rFonts w:hint="default" w:ascii="Times New Roman" w:hAnsi="Times New Roman" w:eastAsia="仿宋_GB2312" w:cs="Times New Roman"/>
                <w:color w:val="auto"/>
                <w:kern w:val="0"/>
                <w:szCs w:val="21"/>
                <w:lang w:val="en-US" w:eastAsia="zh-CN"/>
              </w:rPr>
              <w:t>137485</w:t>
            </w:r>
          </w:p>
        </w:tc>
      </w:tr>
      <w:tr w14:paraId="6302EBCB">
        <w:tblPrEx>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shd w:val="clear" w:color="000000" w:fill="C6D9F1"/>
            <w:noWrap w:val="0"/>
            <w:vAlign w:val="center"/>
          </w:tcPr>
          <w:p w14:paraId="200F8635">
            <w:pPr>
              <w:widowControl/>
              <w:jc w:val="center"/>
              <w:rPr>
                <w:rFonts w:ascii="黑体" w:hAnsi="黑体" w:eastAsia="黑体" w:cs="宋体"/>
                <w:color w:val="0C0C0C"/>
                <w:kern w:val="0"/>
                <w:szCs w:val="21"/>
              </w:rPr>
            </w:pPr>
            <w:r>
              <w:rPr>
                <w:rFonts w:hint="eastAsia" w:ascii="黑体" w:hAnsi="黑体" w:eastAsia="黑体" w:cs="宋体"/>
                <w:color w:val="0C0C0C"/>
                <w:kern w:val="0"/>
                <w:szCs w:val="21"/>
              </w:rPr>
              <w:t>第二十条第（六）项</w:t>
            </w:r>
          </w:p>
        </w:tc>
      </w:tr>
      <w:tr w14:paraId="52D1406C">
        <w:tblPrEx>
          <w:tblCellMar>
            <w:top w:w="0" w:type="dxa"/>
            <w:left w:w="108" w:type="dxa"/>
            <w:bottom w:w="0" w:type="dxa"/>
            <w:right w:w="108" w:type="dxa"/>
          </w:tblCellMar>
        </w:tblPrEx>
        <w:trPr>
          <w:trHeight w:val="567" w:hRule="atLeast"/>
        </w:trPr>
        <w:tc>
          <w:tcPr>
            <w:tcW w:w="1250" w:type="pct"/>
            <w:tcBorders>
              <w:top w:val="single" w:color="auto" w:sz="4" w:space="0"/>
              <w:left w:val="single" w:color="auto" w:sz="8" w:space="0"/>
              <w:bottom w:val="single" w:color="auto" w:sz="8" w:space="0"/>
              <w:right w:val="single" w:color="auto" w:sz="8" w:space="0"/>
            </w:tcBorders>
            <w:noWrap w:val="0"/>
            <w:vAlign w:val="center"/>
          </w:tcPr>
          <w:p w14:paraId="7F0AA853">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信息内容</w:t>
            </w:r>
          </w:p>
        </w:tc>
        <w:tc>
          <w:tcPr>
            <w:tcW w:w="3750" w:type="pct"/>
            <w:gridSpan w:val="3"/>
            <w:tcBorders>
              <w:top w:val="single" w:color="auto" w:sz="4" w:space="0"/>
              <w:left w:val="nil"/>
              <w:bottom w:val="single" w:color="auto" w:sz="8" w:space="0"/>
              <w:right w:val="single" w:color="000000" w:sz="8" w:space="0"/>
            </w:tcBorders>
            <w:noWrap w:val="0"/>
            <w:vAlign w:val="center"/>
          </w:tcPr>
          <w:p w14:paraId="120E2BCF">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本年处理决定数量</w:t>
            </w:r>
          </w:p>
        </w:tc>
      </w:tr>
      <w:tr w14:paraId="05C5A180">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7D6B422C">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14:paraId="70200175">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4402</w:t>
            </w:r>
          </w:p>
        </w:tc>
      </w:tr>
      <w:tr w14:paraId="2FD253A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0CD80B35">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14:paraId="6F7703CD">
            <w:pPr>
              <w:widowControl/>
              <w:jc w:val="center"/>
              <w:rPr>
                <w:rFonts w:hint="default" w:ascii="Times New Roman" w:hAnsi="Times New Roman" w:eastAsia="仿宋_GB2312" w:cs="Times New Roman"/>
                <w:color w:val="auto"/>
                <w:kern w:val="0"/>
                <w:szCs w:val="21"/>
                <w:lang w:val="en-US" w:eastAsia="zh-CN"/>
              </w:rPr>
            </w:pPr>
            <w:r>
              <w:rPr>
                <w:rFonts w:hint="eastAsia" w:eastAsia="仿宋_GB2312" w:cs="Times New Roman"/>
                <w:color w:val="auto"/>
                <w:kern w:val="0"/>
                <w:szCs w:val="21"/>
                <w:lang w:val="en-US" w:eastAsia="zh-CN"/>
              </w:rPr>
              <w:t>155</w:t>
            </w:r>
          </w:p>
        </w:tc>
      </w:tr>
      <w:tr w14:paraId="05B40A1E">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1205A50F">
            <w:pPr>
              <w:widowControl/>
              <w:jc w:val="center"/>
              <w:rPr>
                <w:rFonts w:ascii="黑体" w:hAnsi="黑体" w:eastAsia="黑体" w:cs="宋体"/>
                <w:color w:val="0C0C0C"/>
                <w:kern w:val="0"/>
                <w:szCs w:val="21"/>
              </w:rPr>
            </w:pPr>
            <w:r>
              <w:rPr>
                <w:rFonts w:hint="eastAsia" w:ascii="黑体" w:hAnsi="黑体" w:eastAsia="黑体" w:cs="宋体"/>
                <w:color w:val="0C0C0C"/>
                <w:kern w:val="0"/>
                <w:szCs w:val="21"/>
              </w:rPr>
              <w:t>第二十条第（八）项</w:t>
            </w:r>
          </w:p>
        </w:tc>
      </w:tr>
      <w:tr w14:paraId="0E08AB9C">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79C8FF9E">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5D42BABB">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本年收费金额（单位：万元）</w:t>
            </w:r>
          </w:p>
        </w:tc>
      </w:tr>
      <w:tr w14:paraId="709E137E">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5735CF5B">
            <w:pPr>
              <w:widowControl/>
              <w:jc w:val="center"/>
              <w:rPr>
                <w:rFonts w:ascii="仿宋_GB2312" w:hAnsi="宋体" w:eastAsia="仿宋_GB2312" w:cs="宋体"/>
                <w:color w:val="0C0C0C"/>
                <w:kern w:val="0"/>
                <w:szCs w:val="21"/>
              </w:rPr>
            </w:pPr>
            <w:r>
              <w:rPr>
                <w:rFonts w:hint="eastAsia" w:ascii="仿宋_GB2312" w:hAnsi="宋体" w:eastAsia="仿宋_GB2312" w:cs="宋体"/>
                <w:color w:val="0C0C0C"/>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14:paraId="433E00A8">
            <w:pPr>
              <w:widowControl/>
              <w:jc w:val="center"/>
              <w:rPr>
                <w:rFonts w:hint="default" w:ascii="仿宋_GB2312" w:hAnsi="Calibri" w:eastAsia="仿宋_GB2312" w:cs="Calibri"/>
                <w:color w:val="0C0C0C"/>
                <w:kern w:val="0"/>
                <w:szCs w:val="21"/>
                <w:lang w:val="en-US" w:eastAsia="zh-CN"/>
              </w:rPr>
            </w:pPr>
            <w:r>
              <w:rPr>
                <w:rFonts w:hint="eastAsia" w:eastAsia="仿宋_GB2312" w:cs="Times New Roman"/>
                <w:color w:val="auto"/>
                <w:kern w:val="0"/>
                <w:szCs w:val="21"/>
                <w:lang w:val="en-US" w:eastAsia="zh-CN"/>
              </w:rPr>
              <w:t>2812</w:t>
            </w:r>
          </w:p>
        </w:tc>
      </w:tr>
    </w:tbl>
    <w:p w14:paraId="065320DE">
      <w:pPr>
        <w:spacing w:line="590" w:lineRule="exact"/>
        <w:ind w:right="-105" w:rightChars="-50" w:firstLine="643" w:firstLineChars="200"/>
        <w:rPr>
          <w:rFonts w:hint="eastAsia" w:ascii="方正黑体简体" w:hAnsi="方正黑体简体" w:eastAsia="方正黑体简体" w:cs="方正黑体简体"/>
          <w:b/>
          <w:color w:val="0C0C0C"/>
          <w:sz w:val="32"/>
          <w:szCs w:val="32"/>
        </w:rPr>
      </w:pPr>
      <w:r>
        <w:rPr>
          <w:rFonts w:hint="eastAsia" w:ascii="方正黑体简体" w:hAnsi="方正黑体简体" w:eastAsia="方正黑体简体" w:cs="方正黑体简体"/>
          <w:b/>
          <w:color w:val="0C0C0C"/>
          <w:sz w:val="32"/>
          <w:szCs w:val="32"/>
          <w:lang w:val="en-US" w:eastAsia="zh-CN"/>
        </w:rPr>
        <w:t>三、</w:t>
      </w:r>
      <w:r>
        <w:rPr>
          <w:rFonts w:hint="eastAsia" w:ascii="方正黑体简体" w:hAnsi="方正黑体简体" w:eastAsia="方正黑体简体" w:cs="方正黑体简体"/>
          <w:b/>
          <w:color w:val="0C0C0C"/>
          <w:sz w:val="32"/>
          <w:szCs w:val="32"/>
        </w:rPr>
        <w:t>收到和处理政府信息公开申请情况</w:t>
      </w:r>
    </w:p>
    <w:tbl>
      <w:tblPr>
        <w:tblStyle w:val="9"/>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996"/>
        <w:gridCol w:w="1121"/>
        <w:gridCol w:w="2976"/>
        <w:gridCol w:w="829"/>
        <w:gridCol w:w="567"/>
        <w:gridCol w:w="567"/>
        <w:gridCol w:w="731"/>
        <w:gridCol w:w="708"/>
        <w:gridCol w:w="567"/>
        <w:gridCol w:w="851"/>
      </w:tblGrid>
      <w:tr w14:paraId="02278E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14:paraId="7E470A0F">
            <w:pPr>
              <w:widowControl/>
              <w:jc w:val="center"/>
              <w:rPr>
                <w:rFonts w:ascii="楷体_GB2312" w:hAnsi="黑体" w:eastAsia="楷体_GB2312"/>
                <w:color w:val="0C0C0C"/>
                <w:kern w:val="0"/>
                <w:szCs w:val="21"/>
              </w:rPr>
            </w:pPr>
            <w:r>
              <w:rPr>
                <w:rFonts w:hint="eastAsia" w:ascii="楷体_GB2312" w:hAnsi="黑体" w:eastAsia="楷体_GB2312"/>
                <w:color w:val="0C0C0C"/>
                <w:kern w:val="0"/>
                <w:szCs w:val="21"/>
              </w:rPr>
              <w:t>（本列数据的勾稽关系为：第一项加第二项之和，</w:t>
            </w:r>
          </w:p>
          <w:p w14:paraId="3F0905D6">
            <w:pPr>
              <w:widowControl/>
              <w:jc w:val="center"/>
              <w:rPr>
                <w:rFonts w:ascii="仿宋_GB2312" w:hAnsi="Times New Roman" w:eastAsia="仿宋_GB2312"/>
                <w:color w:val="0C0C0C"/>
                <w:szCs w:val="21"/>
              </w:rPr>
            </w:pPr>
            <w:r>
              <w:rPr>
                <w:rFonts w:hint="eastAsia" w:ascii="楷体_GB2312" w:hAnsi="黑体" w:eastAsia="楷体_GB2312"/>
                <w:color w:val="0C0C0C"/>
                <w:kern w:val="0"/>
                <w:szCs w:val="21"/>
              </w:rPr>
              <w:t>等于第三项加第四项之和）</w:t>
            </w:r>
          </w:p>
        </w:tc>
        <w:tc>
          <w:tcPr>
            <w:tcW w:w="4820" w:type="dxa"/>
            <w:gridSpan w:val="7"/>
            <w:noWrap w:val="0"/>
            <w:tcMar>
              <w:left w:w="108" w:type="dxa"/>
              <w:right w:w="108" w:type="dxa"/>
            </w:tcMar>
            <w:vAlign w:val="center"/>
          </w:tcPr>
          <w:p w14:paraId="607FE7D8">
            <w:pPr>
              <w:widowControl/>
              <w:spacing w:line="320" w:lineRule="exact"/>
              <w:jc w:val="center"/>
              <w:rPr>
                <w:rFonts w:ascii="黑体" w:hAnsi="黑体" w:eastAsia="黑体"/>
                <w:color w:val="0C0C0C"/>
                <w:szCs w:val="21"/>
              </w:rPr>
            </w:pPr>
            <w:r>
              <w:rPr>
                <w:rFonts w:hint="eastAsia" w:ascii="黑体" w:hAnsi="黑体" w:eastAsia="黑体"/>
                <w:color w:val="0C0C0C"/>
                <w:kern w:val="0"/>
                <w:szCs w:val="21"/>
              </w:rPr>
              <w:t>申请人情况</w:t>
            </w:r>
          </w:p>
        </w:tc>
      </w:tr>
      <w:tr w14:paraId="261FBE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14:paraId="0579144C">
            <w:pPr>
              <w:jc w:val="center"/>
              <w:rPr>
                <w:rFonts w:ascii="仿宋_GB2312" w:hAnsi="Times New Roman" w:eastAsia="仿宋_GB2312"/>
                <w:color w:val="0C0C0C"/>
                <w:szCs w:val="21"/>
              </w:rPr>
            </w:pPr>
          </w:p>
        </w:tc>
        <w:tc>
          <w:tcPr>
            <w:tcW w:w="829" w:type="dxa"/>
            <w:vMerge w:val="restart"/>
            <w:noWrap w:val="0"/>
            <w:tcMar>
              <w:left w:w="108" w:type="dxa"/>
              <w:right w:w="108" w:type="dxa"/>
            </w:tcMar>
            <w:vAlign w:val="center"/>
          </w:tcPr>
          <w:p w14:paraId="6CE7023F">
            <w:pPr>
              <w:widowControl/>
              <w:jc w:val="center"/>
              <w:rPr>
                <w:rFonts w:ascii="黑体" w:hAnsi="黑体" w:eastAsia="黑体"/>
                <w:color w:val="0C0C0C"/>
                <w:szCs w:val="21"/>
              </w:rPr>
            </w:pPr>
            <w:r>
              <w:rPr>
                <w:rFonts w:hint="eastAsia" w:ascii="黑体" w:hAnsi="黑体" w:eastAsia="黑体"/>
                <w:color w:val="0C0C0C"/>
                <w:kern w:val="0"/>
                <w:szCs w:val="21"/>
              </w:rPr>
              <w:t>自然人</w:t>
            </w:r>
          </w:p>
        </w:tc>
        <w:tc>
          <w:tcPr>
            <w:tcW w:w="3140" w:type="dxa"/>
            <w:gridSpan w:val="5"/>
            <w:noWrap w:val="0"/>
            <w:tcMar>
              <w:left w:w="108" w:type="dxa"/>
              <w:right w:w="108" w:type="dxa"/>
            </w:tcMar>
            <w:vAlign w:val="center"/>
          </w:tcPr>
          <w:p w14:paraId="426B1C1A">
            <w:pPr>
              <w:widowControl/>
              <w:spacing w:line="320" w:lineRule="exact"/>
              <w:jc w:val="center"/>
              <w:rPr>
                <w:rFonts w:ascii="黑体" w:hAnsi="黑体" w:eastAsia="黑体"/>
                <w:color w:val="0C0C0C"/>
                <w:szCs w:val="21"/>
              </w:rPr>
            </w:pPr>
            <w:r>
              <w:rPr>
                <w:rFonts w:hint="eastAsia" w:ascii="黑体" w:hAnsi="黑体" w:eastAsia="黑体"/>
                <w:color w:val="0C0C0C"/>
                <w:kern w:val="0"/>
                <w:szCs w:val="21"/>
              </w:rPr>
              <w:t>法人或其他组织</w:t>
            </w:r>
          </w:p>
        </w:tc>
        <w:tc>
          <w:tcPr>
            <w:tcW w:w="851" w:type="dxa"/>
            <w:vMerge w:val="restart"/>
            <w:noWrap w:val="0"/>
            <w:tcMar>
              <w:left w:w="108" w:type="dxa"/>
              <w:right w:w="108" w:type="dxa"/>
            </w:tcMar>
            <w:vAlign w:val="center"/>
          </w:tcPr>
          <w:p w14:paraId="6DA7E9CF">
            <w:pPr>
              <w:widowControl/>
              <w:jc w:val="center"/>
              <w:rPr>
                <w:rFonts w:ascii="黑体" w:hAnsi="黑体" w:eastAsia="黑体"/>
                <w:color w:val="0C0C0C"/>
                <w:szCs w:val="21"/>
              </w:rPr>
            </w:pPr>
            <w:r>
              <w:rPr>
                <w:rFonts w:hint="eastAsia" w:ascii="黑体" w:hAnsi="黑体" w:eastAsia="黑体"/>
                <w:color w:val="0C0C0C"/>
                <w:kern w:val="0"/>
                <w:szCs w:val="21"/>
              </w:rPr>
              <w:t>总计</w:t>
            </w:r>
          </w:p>
        </w:tc>
      </w:tr>
      <w:tr w14:paraId="32F01E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14:paraId="0AEAC4B9">
            <w:pPr>
              <w:jc w:val="center"/>
              <w:rPr>
                <w:rFonts w:ascii="仿宋_GB2312" w:hAnsi="Times New Roman" w:eastAsia="仿宋_GB2312"/>
                <w:color w:val="0C0C0C"/>
                <w:szCs w:val="21"/>
              </w:rPr>
            </w:pPr>
          </w:p>
        </w:tc>
        <w:tc>
          <w:tcPr>
            <w:tcW w:w="829" w:type="dxa"/>
            <w:vMerge w:val="continue"/>
            <w:noWrap w:val="0"/>
            <w:tcMar>
              <w:left w:w="108" w:type="dxa"/>
              <w:right w:w="108" w:type="dxa"/>
            </w:tcMar>
            <w:vAlign w:val="center"/>
          </w:tcPr>
          <w:p w14:paraId="5CA4A072">
            <w:pPr>
              <w:jc w:val="center"/>
              <w:rPr>
                <w:rFonts w:ascii="黑体" w:hAnsi="黑体" w:eastAsia="黑体"/>
                <w:color w:val="0C0C0C"/>
                <w:szCs w:val="21"/>
              </w:rPr>
            </w:pPr>
          </w:p>
        </w:tc>
        <w:tc>
          <w:tcPr>
            <w:tcW w:w="567" w:type="dxa"/>
            <w:noWrap w:val="0"/>
            <w:tcMar>
              <w:left w:w="108" w:type="dxa"/>
              <w:right w:w="108" w:type="dxa"/>
            </w:tcMar>
            <w:vAlign w:val="center"/>
          </w:tcPr>
          <w:p w14:paraId="368CB2C5">
            <w:pPr>
              <w:widowControl/>
              <w:spacing w:line="320" w:lineRule="exact"/>
              <w:ind w:left="-106" w:leftChars="-51" w:right="-107" w:rightChars="-51" w:hanging="1" w:firstLineChars="0"/>
              <w:jc w:val="center"/>
              <w:rPr>
                <w:rFonts w:ascii="黑体" w:hAnsi="黑体" w:eastAsia="黑体"/>
                <w:color w:val="0C0C0C"/>
                <w:szCs w:val="21"/>
              </w:rPr>
            </w:pPr>
            <w:r>
              <w:rPr>
                <w:rFonts w:hint="eastAsia" w:ascii="黑体" w:hAnsi="黑体" w:eastAsia="黑体"/>
                <w:color w:val="0C0C0C"/>
                <w:kern w:val="0"/>
                <w:szCs w:val="21"/>
              </w:rPr>
              <w:t>商业企业</w:t>
            </w:r>
          </w:p>
        </w:tc>
        <w:tc>
          <w:tcPr>
            <w:tcW w:w="567" w:type="dxa"/>
            <w:noWrap w:val="0"/>
            <w:tcMar>
              <w:left w:w="108" w:type="dxa"/>
              <w:right w:w="108" w:type="dxa"/>
            </w:tcMar>
            <w:vAlign w:val="center"/>
          </w:tcPr>
          <w:p w14:paraId="39ADE7A9">
            <w:pPr>
              <w:widowControl/>
              <w:spacing w:line="320" w:lineRule="exact"/>
              <w:ind w:left="-107" w:leftChars="-51" w:right="-107" w:rightChars="-51"/>
              <w:jc w:val="center"/>
              <w:rPr>
                <w:rFonts w:ascii="黑体" w:hAnsi="黑体" w:eastAsia="黑体"/>
                <w:color w:val="0C0C0C"/>
                <w:szCs w:val="21"/>
              </w:rPr>
            </w:pPr>
            <w:r>
              <w:rPr>
                <w:rFonts w:hint="eastAsia" w:ascii="黑体" w:hAnsi="黑体" w:eastAsia="黑体"/>
                <w:color w:val="0C0C0C"/>
                <w:kern w:val="0"/>
                <w:szCs w:val="21"/>
              </w:rPr>
              <w:t>科研机构</w:t>
            </w:r>
          </w:p>
        </w:tc>
        <w:tc>
          <w:tcPr>
            <w:tcW w:w="731" w:type="dxa"/>
            <w:noWrap w:val="0"/>
            <w:tcMar>
              <w:left w:w="108" w:type="dxa"/>
              <w:right w:w="108" w:type="dxa"/>
            </w:tcMar>
            <w:vAlign w:val="center"/>
          </w:tcPr>
          <w:p w14:paraId="48F544E7">
            <w:pPr>
              <w:widowControl/>
              <w:spacing w:line="320" w:lineRule="exact"/>
              <w:ind w:left="-107" w:leftChars="-51" w:right="-107" w:rightChars="-51"/>
              <w:jc w:val="center"/>
              <w:rPr>
                <w:rFonts w:ascii="黑体" w:hAnsi="黑体" w:eastAsia="黑体"/>
                <w:color w:val="0C0C0C"/>
                <w:szCs w:val="21"/>
              </w:rPr>
            </w:pPr>
            <w:r>
              <w:rPr>
                <w:rFonts w:hint="eastAsia" w:ascii="黑体" w:hAnsi="黑体" w:eastAsia="黑体"/>
                <w:color w:val="0C0C0C"/>
                <w:kern w:val="0"/>
                <w:szCs w:val="21"/>
              </w:rPr>
              <w:t>社会公益组织</w:t>
            </w:r>
          </w:p>
        </w:tc>
        <w:tc>
          <w:tcPr>
            <w:tcW w:w="708" w:type="dxa"/>
            <w:noWrap w:val="0"/>
            <w:tcMar>
              <w:left w:w="108" w:type="dxa"/>
              <w:right w:w="108" w:type="dxa"/>
            </w:tcMar>
            <w:vAlign w:val="center"/>
          </w:tcPr>
          <w:p w14:paraId="760E74F5">
            <w:pPr>
              <w:widowControl/>
              <w:spacing w:line="320" w:lineRule="exact"/>
              <w:ind w:left="-106" w:leftChars="-51" w:right="-107" w:rightChars="-51" w:hanging="1" w:firstLineChars="0"/>
              <w:jc w:val="center"/>
              <w:rPr>
                <w:rFonts w:ascii="黑体" w:hAnsi="黑体" w:eastAsia="黑体"/>
                <w:color w:val="0C0C0C"/>
                <w:szCs w:val="21"/>
              </w:rPr>
            </w:pPr>
            <w:r>
              <w:rPr>
                <w:rFonts w:hint="eastAsia" w:ascii="黑体" w:hAnsi="黑体" w:eastAsia="黑体"/>
                <w:color w:val="0C0C0C"/>
                <w:kern w:val="0"/>
                <w:szCs w:val="21"/>
              </w:rPr>
              <w:t>法律服务机构</w:t>
            </w:r>
          </w:p>
        </w:tc>
        <w:tc>
          <w:tcPr>
            <w:tcW w:w="567" w:type="dxa"/>
            <w:noWrap w:val="0"/>
            <w:tcMar>
              <w:left w:w="108" w:type="dxa"/>
              <w:right w:w="108" w:type="dxa"/>
            </w:tcMar>
            <w:vAlign w:val="center"/>
          </w:tcPr>
          <w:p w14:paraId="5F6E6D10">
            <w:pPr>
              <w:widowControl/>
              <w:spacing w:line="360" w:lineRule="exact"/>
              <w:ind w:left="-63" w:leftChars="-30" w:right="-134" w:rightChars="-64"/>
              <w:jc w:val="center"/>
              <w:rPr>
                <w:rFonts w:ascii="黑体" w:hAnsi="黑体" w:eastAsia="黑体"/>
                <w:color w:val="0C0C0C"/>
                <w:szCs w:val="21"/>
              </w:rPr>
            </w:pPr>
            <w:r>
              <w:rPr>
                <w:rFonts w:hint="eastAsia" w:ascii="黑体" w:hAnsi="黑体" w:eastAsia="黑体"/>
                <w:color w:val="0C0C0C"/>
                <w:kern w:val="0"/>
                <w:szCs w:val="21"/>
              </w:rPr>
              <w:t>其他</w:t>
            </w:r>
          </w:p>
        </w:tc>
        <w:tc>
          <w:tcPr>
            <w:tcW w:w="851" w:type="dxa"/>
            <w:vMerge w:val="continue"/>
            <w:noWrap w:val="0"/>
            <w:tcMar>
              <w:left w:w="108" w:type="dxa"/>
              <w:right w:w="108" w:type="dxa"/>
            </w:tcMar>
            <w:vAlign w:val="center"/>
          </w:tcPr>
          <w:p w14:paraId="35534812">
            <w:pPr>
              <w:jc w:val="center"/>
              <w:rPr>
                <w:rFonts w:ascii="仿宋_GB2312" w:hAnsi="Times New Roman" w:eastAsia="仿宋_GB2312"/>
                <w:color w:val="0C0C0C"/>
                <w:szCs w:val="21"/>
              </w:rPr>
            </w:pPr>
          </w:p>
        </w:tc>
      </w:tr>
      <w:tr w14:paraId="3D2898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50B80C97">
            <w:pPr>
              <w:widowControl/>
              <w:rPr>
                <w:rFonts w:ascii="黑体" w:hAnsi="黑体" w:eastAsia="黑体"/>
                <w:color w:val="0C0C0C"/>
                <w:szCs w:val="21"/>
              </w:rPr>
            </w:pPr>
            <w:r>
              <w:rPr>
                <w:rFonts w:hint="eastAsia" w:ascii="黑体" w:hAnsi="黑体" w:eastAsia="黑体"/>
                <w:color w:val="0C0C0C"/>
                <w:kern w:val="0"/>
                <w:szCs w:val="21"/>
              </w:rPr>
              <w:t>一、</w:t>
            </w:r>
            <w:bookmarkStart w:id="0" w:name="_Hlk66973412"/>
            <w:r>
              <w:rPr>
                <w:rFonts w:hint="eastAsia" w:ascii="黑体" w:hAnsi="黑体" w:eastAsia="黑体"/>
                <w:color w:val="0C0C0C"/>
                <w:kern w:val="0"/>
                <w:szCs w:val="21"/>
              </w:rPr>
              <w:t>本年新收政府信息公开申请数量</w:t>
            </w:r>
            <w:bookmarkEnd w:id="0"/>
          </w:p>
        </w:tc>
        <w:tc>
          <w:tcPr>
            <w:tcW w:w="829" w:type="dxa"/>
            <w:noWrap w:val="0"/>
            <w:tcMar>
              <w:left w:w="108" w:type="dxa"/>
              <w:right w:w="108" w:type="dxa"/>
            </w:tcMar>
            <w:vAlign w:val="bottom"/>
          </w:tcPr>
          <w:p w14:paraId="231916A8">
            <w:pPr>
              <w:widowControl/>
              <w:spacing w:after="180"/>
              <w:jc w:val="center"/>
              <w:rPr>
                <w:rFonts w:hint="default" w:ascii="Times New Roman" w:hAnsi="Times New Roman" w:eastAsia="仿宋_GB2312" w:cs="Times New Roman"/>
                <w:color w:val="auto"/>
                <w:szCs w:val="21"/>
                <w:lang w:val="en-US"/>
              </w:rPr>
            </w:pPr>
            <w:r>
              <w:rPr>
                <w:rFonts w:hint="eastAsia" w:eastAsia="仿宋_GB2312" w:cs="Times New Roman"/>
                <w:color w:val="auto"/>
                <w:szCs w:val="21"/>
                <w:lang w:val="en-US" w:eastAsia="zh-CN"/>
              </w:rPr>
              <w:t>67</w:t>
            </w:r>
          </w:p>
        </w:tc>
        <w:tc>
          <w:tcPr>
            <w:tcW w:w="567" w:type="dxa"/>
            <w:noWrap w:val="0"/>
            <w:tcMar>
              <w:left w:w="108" w:type="dxa"/>
              <w:right w:w="108" w:type="dxa"/>
            </w:tcMar>
            <w:vAlign w:val="bottom"/>
          </w:tcPr>
          <w:p w14:paraId="431E9B4D">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14:paraId="4842D69A">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bottom"/>
          </w:tcPr>
          <w:p w14:paraId="26B0B4BA">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bottom"/>
          </w:tcPr>
          <w:p w14:paraId="64511E90">
            <w:pPr>
              <w:widowControl/>
              <w:spacing w:after="180"/>
              <w:jc w:val="center"/>
              <w:rPr>
                <w:rFonts w:hint="default" w:ascii="Times New Roman" w:hAnsi="Times New Roman" w:eastAsia="仿宋_GB2312" w:cs="Times New Roman"/>
                <w:color w:val="auto"/>
                <w:szCs w:val="21"/>
              </w:rPr>
            </w:pPr>
            <w:r>
              <w:rPr>
                <w:rFonts w:hint="eastAsia" w:eastAsia="仿宋_GB2312" w:cs="Times New Roman"/>
                <w:color w:val="auto"/>
                <w:szCs w:val="21"/>
                <w:lang w:val="en-US" w:eastAsia="zh-CN"/>
              </w:rPr>
              <w:t>2</w:t>
            </w:r>
          </w:p>
        </w:tc>
        <w:tc>
          <w:tcPr>
            <w:tcW w:w="567" w:type="dxa"/>
            <w:noWrap w:val="0"/>
            <w:tcMar>
              <w:left w:w="108" w:type="dxa"/>
              <w:right w:w="108" w:type="dxa"/>
            </w:tcMar>
            <w:vAlign w:val="bottom"/>
          </w:tcPr>
          <w:p w14:paraId="60DEF4ED">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bottom"/>
          </w:tcPr>
          <w:p w14:paraId="030F30CE">
            <w:pPr>
              <w:widowControl/>
              <w:spacing w:after="180"/>
              <w:jc w:val="center"/>
              <w:rPr>
                <w:rFonts w:hint="default" w:ascii="Times New Roman" w:hAnsi="Times New Roman" w:eastAsia="仿宋_GB2312" w:cs="Times New Roman"/>
                <w:color w:val="auto"/>
                <w:szCs w:val="21"/>
                <w:lang w:val="en-US"/>
              </w:rPr>
            </w:pPr>
            <w:r>
              <w:rPr>
                <w:rFonts w:hint="eastAsia" w:eastAsia="仿宋_GB2312" w:cs="Times New Roman"/>
                <w:color w:val="auto"/>
                <w:szCs w:val="21"/>
                <w:lang w:val="en-US" w:eastAsia="zh-CN"/>
              </w:rPr>
              <w:t>69</w:t>
            </w:r>
          </w:p>
        </w:tc>
      </w:tr>
      <w:tr w14:paraId="7B849B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2F1A91E3">
            <w:pPr>
              <w:widowControl/>
              <w:rPr>
                <w:rFonts w:ascii="黑体" w:hAnsi="黑体" w:eastAsia="黑体"/>
                <w:color w:val="0C0C0C"/>
                <w:szCs w:val="21"/>
              </w:rPr>
            </w:pPr>
            <w:r>
              <w:rPr>
                <w:rFonts w:hint="eastAsia" w:ascii="黑体" w:hAnsi="黑体" w:eastAsia="黑体"/>
                <w:color w:val="0C0C0C"/>
                <w:kern w:val="0"/>
                <w:szCs w:val="21"/>
              </w:rPr>
              <w:t>二、上年结转政府信息公开申请数量</w:t>
            </w:r>
          </w:p>
        </w:tc>
        <w:tc>
          <w:tcPr>
            <w:tcW w:w="829" w:type="dxa"/>
            <w:noWrap w:val="0"/>
            <w:tcMar>
              <w:left w:w="108" w:type="dxa"/>
              <w:right w:w="108" w:type="dxa"/>
            </w:tcMar>
            <w:vAlign w:val="bottom"/>
          </w:tcPr>
          <w:p w14:paraId="483C3BBB">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52C8532C">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3493E0EF">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14:paraId="36D69A66">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14:paraId="1748A3E2">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024CB4EA">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14:paraId="3ECA6D7D">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14:paraId="742653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96" w:type="dxa"/>
            <w:vMerge w:val="restart"/>
            <w:noWrap w:val="0"/>
            <w:tcMar>
              <w:left w:w="108" w:type="dxa"/>
              <w:right w:w="108" w:type="dxa"/>
            </w:tcMar>
            <w:vAlign w:val="center"/>
          </w:tcPr>
          <w:p w14:paraId="6C081464">
            <w:pPr>
              <w:widowControl/>
              <w:spacing w:after="180"/>
              <w:rPr>
                <w:rFonts w:ascii="黑体" w:hAnsi="黑体" w:eastAsia="黑体"/>
                <w:color w:val="0C0C0C"/>
                <w:szCs w:val="21"/>
              </w:rPr>
            </w:pPr>
            <w:r>
              <w:rPr>
                <w:rFonts w:hint="eastAsia" w:ascii="黑体" w:hAnsi="黑体" w:eastAsia="黑体"/>
                <w:color w:val="0C0C0C"/>
                <w:kern w:val="0"/>
                <w:szCs w:val="21"/>
              </w:rPr>
              <w:t>三、本年度办理结果</w:t>
            </w:r>
          </w:p>
        </w:tc>
        <w:tc>
          <w:tcPr>
            <w:tcW w:w="4097" w:type="dxa"/>
            <w:gridSpan w:val="2"/>
            <w:noWrap w:val="0"/>
            <w:tcMar>
              <w:left w:w="108" w:type="dxa"/>
              <w:right w:w="108" w:type="dxa"/>
            </w:tcMar>
            <w:vAlign w:val="center"/>
          </w:tcPr>
          <w:p w14:paraId="3B6EF1D3">
            <w:pPr>
              <w:widowControl/>
              <w:rPr>
                <w:rFonts w:ascii="黑体" w:hAnsi="黑体" w:eastAsia="黑体"/>
                <w:color w:val="0C0C0C"/>
                <w:szCs w:val="21"/>
              </w:rPr>
            </w:pPr>
            <w:r>
              <w:rPr>
                <w:rFonts w:hint="eastAsia" w:ascii="黑体" w:hAnsi="黑体" w:eastAsia="黑体"/>
                <w:color w:val="0C0C0C"/>
                <w:kern w:val="0"/>
                <w:szCs w:val="21"/>
              </w:rPr>
              <w:t>（一）予以公开</w:t>
            </w:r>
          </w:p>
        </w:tc>
        <w:tc>
          <w:tcPr>
            <w:tcW w:w="829" w:type="dxa"/>
            <w:noWrap w:val="0"/>
            <w:tcMar>
              <w:left w:w="108" w:type="dxa"/>
              <w:right w:w="108" w:type="dxa"/>
            </w:tcMar>
            <w:vAlign w:val="bottom"/>
          </w:tcPr>
          <w:p w14:paraId="69464168">
            <w:pPr>
              <w:widowControl/>
              <w:spacing w:after="180"/>
              <w:jc w:val="center"/>
              <w:rPr>
                <w:rFonts w:hint="default" w:ascii="Times New Roman" w:hAnsi="Times New Roman" w:eastAsia="仿宋_GB2312" w:cs="Times New Roman"/>
                <w:color w:val="0C0C0C"/>
                <w:szCs w:val="21"/>
                <w:lang w:val="en-US"/>
              </w:rPr>
            </w:pPr>
            <w:r>
              <w:rPr>
                <w:rFonts w:hint="eastAsia" w:eastAsia="仿宋_GB2312" w:cs="Times New Roman"/>
                <w:color w:val="0C0C0C"/>
                <w:szCs w:val="21"/>
                <w:lang w:val="en-US" w:eastAsia="zh-CN"/>
              </w:rPr>
              <w:t>38</w:t>
            </w:r>
          </w:p>
        </w:tc>
        <w:tc>
          <w:tcPr>
            <w:tcW w:w="567" w:type="dxa"/>
            <w:noWrap w:val="0"/>
            <w:tcMar>
              <w:left w:w="108" w:type="dxa"/>
              <w:right w:w="108" w:type="dxa"/>
            </w:tcMar>
            <w:vAlign w:val="bottom"/>
          </w:tcPr>
          <w:p w14:paraId="4C7BFDBA">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6A394687">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14:paraId="3F2EE414">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14:paraId="07576CFB">
            <w:pPr>
              <w:widowControl/>
              <w:spacing w:after="180"/>
              <w:jc w:val="center"/>
              <w:rPr>
                <w:rFonts w:hint="default" w:ascii="Times New Roman" w:hAnsi="Times New Roman" w:eastAsia="仿宋_GB2312" w:cs="Times New Roman"/>
                <w:color w:val="0C0C0C"/>
                <w:szCs w:val="21"/>
              </w:rPr>
            </w:pPr>
            <w:r>
              <w:rPr>
                <w:rFonts w:hint="eastAsia" w:eastAsia="仿宋_GB2312" w:cs="Times New Roman"/>
                <w:color w:val="0C0C0C"/>
                <w:szCs w:val="21"/>
                <w:lang w:val="en-US" w:eastAsia="zh-CN"/>
              </w:rPr>
              <w:t>1</w:t>
            </w:r>
          </w:p>
        </w:tc>
        <w:tc>
          <w:tcPr>
            <w:tcW w:w="567" w:type="dxa"/>
            <w:noWrap w:val="0"/>
            <w:tcMar>
              <w:left w:w="108" w:type="dxa"/>
              <w:right w:w="108" w:type="dxa"/>
            </w:tcMar>
            <w:vAlign w:val="bottom"/>
          </w:tcPr>
          <w:p w14:paraId="7782F3B4">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14:paraId="3B8B8D91">
            <w:pPr>
              <w:widowControl/>
              <w:spacing w:after="180"/>
              <w:jc w:val="center"/>
              <w:rPr>
                <w:rFonts w:hint="default" w:ascii="Times New Roman" w:hAnsi="Times New Roman" w:eastAsia="仿宋_GB2312" w:cs="Times New Roman"/>
                <w:color w:val="0C0C0C"/>
                <w:szCs w:val="21"/>
                <w:lang w:val="en-US"/>
              </w:rPr>
            </w:pPr>
            <w:r>
              <w:rPr>
                <w:rFonts w:hint="eastAsia" w:eastAsia="仿宋_GB2312" w:cs="Times New Roman"/>
                <w:color w:val="0C0C0C"/>
                <w:szCs w:val="21"/>
                <w:lang w:val="en-US" w:eastAsia="zh-CN"/>
              </w:rPr>
              <w:t>39</w:t>
            </w:r>
          </w:p>
        </w:tc>
      </w:tr>
      <w:tr w14:paraId="51A622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96" w:type="dxa"/>
            <w:vMerge w:val="continue"/>
            <w:noWrap w:val="0"/>
            <w:tcMar>
              <w:left w:w="108" w:type="dxa"/>
              <w:right w:w="108" w:type="dxa"/>
            </w:tcMar>
            <w:vAlign w:val="center"/>
          </w:tcPr>
          <w:p w14:paraId="1ED3FE86">
            <w:pPr>
              <w:rPr>
                <w:rFonts w:ascii="黑体" w:hAnsi="黑体" w:eastAsia="黑体"/>
                <w:color w:val="0C0C0C"/>
                <w:szCs w:val="21"/>
              </w:rPr>
            </w:pPr>
          </w:p>
        </w:tc>
        <w:tc>
          <w:tcPr>
            <w:tcW w:w="4097" w:type="dxa"/>
            <w:gridSpan w:val="2"/>
            <w:noWrap w:val="0"/>
            <w:tcMar>
              <w:left w:w="108" w:type="dxa"/>
              <w:right w:w="108" w:type="dxa"/>
            </w:tcMar>
            <w:vAlign w:val="center"/>
          </w:tcPr>
          <w:p w14:paraId="11D985F5">
            <w:pPr>
              <w:widowControl/>
              <w:rPr>
                <w:rFonts w:ascii="黑体" w:hAnsi="黑体" w:eastAsia="黑体"/>
                <w:color w:val="0C0C0C"/>
                <w:szCs w:val="21"/>
              </w:rPr>
            </w:pPr>
            <w:r>
              <w:rPr>
                <w:rFonts w:hint="eastAsia" w:ascii="黑体" w:hAnsi="黑体" w:eastAsia="黑体"/>
                <w:color w:val="0C0C0C"/>
                <w:kern w:val="0"/>
                <w:szCs w:val="21"/>
              </w:rPr>
              <w:t>（二）部分公开（</w:t>
            </w:r>
            <w:bookmarkStart w:id="1" w:name="_Hlk66973981"/>
            <w:r>
              <w:rPr>
                <w:rFonts w:hint="eastAsia" w:ascii="黑体" w:hAnsi="黑体" w:eastAsia="黑体"/>
                <w:color w:val="0C0C0C"/>
                <w:kern w:val="0"/>
                <w:szCs w:val="21"/>
              </w:rPr>
              <w:t>区分处理的，只计这一情形，不计其他情形</w:t>
            </w:r>
            <w:bookmarkEnd w:id="1"/>
            <w:r>
              <w:rPr>
                <w:rFonts w:hint="eastAsia" w:ascii="黑体" w:hAnsi="黑体" w:eastAsia="黑体"/>
                <w:color w:val="0C0C0C"/>
                <w:kern w:val="0"/>
                <w:szCs w:val="21"/>
              </w:rPr>
              <w:t>）</w:t>
            </w:r>
          </w:p>
        </w:tc>
        <w:tc>
          <w:tcPr>
            <w:tcW w:w="829" w:type="dxa"/>
            <w:noWrap w:val="0"/>
            <w:tcMar>
              <w:left w:w="108" w:type="dxa"/>
              <w:right w:w="108" w:type="dxa"/>
            </w:tcMar>
            <w:vAlign w:val="bottom"/>
          </w:tcPr>
          <w:p w14:paraId="1110D035">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23EC633A">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03BEFFB9">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14:paraId="2F433005">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14:paraId="62178E07">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3804672A">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14:paraId="30FAB58D">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14:paraId="1A6A5E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14:paraId="76EF73C4">
            <w:pPr>
              <w:rPr>
                <w:rFonts w:ascii="黑体" w:hAnsi="黑体" w:eastAsia="黑体"/>
                <w:color w:val="0C0C0C"/>
                <w:szCs w:val="21"/>
              </w:rPr>
            </w:pPr>
          </w:p>
        </w:tc>
        <w:tc>
          <w:tcPr>
            <w:tcW w:w="1121" w:type="dxa"/>
            <w:vMerge w:val="restart"/>
            <w:noWrap w:val="0"/>
            <w:tcMar>
              <w:left w:w="108" w:type="dxa"/>
              <w:right w:w="108" w:type="dxa"/>
            </w:tcMar>
            <w:vAlign w:val="center"/>
          </w:tcPr>
          <w:p w14:paraId="1F12A7FF">
            <w:pPr>
              <w:widowControl/>
              <w:spacing w:line="200" w:lineRule="exact"/>
              <w:ind w:left="-107" w:leftChars="-51"/>
              <w:rPr>
                <w:rFonts w:ascii="黑体" w:hAnsi="黑体" w:eastAsia="黑体"/>
                <w:color w:val="0C0C0C"/>
                <w:szCs w:val="21"/>
              </w:rPr>
            </w:pPr>
            <w:r>
              <w:rPr>
                <w:rFonts w:hint="eastAsia" w:ascii="黑体" w:hAnsi="黑体" w:eastAsia="黑体"/>
                <w:color w:val="0C0C0C"/>
                <w:kern w:val="0"/>
                <w:szCs w:val="21"/>
              </w:rPr>
              <w:t>（三）不予公开</w:t>
            </w:r>
          </w:p>
        </w:tc>
        <w:tc>
          <w:tcPr>
            <w:tcW w:w="2976" w:type="dxa"/>
            <w:noWrap w:val="0"/>
            <w:tcMar>
              <w:left w:w="108" w:type="dxa"/>
              <w:right w:w="108" w:type="dxa"/>
            </w:tcMar>
            <w:vAlign w:val="center"/>
          </w:tcPr>
          <w:p w14:paraId="7D7DF04E">
            <w:pPr>
              <w:widowControl/>
              <w:spacing w:line="200" w:lineRule="exact"/>
              <w:rPr>
                <w:rFonts w:ascii="仿宋_GB2312" w:hAnsi="黑体" w:eastAsia="仿宋_GB2312"/>
                <w:color w:val="0C0C0C"/>
                <w:kern w:val="0"/>
                <w:szCs w:val="21"/>
              </w:rPr>
            </w:pPr>
            <w:r>
              <w:rPr>
                <w:rFonts w:hint="eastAsia" w:ascii="仿宋_GB2312" w:hAnsi="黑体" w:eastAsia="仿宋_GB2312"/>
                <w:color w:val="0C0C0C"/>
                <w:kern w:val="0"/>
                <w:szCs w:val="21"/>
              </w:rPr>
              <w:t>1.属于国家秘密</w:t>
            </w:r>
          </w:p>
        </w:tc>
        <w:tc>
          <w:tcPr>
            <w:tcW w:w="829" w:type="dxa"/>
            <w:noWrap w:val="0"/>
            <w:tcMar>
              <w:left w:w="108" w:type="dxa"/>
              <w:right w:w="108" w:type="dxa"/>
            </w:tcMar>
            <w:vAlign w:val="bottom"/>
          </w:tcPr>
          <w:p w14:paraId="717C030B">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6D11F273">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4C286293">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14:paraId="2406CC19">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14:paraId="7C74A4F2">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5A97B177">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14:paraId="6D538056">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14:paraId="125B19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14:paraId="0025D815">
            <w:pPr>
              <w:rPr>
                <w:rFonts w:ascii="黑体" w:hAnsi="黑体" w:eastAsia="黑体"/>
                <w:color w:val="0C0C0C"/>
                <w:szCs w:val="21"/>
              </w:rPr>
            </w:pPr>
          </w:p>
        </w:tc>
        <w:tc>
          <w:tcPr>
            <w:tcW w:w="1121" w:type="dxa"/>
            <w:vMerge w:val="continue"/>
            <w:noWrap w:val="0"/>
            <w:tcMar>
              <w:left w:w="108" w:type="dxa"/>
              <w:right w:w="108" w:type="dxa"/>
            </w:tcMar>
            <w:vAlign w:val="center"/>
          </w:tcPr>
          <w:p w14:paraId="0D8FDF3E">
            <w:pPr>
              <w:spacing w:line="200" w:lineRule="exact"/>
              <w:rPr>
                <w:rFonts w:ascii="黑体" w:hAnsi="黑体" w:eastAsia="黑体"/>
                <w:color w:val="0C0C0C"/>
                <w:szCs w:val="21"/>
              </w:rPr>
            </w:pPr>
          </w:p>
        </w:tc>
        <w:tc>
          <w:tcPr>
            <w:tcW w:w="2976" w:type="dxa"/>
            <w:noWrap w:val="0"/>
            <w:tcMar>
              <w:left w:w="108" w:type="dxa"/>
              <w:right w:w="108" w:type="dxa"/>
            </w:tcMar>
            <w:vAlign w:val="center"/>
          </w:tcPr>
          <w:p w14:paraId="6725C454">
            <w:pPr>
              <w:widowControl/>
              <w:spacing w:line="200" w:lineRule="exact"/>
              <w:rPr>
                <w:rFonts w:ascii="仿宋_GB2312" w:hAnsi="黑体" w:eastAsia="仿宋_GB2312"/>
                <w:color w:val="0C0C0C"/>
                <w:kern w:val="0"/>
                <w:szCs w:val="21"/>
              </w:rPr>
            </w:pPr>
            <w:r>
              <w:rPr>
                <w:rFonts w:hint="eastAsia" w:ascii="仿宋_GB2312" w:hAnsi="黑体" w:eastAsia="仿宋_GB2312"/>
                <w:color w:val="0C0C0C"/>
                <w:kern w:val="0"/>
                <w:szCs w:val="21"/>
              </w:rPr>
              <w:t>2.</w:t>
            </w:r>
            <w:bookmarkStart w:id="2" w:name="_Hlk66974104"/>
            <w:r>
              <w:rPr>
                <w:rFonts w:hint="eastAsia" w:ascii="仿宋_GB2312" w:hAnsi="黑体" w:eastAsia="仿宋_GB2312"/>
                <w:color w:val="0C0C0C"/>
                <w:kern w:val="0"/>
                <w:szCs w:val="21"/>
              </w:rPr>
              <w:t>其他法律行政法规禁止公开</w:t>
            </w:r>
            <w:bookmarkEnd w:id="2"/>
          </w:p>
        </w:tc>
        <w:tc>
          <w:tcPr>
            <w:tcW w:w="829" w:type="dxa"/>
            <w:noWrap w:val="0"/>
            <w:tcMar>
              <w:left w:w="108" w:type="dxa"/>
              <w:right w:w="108" w:type="dxa"/>
            </w:tcMar>
            <w:vAlign w:val="bottom"/>
          </w:tcPr>
          <w:p w14:paraId="51C7D372">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6B271C81">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354E0349">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14:paraId="1A23CEA3">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14:paraId="6DD88155">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1A8583CE">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14:paraId="7F783B4A">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14:paraId="24338A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14:paraId="67FE04BB">
            <w:pPr>
              <w:rPr>
                <w:rFonts w:ascii="黑体" w:hAnsi="黑体" w:eastAsia="黑体"/>
                <w:color w:val="0C0C0C"/>
                <w:szCs w:val="21"/>
              </w:rPr>
            </w:pPr>
          </w:p>
        </w:tc>
        <w:tc>
          <w:tcPr>
            <w:tcW w:w="1121" w:type="dxa"/>
            <w:vMerge w:val="continue"/>
            <w:noWrap w:val="0"/>
            <w:tcMar>
              <w:left w:w="108" w:type="dxa"/>
              <w:right w:w="108" w:type="dxa"/>
            </w:tcMar>
            <w:vAlign w:val="center"/>
          </w:tcPr>
          <w:p w14:paraId="19EDAF3F">
            <w:pPr>
              <w:spacing w:line="200" w:lineRule="exact"/>
              <w:rPr>
                <w:rFonts w:ascii="黑体" w:hAnsi="黑体" w:eastAsia="黑体"/>
                <w:color w:val="0C0C0C"/>
                <w:szCs w:val="21"/>
              </w:rPr>
            </w:pPr>
          </w:p>
        </w:tc>
        <w:tc>
          <w:tcPr>
            <w:tcW w:w="2976" w:type="dxa"/>
            <w:noWrap w:val="0"/>
            <w:tcMar>
              <w:left w:w="108" w:type="dxa"/>
              <w:right w:w="108" w:type="dxa"/>
            </w:tcMar>
            <w:vAlign w:val="center"/>
          </w:tcPr>
          <w:p w14:paraId="2A8DD790">
            <w:pPr>
              <w:widowControl/>
              <w:spacing w:line="200" w:lineRule="exact"/>
              <w:rPr>
                <w:rFonts w:ascii="仿宋_GB2312" w:hAnsi="黑体" w:eastAsia="仿宋_GB2312"/>
                <w:color w:val="0C0C0C"/>
                <w:kern w:val="0"/>
                <w:szCs w:val="21"/>
              </w:rPr>
            </w:pPr>
            <w:r>
              <w:rPr>
                <w:rFonts w:hint="eastAsia" w:ascii="仿宋_GB2312" w:hAnsi="黑体" w:eastAsia="仿宋_GB2312"/>
                <w:color w:val="0C0C0C"/>
                <w:kern w:val="0"/>
                <w:szCs w:val="21"/>
              </w:rPr>
              <w:t>3.危及“三安全一稳定”</w:t>
            </w:r>
          </w:p>
        </w:tc>
        <w:tc>
          <w:tcPr>
            <w:tcW w:w="829" w:type="dxa"/>
            <w:noWrap w:val="0"/>
            <w:tcMar>
              <w:left w:w="108" w:type="dxa"/>
              <w:right w:w="108" w:type="dxa"/>
            </w:tcMar>
            <w:vAlign w:val="bottom"/>
          </w:tcPr>
          <w:p w14:paraId="31F4D7E2">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1C273469">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760DB445">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14:paraId="0838819A">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14:paraId="7D0AAACE">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0300A756">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14:paraId="451D319F">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14:paraId="499714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14:paraId="10E16B2B">
            <w:pPr>
              <w:rPr>
                <w:rFonts w:ascii="黑体" w:hAnsi="黑体" w:eastAsia="黑体"/>
                <w:color w:val="0C0C0C"/>
                <w:szCs w:val="21"/>
              </w:rPr>
            </w:pPr>
          </w:p>
        </w:tc>
        <w:tc>
          <w:tcPr>
            <w:tcW w:w="1121" w:type="dxa"/>
            <w:vMerge w:val="continue"/>
            <w:noWrap w:val="0"/>
            <w:tcMar>
              <w:left w:w="108" w:type="dxa"/>
              <w:right w:w="108" w:type="dxa"/>
            </w:tcMar>
            <w:vAlign w:val="center"/>
          </w:tcPr>
          <w:p w14:paraId="74641328">
            <w:pPr>
              <w:spacing w:line="200" w:lineRule="exact"/>
              <w:rPr>
                <w:rFonts w:ascii="黑体" w:hAnsi="黑体" w:eastAsia="黑体"/>
                <w:color w:val="0C0C0C"/>
                <w:szCs w:val="21"/>
              </w:rPr>
            </w:pPr>
          </w:p>
        </w:tc>
        <w:tc>
          <w:tcPr>
            <w:tcW w:w="2976" w:type="dxa"/>
            <w:noWrap w:val="0"/>
            <w:tcMar>
              <w:left w:w="108" w:type="dxa"/>
              <w:right w:w="108" w:type="dxa"/>
            </w:tcMar>
            <w:vAlign w:val="center"/>
          </w:tcPr>
          <w:p w14:paraId="59A60CB4">
            <w:pPr>
              <w:widowControl/>
              <w:spacing w:line="200" w:lineRule="exact"/>
              <w:rPr>
                <w:rFonts w:ascii="仿宋_GB2312" w:hAnsi="黑体" w:eastAsia="仿宋_GB2312"/>
                <w:color w:val="0C0C0C"/>
                <w:kern w:val="0"/>
                <w:szCs w:val="21"/>
              </w:rPr>
            </w:pPr>
            <w:r>
              <w:rPr>
                <w:rFonts w:hint="eastAsia" w:ascii="仿宋_GB2312" w:hAnsi="黑体" w:eastAsia="仿宋_GB2312"/>
                <w:color w:val="0C0C0C"/>
                <w:kern w:val="0"/>
                <w:szCs w:val="21"/>
              </w:rPr>
              <w:t>4.</w:t>
            </w:r>
            <w:bookmarkStart w:id="3" w:name="_Hlk66974290"/>
            <w:r>
              <w:rPr>
                <w:rFonts w:hint="eastAsia" w:ascii="仿宋_GB2312" w:hAnsi="黑体" w:eastAsia="仿宋_GB2312"/>
                <w:color w:val="0C0C0C"/>
                <w:kern w:val="0"/>
                <w:szCs w:val="21"/>
              </w:rPr>
              <w:t>保护第三方合法权益</w:t>
            </w:r>
            <w:bookmarkEnd w:id="3"/>
          </w:p>
        </w:tc>
        <w:tc>
          <w:tcPr>
            <w:tcW w:w="829" w:type="dxa"/>
            <w:noWrap w:val="0"/>
            <w:tcMar>
              <w:left w:w="108" w:type="dxa"/>
              <w:right w:w="108" w:type="dxa"/>
            </w:tcMar>
            <w:vAlign w:val="bottom"/>
          </w:tcPr>
          <w:p w14:paraId="5CC55B59">
            <w:pPr>
              <w:widowControl/>
              <w:spacing w:after="180" w:line="200" w:lineRule="exact"/>
              <w:jc w:val="center"/>
              <w:rPr>
                <w:rFonts w:hint="default" w:ascii="Times New Roman" w:hAnsi="Times New Roman" w:eastAsia="仿宋_GB2312" w:cs="Times New Roman"/>
                <w:color w:val="0C0C0C"/>
                <w:szCs w:val="21"/>
              </w:rPr>
            </w:pPr>
            <w:r>
              <w:rPr>
                <w:rFonts w:hint="eastAsia" w:eastAsia="仿宋_GB2312" w:cs="Times New Roman"/>
                <w:color w:val="0C0C0C"/>
                <w:szCs w:val="21"/>
                <w:lang w:val="en-US" w:eastAsia="zh-CN"/>
              </w:rPr>
              <w:t>1</w:t>
            </w:r>
          </w:p>
        </w:tc>
        <w:tc>
          <w:tcPr>
            <w:tcW w:w="567" w:type="dxa"/>
            <w:noWrap w:val="0"/>
            <w:tcMar>
              <w:left w:w="108" w:type="dxa"/>
              <w:right w:w="108" w:type="dxa"/>
            </w:tcMar>
            <w:vAlign w:val="bottom"/>
          </w:tcPr>
          <w:p w14:paraId="650BCC78">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00D6D8CB">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14:paraId="66FEAEB4">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14:paraId="4DE972F6">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166A2B3D">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14:paraId="3680D110">
            <w:pPr>
              <w:widowControl/>
              <w:spacing w:after="180"/>
              <w:jc w:val="center"/>
              <w:rPr>
                <w:rFonts w:hint="default" w:ascii="Times New Roman" w:hAnsi="Times New Roman" w:eastAsia="仿宋_GB2312" w:cs="Times New Roman"/>
                <w:color w:val="0C0C0C"/>
                <w:szCs w:val="21"/>
              </w:rPr>
            </w:pPr>
            <w:r>
              <w:rPr>
                <w:rFonts w:hint="eastAsia" w:eastAsia="仿宋_GB2312" w:cs="Times New Roman"/>
                <w:color w:val="0C0C0C"/>
                <w:szCs w:val="21"/>
                <w:lang w:val="en-US" w:eastAsia="zh-CN"/>
              </w:rPr>
              <w:t>1</w:t>
            </w:r>
          </w:p>
        </w:tc>
      </w:tr>
      <w:tr w14:paraId="0B9C67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14:paraId="3428E387">
            <w:pPr>
              <w:rPr>
                <w:rFonts w:ascii="黑体" w:hAnsi="黑体" w:eastAsia="黑体"/>
                <w:color w:val="0C0C0C"/>
                <w:szCs w:val="21"/>
              </w:rPr>
            </w:pPr>
          </w:p>
        </w:tc>
        <w:tc>
          <w:tcPr>
            <w:tcW w:w="1121" w:type="dxa"/>
            <w:vMerge w:val="continue"/>
            <w:noWrap w:val="0"/>
            <w:tcMar>
              <w:left w:w="108" w:type="dxa"/>
              <w:right w:w="108" w:type="dxa"/>
            </w:tcMar>
            <w:vAlign w:val="center"/>
          </w:tcPr>
          <w:p w14:paraId="292E095E">
            <w:pPr>
              <w:spacing w:line="200" w:lineRule="exact"/>
              <w:rPr>
                <w:rFonts w:ascii="黑体" w:hAnsi="黑体" w:eastAsia="黑体"/>
                <w:color w:val="0C0C0C"/>
                <w:szCs w:val="21"/>
              </w:rPr>
            </w:pPr>
          </w:p>
        </w:tc>
        <w:tc>
          <w:tcPr>
            <w:tcW w:w="2976" w:type="dxa"/>
            <w:noWrap w:val="0"/>
            <w:tcMar>
              <w:left w:w="108" w:type="dxa"/>
              <w:right w:w="108" w:type="dxa"/>
            </w:tcMar>
            <w:vAlign w:val="center"/>
          </w:tcPr>
          <w:p w14:paraId="7B956D49">
            <w:pPr>
              <w:widowControl/>
              <w:spacing w:line="200" w:lineRule="exact"/>
              <w:rPr>
                <w:rFonts w:ascii="仿宋_GB2312" w:hAnsi="黑体" w:eastAsia="仿宋_GB2312"/>
                <w:color w:val="0C0C0C"/>
                <w:kern w:val="0"/>
                <w:szCs w:val="21"/>
              </w:rPr>
            </w:pPr>
            <w:r>
              <w:rPr>
                <w:rFonts w:hint="eastAsia" w:ascii="仿宋_GB2312" w:hAnsi="黑体" w:eastAsia="仿宋_GB2312"/>
                <w:color w:val="0C0C0C"/>
                <w:kern w:val="0"/>
                <w:szCs w:val="21"/>
              </w:rPr>
              <w:t>5.属于三类内部事务信息</w:t>
            </w:r>
          </w:p>
        </w:tc>
        <w:tc>
          <w:tcPr>
            <w:tcW w:w="829" w:type="dxa"/>
            <w:noWrap w:val="0"/>
            <w:tcMar>
              <w:left w:w="108" w:type="dxa"/>
              <w:right w:w="108" w:type="dxa"/>
            </w:tcMar>
            <w:vAlign w:val="bottom"/>
          </w:tcPr>
          <w:p w14:paraId="762D092E">
            <w:pPr>
              <w:widowControl/>
              <w:spacing w:after="180" w:line="200" w:lineRule="exact"/>
              <w:jc w:val="center"/>
              <w:rPr>
                <w:rFonts w:hint="default" w:ascii="Times New Roman" w:hAnsi="Times New Roman" w:eastAsia="仿宋_GB2312" w:cs="Times New Roman"/>
                <w:color w:val="0C0C0C"/>
                <w:szCs w:val="21"/>
                <w:lang w:val="en-US"/>
              </w:rPr>
            </w:pPr>
            <w:r>
              <w:rPr>
                <w:rFonts w:hint="eastAsia" w:eastAsia="仿宋_GB2312" w:cs="Times New Roman"/>
                <w:color w:val="0C0C0C"/>
                <w:szCs w:val="21"/>
                <w:lang w:val="en-US" w:eastAsia="zh-CN"/>
              </w:rPr>
              <w:t>10</w:t>
            </w:r>
          </w:p>
        </w:tc>
        <w:tc>
          <w:tcPr>
            <w:tcW w:w="567" w:type="dxa"/>
            <w:noWrap w:val="0"/>
            <w:tcMar>
              <w:left w:w="108" w:type="dxa"/>
              <w:right w:w="108" w:type="dxa"/>
            </w:tcMar>
            <w:vAlign w:val="bottom"/>
          </w:tcPr>
          <w:p w14:paraId="29FAD81E">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23C497F9">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14:paraId="4703A86C">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14:paraId="2AA4586D">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4042679A">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14:paraId="1FBA04BE">
            <w:pPr>
              <w:widowControl/>
              <w:spacing w:after="180"/>
              <w:jc w:val="center"/>
              <w:rPr>
                <w:rFonts w:hint="default" w:ascii="Times New Roman" w:hAnsi="Times New Roman" w:eastAsia="仿宋_GB2312" w:cs="Times New Roman"/>
                <w:color w:val="0C0C0C"/>
                <w:szCs w:val="21"/>
                <w:lang w:val="en-US"/>
              </w:rPr>
            </w:pPr>
            <w:r>
              <w:rPr>
                <w:rFonts w:hint="eastAsia" w:eastAsia="仿宋_GB2312" w:cs="Times New Roman"/>
                <w:color w:val="0C0C0C"/>
                <w:szCs w:val="21"/>
                <w:lang w:val="en-US" w:eastAsia="zh-CN"/>
              </w:rPr>
              <w:t>10</w:t>
            </w:r>
          </w:p>
        </w:tc>
      </w:tr>
      <w:tr w14:paraId="7DCF79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14:paraId="6D8D0C49">
            <w:pPr>
              <w:rPr>
                <w:rFonts w:ascii="黑体" w:hAnsi="黑体" w:eastAsia="黑体"/>
                <w:color w:val="0C0C0C"/>
                <w:szCs w:val="21"/>
              </w:rPr>
            </w:pPr>
          </w:p>
        </w:tc>
        <w:tc>
          <w:tcPr>
            <w:tcW w:w="1121" w:type="dxa"/>
            <w:vMerge w:val="continue"/>
            <w:noWrap w:val="0"/>
            <w:tcMar>
              <w:left w:w="108" w:type="dxa"/>
              <w:right w:w="108" w:type="dxa"/>
            </w:tcMar>
            <w:vAlign w:val="center"/>
          </w:tcPr>
          <w:p w14:paraId="6F3B8284">
            <w:pPr>
              <w:spacing w:line="200" w:lineRule="exact"/>
              <w:rPr>
                <w:rFonts w:ascii="黑体" w:hAnsi="黑体" w:eastAsia="黑体"/>
                <w:color w:val="0C0C0C"/>
                <w:szCs w:val="21"/>
              </w:rPr>
            </w:pPr>
          </w:p>
        </w:tc>
        <w:tc>
          <w:tcPr>
            <w:tcW w:w="2976" w:type="dxa"/>
            <w:noWrap w:val="0"/>
            <w:tcMar>
              <w:left w:w="108" w:type="dxa"/>
              <w:right w:w="108" w:type="dxa"/>
            </w:tcMar>
            <w:vAlign w:val="center"/>
          </w:tcPr>
          <w:p w14:paraId="5A9EF943">
            <w:pPr>
              <w:widowControl/>
              <w:spacing w:line="200" w:lineRule="exact"/>
              <w:rPr>
                <w:rFonts w:ascii="仿宋_GB2312" w:hAnsi="黑体" w:eastAsia="仿宋_GB2312"/>
                <w:color w:val="0C0C0C"/>
                <w:kern w:val="0"/>
                <w:szCs w:val="21"/>
              </w:rPr>
            </w:pPr>
            <w:r>
              <w:rPr>
                <w:rFonts w:hint="eastAsia" w:ascii="仿宋_GB2312" w:hAnsi="黑体" w:eastAsia="仿宋_GB2312"/>
                <w:color w:val="0C0C0C"/>
                <w:kern w:val="0"/>
                <w:szCs w:val="21"/>
              </w:rPr>
              <w:t>6.</w:t>
            </w:r>
            <w:bookmarkStart w:id="4" w:name="_Hlk66974555"/>
            <w:r>
              <w:rPr>
                <w:rFonts w:hint="eastAsia" w:ascii="仿宋_GB2312" w:hAnsi="黑体" w:eastAsia="仿宋_GB2312"/>
                <w:color w:val="0C0C0C"/>
                <w:kern w:val="0"/>
                <w:szCs w:val="21"/>
              </w:rPr>
              <w:t>属于四类过程性信息</w:t>
            </w:r>
            <w:bookmarkEnd w:id="4"/>
          </w:p>
        </w:tc>
        <w:tc>
          <w:tcPr>
            <w:tcW w:w="829" w:type="dxa"/>
            <w:noWrap w:val="0"/>
            <w:tcMar>
              <w:left w:w="108" w:type="dxa"/>
              <w:right w:w="108" w:type="dxa"/>
            </w:tcMar>
            <w:vAlign w:val="bottom"/>
          </w:tcPr>
          <w:p w14:paraId="246E48E1">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775A9E87">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1F2971AB">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14:paraId="7EA4A0FA">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14:paraId="566F0D63">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73E8B2CC">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14:paraId="11D16BFC">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14:paraId="58D453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14:paraId="6BE44F20">
            <w:pPr>
              <w:rPr>
                <w:rFonts w:ascii="黑体" w:hAnsi="黑体" w:eastAsia="黑体"/>
                <w:color w:val="0C0C0C"/>
                <w:szCs w:val="21"/>
              </w:rPr>
            </w:pPr>
          </w:p>
        </w:tc>
        <w:tc>
          <w:tcPr>
            <w:tcW w:w="1121" w:type="dxa"/>
            <w:vMerge w:val="continue"/>
            <w:noWrap w:val="0"/>
            <w:tcMar>
              <w:left w:w="108" w:type="dxa"/>
              <w:right w:w="108" w:type="dxa"/>
            </w:tcMar>
            <w:vAlign w:val="center"/>
          </w:tcPr>
          <w:p w14:paraId="0CA9FC41">
            <w:pPr>
              <w:spacing w:line="200" w:lineRule="exact"/>
              <w:rPr>
                <w:rFonts w:ascii="黑体" w:hAnsi="黑体" w:eastAsia="黑体"/>
                <w:color w:val="0C0C0C"/>
                <w:szCs w:val="21"/>
              </w:rPr>
            </w:pPr>
          </w:p>
        </w:tc>
        <w:tc>
          <w:tcPr>
            <w:tcW w:w="2976" w:type="dxa"/>
            <w:noWrap w:val="0"/>
            <w:tcMar>
              <w:left w:w="108" w:type="dxa"/>
              <w:right w:w="108" w:type="dxa"/>
            </w:tcMar>
            <w:vAlign w:val="center"/>
          </w:tcPr>
          <w:p w14:paraId="5DFF95DA">
            <w:pPr>
              <w:widowControl/>
              <w:spacing w:line="200" w:lineRule="exact"/>
              <w:rPr>
                <w:rFonts w:ascii="仿宋_GB2312" w:hAnsi="黑体" w:eastAsia="仿宋_GB2312"/>
                <w:color w:val="0C0C0C"/>
                <w:kern w:val="0"/>
                <w:szCs w:val="21"/>
              </w:rPr>
            </w:pPr>
            <w:r>
              <w:rPr>
                <w:rFonts w:hint="eastAsia" w:ascii="仿宋_GB2312" w:hAnsi="黑体" w:eastAsia="仿宋_GB2312"/>
                <w:color w:val="0C0C0C"/>
                <w:kern w:val="0"/>
                <w:szCs w:val="21"/>
              </w:rPr>
              <w:t>7.属于行政执法案卷</w:t>
            </w:r>
          </w:p>
        </w:tc>
        <w:tc>
          <w:tcPr>
            <w:tcW w:w="829" w:type="dxa"/>
            <w:noWrap w:val="0"/>
            <w:tcMar>
              <w:left w:w="108" w:type="dxa"/>
              <w:right w:w="108" w:type="dxa"/>
            </w:tcMar>
            <w:vAlign w:val="bottom"/>
          </w:tcPr>
          <w:p w14:paraId="13759AFC">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1524B33E">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195AFB59">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14:paraId="4924FAE3">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14:paraId="7A81E80F">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7EF830E6">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14:paraId="5FB69899">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14:paraId="0BCF4C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14:paraId="25FAF3DE">
            <w:pPr>
              <w:rPr>
                <w:rFonts w:ascii="黑体" w:hAnsi="黑体" w:eastAsia="黑体"/>
                <w:color w:val="0C0C0C"/>
                <w:szCs w:val="21"/>
              </w:rPr>
            </w:pPr>
          </w:p>
        </w:tc>
        <w:tc>
          <w:tcPr>
            <w:tcW w:w="1121" w:type="dxa"/>
            <w:vMerge w:val="continue"/>
            <w:noWrap w:val="0"/>
            <w:tcMar>
              <w:left w:w="108" w:type="dxa"/>
              <w:right w:w="108" w:type="dxa"/>
            </w:tcMar>
            <w:vAlign w:val="center"/>
          </w:tcPr>
          <w:p w14:paraId="037242BC">
            <w:pPr>
              <w:spacing w:line="200" w:lineRule="exact"/>
              <w:rPr>
                <w:rFonts w:ascii="黑体" w:hAnsi="黑体" w:eastAsia="黑体"/>
                <w:color w:val="0C0C0C"/>
                <w:szCs w:val="21"/>
              </w:rPr>
            </w:pPr>
          </w:p>
        </w:tc>
        <w:tc>
          <w:tcPr>
            <w:tcW w:w="2976" w:type="dxa"/>
            <w:noWrap w:val="0"/>
            <w:tcMar>
              <w:left w:w="108" w:type="dxa"/>
              <w:right w:w="108" w:type="dxa"/>
            </w:tcMar>
            <w:vAlign w:val="center"/>
          </w:tcPr>
          <w:p w14:paraId="575752F5">
            <w:pPr>
              <w:widowControl/>
              <w:spacing w:line="200" w:lineRule="exact"/>
              <w:rPr>
                <w:rFonts w:ascii="仿宋_GB2312" w:hAnsi="黑体" w:eastAsia="仿宋_GB2312"/>
                <w:color w:val="0C0C0C"/>
                <w:kern w:val="0"/>
                <w:szCs w:val="21"/>
              </w:rPr>
            </w:pPr>
            <w:r>
              <w:rPr>
                <w:rFonts w:hint="eastAsia" w:ascii="仿宋_GB2312" w:hAnsi="黑体" w:eastAsia="仿宋_GB2312"/>
                <w:color w:val="0C0C0C"/>
                <w:kern w:val="0"/>
                <w:szCs w:val="21"/>
              </w:rPr>
              <w:t>8.</w:t>
            </w:r>
            <w:bookmarkStart w:id="5" w:name="_Hlk66975211"/>
            <w:r>
              <w:rPr>
                <w:rFonts w:hint="eastAsia" w:ascii="仿宋_GB2312" w:hAnsi="黑体" w:eastAsia="仿宋_GB2312"/>
                <w:color w:val="0C0C0C"/>
                <w:kern w:val="0"/>
                <w:szCs w:val="21"/>
              </w:rPr>
              <w:t>属于行政查询事项</w:t>
            </w:r>
            <w:bookmarkEnd w:id="5"/>
          </w:p>
        </w:tc>
        <w:tc>
          <w:tcPr>
            <w:tcW w:w="829" w:type="dxa"/>
            <w:noWrap w:val="0"/>
            <w:tcMar>
              <w:left w:w="108" w:type="dxa"/>
              <w:right w:w="108" w:type="dxa"/>
            </w:tcMar>
            <w:vAlign w:val="bottom"/>
          </w:tcPr>
          <w:p w14:paraId="62325FB7">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6F72CF0F">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53AD3D24">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14:paraId="29FA80DE">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14:paraId="486E42BD">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0A18B7A9">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14:paraId="34053D4D">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14:paraId="6B1DFB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14:paraId="030FC8BC">
            <w:pPr>
              <w:rPr>
                <w:rFonts w:ascii="黑体" w:hAnsi="黑体" w:eastAsia="黑体"/>
                <w:color w:val="0C0C0C"/>
                <w:szCs w:val="21"/>
              </w:rPr>
            </w:pPr>
          </w:p>
        </w:tc>
        <w:tc>
          <w:tcPr>
            <w:tcW w:w="1121" w:type="dxa"/>
            <w:vMerge w:val="restart"/>
            <w:noWrap w:val="0"/>
            <w:tcMar>
              <w:left w:w="108" w:type="dxa"/>
              <w:right w:w="108" w:type="dxa"/>
            </w:tcMar>
            <w:vAlign w:val="center"/>
          </w:tcPr>
          <w:p w14:paraId="45EF1995">
            <w:pPr>
              <w:widowControl/>
              <w:spacing w:line="200" w:lineRule="exact"/>
              <w:ind w:left="-107" w:leftChars="-51"/>
              <w:rPr>
                <w:rFonts w:ascii="黑体" w:hAnsi="黑体" w:eastAsia="黑体"/>
                <w:color w:val="0C0C0C"/>
                <w:szCs w:val="21"/>
              </w:rPr>
            </w:pPr>
            <w:r>
              <w:rPr>
                <w:rFonts w:hint="eastAsia" w:ascii="黑体" w:hAnsi="黑体" w:eastAsia="黑体"/>
                <w:color w:val="0C0C0C"/>
                <w:kern w:val="0"/>
                <w:szCs w:val="21"/>
              </w:rPr>
              <w:t>（四）无法提供</w:t>
            </w:r>
          </w:p>
        </w:tc>
        <w:tc>
          <w:tcPr>
            <w:tcW w:w="2976" w:type="dxa"/>
            <w:noWrap w:val="0"/>
            <w:tcMar>
              <w:left w:w="108" w:type="dxa"/>
              <w:right w:w="108" w:type="dxa"/>
            </w:tcMar>
            <w:vAlign w:val="center"/>
          </w:tcPr>
          <w:p w14:paraId="5192EC90">
            <w:pPr>
              <w:widowControl/>
              <w:spacing w:line="200" w:lineRule="exact"/>
              <w:rPr>
                <w:rFonts w:ascii="仿宋_GB2312" w:hAnsi="黑体" w:eastAsia="仿宋_GB2312"/>
                <w:color w:val="0C0C0C"/>
                <w:kern w:val="0"/>
                <w:szCs w:val="21"/>
              </w:rPr>
            </w:pPr>
            <w:r>
              <w:rPr>
                <w:rFonts w:hint="eastAsia" w:ascii="仿宋_GB2312" w:hAnsi="黑体" w:eastAsia="仿宋_GB2312"/>
                <w:color w:val="0C0C0C"/>
                <w:kern w:val="0"/>
                <w:szCs w:val="21"/>
              </w:rPr>
              <w:t>1.本机关不掌握相关政府信息</w:t>
            </w:r>
          </w:p>
        </w:tc>
        <w:tc>
          <w:tcPr>
            <w:tcW w:w="829" w:type="dxa"/>
            <w:noWrap w:val="0"/>
            <w:tcMar>
              <w:left w:w="108" w:type="dxa"/>
              <w:right w:w="108" w:type="dxa"/>
            </w:tcMar>
            <w:vAlign w:val="bottom"/>
          </w:tcPr>
          <w:p w14:paraId="0177E9C1">
            <w:pPr>
              <w:widowControl/>
              <w:spacing w:after="180" w:line="200" w:lineRule="exact"/>
              <w:jc w:val="center"/>
              <w:rPr>
                <w:rFonts w:hint="default" w:ascii="Times New Roman" w:hAnsi="Times New Roman" w:eastAsia="仿宋_GB2312" w:cs="Times New Roman"/>
                <w:color w:val="0C0C0C"/>
                <w:szCs w:val="21"/>
                <w:lang w:val="en-US"/>
              </w:rPr>
            </w:pPr>
            <w:r>
              <w:rPr>
                <w:rFonts w:hint="eastAsia" w:eastAsia="仿宋_GB2312" w:cs="Times New Roman"/>
                <w:color w:val="0C0C0C"/>
                <w:szCs w:val="21"/>
                <w:lang w:val="en-US" w:eastAsia="zh-CN"/>
              </w:rPr>
              <w:t>15</w:t>
            </w:r>
          </w:p>
        </w:tc>
        <w:tc>
          <w:tcPr>
            <w:tcW w:w="567" w:type="dxa"/>
            <w:noWrap w:val="0"/>
            <w:tcMar>
              <w:left w:w="108" w:type="dxa"/>
              <w:right w:w="108" w:type="dxa"/>
            </w:tcMar>
            <w:vAlign w:val="bottom"/>
          </w:tcPr>
          <w:p w14:paraId="59935E46">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773691C7">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14:paraId="3F98F1CE">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14:paraId="122A75A9">
            <w:pPr>
              <w:widowControl/>
              <w:spacing w:after="180"/>
              <w:jc w:val="center"/>
              <w:rPr>
                <w:rFonts w:hint="default" w:ascii="Times New Roman" w:hAnsi="Times New Roman" w:eastAsia="仿宋_GB2312" w:cs="Times New Roman"/>
                <w:color w:val="0C0C0C"/>
                <w:szCs w:val="21"/>
              </w:rPr>
            </w:pPr>
            <w:r>
              <w:rPr>
                <w:rFonts w:hint="eastAsia" w:eastAsia="仿宋_GB2312" w:cs="Times New Roman"/>
                <w:color w:val="0C0C0C"/>
                <w:szCs w:val="21"/>
                <w:lang w:val="en-US" w:eastAsia="zh-CN"/>
              </w:rPr>
              <w:t>1</w:t>
            </w:r>
          </w:p>
        </w:tc>
        <w:tc>
          <w:tcPr>
            <w:tcW w:w="567" w:type="dxa"/>
            <w:noWrap w:val="0"/>
            <w:tcMar>
              <w:left w:w="108" w:type="dxa"/>
              <w:right w:w="108" w:type="dxa"/>
            </w:tcMar>
            <w:vAlign w:val="bottom"/>
          </w:tcPr>
          <w:p w14:paraId="6823B235">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14:paraId="688178A8">
            <w:pPr>
              <w:widowControl/>
              <w:spacing w:after="180"/>
              <w:jc w:val="center"/>
              <w:rPr>
                <w:rFonts w:hint="default" w:ascii="Times New Roman" w:hAnsi="Times New Roman" w:eastAsia="仿宋_GB2312" w:cs="Times New Roman"/>
                <w:color w:val="0C0C0C"/>
                <w:szCs w:val="21"/>
                <w:lang w:val="en-US"/>
              </w:rPr>
            </w:pPr>
            <w:r>
              <w:rPr>
                <w:rFonts w:hint="eastAsia" w:eastAsia="仿宋_GB2312" w:cs="Times New Roman"/>
                <w:color w:val="0C0C0C"/>
                <w:szCs w:val="21"/>
                <w:lang w:val="en-US" w:eastAsia="zh-CN"/>
              </w:rPr>
              <w:t>16</w:t>
            </w:r>
          </w:p>
        </w:tc>
      </w:tr>
      <w:tr w14:paraId="5AD925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14:paraId="557440FC">
            <w:pPr>
              <w:rPr>
                <w:rFonts w:ascii="黑体" w:hAnsi="黑体" w:eastAsia="黑体"/>
                <w:color w:val="0C0C0C"/>
                <w:szCs w:val="21"/>
              </w:rPr>
            </w:pPr>
          </w:p>
        </w:tc>
        <w:tc>
          <w:tcPr>
            <w:tcW w:w="1121" w:type="dxa"/>
            <w:vMerge w:val="continue"/>
            <w:noWrap w:val="0"/>
            <w:tcMar>
              <w:left w:w="108" w:type="dxa"/>
              <w:right w:w="108" w:type="dxa"/>
            </w:tcMar>
            <w:vAlign w:val="center"/>
          </w:tcPr>
          <w:p w14:paraId="1B958F64">
            <w:pPr>
              <w:spacing w:line="200" w:lineRule="exact"/>
              <w:ind w:left="-107" w:leftChars="-51"/>
              <w:rPr>
                <w:rFonts w:ascii="黑体" w:hAnsi="黑体" w:eastAsia="黑体"/>
                <w:color w:val="0C0C0C"/>
                <w:szCs w:val="21"/>
              </w:rPr>
            </w:pPr>
          </w:p>
        </w:tc>
        <w:tc>
          <w:tcPr>
            <w:tcW w:w="2976" w:type="dxa"/>
            <w:noWrap w:val="0"/>
            <w:tcMar>
              <w:left w:w="108" w:type="dxa"/>
              <w:right w:w="108" w:type="dxa"/>
            </w:tcMar>
            <w:vAlign w:val="center"/>
          </w:tcPr>
          <w:p w14:paraId="2824077F">
            <w:pPr>
              <w:widowControl/>
              <w:spacing w:line="200" w:lineRule="exact"/>
              <w:rPr>
                <w:rFonts w:ascii="仿宋_GB2312" w:hAnsi="黑体" w:eastAsia="仿宋_GB2312"/>
                <w:color w:val="0C0C0C"/>
                <w:kern w:val="0"/>
                <w:szCs w:val="21"/>
              </w:rPr>
            </w:pPr>
            <w:r>
              <w:rPr>
                <w:rFonts w:hint="eastAsia" w:ascii="仿宋_GB2312" w:hAnsi="黑体" w:eastAsia="仿宋_GB2312"/>
                <w:color w:val="0C0C0C"/>
                <w:kern w:val="0"/>
                <w:szCs w:val="21"/>
              </w:rPr>
              <w:t>2.</w:t>
            </w:r>
            <w:bookmarkStart w:id="6" w:name="_Hlk66975392"/>
            <w:r>
              <w:rPr>
                <w:rFonts w:hint="eastAsia" w:ascii="仿宋_GB2312" w:hAnsi="黑体" w:eastAsia="仿宋_GB2312"/>
                <w:color w:val="0C0C0C"/>
                <w:kern w:val="0"/>
                <w:szCs w:val="21"/>
              </w:rPr>
              <w:t>没有现成信息需要另行制作</w:t>
            </w:r>
            <w:bookmarkEnd w:id="6"/>
          </w:p>
        </w:tc>
        <w:tc>
          <w:tcPr>
            <w:tcW w:w="829" w:type="dxa"/>
            <w:noWrap w:val="0"/>
            <w:tcMar>
              <w:left w:w="108" w:type="dxa"/>
              <w:right w:w="108" w:type="dxa"/>
            </w:tcMar>
            <w:vAlign w:val="bottom"/>
          </w:tcPr>
          <w:p w14:paraId="55BDDB58">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372D2056">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3FCBD072">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14:paraId="1E138B11">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14:paraId="20632EEF">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47153D97">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14:paraId="21477586">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14:paraId="2A705E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14:paraId="798C5D65">
            <w:pPr>
              <w:rPr>
                <w:rFonts w:ascii="黑体" w:hAnsi="黑体" w:eastAsia="黑体"/>
                <w:color w:val="0C0C0C"/>
                <w:szCs w:val="21"/>
              </w:rPr>
            </w:pPr>
          </w:p>
        </w:tc>
        <w:tc>
          <w:tcPr>
            <w:tcW w:w="1121" w:type="dxa"/>
            <w:vMerge w:val="continue"/>
            <w:noWrap w:val="0"/>
            <w:tcMar>
              <w:left w:w="108" w:type="dxa"/>
              <w:right w:w="108" w:type="dxa"/>
            </w:tcMar>
            <w:vAlign w:val="center"/>
          </w:tcPr>
          <w:p w14:paraId="2E2DE6B3">
            <w:pPr>
              <w:spacing w:line="200" w:lineRule="exact"/>
              <w:ind w:left="-107" w:leftChars="-51"/>
              <w:rPr>
                <w:rFonts w:ascii="黑体" w:hAnsi="黑体" w:eastAsia="黑体"/>
                <w:color w:val="0C0C0C"/>
                <w:szCs w:val="21"/>
              </w:rPr>
            </w:pPr>
          </w:p>
        </w:tc>
        <w:tc>
          <w:tcPr>
            <w:tcW w:w="2976" w:type="dxa"/>
            <w:noWrap w:val="0"/>
            <w:tcMar>
              <w:left w:w="108" w:type="dxa"/>
              <w:right w:w="108" w:type="dxa"/>
            </w:tcMar>
            <w:vAlign w:val="center"/>
          </w:tcPr>
          <w:p w14:paraId="5F533ABC">
            <w:pPr>
              <w:widowControl/>
              <w:spacing w:line="200" w:lineRule="exact"/>
              <w:rPr>
                <w:rFonts w:ascii="仿宋_GB2312" w:hAnsi="黑体" w:eastAsia="仿宋_GB2312"/>
                <w:color w:val="0C0C0C"/>
                <w:kern w:val="0"/>
                <w:szCs w:val="21"/>
              </w:rPr>
            </w:pPr>
            <w:r>
              <w:rPr>
                <w:rFonts w:hint="eastAsia" w:ascii="仿宋_GB2312" w:hAnsi="黑体" w:eastAsia="仿宋_GB2312"/>
                <w:color w:val="0C0C0C"/>
                <w:kern w:val="0"/>
                <w:szCs w:val="21"/>
              </w:rPr>
              <w:t>3.</w:t>
            </w:r>
            <w:bookmarkStart w:id="7" w:name="_Hlk66975466"/>
            <w:r>
              <w:rPr>
                <w:rFonts w:hint="eastAsia" w:ascii="仿宋_GB2312" w:hAnsi="黑体" w:eastAsia="仿宋_GB2312"/>
                <w:color w:val="0C0C0C"/>
                <w:kern w:val="0"/>
                <w:szCs w:val="21"/>
              </w:rPr>
              <w:t>补正后申请内容仍不明确</w:t>
            </w:r>
            <w:bookmarkEnd w:id="7"/>
          </w:p>
        </w:tc>
        <w:tc>
          <w:tcPr>
            <w:tcW w:w="829" w:type="dxa"/>
            <w:noWrap w:val="0"/>
            <w:tcMar>
              <w:left w:w="108" w:type="dxa"/>
              <w:right w:w="108" w:type="dxa"/>
            </w:tcMar>
            <w:vAlign w:val="bottom"/>
          </w:tcPr>
          <w:p w14:paraId="5C1128BE">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03499EAD">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6AD41824">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14:paraId="4A62A1D4">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14:paraId="65C53AC7">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18197E11">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14:paraId="7173421D">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14:paraId="3E192A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14:paraId="5873C198">
            <w:pPr>
              <w:rPr>
                <w:rFonts w:ascii="黑体" w:hAnsi="黑体" w:eastAsia="黑体"/>
                <w:color w:val="0C0C0C"/>
                <w:szCs w:val="21"/>
              </w:rPr>
            </w:pPr>
          </w:p>
        </w:tc>
        <w:tc>
          <w:tcPr>
            <w:tcW w:w="1121" w:type="dxa"/>
            <w:vMerge w:val="restart"/>
            <w:noWrap w:val="0"/>
            <w:tcMar>
              <w:left w:w="108" w:type="dxa"/>
              <w:right w:w="108" w:type="dxa"/>
            </w:tcMar>
            <w:vAlign w:val="center"/>
          </w:tcPr>
          <w:p w14:paraId="1292792F">
            <w:pPr>
              <w:widowControl/>
              <w:spacing w:line="200" w:lineRule="exact"/>
              <w:ind w:left="-107" w:leftChars="-51"/>
              <w:rPr>
                <w:rFonts w:ascii="黑体" w:hAnsi="黑体" w:eastAsia="黑体"/>
                <w:color w:val="0C0C0C"/>
                <w:szCs w:val="21"/>
              </w:rPr>
            </w:pPr>
            <w:r>
              <w:rPr>
                <w:rFonts w:hint="eastAsia" w:ascii="黑体" w:hAnsi="黑体" w:eastAsia="黑体"/>
                <w:color w:val="0C0C0C"/>
                <w:kern w:val="0"/>
                <w:szCs w:val="21"/>
              </w:rPr>
              <w:t>（五）不予处理</w:t>
            </w:r>
          </w:p>
        </w:tc>
        <w:tc>
          <w:tcPr>
            <w:tcW w:w="2976" w:type="dxa"/>
            <w:noWrap w:val="0"/>
            <w:tcMar>
              <w:left w:w="108" w:type="dxa"/>
              <w:right w:w="108" w:type="dxa"/>
            </w:tcMar>
            <w:vAlign w:val="center"/>
          </w:tcPr>
          <w:p w14:paraId="112B8356">
            <w:pPr>
              <w:widowControl/>
              <w:spacing w:line="200" w:lineRule="exact"/>
              <w:rPr>
                <w:rFonts w:ascii="仿宋_GB2312" w:hAnsi="黑体" w:eastAsia="仿宋_GB2312"/>
                <w:color w:val="0C0C0C"/>
                <w:kern w:val="0"/>
                <w:szCs w:val="21"/>
              </w:rPr>
            </w:pPr>
            <w:r>
              <w:rPr>
                <w:rFonts w:hint="eastAsia" w:ascii="仿宋_GB2312" w:hAnsi="黑体" w:eastAsia="仿宋_GB2312"/>
                <w:color w:val="0C0C0C"/>
                <w:kern w:val="0"/>
                <w:szCs w:val="21"/>
              </w:rPr>
              <w:t>1.</w:t>
            </w:r>
            <w:bookmarkStart w:id="8" w:name="_Hlk66975537"/>
            <w:r>
              <w:rPr>
                <w:rFonts w:hint="eastAsia" w:ascii="仿宋_GB2312" w:hAnsi="黑体" w:eastAsia="仿宋_GB2312"/>
                <w:color w:val="0C0C0C"/>
                <w:kern w:val="0"/>
                <w:szCs w:val="21"/>
              </w:rPr>
              <w:t>信访举报投诉类申请</w:t>
            </w:r>
            <w:bookmarkEnd w:id="8"/>
          </w:p>
        </w:tc>
        <w:tc>
          <w:tcPr>
            <w:tcW w:w="829" w:type="dxa"/>
            <w:noWrap w:val="0"/>
            <w:tcMar>
              <w:left w:w="108" w:type="dxa"/>
              <w:right w:w="108" w:type="dxa"/>
            </w:tcMar>
            <w:vAlign w:val="bottom"/>
          </w:tcPr>
          <w:p w14:paraId="4ECAD24A">
            <w:pPr>
              <w:widowControl/>
              <w:spacing w:after="180" w:line="200" w:lineRule="exact"/>
              <w:jc w:val="center"/>
              <w:rPr>
                <w:rFonts w:hint="eastAsia" w:ascii="Times New Roman" w:hAnsi="Times New Roman" w:eastAsia="仿宋_GB2312" w:cs="Times New Roman"/>
                <w:color w:val="0C0C0C"/>
                <w:szCs w:val="21"/>
                <w:lang w:val="en-US" w:eastAsia="zh-CN"/>
              </w:rPr>
            </w:pPr>
            <w:r>
              <w:rPr>
                <w:rFonts w:hint="eastAsia" w:eastAsia="仿宋_GB2312" w:cs="Times New Roman"/>
                <w:color w:val="0C0C0C"/>
                <w:szCs w:val="21"/>
                <w:lang w:val="en-US" w:eastAsia="zh-CN"/>
              </w:rPr>
              <w:t>0</w:t>
            </w:r>
          </w:p>
        </w:tc>
        <w:tc>
          <w:tcPr>
            <w:tcW w:w="567" w:type="dxa"/>
            <w:noWrap w:val="0"/>
            <w:tcMar>
              <w:left w:w="108" w:type="dxa"/>
              <w:right w:w="108" w:type="dxa"/>
            </w:tcMar>
            <w:vAlign w:val="bottom"/>
          </w:tcPr>
          <w:p w14:paraId="7002778B">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7B35AB86">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14:paraId="6A2139CE">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14:paraId="756EA0EA">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78315B04">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14:paraId="20898598">
            <w:pPr>
              <w:widowControl/>
              <w:spacing w:after="180"/>
              <w:jc w:val="center"/>
              <w:rPr>
                <w:rFonts w:hint="default" w:ascii="Times New Roman" w:hAnsi="Times New Roman" w:eastAsia="仿宋_GB2312" w:cs="Times New Roman"/>
                <w:color w:val="0C0C0C"/>
                <w:szCs w:val="21"/>
              </w:rPr>
            </w:pPr>
            <w:r>
              <w:rPr>
                <w:rFonts w:hint="eastAsia" w:eastAsia="仿宋_GB2312" w:cs="Times New Roman"/>
                <w:color w:val="0C0C0C"/>
                <w:szCs w:val="21"/>
                <w:lang w:val="en-US" w:eastAsia="zh-CN"/>
              </w:rPr>
              <w:t>0</w:t>
            </w:r>
          </w:p>
        </w:tc>
      </w:tr>
      <w:tr w14:paraId="05F370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14:paraId="5D08464E">
            <w:pPr>
              <w:rPr>
                <w:rFonts w:ascii="黑体" w:hAnsi="黑体" w:eastAsia="黑体"/>
                <w:color w:val="0C0C0C"/>
                <w:szCs w:val="21"/>
              </w:rPr>
            </w:pPr>
          </w:p>
        </w:tc>
        <w:tc>
          <w:tcPr>
            <w:tcW w:w="1121" w:type="dxa"/>
            <w:vMerge w:val="continue"/>
            <w:noWrap w:val="0"/>
            <w:tcMar>
              <w:left w:w="108" w:type="dxa"/>
              <w:right w:w="108" w:type="dxa"/>
            </w:tcMar>
            <w:vAlign w:val="center"/>
          </w:tcPr>
          <w:p w14:paraId="1DD3BC54">
            <w:pPr>
              <w:spacing w:line="200" w:lineRule="exact"/>
              <w:rPr>
                <w:rFonts w:ascii="黑体" w:hAnsi="黑体" w:eastAsia="黑体"/>
                <w:color w:val="0C0C0C"/>
                <w:szCs w:val="21"/>
              </w:rPr>
            </w:pPr>
          </w:p>
        </w:tc>
        <w:tc>
          <w:tcPr>
            <w:tcW w:w="2976" w:type="dxa"/>
            <w:noWrap w:val="0"/>
            <w:tcMar>
              <w:left w:w="108" w:type="dxa"/>
              <w:right w:w="108" w:type="dxa"/>
            </w:tcMar>
            <w:vAlign w:val="center"/>
          </w:tcPr>
          <w:p w14:paraId="26E2BFEC">
            <w:pPr>
              <w:widowControl/>
              <w:spacing w:line="200" w:lineRule="exact"/>
              <w:rPr>
                <w:rFonts w:ascii="仿宋_GB2312" w:hAnsi="黑体" w:eastAsia="仿宋_GB2312"/>
                <w:color w:val="0C0C0C"/>
                <w:kern w:val="0"/>
                <w:szCs w:val="21"/>
              </w:rPr>
            </w:pPr>
            <w:r>
              <w:rPr>
                <w:rFonts w:hint="eastAsia" w:ascii="仿宋_GB2312" w:hAnsi="黑体" w:eastAsia="仿宋_GB2312"/>
                <w:color w:val="0C0C0C"/>
                <w:kern w:val="0"/>
                <w:szCs w:val="21"/>
              </w:rPr>
              <w:t>2.重复申请</w:t>
            </w:r>
          </w:p>
        </w:tc>
        <w:tc>
          <w:tcPr>
            <w:tcW w:w="829" w:type="dxa"/>
            <w:noWrap w:val="0"/>
            <w:tcMar>
              <w:left w:w="108" w:type="dxa"/>
              <w:right w:w="108" w:type="dxa"/>
            </w:tcMar>
            <w:vAlign w:val="bottom"/>
          </w:tcPr>
          <w:p w14:paraId="05E73B07">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51E5420F">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58EE77EC">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14:paraId="583201A6">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14:paraId="1BEF39F6">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2599392A">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14:paraId="64EC9808">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14:paraId="7AE765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14:paraId="3D495EE1">
            <w:pPr>
              <w:rPr>
                <w:rFonts w:ascii="黑体" w:hAnsi="黑体" w:eastAsia="黑体"/>
                <w:color w:val="0C0C0C"/>
                <w:szCs w:val="21"/>
              </w:rPr>
            </w:pPr>
          </w:p>
        </w:tc>
        <w:tc>
          <w:tcPr>
            <w:tcW w:w="1121" w:type="dxa"/>
            <w:vMerge w:val="continue"/>
            <w:noWrap w:val="0"/>
            <w:tcMar>
              <w:left w:w="108" w:type="dxa"/>
              <w:right w:w="108" w:type="dxa"/>
            </w:tcMar>
            <w:vAlign w:val="center"/>
          </w:tcPr>
          <w:p w14:paraId="2D6024B6">
            <w:pPr>
              <w:spacing w:line="200" w:lineRule="exact"/>
              <w:rPr>
                <w:rFonts w:ascii="黑体" w:hAnsi="黑体" w:eastAsia="黑体"/>
                <w:color w:val="0C0C0C"/>
                <w:szCs w:val="21"/>
              </w:rPr>
            </w:pPr>
          </w:p>
        </w:tc>
        <w:tc>
          <w:tcPr>
            <w:tcW w:w="2976" w:type="dxa"/>
            <w:noWrap w:val="0"/>
            <w:tcMar>
              <w:left w:w="108" w:type="dxa"/>
              <w:right w:w="108" w:type="dxa"/>
            </w:tcMar>
            <w:vAlign w:val="center"/>
          </w:tcPr>
          <w:p w14:paraId="68345197">
            <w:pPr>
              <w:widowControl/>
              <w:spacing w:line="200" w:lineRule="exact"/>
              <w:rPr>
                <w:rFonts w:ascii="仿宋_GB2312" w:hAnsi="黑体" w:eastAsia="仿宋_GB2312"/>
                <w:color w:val="0C0C0C"/>
                <w:szCs w:val="21"/>
              </w:rPr>
            </w:pPr>
            <w:r>
              <w:rPr>
                <w:rFonts w:hint="eastAsia" w:ascii="仿宋_GB2312" w:hAnsi="黑体" w:eastAsia="仿宋_GB2312"/>
                <w:color w:val="0C0C0C"/>
                <w:kern w:val="0"/>
                <w:szCs w:val="21"/>
              </w:rPr>
              <w:t>3.要求提供公开出版物</w:t>
            </w:r>
          </w:p>
        </w:tc>
        <w:tc>
          <w:tcPr>
            <w:tcW w:w="829" w:type="dxa"/>
            <w:noWrap w:val="0"/>
            <w:tcMar>
              <w:left w:w="108" w:type="dxa"/>
              <w:right w:w="108" w:type="dxa"/>
            </w:tcMar>
            <w:vAlign w:val="bottom"/>
          </w:tcPr>
          <w:p w14:paraId="30E36B04">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7A27B187">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37755660">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14:paraId="052A14CC">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14:paraId="39E363F4">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2531FC27">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14:paraId="1568F43B">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14:paraId="15528B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996" w:type="dxa"/>
            <w:vMerge w:val="continue"/>
            <w:noWrap w:val="0"/>
            <w:tcMar>
              <w:left w:w="108" w:type="dxa"/>
              <w:right w:w="108" w:type="dxa"/>
            </w:tcMar>
            <w:vAlign w:val="center"/>
          </w:tcPr>
          <w:p w14:paraId="6E338356">
            <w:pPr>
              <w:rPr>
                <w:rFonts w:ascii="黑体" w:hAnsi="黑体" w:eastAsia="黑体"/>
                <w:color w:val="0C0C0C"/>
                <w:szCs w:val="21"/>
              </w:rPr>
            </w:pPr>
          </w:p>
        </w:tc>
        <w:tc>
          <w:tcPr>
            <w:tcW w:w="1121" w:type="dxa"/>
            <w:vMerge w:val="continue"/>
            <w:noWrap w:val="0"/>
            <w:tcMar>
              <w:left w:w="108" w:type="dxa"/>
              <w:right w:w="108" w:type="dxa"/>
            </w:tcMar>
            <w:vAlign w:val="center"/>
          </w:tcPr>
          <w:p w14:paraId="6A70CB99">
            <w:pPr>
              <w:spacing w:line="200" w:lineRule="exact"/>
              <w:rPr>
                <w:rFonts w:ascii="黑体" w:hAnsi="黑体" w:eastAsia="黑体"/>
                <w:color w:val="0C0C0C"/>
                <w:szCs w:val="21"/>
              </w:rPr>
            </w:pPr>
          </w:p>
        </w:tc>
        <w:tc>
          <w:tcPr>
            <w:tcW w:w="2976" w:type="dxa"/>
            <w:noWrap w:val="0"/>
            <w:tcMar>
              <w:left w:w="108" w:type="dxa"/>
              <w:right w:w="108" w:type="dxa"/>
            </w:tcMar>
            <w:vAlign w:val="center"/>
          </w:tcPr>
          <w:p w14:paraId="09778E14">
            <w:pPr>
              <w:widowControl/>
              <w:spacing w:line="200" w:lineRule="exact"/>
              <w:rPr>
                <w:rFonts w:ascii="仿宋_GB2312" w:hAnsi="黑体" w:eastAsia="仿宋_GB2312"/>
                <w:color w:val="0C0C0C"/>
                <w:szCs w:val="21"/>
              </w:rPr>
            </w:pPr>
            <w:r>
              <w:rPr>
                <w:rFonts w:hint="eastAsia" w:ascii="仿宋_GB2312" w:hAnsi="黑体" w:eastAsia="仿宋_GB2312"/>
                <w:color w:val="0C0C0C"/>
                <w:kern w:val="0"/>
                <w:szCs w:val="21"/>
              </w:rPr>
              <w:t>4.无正当理由大量反复申请</w:t>
            </w:r>
          </w:p>
        </w:tc>
        <w:tc>
          <w:tcPr>
            <w:tcW w:w="829" w:type="dxa"/>
            <w:noWrap w:val="0"/>
            <w:tcMar>
              <w:left w:w="108" w:type="dxa"/>
              <w:right w:w="108" w:type="dxa"/>
            </w:tcMar>
            <w:vAlign w:val="bottom"/>
          </w:tcPr>
          <w:p w14:paraId="5E8578D6">
            <w:pPr>
              <w:widowControl/>
              <w:spacing w:after="180" w:line="200" w:lineRule="exact"/>
              <w:jc w:val="center"/>
              <w:rPr>
                <w:rFonts w:hint="default" w:ascii="Times New Roman" w:hAnsi="Times New Roman" w:eastAsia="仿宋_GB2312" w:cs="Times New Roman"/>
                <w:color w:val="0C0C0C"/>
                <w:szCs w:val="21"/>
              </w:rPr>
            </w:pPr>
            <w:r>
              <w:rPr>
                <w:rFonts w:hint="eastAsia" w:eastAsia="仿宋_GB2312" w:cs="Times New Roman"/>
                <w:color w:val="0C0C0C"/>
                <w:szCs w:val="21"/>
                <w:lang w:val="en-US" w:eastAsia="zh-CN"/>
              </w:rPr>
              <w:t>1</w:t>
            </w:r>
          </w:p>
        </w:tc>
        <w:tc>
          <w:tcPr>
            <w:tcW w:w="567" w:type="dxa"/>
            <w:noWrap w:val="0"/>
            <w:tcMar>
              <w:left w:w="108" w:type="dxa"/>
              <w:right w:w="108" w:type="dxa"/>
            </w:tcMar>
            <w:vAlign w:val="bottom"/>
          </w:tcPr>
          <w:p w14:paraId="0FAF29BA">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60D50E18">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14:paraId="335B9E82">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14:paraId="2F8AE4AB">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4EEF7725">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14:paraId="0AD892BA">
            <w:pPr>
              <w:widowControl/>
              <w:spacing w:after="180"/>
              <w:jc w:val="center"/>
              <w:rPr>
                <w:rFonts w:hint="default" w:ascii="Times New Roman" w:hAnsi="Times New Roman" w:eastAsia="仿宋_GB2312" w:cs="Times New Roman"/>
                <w:color w:val="0C0C0C"/>
                <w:szCs w:val="21"/>
              </w:rPr>
            </w:pPr>
            <w:r>
              <w:rPr>
                <w:rFonts w:hint="eastAsia" w:eastAsia="仿宋_GB2312" w:cs="Times New Roman"/>
                <w:color w:val="0C0C0C"/>
                <w:szCs w:val="21"/>
                <w:lang w:val="en-US" w:eastAsia="zh-CN"/>
              </w:rPr>
              <w:t>1</w:t>
            </w:r>
          </w:p>
        </w:tc>
      </w:tr>
      <w:tr w14:paraId="1F5DDE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96" w:type="dxa"/>
            <w:vMerge w:val="continue"/>
            <w:noWrap w:val="0"/>
            <w:tcMar>
              <w:left w:w="108" w:type="dxa"/>
              <w:right w:w="108" w:type="dxa"/>
            </w:tcMar>
            <w:vAlign w:val="center"/>
          </w:tcPr>
          <w:p w14:paraId="06E2EB9E">
            <w:pPr>
              <w:rPr>
                <w:rFonts w:ascii="黑体" w:hAnsi="黑体" w:eastAsia="黑体"/>
                <w:color w:val="0C0C0C"/>
                <w:szCs w:val="21"/>
              </w:rPr>
            </w:pPr>
          </w:p>
        </w:tc>
        <w:tc>
          <w:tcPr>
            <w:tcW w:w="1121" w:type="dxa"/>
            <w:vMerge w:val="continue"/>
            <w:noWrap w:val="0"/>
            <w:tcMar>
              <w:left w:w="108" w:type="dxa"/>
              <w:right w:w="108" w:type="dxa"/>
            </w:tcMar>
            <w:vAlign w:val="center"/>
          </w:tcPr>
          <w:p w14:paraId="5680FBE8">
            <w:pPr>
              <w:spacing w:line="200" w:lineRule="exact"/>
              <w:rPr>
                <w:rFonts w:ascii="黑体" w:hAnsi="黑体" w:eastAsia="黑体"/>
                <w:color w:val="0C0C0C"/>
                <w:szCs w:val="21"/>
              </w:rPr>
            </w:pPr>
          </w:p>
        </w:tc>
        <w:tc>
          <w:tcPr>
            <w:tcW w:w="2976" w:type="dxa"/>
            <w:noWrap w:val="0"/>
            <w:tcMar>
              <w:left w:w="108" w:type="dxa"/>
              <w:right w:w="108" w:type="dxa"/>
            </w:tcMar>
            <w:vAlign w:val="center"/>
          </w:tcPr>
          <w:p w14:paraId="4A6C0ED1">
            <w:pPr>
              <w:widowControl/>
              <w:spacing w:line="300" w:lineRule="exact"/>
              <w:rPr>
                <w:rFonts w:ascii="仿宋_GB2312" w:hAnsi="黑体" w:eastAsia="仿宋_GB2312"/>
                <w:color w:val="0C0C0C"/>
                <w:kern w:val="0"/>
                <w:szCs w:val="21"/>
              </w:rPr>
            </w:pPr>
            <w:r>
              <w:rPr>
                <w:rFonts w:hint="eastAsia" w:ascii="仿宋_GB2312" w:hAnsi="黑体" w:eastAsia="仿宋_GB2312"/>
                <w:color w:val="0C0C0C"/>
                <w:kern w:val="0"/>
                <w:szCs w:val="21"/>
              </w:rPr>
              <w:t>5.要求行政机关确认或重新</w:t>
            </w:r>
          </w:p>
          <w:p w14:paraId="341FFA95">
            <w:pPr>
              <w:widowControl/>
              <w:spacing w:line="300" w:lineRule="exact"/>
              <w:ind w:firstLine="210" w:firstLineChars="100"/>
              <w:rPr>
                <w:rFonts w:ascii="仿宋_GB2312" w:hAnsi="黑体" w:eastAsia="仿宋_GB2312"/>
                <w:color w:val="0C0C0C"/>
                <w:szCs w:val="21"/>
              </w:rPr>
            </w:pPr>
            <w:r>
              <w:rPr>
                <w:rFonts w:hint="eastAsia" w:ascii="仿宋_GB2312" w:hAnsi="黑体" w:eastAsia="仿宋_GB2312"/>
                <w:color w:val="0C0C0C"/>
                <w:kern w:val="0"/>
                <w:szCs w:val="21"/>
              </w:rPr>
              <w:t>出具已获取信息</w:t>
            </w:r>
          </w:p>
        </w:tc>
        <w:tc>
          <w:tcPr>
            <w:tcW w:w="829" w:type="dxa"/>
            <w:noWrap w:val="0"/>
            <w:tcMar>
              <w:left w:w="108" w:type="dxa"/>
              <w:right w:w="108" w:type="dxa"/>
            </w:tcMar>
            <w:vAlign w:val="bottom"/>
          </w:tcPr>
          <w:p w14:paraId="76385EBA">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68FE2446">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3E21708A">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14:paraId="78DB195E">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14:paraId="570A1E9B">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46C03383">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14:paraId="201F8F38">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14:paraId="5D792B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96" w:type="dxa"/>
            <w:vMerge w:val="continue"/>
            <w:noWrap w:val="0"/>
            <w:tcMar>
              <w:left w:w="108" w:type="dxa"/>
              <w:right w:w="108" w:type="dxa"/>
            </w:tcMar>
            <w:vAlign w:val="center"/>
          </w:tcPr>
          <w:p w14:paraId="55E467A8">
            <w:pPr>
              <w:rPr>
                <w:rFonts w:ascii="黑体" w:hAnsi="黑体" w:eastAsia="黑体"/>
                <w:color w:val="0C0C0C"/>
                <w:szCs w:val="21"/>
              </w:rPr>
            </w:pPr>
          </w:p>
        </w:tc>
        <w:tc>
          <w:tcPr>
            <w:tcW w:w="1121" w:type="dxa"/>
            <w:vMerge w:val="restart"/>
            <w:noWrap w:val="0"/>
            <w:tcMar>
              <w:left w:w="108" w:type="dxa"/>
              <w:right w:w="108" w:type="dxa"/>
            </w:tcMar>
            <w:vAlign w:val="center"/>
          </w:tcPr>
          <w:p w14:paraId="2757437E">
            <w:pPr>
              <w:widowControl/>
              <w:spacing w:line="300" w:lineRule="exact"/>
              <w:rPr>
                <w:rFonts w:ascii="黑体" w:hAnsi="黑体" w:eastAsia="黑体"/>
                <w:color w:val="0C0C0C"/>
                <w:kern w:val="0"/>
                <w:szCs w:val="21"/>
              </w:rPr>
            </w:pPr>
            <w:r>
              <w:rPr>
                <w:rFonts w:hint="eastAsia" w:ascii="黑体" w:hAnsi="黑体" w:eastAsia="黑体"/>
                <w:color w:val="0C0C0C"/>
                <w:kern w:val="0"/>
                <w:szCs w:val="21"/>
              </w:rPr>
              <w:t>（六）其他处理</w:t>
            </w:r>
          </w:p>
        </w:tc>
        <w:tc>
          <w:tcPr>
            <w:tcW w:w="2976" w:type="dxa"/>
            <w:noWrap w:val="0"/>
            <w:vAlign w:val="center"/>
          </w:tcPr>
          <w:p w14:paraId="3A38A2A6">
            <w:pPr>
              <w:widowControl/>
              <w:spacing w:line="300" w:lineRule="exact"/>
              <w:rPr>
                <w:rFonts w:ascii="仿宋_GB2312" w:hAnsi="楷体" w:eastAsia="仿宋_GB2312"/>
                <w:color w:val="0C0C0C"/>
              </w:rPr>
            </w:pPr>
            <w:r>
              <w:rPr>
                <w:rFonts w:hint="eastAsia" w:ascii="仿宋_GB2312" w:hAnsi="楷体" w:eastAsia="仿宋_GB2312"/>
                <w:color w:val="0C0C0C"/>
              </w:rPr>
              <w:t>1.申请人无正当理由逾期不补正、行政机关不再处理其政府信息公开申请</w:t>
            </w:r>
          </w:p>
        </w:tc>
        <w:tc>
          <w:tcPr>
            <w:tcW w:w="829" w:type="dxa"/>
            <w:noWrap w:val="0"/>
            <w:tcMar>
              <w:left w:w="108" w:type="dxa"/>
              <w:right w:w="108" w:type="dxa"/>
            </w:tcMar>
            <w:vAlign w:val="bottom"/>
          </w:tcPr>
          <w:p w14:paraId="69D4FC2E">
            <w:pPr>
              <w:widowControl/>
              <w:spacing w:after="180" w:line="200" w:lineRule="exact"/>
              <w:jc w:val="center"/>
              <w:rPr>
                <w:rFonts w:hint="default" w:ascii="Times New Roman" w:hAnsi="Times New Roman" w:eastAsia="仿宋_GB2312" w:cs="Times New Roman"/>
                <w:color w:val="0C0C0C"/>
                <w:szCs w:val="21"/>
              </w:rPr>
            </w:pPr>
            <w:r>
              <w:rPr>
                <w:rFonts w:hint="eastAsia" w:eastAsia="仿宋_GB2312" w:cs="Times New Roman"/>
                <w:color w:val="0C0C0C"/>
                <w:szCs w:val="21"/>
                <w:lang w:val="en-US" w:eastAsia="zh-CN"/>
              </w:rPr>
              <w:t>2</w:t>
            </w:r>
          </w:p>
        </w:tc>
        <w:tc>
          <w:tcPr>
            <w:tcW w:w="567" w:type="dxa"/>
            <w:noWrap w:val="0"/>
            <w:tcMar>
              <w:left w:w="108" w:type="dxa"/>
              <w:right w:w="108" w:type="dxa"/>
            </w:tcMar>
            <w:vAlign w:val="bottom"/>
          </w:tcPr>
          <w:p w14:paraId="2B6B100F">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14AD8899">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14:paraId="73F87FA6">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14:paraId="75054E0A">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42891A46">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14:paraId="60422B26">
            <w:pPr>
              <w:widowControl/>
              <w:spacing w:after="180"/>
              <w:jc w:val="center"/>
              <w:rPr>
                <w:rFonts w:hint="default" w:ascii="Times New Roman" w:hAnsi="Times New Roman" w:eastAsia="仿宋_GB2312" w:cs="Times New Roman"/>
                <w:color w:val="0C0C0C"/>
                <w:szCs w:val="21"/>
              </w:rPr>
            </w:pPr>
            <w:r>
              <w:rPr>
                <w:rFonts w:hint="eastAsia" w:eastAsia="仿宋_GB2312" w:cs="Times New Roman"/>
                <w:color w:val="0C0C0C"/>
                <w:szCs w:val="21"/>
                <w:lang w:val="en-US" w:eastAsia="zh-CN"/>
              </w:rPr>
              <w:t>2</w:t>
            </w:r>
          </w:p>
        </w:tc>
      </w:tr>
      <w:tr w14:paraId="14F627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96" w:type="dxa"/>
            <w:vMerge w:val="continue"/>
            <w:noWrap w:val="0"/>
            <w:tcMar>
              <w:left w:w="108" w:type="dxa"/>
              <w:right w:w="108" w:type="dxa"/>
            </w:tcMar>
            <w:vAlign w:val="center"/>
          </w:tcPr>
          <w:p w14:paraId="7984986C">
            <w:pPr>
              <w:rPr>
                <w:rFonts w:ascii="黑体" w:hAnsi="黑体" w:eastAsia="黑体"/>
                <w:color w:val="0C0C0C"/>
                <w:szCs w:val="21"/>
              </w:rPr>
            </w:pPr>
          </w:p>
        </w:tc>
        <w:tc>
          <w:tcPr>
            <w:tcW w:w="1121" w:type="dxa"/>
            <w:vMerge w:val="continue"/>
            <w:noWrap w:val="0"/>
            <w:tcMar>
              <w:left w:w="108" w:type="dxa"/>
              <w:right w:w="108" w:type="dxa"/>
            </w:tcMar>
            <w:vAlign w:val="center"/>
          </w:tcPr>
          <w:p w14:paraId="4DC4DF3A">
            <w:pPr>
              <w:widowControl/>
              <w:spacing w:line="300" w:lineRule="exact"/>
              <w:rPr>
                <w:rFonts w:ascii="黑体" w:hAnsi="黑体" w:eastAsia="黑体"/>
                <w:color w:val="0C0C0C"/>
                <w:kern w:val="0"/>
                <w:szCs w:val="21"/>
              </w:rPr>
            </w:pPr>
          </w:p>
        </w:tc>
        <w:tc>
          <w:tcPr>
            <w:tcW w:w="2976" w:type="dxa"/>
            <w:noWrap w:val="0"/>
            <w:vAlign w:val="center"/>
          </w:tcPr>
          <w:p w14:paraId="712EB5A7">
            <w:pPr>
              <w:widowControl/>
              <w:spacing w:line="300" w:lineRule="exact"/>
              <w:rPr>
                <w:rFonts w:ascii="仿宋_GB2312" w:hAnsi="黑体" w:eastAsia="仿宋_GB2312"/>
                <w:color w:val="0C0C0C"/>
                <w:kern w:val="0"/>
                <w:szCs w:val="21"/>
              </w:rPr>
            </w:pPr>
            <w:r>
              <w:rPr>
                <w:rFonts w:hint="eastAsia" w:ascii="仿宋_GB2312" w:hAnsi="楷体" w:eastAsia="仿宋_GB2312"/>
                <w:color w:val="0C0C0C"/>
              </w:rPr>
              <w:t>2.申请人逾期未按收费通知要求缴纳费用、行政机关不再处理其政府信息公开申请</w:t>
            </w:r>
          </w:p>
        </w:tc>
        <w:tc>
          <w:tcPr>
            <w:tcW w:w="829" w:type="dxa"/>
            <w:noWrap w:val="0"/>
            <w:tcMar>
              <w:left w:w="108" w:type="dxa"/>
              <w:right w:w="108" w:type="dxa"/>
            </w:tcMar>
            <w:vAlign w:val="bottom"/>
          </w:tcPr>
          <w:p w14:paraId="0ABCB912">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708C555D">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299D458A">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14:paraId="43185CEF">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14:paraId="0291B33D">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20899C8F">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14:paraId="544E0C71">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14:paraId="568461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96" w:type="dxa"/>
            <w:vMerge w:val="continue"/>
            <w:noWrap w:val="0"/>
            <w:tcMar>
              <w:left w:w="108" w:type="dxa"/>
              <w:right w:w="108" w:type="dxa"/>
            </w:tcMar>
            <w:vAlign w:val="center"/>
          </w:tcPr>
          <w:p w14:paraId="04CCC420">
            <w:pPr>
              <w:rPr>
                <w:rFonts w:ascii="黑体" w:hAnsi="黑体" w:eastAsia="黑体"/>
                <w:color w:val="0C0C0C"/>
                <w:szCs w:val="21"/>
              </w:rPr>
            </w:pPr>
          </w:p>
        </w:tc>
        <w:tc>
          <w:tcPr>
            <w:tcW w:w="1121" w:type="dxa"/>
            <w:vMerge w:val="continue"/>
            <w:noWrap w:val="0"/>
            <w:tcMar>
              <w:left w:w="108" w:type="dxa"/>
              <w:right w:w="108" w:type="dxa"/>
            </w:tcMar>
            <w:vAlign w:val="center"/>
          </w:tcPr>
          <w:p w14:paraId="7C230D51">
            <w:pPr>
              <w:widowControl/>
              <w:spacing w:line="300" w:lineRule="exact"/>
              <w:rPr>
                <w:rFonts w:ascii="黑体" w:hAnsi="黑体" w:eastAsia="黑体"/>
                <w:color w:val="0C0C0C"/>
                <w:kern w:val="0"/>
                <w:szCs w:val="21"/>
              </w:rPr>
            </w:pPr>
          </w:p>
        </w:tc>
        <w:tc>
          <w:tcPr>
            <w:tcW w:w="2976" w:type="dxa"/>
            <w:noWrap w:val="0"/>
            <w:vAlign w:val="center"/>
          </w:tcPr>
          <w:p w14:paraId="777BD9F3">
            <w:pPr>
              <w:widowControl/>
              <w:spacing w:line="300" w:lineRule="exact"/>
              <w:rPr>
                <w:rFonts w:ascii="仿宋_GB2312" w:hAnsi="黑体" w:eastAsia="仿宋_GB2312"/>
                <w:color w:val="0C0C0C"/>
                <w:kern w:val="0"/>
                <w:szCs w:val="21"/>
              </w:rPr>
            </w:pPr>
            <w:r>
              <w:rPr>
                <w:rFonts w:hint="eastAsia" w:ascii="仿宋_GB2312" w:hAnsi="楷体" w:eastAsia="仿宋_GB2312"/>
                <w:color w:val="0C0C0C"/>
              </w:rPr>
              <w:t>3.其他</w:t>
            </w:r>
          </w:p>
        </w:tc>
        <w:tc>
          <w:tcPr>
            <w:tcW w:w="829" w:type="dxa"/>
            <w:noWrap w:val="0"/>
            <w:tcMar>
              <w:left w:w="108" w:type="dxa"/>
              <w:right w:w="108" w:type="dxa"/>
            </w:tcMar>
            <w:vAlign w:val="bottom"/>
          </w:tcPr>
          <w:p w14:paraId="603AD5FD">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297D51B3">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5F3DDFE8">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14:paraId="518A95D5">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14:paraId="383B1C9B">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2CB6A30C">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14:paraId="30159ED4">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r w14:paraId="7600F2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96" w:type="dxa"/>
            <w:vMerge w:val="continue"/>
            <w:noWrap w:val="0"/>
            <w:tcMar>
              <w:left w:w="108" w:type="dxa"/>
              <w:right w:w="108" w:type="dxa"/>
            </w:tcMar>
            <w:vAlign w:val="center"/>
          </w:tcPr>
          <w:p w14:paraId="271FBFC9">
            <w:pPr>
              <w:rPr>
                <w:rFonts w:ascii="黑体" w:hAnsi="黑体" w:eastAsia="黑体"/>
                <w:color w:val="0C0C0C"/>
                <w:szCs w:val="21"/>
              </w:rPr>
            </w:pPr>
          </w:p>
        </w:tc>
        <w:tc>
          <w:tcPr>
            <w:tcW w:w="4097" w:type="dxa"/>
            <w:gridSpan w:val="2"/>
            <w:noWrap w:val="0"/>
            <w:tcMar>
              <w:left w:w="108" w:type="dxa"/>
              <w:right w:w="108" w:type="dxa"/>
            </w:tcMar>
            <w:vAlign w:val="center"/>
          </w:tcPr>
          <w:p w14:paraId="08AF86B0">
            <w:pPr>
              <w:widowControl/>
              <w:spacing w:line="300" w:lineRule="exact"/>
              <w:rPr>
                <w:rFonts w:ascii="黑体" w:hAnsi="黑体" w:eastAsia="黑体"/>
                <w:color w:val="0C0C0C"/>
                <w:kern w:val="0"/>
                <w:szCs w:val="21"/>
              </w:rPr>
            </w:pPr>
            <w:r>
              <w:rPr>
                <w:rFonts w:hint="eastAsia" w:ascii="黑体" w:hAnsi="黑体" w:eastAsia="黑体"/>
                <w:color w:val="0C0C0C"/>
                <w:kern w:val="0"/>
                <w:szCs w:val="21"/>
              </w:rPr>
              <w:t>（七）总计</w:t>
            </w:r>
          </w:p>
        </w:tc>
        <w:tc>
          <w:tcPr>
            <w:tcW w:w="829" w:type="dxa"/>
            <w:noWrap w:val="0"/>
            <w:tcMar>
              <w:left w:w="108" w:type="dxa"/>
              <w:right w:w="108" w:type="dxa"/>
            </w:tcMar>
            <w:vAlign w:val="bottom"/>
          </w:tcPr>
          <w:p w14:paraId="782BAC38">
            <w:pPr>
              <w:widowControl/>
              <w:spacing w:after="180" w:line="200" w:lineRule="exact"/>
              <w:jc w:val="center"/>
              <w:rPr>
                <w:rFonts w:hint="default" w:ascii="Times New Roman" w:hAnsi="Times New Roman" w:eastAsia="仿宋_GB2312" w:cs="Times New Roman"/>
                <w:color w:val="0C0C0C"/>
                <w:szCs w:val="21"/>
                <w:lang w:val="en-US"/>
              </w:rPr>
            </w:pPr>
            <w:r>
              <w:rPr>
                <w:rFonts w:hint="eastAsia" w:eastAsia="仿宋_GB2312" w:cs="Times New Roman"/>
                <w:color w:val="0C0C0C"/>
                <w:szCs w:val="21"/>
                <w:lang w:val="en-US" w:eastAsia="zh-CN"/>
              </w:rPr>
              <w:t>67</w:t>
            </w:r>
          </w:p>
        </w:tc>
        <w:tc>
          <w:tcPr>
            <w:tcW w:w="567" w:type="dxa"/>
            <w:noWrap w:val="0"/>
            <w:tcMar>
              <w:left w:w="108" w:type="dxa"/>
              <w:right w:w="108" w:type="dxa"/>
            </w:tcMar>
            <w:vAlign w:val="bottom"/>
          </w:tcPr>
          <w:p w14:paraId="6EC48713">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4C21713F">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14:paraId="63D7715D">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14:paraId="4283198E">
            <w:pPr>
              <w:widowControl/>
              <w:spacing w:after="180"/>
              <w:jc w:val="center"/>
              <w:rPr>
                <w:rFonts w:hint="default" w:ascii="Times New Roman" w:hAnsi="Times New Roman" w:eastAsia="仿宋_GB2312" w:cs="Times New Roman"/>
                <w:color w:val="0C0C0C"/>
                <w:szCs w:val="21"/>
              </w:rPr>
            </w:pPr>
            <w:r>
              <w:rPr>
                <w:rFonts w:hint="eastAsia" w:eastAsia="仿宋_GB2312" w:cs="Times New Roman"/>
                <w:color w:val="0C0C0C"/>
                <w:szCs w:val="21"/>
                <w:lang w:val="en-US" w:eastAsia="zh-CN"/>
              </w:rPr>
              <w:t>2</w:t>
            </w:r>
          </w:p>
        </w:tc>
        <w:tc>
          <w:tcPr>
            <w:tcW w:w="567" w:type="dxa"/>
            <w:noWrap w:val="0"/>
            <w:tcMar>
              <w:left w:w="108" w:type="dxa"/>
              <w:right w:w="108" w:type="dxa"/>
            </w:tcMar>
            <w:vAlign w:val="bottom"/>
          </w:tcPr>
          <w:p w14:paraId="550C89B8">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14:paraId="2849CAFC">
            <w:pPr>
              <w:widowControl/>
              <w:spacing w:after="180"/>
              <w:jc w:val="center"/>
              <w:rPr>
                <w:rFonts w:hint="default" w:ascii="Times New Roman" w:hAnsi="Times New Roman" w:eastAsia="仿宋_GB2312" w:cs="Times New Roman"/>
                <w:color w:val="0C0C0C"/>
                <w:szCs w:val="21"/>
                <w:lang w:val="en-US"/>
              </w:rPr>
            </w:pPr>
            <w:r>
              <w:rPr>
                <w:rFonts w:hint="eastAsia" w:eastAsia="仿宋_GB2312" w:cs="Times New Roman"/>
                <w:color w:val="0C0C0C"/>
                <w:szCs w:val="21"/>
                <w:lang w:val="en-US" w:eastAsia="zh-CN"/>
              </w:rPr>
              <w:t>69</w:t>
            </w:r>
          </w:p>
        </w:tc>
      </w:tr>
      <w:tr w14:paraId="19C1E2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14:paraId="691B5C69">
            <w:pPr>
              <w:widowControl/>
              <w:spacing w:line="300" w:lineRule="exact"/>
              <w:rPr>
                <w:rFonts w:ascii="黑体" w:hAnsi="黑体" w:eastAsia="黑体"/>
                <w:color w:val="0C0C0C"/>
                <w:kern w:val="0"/>
                <w:szCs w:val="21"/>
              </w:rPr>
            </w:pPr>
            <w:r>
              <w:rPr>
                <w:rFonts w:hint="eastAsia" w:ascii="黑体" w:hAnsi="黑体" w:eastAsia="黑体"/>
                <w:color w:val="0C0C0C"/>
                <w:kern w:val="0"/>
                <w:szCs w:val="21"/>
              </w:rPr>
              <w:t>四、结转下年度继续办理</w:t>
            </w:r>
          </w:p>
        </w:tc>
        <w:tc>
          <w:tcPr>
            <w:tcW w:w="829" w:type="dxa"/>
            <w:noWrap w:val="0"/>
            <w:tcMar>
              <w:left w:w="108" w:type="dxa"/>
              <w:right w:w="108" w:type="dxa"/>
            </w:tcMar>
            <w:vAlign w:val="bottom"/>
          </w:tcPr>
          <w:p w14:paraId="18F1CE01">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6EF1714A">
            <w:pPr>
              <w:widowControl/>
              <w:spacing w:after="180" w:line="200" w:lineRule="exact"/>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2DC7B7D6">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31" w:type="dxa"/>
            <w:noWrap w:val="0"/>
            <w:tcMar>
              <w:left w:w="108" w:type="dxa"/>
              <w:right w:w="108" w:type="dxa"/>
            </w:tcMar>
            <w:vAlign w:val="bottom"/>
          </w:tcPr>
          <w:p w14:paraId="4EF205D0">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708" w:type="dxa"/>
            <w:noWrap w:val="0"/>
            <w:tcMar>
              <w:left w:w="108" w:type="dxa"/>
              <w:right w:w="108" w:type="dxa"/>
            </w:tcMar>
            <w:vAlign w:val="bottom"/>
          </w:tcPr>
          <w:p w14:paraId="20FE5D53">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567" w:type="dxa"/>
            <w:noWrap w:val="0"/>
            <w:tcMar>
              <w:left w:w="108" w:type="dxa"/>
              <w:right w:w="108" w:type="dxa"/>
            </w:tcMar>
            <w:vAlign w:val="bottom"/>
          </w:tcPr>
          <w:p w14:paraId="4E30FB30">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c>
          <w:tcPr>
            <w:tcW w:w="851" w:type="dxa"/>
            <w:noWrap w:val="0"/>
            <w:tcMar>
              <w:left w:w="108" w:type="dxa"/>
              <w:right w:w="108" w:type="dxa"/>
            </w:tcMar>
            <w:vAlign w:val="bottom"/>
          </w:tcPr>
          <w:p w14:paraId="45685855">
            <w:pPr>
              <w:widowControl/>
              <w:spacing w:after="180"/>
              <w:jc w:val="center"/>
              <w:rPr>
                <w:rFonts w:hint="default" w:ascii="Times New Roman" w:hAnsi="Times New Roman" w:eastAsia="仿宋_GB2312" w:cs="Times New Roman"/>
                <w:color w:val="0C0C0C"/>
                <w:szCs w:val="21"/>
              </w:rPr>
            </w:pPr>
            <w:r>
              <w:rPr>
                <w:rFonts w:hint="default" w:ascii="Times New Roman" w:hAnsi="Times New Roman" w:eastAsia="仿宋_GB2312" w:cs="Times New Roman"/>
                <w:color w:val="0C0C0C"/>
                <w:szCs w:val="21"/>
                <w:lang w:val="en-US" w:eastAsia="zh-CN"/>
              </w:rPr>
              <w:t>0</w:t>
            </w:r>
          </w:p>
        </w:tc>
      </w:tr>
    </w:tbl>
    <w:p w14:paraId="6B74FDC8">
      <w:pPr>
        <w:numPr>
          <w:ilvl w:val="0"/>
          <w:numId w:val="0"/>
        </w:numPr>
        <w:spacing w:line="590" w:lineRule="exact"/>
        <w:ind w:right="-105" w:rightChars="-50" w:firstLine="321" w:firstLineChars="100"/>
        <w:jc w:val="left"/>
        <w:rPr>
          <w:rFonts w:hint="eastAsia" w:ascii="方正黑体简体" w:hAnsi="方正黑体简体" w:eastAsia="方正黑体简体" w:cs="方正黑体简体"/>
          <w:b/>
          <w:color w:val="auto"/>
          <w:sz w:val="32"/>
          <w:szCs w:val="32"/>
        </w:rPr>
      </w:pPr>
      <w:r>
        <w:rPr>
          <w:rFonts w:hint="eastAsia" w:ascii="方正黑体简体" w:hAnsi="方正黑体简体" w:eastAsia="方正黑体简体" w:cs="方正黑体简体"/>
          <w:b/>
          <w:color w:val="auto"/>
          <w:sz w:val="32"/>
          <w:szCs w:val="32"/>
          <w:lang w:val="en-US" w:eastAsia="zh-CN"/>
        </w:rPr>
        <w:t>四、</w:t>
      </w:r>
      <w:r>
        <w:rPr>
          <w:rFonts w:hint="eastAsia" w:ascii="方正黑体简体" w:hAnsi="方正黑体简体" w:eastAsia="方正黑体简体" w:cs="方正黑体简体"/>
          <w:b/>
          <w:color w:val="auto"/>
          <w:sz w:val="32"/>
          <w:szCs w:val="32"/>
        </w:rPr>
        <w:t>政府信息公开行政复议、行政诉讼情况</w:t>
      </w:r>
    </w:p>
    <w:tbl>
      <w:tblPr>
        <w:tblStyle w:val="9"/>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6CDF71C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798B649">
            <w:pPr>
              <w:widowControl/>
              <w:jc w:val="center"/>
              <w:rPr>
                <w:rFonts w:ascii="黑体" w:hAnsi="黑体" w:eastAsia="黑体"/>
                <w:color w:val="auto"/>
              </w:rPr>
            </w:pPr>
            <w:r>
              <w:rPr>
                <w:rFonts w:ascii="黑体" w:hAnsi="黑体" w:eastAsia="黑体"/>
                <w:color w:val="auto"/>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410F2590">
            <w:pPr>
              <w:widowControl/>
              <w:jc w:val="center"/>
              <w:rPr>
                <w:rFonts w:ascii="黑体" w:hAnsi="黑体" w:eastAsia="黑体"/>
                <w:color w:val="auto"/>
              </w:rPr>
            </w:pPr>
            <w:r>
              <w:rPr>
                <w:rFonts w:ascii="黑体" w:hAnsi="黑体" w:eastAsia="黑体"/>
                <w:color w:val="auto"/>
                <w:kern w:val="0"/>
                <w:sz w:val="20"/>
                <w:szCs w:val="20"/>
              </w:rPr>
              <w:t>行政诉讼</w:t>
            </w:r>
          </w:p>
        </w:tc>
      </w:tr>
      <w:tr w14:paraId="42D09D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2D34CC2F">
            <w:pPr>
              <w:widowControl/>
              <w:ind w:left="-149" w:leftChars="-71" w:right="-170" w:rightChars="-81"/>
              <w:jc w:val="center"/>
              <w:rPr>
                <w:rFonts w:ascii="黑体" w:hAnsi="黑体" w:eastAsia="黑体"/>
                <w:color w:val="auto"/>
                <w:kern w:val="0"/>
                <w:sz w:val="20"/>
                <w:szCs w:val="20"/>
              </w:rPr>
            </w:pPr>
            <w:r>
              <w:rPr>
                <w:rFonts w:ascii="黑体" w:hAnsi="黑体" w:eastAsia="黑体"/>
                <w:color w:val="auto"/>
                <w:kern w:val="0"/>
                <w:sz w:val="20"/>
                <w:szCs w:val="20"/>
              </w:rPr>
              <w:t>结果</w:t>
            </w:r>
          </w:p>
          <w:p w14:paraId="1161BC91">
            <w:pPr>
              <w:widowControl/>
              <w:ind w:left="-149" w:leftChars="-71" w:right="-170" w:rightChars="-81"/>
              <w:jc w:val="center"/>
              <w:rPr>
                <w:rFonts w:ascii="黑体" w:hAnsi="黑体" w:eastAsia="黑体"/>
                <w:color w:val="auto"/>
              </w:rPr>
            </w:pPr>
            <w:r>
              <w:rPr>
                <w:rFonts w:ascii="黑体" w:hAnsi="黑体" w:eastAsia="黑体"/>
                <w:color w:val="auto"/>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200D88DA">
            <w:pPr>
              <w:widowControl/>
              <w:ind w:left="-43" w:leftChars="-21" w:right="-132" w:rightChars="-63" w:hanging="1"/>
              <w:jc w:val="center"/>
              <w:rPr>
                <w:rFonts w:ascii="黑体" w:hAnsi="黑体" w:eastAsia="黑体"/>
                <w:color w:val="auto"/>
              </w:rPr>
            </w:pPr>
            <w:r>
              <w:rPr>
                <w:rFonts w:ascii="黑体" w:hAnsi="黑体" w:eastAsia="黑体"/>
                <w:color w:val="auto"/>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00909156">
            <w:pPr>
              <w:widowControl/>
              <w:ind w:left="-82" w:leftChars="-39" w:right="-97" w:rightChars="-46"/>
              <w:jc w:val="center"/>
              <w:rPr>
                <w:rFonts w:ascii="黑体" w:hAnsi="黑体" w:eastAsia="黑体"/>
                <w:color w:val="auto"/>
              </w:rPr>
            </w:pPr>
            <w:r>
              <w:rPr>
                <w:rFonts w:ascii="黑体" w:hAnsi="黑体" w:eastAsia="黑体"/>
                <w:color w:val="auto"/>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1A175664">
            <w:pPr>
              <w:widowControl/>
              <w:ind w:left="-118" w:leftChars="-56" w:right="-118" w:rightChars="-56"/>
              <w:jc w:val="center"/>
              <w:rPr>
                <w:rFonts w:ascii="黑体" w:hAnsi="黑体" w:eastAsia="黑体"/>
                <w:color w:val="auto"/>
                <w:kern w:val="0"/>
                <w:sz w:val="20"/>
                <w:szCs w:val="20"/>
              </w:rPr>
            </w:pPr>
            <w:r>
              <w:rPr>
                <w:rFonts w:ascii="黑体" w:hAnsi="黑体" w:eastAsia="黑体"/>
                <w:color w:val="auto"/>
                <w:kern w:val="0"/>
                <w:sz w:val="20"/>
                <w:szCs w:val="20"/>
              </w:rPr>
              <w:t>尚未</w:t>
            </w:r>
          </w:p>
          <w:p w14:paraId="0B7E3237">
            <w:pPr>
              <w:widowControl/>
              <w:ind w:left="-118" w:leftChars="-56" w:right="-118" w:rightChars="-56"/>
              <w:jc w:val="center"/>
              <w:rPr>
                <w:rFonts w:ascii="黑体" w:hAnsi="黑体" w:eastAsia="黑体"/>
                <w:color w:val="auto"/>
              </w:rPr>
            </w:pPr>
            <w:r>
              <w:rPr>
                <w:rFonts w:ascii="黑体" w:hAnsi="黑体" w:eastAsia="黑体"/>
                <w:color w:val="auto"/>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369B0256">
            <w:pPr>
              <w:widowControl/>
              <w:spacing w:line="320" w:lineRule="exact"/>
              <w:jc w:val="center"/>
              <w:rPr>
                <w:rFonts w:ascii="黑体" w:hAnsi="黑体" w:eastAsia="黑体"/>
                <w:color w:val="auto"/>
                <w:kern w:val="0"/>
                <w:sz w:val="20"/>
                <w:szCs w:val="20"/>
              </w:rPr>
            </w:pPr>
            <w:r>
              <w:rPr>
                <w:rFonts w:ascii="黑体" w:hAnsi="黑体" w:eastAsia="黑体"/>
                <w:color w:val="auto"/>
                <w:kern w:val="0"/>
                <w:sz w:val="20"/>
                <w:szCs w:val="20"/>
              </w:rPr>
              <w:t>总</w:t>
            </w:r>
          </w:p>
          <w:p w14:paraId="6FD442DA">
            <w:pPr>
              <w:widowControl/>
              <w:spacing w:line="320" w:lineRule="exact"/>
              <w:jc w:val="center"/>
              <w:rPr>
                <w:rFonts w:ascii="黑体" w:hAnsi="黑体" w:eastAsia="黑体"/>
                <w:color w:val="auto"/>
              </w:rPr>
            </w:pPr>
            <w:r>
              <w:rPr>
                <w:rFonts w:ascii="黑体" w:hAnsi="黑体" w:eastAsia="黑体"/>
                <w:color w:val="auto"/>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42C8FF04">
            <w:pPr>
              <w:widowControl/>
              <w:jc w:val="center"/>
              <w:rPr>
                <w:rFonts w:ascii="黑体" w:hAnsi="黑体" w:eastAsia="黑体"/>
                <w:color w:val="auto"/>
              </w:rPr>
            </w:pPr>
            <w:r>
              <w:rPr>
                <w:rFonts w:ascii="黑体" w:hAnsi="黑体" w:eastAsia="黑体"/>
                <w:color w:val="auto"/>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6DB02E9B">
            <w:pPr>
              <w:widowControl/>
              <w:jc w:val="center"/>
              <w:rPr>
                <w:rFonts w:ascii="黑体" w:hAnsi="黑体" w:eastAsia="黑体"/>
                <w:color w:val="auto"/>
              </w:rPr>
            </w:pPr>
            <w:bookmarkStart w:id="9" w:name="_Hlk67039688"/>
            <w:r>
              <w:rPr>
                <w:rFonts w:ascii="黑体" w:hAnsi="黑体" w:eastAsia="黑体"/>
                <w:color w:val="auto"/>
                <w:kern w:val="0"/>
                <w:sz w:val="20"/>
                <w:szCs w:val="20"/>
              </w:rPr>
              <w:t>复议后起诉</w:t>
            </w:r>
            <w:bookmarkEnd w:id="9"/>
          </w:p>
        </w:tc>
      </w:tr>
      <w:tr w14:paraId="704A369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0DD00B2C">
            <w:pPr>
              <w:rPr>
                <w:rFonts w:ascii="黑体" w:hAnsi="黑体" w:eastAsia="黑体"/>
                <w:color w:val="auto"/>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42526818">
            <w:pPr>
              <w:rPr>
                <w:rFonts w:ascii="黑体" w:hAnsi="黑体" w:eastAsia="黑体"/>
                <w:color w:val="auto"/>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4CCF542C">
            <w:pPr>
              <w:rPr>
                <w:rFonts w:ascii="黑体" w:hAnsi="黑体" w:eastAsia="黑体"/>
                <w:color w:val="auto"/>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2D82B697">
            <w:pPr>
              <w:rPr>
                <w:rFonts w:ascii="黑体" w:hAnsi="黑体" w:eastAsia="黑体"/>
                <w:color w:val="auto"/>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737B51B4">
            <w:pPr>
              <w:rPr>
                <w:rFonts w:ascii="黑体" w:hAnsi="黑体" w:eastAsia="黑体"/>
                <w:color w:val="auto"/>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321749B8">
            <w:pPr>
              <w:widowControl/>
              <w:ind w:left="-105" w:leftChars="-50" w:right="-126" w:rightChars="-60"/>
              <w:jc w:val="center"/>
              <w:rPr>
                <w:rFonts w:ascii="黑体" w:hAnsi="黑体" w:eastAsia="黑体"/>
                <w:color w:val="auto"/>
              </w:rPr>
            </w:pPr>
            <w:r>
              <w:rPr>
                <w:rFonts w:ascii="黑体" w:hAnsi="黑体" w:eastAsia="黑体"/>
                <w:color w:val="auto"/>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B037D58">
            <w:pPr>
              <w:widowControl/>
              <w:ind w:left="-86" w:leftChars="-41" w:right="-88" w:rightChars="-42"/>
              <w:jc w:val="center"/>
              <w:rPr>
                <w:rFonts w:ascii="黑体" w:hAnsi="黑体" w:eastAsia="黑体"/>
                <w:color w:val="auto"/>
              </w:rPr>
            </w:pPr>
            <w:r>
              <w:rPr>
                <w:rFonts w:ascii="黑体" w:hAnsi="黑体" w:eastAsia="黑体"/>
                <w:color w:val="auto"/>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0308DF3">
            <w:pPr>
              <w:widowControl/>
              <w:ind w:left="-126" w:leftChars="-60" w:right="-136" w:rightChars="-65"/>
              <w:jc w:val="center"/>
              <w:rPr>
                <w:rFonts w:ascii="黑体" w:hAnsi="黑体" w:eastAsia="黑体"/>
                <w:color w:val="auto"/>
                <w:kern w:val="0"/>
                <w:sz w:val="20"/>
                <w:szCs w:val="20"/>
              </w:rPr>
            </w:pPr>
            <w:r>
              <w:rPr>
                <w:rFonts w:ascii="黑体" w:hAnsi="黑体" w:eastAsia="黑体"/>
                <w:color w:val="auto"/>
                <w:kern w:val="0"/>
                <w:sz w:val="20"/>
                <w:szCs w:val="20"/>
              </w:rPr>
              <w:t>其他</w:t>
            </w:r>
          </w:p>
          <w:p w14:paraId="1243C886">
            <w:pPr>
              <w:widowControl/>
              <w:ind w:left="-126" w:leftChars="-60" w:right="-136" w:rightChars="-65"/>
              <w:jc w:val="center"/>
              <w:rPr>
                <w:rFonts w:ascii="黑体" w:hAnsi="黑体" w:eastAsia="黑体"/>
                <w:color w:val="auto"/>
              </w:rPr>
            </w:pPr>
            <w:r>
              <w:rPr>
                <w:rFonts w:ascii="黑体" w:hAnsi="黑体" w:eastAsia="黑体"/>
                <w:color w:val="auto"/>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F1CFE6A">
            <w:pPr>
              <w:widowControl/>
              <w:ind w:left="-164" w:leftChars="-78" w:right="-153" w:rightChars="-73"/>
              <w:jc w:val="center"/>
              <w:rPr>
                <w:rFonts w:ascii="黑体" w:hAnsi="黑体" w:eastAsia="黑体"/>
                <w:color w:val="auto"/>
                <w:kern w:val="0"/>
                <w:sz w:val="20"/>
                <w:szCs w:val="20"/>
              </w:rPr>
            </w:pPr>
            <w:r>
              <w:rPr>
                <w:rFonts w:ascii="黑体" w:hAnsi="黑体" w:eastAsia="黑体"/>
                <w:color w:val="auto"/>
                <w:kern w:val="0"/>
                <w:sz w:val="20"/>
                <w:szCs w:val="20"/>
              </w:rPr>
              <w:t>尚未</w:t>
            </w:r>
          </w:p>
          <w:p w14:paraId="08851FE9">
            <w:pPr>
              <w:widowControl/>
              <w:ind w:left="-164" w:leftChars="-78" w:right="-153" w:rightChars="-73"/>
              <w:jc w:val="center"/>
              <w:rPr>
                <w:rFonts w:ascii="黑体" w:hAnsi="黑体" w:eastAsia="黑体"/>
                <w:color w:val="auto"/>
              </w:rPr>
            </w:pPr>
            <w:r>
              <w:rPr>
                <w:rFonts w:ascii="黑体" w:hAnsi="黑体" w:eastAsia="黑体"/>
                <w:color w:val="auto"/>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ED204E5">
            <w:pPr>
              <w:widowControl/>
              <w:jc w:val="center"/>
              <w:rPr>
                <w:rFonts w:ascii="黑体" w:hAnsi="黑体" w:eastAsia="黑体"/>
                <w:color w:val="auto"/>
              </w:rPr>
            </w:pPr>
            <w:r>
              <w:rPr>
                <w:rFonts w:ascii="黑体" w:hAnsi="黑体" w:eastAsia="黑体"/>
                <w:color w:val="auto"/>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8B3261F">
            <w:pPr>
              <w:widowControl/>
              <w:ind w:left="-99" w:leftChars="-47" w:right="-78" w:rightChars="-37"/>
              <w:jc w:val="center"/>
              <w:rPr>
                <w:rFonts w:ascii="黑体" w:hAnsi="黑体" w:eastAsia="黑体"/>
                <w:color w:val="auto"/>
              </w:rPr>
            </w:pPr>
            <w:r>
              <w:rPr>
                <w:rFonts w:ascii="黑体" w:hAnsi="黑体" w:eastAsia="黑体"/>
                <w:color w:val="auto"/>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28CFD2C">
            <w:pPr>
              <w:widowControl/>
              <w:ind w:left="-136" w:leftChars="-65" w:right="-124" w:rightChars="-59"/>
              <w:jc w:val="center"/>
              <w:rPr>
                <w:rFonts w:ascii="黑体" w:hAnsi="黑体" w:eastAsia="黑体"/>
                <w:color w:val="auto"/>
                <w:kern w:val="0"/>
                <w:sz w:val="20"/>
                <w:szCs w:val="20"/>
              </w:rPr>
            </w:pPr>
            <w:r>
              <w:rPr>
                <w:rFonts w:ascii="黑体" w:hAnsi="黑体" w:eastAsia="黑体"/>
                <w:color w:val="auto"/>
                <w:kern w:val="0"/>
                <w:sz w:val="20"/>
                <w:szCs w:val="20"/>
              </w:rPr>
              <w:t>结果</w:t>
            </w:r>
          </w:p>
          <w:p w14:paraId="2F56986F">
            <w:pPr>
              <w:widowControl/>
              <w:ind w:left="-136" w:leftChars="-65" w:right="-124" w:rightChars="-59"/>
              <w:jc w:val="center"/>
              <w:rPr>
                <w:rFonts w:ascii="黑体" w:hAnsi="黑体" w:eastAsia="黑体"/>
                <w:color w:val="auto"/>
              </w:rPr>
            </w:pPr>
            <w:r>
              <w:rPr>
                <w:rFonts w:ascii="黑体" w:hAnsi="黑体" w:eastAsia="黑体"/>
                <w:color w:val="auto"/>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2676BB7">
            <w:pPr>
              <w:widowControl/>
              <w:ind w:left="-173" w:leftChars="-83" w:right="-134" w:rightChars="-64" w:hanging="1"/>
              <w:jc w:val="center"/>
              <w:rPr>
                <w:rFonts w:ascii="黑体" w:hAnsi="黑体" w:eastAsia="黑体"/>
                <w:color w:val="auto"/>
                <w:kern w:val="0"/>
                <w:sz w:val="20"/>
                <w:szCs w:val="20"/>
              </w:rPr>
            </w:pPr>
            <w:r>
              <w:rPr>
                <w:rFonts w:ascii="黑体" w:hAnsi="黑体" w:eastAsia="黑体"/>
                <w:color w:val="auto"/>
                <w:kern w:val="0"/>
                <w:sz w:val="20"/>
                <w:szCs w:val="20"/>
              </w:rPr>
              <w:t>其他</w:t>
            </w:r>
          </w:p>
          <w:p w14:paraId="1D36FE0A">
            <w:pPr>
              <w:widowControl/>
              <w:ind w:left="-173" w:leftChars="-83" w:right="-134" w:rightChars="-64" w:hanging="1"/>
              <w:jc w:val="center"/>
              <w:rPr>
                <w:rFonts w:ascii="黑体" w:hAnsi="黑体" w:eastAsia="黑体"/>
                <w:color w:val="auto"/>
              </w:rPr>
            </w:pPr>
            <w:r>
              <w:rPr>
                <w:rFonts w:ascii="黑体" w:hAnsi="黑体" w:eastAsia="黑体"/>
                <w:color w:val="auto"/>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F3E6AE8">
            <w:pPr>
              <w:widowControl/>
              <w:ind w:left="-67" w:leftChars="-33" w:right="-105" w:rightChars="-50" w:hanging="2" w:hangingChars="1"/>
              <w:jc w:val="center"/>
              <w:rPr>
                <w:rFonts w:ascii="黑体" w:hAnsi="黑体" w:eastAsia="黑体"/>
                <w:color w:val="auto"/>
              </w:rPr>
            </w:pPr>
            <w:r>
              <w:rPr>
                <w:rFonts w:ascii="黑体" w:hAnsi="黑体" w:eastAsia="黑体"/>
                <w:color w:val="auto"/>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678ADD0">
            <w:pPr>
              <w:widowControl/>
              <w:jc w:val="center"/>
              <w:rPr>
                <w:rFonts w:ascii="黑体" w:hAnsi="黑体" w:eastAsia="黑体"/>
                <w:color w:val="auto"/>
              </w:rPr>
            </w:pPr>
            <w:r>
              <w:rPr>
                <w:rFonts w:ascii="黑体" w:hAnsi="黑体" w:eastAsia="黑体"/>
                <w:color w:val="auto"/>
                <w:kern w:val="0"/>
                <w:sz w:val="20"/>
                <w:szCs w:val="20"/>
              </w:rPr>
              <w:t>总计</w:t>
            </w:r>
          </w:p>
        </w:tc>
      </w:tr>
      <w:tr w14:paraId="4F2F4D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bottom"/>
          </w:tcPr>
          <w:p w14:paraId="201940CF">
            <w:pPr>
              <w:widowControl/>
              <w:spacing w:after="180"/>
              <w:jc w:val="center"/>
              <w:rPr>
                <w:rFonts w:hint="eastAsia" w:ascii="Times New Roman" w:hAnsi="Times New Roman" w:eastAsia="宋体"/>
                <w:color w:val="auto"/>
                <w:lang w:val="en-US" w:eastAsia="zh-CN"/>
              </w:rPr>
            </w:pPr>
            <w:r>
              <w:rPr>
                <w:rFonts w:hint="eastAsia"/>
                <w:color w:val="auto"/>
                <w:lang w:val="en-US" w:eastAsia="zh-CN"/>
              </w:rPr>
              <w:t>1</w:t>
            </w:r>
          </w:p>
        </w:tc>
        <w:tc>
          <w:tcPr>
            <w:tcW w:w="604" w:type="dxa"/>
            <w:tcBorders>
              <w:top w:val="nil"/>
              <w:left w:val="nil"/>
              <w:bottom w:val="single" w:color="auto" w:sz="8" w:space="0"/>
              <w:right w:val="single" w:color="auto" w:sz="8" w:space="0"/>
            </w:tcBorders>
            <w:noWrap w:val="0"/>
            <w:tcMar>
              <w:left w:w="108" w:type="dxa"/>
              <w:right w:w="108" w:type="dxa"/>
            </w:tcMar>
            <w:vAlign w:val="bottom"/>
          </w:tcPr>
          <w:p w14:paraId="13A25381">
            <w:pPr>
              <w:widowControl/>
              <w:spacing w:after="180"/>
              <w:jc w:val="center"/>
              <w:rPr>
                <w:rFonts w:hint="eastAsia" w:ascii="Times New Roman" w:hAnsi="Times New Roman" w:eastAsia="宋体"/>
                <w:color w:val="auto"/>
                <w:lang w:val="en-US" w:eastAsia="zh-CN"/>
              </w:rPr>
            </w:pPr>
            <w:r>
              <w:rPr>
                <w:rFonts w:hint="eastAsia"/>
                <w:color w:val="auto"/>
                <w:lang w:val="en-US" w:eastAsia="zh-CN"/>
              </w:rPr>
              <w:t>7</w:t>
            </w:r>
          </w:p>
        </w:tc>
        <w:tc>
          <w:tcPr>
            <w:tcW w:w="604" w:type="dxa"/>
            <w:tcBorders>
              <w:top w:val="nil"/>
              <w:left w:val="nil"/>
              <w:bottom w:val="single" w:color="auto" w:sz="8" w:space="0"/>
              <w:right w:val="single" w:color="auto" w:sz="8" w:space="0"/>
            </w:tcBorders>
            <w:noWrap w:val="0"/>
            <w:tcMar>
              <w:left w:w="108" w:type="dxa"/>
              <w:right w:w="108" w:type="dxa"/>
            </w:tcMar>
            <w:vAlign w:val="bottom"/>
          </w:tcPr>
          <w:p w14:paraId="7A1E262E">
            <w:pPr>
              <w:widowControl/>
              <w:spacing w:after="180"/>
              <w:jc w:val="center"/>
              <w:rPr>
                <w:rFonts w:hint="default" w:ascii="Times New Roman" w:hAnsi="Times New Roman" w:eastAsia="宋体"/>
                <w:color w:val="auto"/>
                <w:lang w:val="en-US" w:eastAsia="zh-CN"/>
              </w:rPr>
            </w:pPr>
            <w:r>
              <w:rPr>
                <w:rFonts w:hint="eastAsia"/>
                <w:color w:val="auto"/>
                <w:lang w:val="en-US" w:eastAsia="zh-CN"/>
              </w:rPr>
              <w:t>2</w:t>
            </w:r>
          </w:p>
        </w:tc>
        <w:tc>
          <w:tcPr>
            <w:tcW w:w="604" w:type="dxa"/>
            <w:tcBorders>
              <w:top w:val="nil"/>
              <w:left w:val="nil"/>
              <w:bottom w:val="single" w:color="auto" w:sz="8" w:space="0"/>
              <w:right w:val="single" w:color="auto" w:sz="8" w:space="0"/>
            </w:tcBorders>
            <w:noWrap w:val="0"/>
            <w:tcMar>
              <w:left w:w="108" w:type="dxa"/>
              <w:right w:w="108" w:type="dxa"/>
            </w:tcMar>
            <w:vAlign w:val="bottom"/>
          </w:tcPr>
          <w:p w14:paraId="1C035C63">
            <w:pPr>
              <w:widowControl/>
              <w:spacing w:after="180"/>
              <w:jc w:val="center"/>
              <w:rPr>
                <w:rFonts w:hint="default" w:ascii="Times New Roman" w:hAnsi="Times New Roman" w:eastAsia="宋体"/>
                <w:color w:val="auto"/>
                <w:lang w:val="en-US" w:eastAsia="zh-CN"/>
              </w:rPr>
            </w:pPr>
            <w:r>
              <w:rPr>
                <w:rFonts w:hint="eastAsia"/>
                <w:color w:val="auto"/>
                <w:lang w:val="en-US" w:eastAsia="zh-CN"/>
              </w:rPr>
              <w:t>3</w:t>
            </w:r>
          </w:p>
        </w:tc>
        <w:tc>
          <w:tcPr>
            <w:tcW w:w="658" w:type="dxa"/>
            <w:tcBorders>
              <w:top w:val="nil"/>
              <w:left w:val="nil"/>
              <w:bottom w:val="single" w:color="auto" w:sz="8" w:space="0"/>
              <w:right w:val="single" w:color="auto" w:sz="8" w:space="0"/>
            </w:tcBorders>
            <w:noWrap w:val="0"/>
            <w:tcMar>
              <w:left w:w="108" w:type="dxa"/>
              <w:right w:w="108" w:type="dxa"/>
            </w:tcMar>
            <w:vAlign w:val="bottom"/>
          </w:tcPr>
          <w:p w14:paraId="2060D21F">
            <w:pPr>
              <w:widowControl/>
              <w:spacing w:after="180"/>
              <w:jc w:val="center"/>
              <w:rPr>
                <w:rFonts w:hint="default" w:ascii="Times New Roman" w:hAnsi="Times New Roman" w:eastAsia="宋体"/>
                <w:color w:val="auto"/>
                <w:lang w:val="en-US" w:eastAsia="zh-CN"/>
              </w:rPr>
            </w:pPr>
            <w:r>
              <w:rPr>
                <w:rFonts w:hint="eastAsia"/>
                <w:color w:val="auto"/>
                <w:lang w:val="en-US" w:eastAsia="zh-CN"/>
              </w:rPr>
              <w:t>13</w:t>
            </w:r>
          </w:p>
        </w:tc>
        <w:tc>
          <w:tcPr>
            <w:tcW w:w="550" w:type="dxa"/>
            <w:tcBorders>
              <w:top w:val="nil"/>
              <w:left w:val="nil"/>
              <w:bottom w:val="single" w:color="auto" w:sz="8" w:space="0"/>
              <w:right w:val="single" w:color="auto" w:sz="8" w:space="0"/>
            </w:tcBorders>
            <w:noWrap w:val="0"/>
            <w:tcMar>
              <w:left w:w="108" w:type="dxa"/>
              <w:right w:w="108" w:type="dxa"/>
            </w:tcMar>
            <w:vAlign w:val="bottom"/>
          </w:tcPr>
          <w:p w14:paraId="481BA60F">
            <w:pPr>
              <w:widowControl/>
              <w:spacing w:after="180"/>
              <w:jc w:val="center"/>
              <w:rPr>
                <w:rFonts w:hint="eastAsia" w:ascii="Times New Roman" w:hAnsi="Times New Roman" w:eastAsia="宋体"/>
                <w:color w:val="auto"/>
                <w:lang w:val="en-US" w:eastAsia="zh-CN"/>
              </w:rPr>
            </w:pPr>
            <w:r>
              <w:rPr>
                <w:rFonts w:hint="eastAsia"/>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14:paraId="3329FEEE">
            <w:pPr>
              <w:widowControl/>
              <w:spacing w:after="180"/>
              <w:jc w:val="center"/>
              <w:rPr>
                <w:rFonts w:hint="default" w:ascii="Times New Roman" w:hAnsi="Times New Roman" w:eastAsia="宋体"/>
                <w:color w:val="auto"/>
                <w:lang w:val="en-US" w:eastAsia="zh-CN"/>
              </w:rPr>
            </w:pPr>
            <w:r>
              <w:rPr>
                <w:rFonts w:hint="eastAsia"/>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14:paraId="703D1F74">
            <w:pPr>
              <w:widowControl/>
              <w:spacing w:after="180"/>
              <w:jc w:val="center"/>
              <w:rPr>
                <w:rFonts w:hint="eastAsia" w:ascii="Times New Roman" w:hAnsi="Times New Roman" w:eastAsia="宋体"/>
                <w:color w:val="auto"/>
                <w:lang w:val="en-US" w:eastAsia="zh-CN"/>
              </w:rPr>
            </w:pPr>
            <w:r>
              <w:rPr>
                <w:rFonts w:hint="eastAsia"/>
                <w:color w:val="auto"/>
                <w:lang w:val="en-US" w:eastAsia="zh-CN"/>
              </w:rPr>
              <w:t>3</w:t>
            </w:r>
          </w:p>
        </w:tc>
        <w:tc>
          <w:tcPr>
            <w:tcW w:w="605" w:type="dxa"/>
            <w:tcBorders>
              <w:top w:val="nil"/>
              <w:left w:val="nil"/>
              <w:bottom w:val="single" w:color="auto" w:sz="8" w:space="0"/>
              <w:right w:val="single" w:color="auto" w:sz="8" w:space="0"/>
            </w:tcBorders>
            <w:noWrap w:val="0"/>
            <w:tcMar>
              <w:left w:w="108" w:type="dxa"/>
              <w:right w:w="108" w:type="dxa"/>
            </w:tcMar>
            <w:vAlign w:val="bottom"/>
          </w:tcPr>
          <w:p w14:paraId="2D786399">
            <w:pPr>
              <w:widowControl/>
              <w:spacing w:after="180"/>
              <w:jc w:val="center"/>
              <w:rPr>
                <w:rFonts w:hint="eastAsia" w:ascii="Times New Roman" w:hAnsi="Times New Roman" w:eastAsia="宋体"/>
                <w:color w:val="auto"/>
                <w:lang w:val="en-US" w:eastAsia="zh-CN"/>
              </w:rPr>
            </w:pPr>
            <w:r>
              <w:rPr>
                <w:rFonts w:hint="eastAsia"/>
                <w:color w:val="auto"/>
                <w:lang w:val="en-US" w:eastAsia="zh-CN"/>
              </w:rPr>
              <w:t>1</w:t>
            </w:r>
          </w:p>
        </w:tc>
        <w:tc>
          <w:tcPr>
            <w:tcW w:w="605" w:type="dxa"/>
            <w:tcBorders>
              <w:top w:val="nil"/>
              <w:left w:val="nil"/>
              <w:bottom w:val="single" w:color="auto" w:sz="8" w:space="0"/>
              <w:right w:val="single" w:color="auto" w:sz="8" w:space="0"/>
            </w:tcBorders>
            <w:noWrap w:val="0"/>
            <w:tcMar>
              <w:left w:w="108" w:type="dxa"/>
              <w:right w:w="108" w:type="dxa"/>
            </w:tcMar>
            <w:vAlign w:val="bottom"/>
          </w:tcPr>
          <w:p w14:paraId="0B788919">
            <w:pPr>
              <w:widowControl/>
              <w:spacing w:after="180"/>
              <w:jc w:val="center"/>
              <w:rPr>
                <w:rFonts w:hint="eastAsia" w:ascii="Times New Roman" w:hAnsi="Times New Roman" w:eastAsia="宋体"/>
                <w:color w:val="auto"/>
                <w:lang w:val="en-US" w:eastAsia="zh-CN"/>
              </w:rPr>
            </w:pPr>
            <w:r>
              <w:rPr>
                <w:rFonts w:hint="eastAsia"/>
                <w:color w:val="auto"/>
                <w:lang w:val="en-US" w:eastAsia="zh-CN"/>
              </w:rPr>
              <w:t>4</w:t>
            </w:r>
          </w:p>
        </w:tc>
        <w:tc>
          <w:tcPr>
            <w:tcW w:w="605" w:type="dxa"/>
            <w:tcBorders>
              <w:top w:val="nil"/>
              <w:left w:val="nil"/>
              <w:bottom w:val="single" w:color="auto" w:sz="8" w:space="0"/>
              <w:right w:val="single" w:color="auto" w:sz="8" w:space="0"/>
            </w:tcBorders>
            <w:noWrap w:val="0"/>
            <w:tcMar>
              <w:left w:w="108" w:type="dxa"/>
              <w:right w:w="108" w:type="dxa"/>
            </w:tcMar>
            <w:vAlign w:val="bottom"/>
          </w:tcPr>
          <w:p w14:paraId="1B491E92">
            <w:pPr>
              <w:widowControl/>
              <w:spacing w:after="180"/>
              <w:jc w:val="center"/>
              <w:rPr>
                <w:rFonts w:hint="default" w:ascii="Times New Roman" w:hAnsi="Times New Roman" w:eastAsia="宋体"/>
                <w:color w:val="auto"/>
                <w:lang w:val="en-US" w:eastAsia="zh-CN"/>
              </w:rPr>
            </w:pPr>
            <w:r>
              <w:rPr>
                <w:rFonts w:hint="eastAsia"/>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14:paraId="51EF30CA">
            <w:pPr>
              <w:widowControl/>
              <w:spacing w:after="180"/>
              <w:jc w:val="center"/>
              <w:rPr>
                <w:rFonts w:hint="default" w:ascii="Times New Roman" w:hAnsi="Times New Roman" w:eastAsia="宋体"/>
                <w:color w:val="auto"/>
                <w:lang w:val="en-US" w:eastAsia="zh-CN"/>
              </w:rPr>
            </w:pPr>
            <w:r>
              <w:rPr>
                <w:rFonts w:hint="eastAsia"/>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14:paraId="1F1C4742">
            <w:pPr>
              <w:widowControl/>
              <w:spacing w:after="180"/>
              <w:jc w:val="center"/>
              <w:rPr>
                <w:rFonts w:hint="eastAsia" w:ascii="Times New Roman" w:hAnsi="Times New Roman" w:eastAsia="宋体"/>
                <w:color w:val="auto"/>
                <w:lang w:val="en-US" w:eastAsia="zh-CN"/>
              </w:rPr>
            </w:pPr>
            <w:r>
              <w:rPr>
                <w:rFonts w:hint="eastAsia"/>
                <w:color w:val="auto"/>
                <w:lang w:val="en-US" w:eastAsia="zh-CN"/>
              </w:rPr>
              <w:t>1</w:t>
            </w:r>
          </w:p>
        </w:tc>
        <w:tc>
          <w:tcPr>
            <w:tcW w:w="606" w:type="dxa"/>
            <w:tcBorders>
              <w:top w:val="nil"/>
              <w:left w:val="nil"/>
              <w:bottom w:val="single" w:color="auto" w:sz="8" w:space="0"/>
              <w:right w:val="single" w:color="auto" w:sz="8" w:space="0"/>
            </w:tcBorders>
            <w:noWrap w:val="0"/>
            <w:tcMar>
              <w:left w:w="108" w:type="dxa"/>
              <w:right w:w="108" w:type="dxa"/>
            </w:tcMar>
            <w:vAlign w:val="bottom"/>
          </w:tcPr>
          <w:p w14:paraId="0BCB3E03">
            <w:pPr>
              <w:widowControl/>
              <w:spacing w:after="180"/>
              <w:jc w:val="center"/>
              <w:rPr>
                <w:rFonts w:hint="default" w:ascii="Times New Roman" w:hAnsi="Times New Roman" w:eastAsia="宋体"/>
                <w:color w:val="auto"/>
                <w:lang w:val="en-US" w:eastAsia="zh-CN"/>
              </w:rPr>
            </w:pPr>
            <w:r>
              <w:rPr>
                <w:rFonts w:hint="eastAsia"/>
                <w:color w:val="auto"/>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bottom"/>
          </w:tcPr>
          <w:p w14:paraId="51C6D99B">
            <w:pPr>
              <w:widowControl/>
              <w:spacing w:after="180"/>
              <w:jc w:val="center"/>
              <w:rPr>
                <w:rFonts w:hint="eastAsia" w:ascii="Times New Roman" w:hAnsi="Times New Roman" w:eastAsia="宋体"/>
                <w:color w:val="auto"/>
                <w:lang w:val="en-US" w:eastAsia="zh-CN"/>
              </w:rPr>
            </w:pPr>
            <w:r>
              <w:rPr>
                <w:rFonts w:hint="eastAsia"/>
                <w:color w:val="auto"/>
                <w:lang w:val="en-US" w:eastAsia="zh-CN"/>
              </w:rPr>
              <w:t>1</w:t>
            </w:r>
          </w:p>
        </w:tc>
      </w:tr>
    </w:tbl>
    <w:p w14:paraId="069D4B98">
      <w:pPr>
        <w:numPr>
          <w:ilvl w:val="0"/>
          <w:numId w:val="0"/>
        </w:numPr>
        <w:spacing w:line="590" w:lineRule="exact"/>
        <w:ind w:right="-105" w:rightChars="-50" w:firstLine="643" w:firstLineChars="200"/>
        <w:rPr>
          <w:rFonts w:hint="eastAsia" w:ascii="方正黑体简体" w:hAnsi="方正黑体简体" w:eastAsia="方正黑体简体" w:cs="方正黑体简体"/>
          <w:color w:val="auto"/>
        </w:rPr>
      </w:pPr>
      <w:r>
        <w:rPr>
          <w:rFonts w:hint="eastAsia" w:ascii="方正黑体简体" w:hAnsi="方正黑体简体" w:eastAsia="方正黑体简体" w:cs="方正黑体简体"/>
          <w:b/>
          <w:color w:val="auto"/>
          <w:sz w:val="32"/>
          <w:szCs w:val="32"/>
          <w:lang w:val="en-US" w:eastAsia="zh-CN"/>
        </w:rPr>
        <w:t>五、</w:t>
      </w:r>
      <w:r>
        <w:rPr>
          <w:rFonts w:hint="eastAsia" w:ascii="方正黑体简体" w:hAnsi="方正黑体简体" w:eastAsia="方正黑体简体" w:cs="方正黑体简体"/>
          <w:b/>
          <w:color w:val="auto"/>
          <w:sz w:val="32"/>
          <w:szCs w:val="32"/>
        </w:rPr>
        <w:t>存在的主要问题及改进情况</w:t>
      </w:r>
    </w:p>
    <w:p w14:paraId="5DA0600C">
      <w:pPr>
        <w:numPr>
          <w:ilvl w:val="0"/>
          <w:numId w:val="0"/>
        </w:numPr>
        <w:spacing w:line="590" w:lineRule="exact"/>
        <w:ind w:right="-105" w:rightChars="-50" w:firstLine="643" w:firstLineChars="200"/>
        <w:rPr>
          <w:rFonts w:hint="eastAsia" w:ascii="方正仿宋简体" w:hAnsi="方正仿宋简体" w:eastAsia="方正仿宋简体" w:cs="方正仿宋简体"/>
          <w:b/>
          <w:bCs/>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存在问题：</w:t>
      </w:r>
      <w:r>
        <w:rPr>
          <w:rFonts w:hint="eastAsia" w:ascii="方正仿宋简体" w:hAnsi="方正仿宋简体" w:eastAsia="方正仿宋简体" w:cs="方正仿宋简体"/>
          <w:b/>
          <w:bCs/>
          <w:color w:val="auto"/>
          <w:sz w:val="32"/>
          <w:szCs w:val="32"/>
          <w:lang w:val="en-US" w:eastAsia="zh-CN"/>
        </w:rPr>
        <w:t>一是政府信息依申请公开办理、答复业务存在不熟练不规范等问题。二是部分镇街、单位政府信息公开基本目录存在不规范问题。三是政府网站与政务新媒体建设存在管理不到位问题。</w:t>
      </w:r>
    </w:p>
    <w:p w14:paraId="7E48DB4F">
      <w:pPr>
        <w:numPr>
          <w:ilvl w:val="0"/>
          <w:numId w:val="0"/>
        </w:numPr>
        <w:spacing w:line="590" w:lineRule="exact"/>
        <w:ind w:right="-105" w:rightChars="-50" w:firstLine="643" w:firstLineChars="200"/>
        <w:rPr>
          <w:rFonts w:hint="eastAsia" w:ascii="方正仿宋简体" w:hAnsi="方正仿宋简体" w:eastAsia="方正仿宋简体" w:cs="方正仿宋简体"/>
          <w:b/>
          <w:bCs/>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改进情况：</w:t>
      </w:r>
      <w:r>
        <w:rPr>
          <w:rFonts w:hint="eastAsia" w:ascii="方正仿宋简体" w:hAnsi="方正仿宋简体" w:eastAsia="方正仿宋简体" w:cs="方正仿宋简体"/>
          <w:b/>
          <w:bCs/>
          <w:color w:val="auto"/>
          <w:sz w:val="32"/>
          <w:szCs w:val="32"/>
          <w:lang w:val="en-US" w:eastAsia="zh-CN"/>
        </w:rPr>
        <w:t>一是</w:t>
      </w:r>
      <w:r>
        <w:rPr>
          <w:rFonts w:hint="eastAsia" w:ascii="方正仿宋简体" w:hAnsi="方正仿宋简体" w:eastAsia="方正仿宋简体" w:cs="方正仿宋简体"/>
          <w:b/>
          <w:bCs/>
          <w:color w:val="auto"/>
          <w:sz w:val="32"/>
          <w:szCs w:val="32"/>
        </w:rPr>
        <w:t>规范依申请公开流程，加强业务</w:t>
      </w:r>
      <w:r>
        <w:rPr>
          <w:rFonts w:hint="eastAsia" w:ascii="方正仿宋简体" w:hAnsi="方正仿宋简体" w:eastAsia="方正仿宋简体" w:cs="方正仿宋简体"/>
          <w:b/>
          <w:bCs/>
          <w:color w:val="auto"/>
          <w:sz w:val="32"/>
          <w:szCs w:val="32"/>
          <w:lang w:val="en-US" w:eastAsia="zh-CN"/>
        </w:rPr>
        <w:t>培训学习。严格按照前期调查、论证研讨、</w:t>
      </w:r>
      <w:r>
        <w:rPr>
          <w:rFonts w:hint="eastAsia" w:ascii="方正仿宋简体" w:hAnsi="方正仿宋简体" w:eastAsia="方正仿宋简体" w:cs="方正仿宋简体"/>
          <w:b/>
          <w:bCs/>
          <w:color w:val="auto"/>
          <w:sz w:val="32"/>
          <w:szCs w:val="32"/>
        </w:rPr>
        <w:t>政府法律顾问审查</w:t>
      </w:r>
      <w:r>
        <w:rPr>
          <w:rFonts w:hint="eastAsia" w:ascii="方正仿宋简体" w:hAnsi="方正仿宋简体" w:eastAsia="方正仿宋简体" w:cs="方正仿宋简体"/>
          <w:b/>
          <w:bCs/>
          <w:color w:val="auto"/>
          <w:sz w:val="32"/>
          <w:szCs w:val="32"/>
          <w:lang w:val="en-US" w:eastAsia="zh-CN"/>
        </w:rPr>
        <w:t>等程序</w:t>
      </w:r>
      <w:r>
        <w:rPr>
          <w:rFonts w:hint="eastAsia" w:ascii="方正仿宋简体" w:hAnsi="方正仿宋简体" w:eastAsia="方正仿宋简体" w:cs="方正仿宋简体"/>
          <w:b/>
          <w:bCs/>
          <w:color w:val="auto"/>
          <w:sz w:val="32"/>
          <w:szCs w:val="32"/>
        </w:rPr>
        <w:t>，确保答复合法性。</w:t>
      </w:r>
      <w:r>
        <w:rPr>
          <w:rFonts w:hint="eastAsia" w:ascii="方正仿宋简体" w:hAnsi="方正仿宋简体" w:eastAsia="方正仿宋简体" w:cs="方正仿宋简体"/>
          <w:b/>
          <w:bCs/>
          <w:color w:val="auto"/>
          <w:sz w:val="32"/>
          <w:szCs w:val="32"/>
          <w:lang w:val="en-US" w:eastAsia="zh-CN"/>
        </w:rPr>
        <w:t>二是</w:t>
      </w:r>
      <w:r>
        <w:rPr>
          <w:rFonts w:hint="default" w:ascii="方正仿宋简体" w:hAnsi="方正仿宋简体" w:eastAsia="方正仿宋简体" w:cs="方正仿宋简体"/>
          <w:b/>
          <w:bCs/>
          <w:color w:val="auto"/>
          <w:sz w:val="32"/>
          <w:szCs w:val="32"/>
          <w:lang w:val="en-US" w:eastAsia="zh-CN"/>
        </w:rPr>
        <w:t>按照《中华人民共和国政府信息公开条例》和“三定”规定、权责清单及实际承担的工作职责全面梳理公开内容，</w:t>
      </w:r>
      <w:r>
        <w:rPr>
          <w:rFonts w:hint="eastAsia" w:ascii="方正仿宋简体" w:hAnsi="方正仿宋简体" w:eastAsia="方正仿宋简体" w:cs="方正仿宋简体"/>
          <w:b/>
          <w:bCs/>
          <w:color w:val="auto"/>
          <w:sz w:val="32"/>
          <w:szCs w:val="32"/>
          <w:lang w:val="en-US" w:eastAsia="zh-CN"/>
        </w:rPr>
        <w:t>准确</w:t>
      </w:r>
      <w:r>
        <w:rPr>
          <w:rFonts w:hint="default" w:ascii="方正仿宋简体" w:hAnsi="方正仿宋简体" w:eastAsia="方正仿宋简体" w:cs="方正仿宋简体"/>
          <w:b/>
          <w:bCs/>
          <w:color w:val="auto"/>
          <w:sz w:val="32"/>
          <w:szCs w:val="32"/>
          <w:lang w:val="en-US" w:eastAsia="zh-CN"/>
        </w:rPr>
        <w:t>提供政府信息公开目录。</w:t>
      </w:r>
      <w:r>
        <w:rPr>
          <w:rFonts w:hint="eastAsia" w:ascii="方正仿宋简体" w:hAnsi="方正仿宋简体" w:eastAsia="方正仿宋简体" w:cs="方正仿宋简体"/>
          <w:b/>
          <w:bCs/>
          <w:color w:val="auto"/>
          <w:sz w:val="32"/>
          <w:szCs w:val="32"/>
          <w:lang w:val="en-US" w:eastAsia="zh-CN"/>
        </w:rPr>
        <w:t>三是加强建设运维，提升工作质效。</w:t>
      </w:r>
      <w:r>
        <w:rPr>
          <w:rFonts w:hint="default" w:ascii="方正仿宋简体" w:hAnsi="方正仿宋简体" w:eastAsia="方正仿宋简体" w:cs="方正仿宋简体"/>
          <w:b/>
          <w:bCs/>
          <w:color w:val="auto"/>
          <w:sz w:val="32"/>
          <w:szCs w:val="32"/>
          <w:lang w:val="en-US" w:eastAsia="zh-CN"/>
        </w:rPr>
        <w:t>对照《政府网站和政务新媒体检查指标》进一步做好自查，对无法保障、访问量低的栏目进行优化调整，加强与各网站运维部门的沟通交流，杜绝出现空白栏目、长期不更新栏目。</w:t>
      </w:r>
    </w:p>
    <w:p w14:paraId="7EBC3891">
      <w:pPr>
        <w:numPr>
          <w:ilvl w:val="0"/>
          <w:numId w:val="0"/>
        </w:numPr>
        <w:spacing w:line="590" w:lineRule="exact"/>
        <w:ind w:right="-105" w:rightChars="-50" w:firstLine="643" w:firstLineChars="200"/>
        <w:rPr>
          <w:rFonts w:hint="eastAsia" w:ascii="方正黑体简体" w:hAnsi="方正黑体简体" w:eastAsia="方正黑体简体" w:cs="方正黑体简体"/>
          <w:b/>
          <w:color w:val="auto"/>
          <w:sz w:val="32"/>
          <w:szCs w:val="32"/>
          <w:lang w:val="en-US" w:eastAsia="zh-CN"/>
        </w:rPr>
      </w:pPr>
      <w:r>
        <w:rPr>
          <w:rFonts w:hint="eastAsia" w:ascii="方正黑体简体" w:hAnsi="方正黑体简体" w:eastAsia="方正黑体简体" w:cs="方正黑体简体"/>
          <w:b/>
          <w:color w:val="auto"/>
          <w:sz w:val="32"/>
          <w:szCs w:val="32"/>
          <w:lang w:val="en-US" w:eastAsia="zh-CN"/>
        </w:rPr>
        <w:t>六、其他需要报告的事项</w:t>
      </w:r>
    </w:p>
    <w:p w14:paraId="2A7FEA74">
      <w:pPr>
        <w:numPr>
          <w:ilvl w:val="0"/>
          <w:numId w:val="0"/>
        </w:numPr>
        <w:spacing w:line="590" w:lineRule="exact"/>
        <w:ind w:right="-105" w:rightChars="-50" w:firstLine="643" w:firstLineChars="200"/>
        <w:rPr>
          <w:rFonts w:hint="eastAsia"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（一）依据《政府信息公开信息处理费管理办法》收取信息处理费</w:t>
      </w:r>
    </w:p>
    <w:p w14:paraId="30A63338">
      <w:pPr>
        <w:numPr>
          <w:ilvl w:val="0"/>
          <w:numId w:val="0"/>
        </w:numPr>
        <w:spacing w:line="590" w:lineRule="exact"/>
        <w:ind w:right="-105" w:rightChars="-50" w:firstLine="643" w:firstLineChars="200"/>
        <w:rPr>
          <w:rFonts w:hint="eastAsia" w:ascii="方正仿宋简体" w:hAnsi="方正仿宋简体" w:eastAsia="方正仿宋简体" w:cs="方正仿宋简体"/>
          <w:b/>
          <w:color w:val="auto"/>
          <w:sz w:val="32"/>
          <w:szCs w:val="32"/>
          <w:lang w:val="en-US" w:eastAsia="zh-CN"/>
        </w:rPr>
      </w:pPr>
      <w:r>
        <w:rPr>
          <w:rFonts w:hint="default" w:ascii="Times New Roman" w:hAnsi="Times New Roman" w:eastAsia="方正仿宋简体" w:cs="Times New Roman"/>
          <w:b/>
          <w:color w:val="auto"/>
          <w:sz w:val="32"/>
          <w:szCs w:val="32"/>
          <w:lang w:val="en-US" w:eastAsia="zh-CN"/>
        </w:rPr>
        <w:t>202</w:t>
      </w:r>
      <w:r>
        <w:rPr>
          <w:rFonts w:hint="eastAsia" w:eastAsia="方正仿宋简体" w:cs="Times New Roman"/>
          <w:b/>
          <w:color w:val="auto"/>
          <w:sz w:val="32"/>
          <w:szCs w:val="32"/>
          <w:lang w:val="en-US" w:eastAsia="zh-CN"/>
        </w:rPr>
        <w:t>4</w:t>
      </w:r>
      <w:r>
        <w:rPr>
          <w:rFonts w:hint="eastAsia" w:ascii="方正仿宋简体" w:hAnsi="方正仿宋简体" w:eastAsia="方正仿宋简体" w:cs="方正仿宋简体"/>
          <w:b/>
          <w:color w:val="auto"/>
          <w:sz w:val="32"/>
          <w:szCs w:val="32"/>
          <w:lang w:val="en-US" w:eastAsia="zh-CN"/>
        </w:rPr>
        <w:t>年，济宁市泗水县人民政府及各级各部门严格落实《国务院办公厅关于印发&lt;政府信息公开信息处理费管理办法&gt;的通知》（国办函</w:t>
      </w:r>
      <w:r>
        <w:rPr>
          <w:rFonts w:hint="default" w:ascii="Times New Roman" w:hAnsi="Times New Roman" w:eastAsia="方正仿宋简体" w:cs="Times New Roman"/>
          <w:b/>
          <w:color w:val="auto"/>
          <w:sz w:val="32"/>
          <w:szCs w:val="32"/>
          <w:lang w:val="en-US" w:eastAsia="zh-CN"/>
        </w:rPr>
        <w:t>〔2020〕109</w:t>
      </w:r>
      <w:r>
        <w:rPr>
          <w:rFonts w:hint="eastAsia" w:ascii="方正仿宋简体" w:hAnsi="方正仿宋简体" w:eastAsia="方正仿宋简体" w:cs="方正仿宋简体"/>
          <w:b/>
          <w:color w:val="auto"/>
          <w:sz w:val="32"/>
          <w:szCs w:val="32"/>
          <w:lang w:val="en-US" w:eastAsia="zh-CN"/>
        </w:rPr>
        <w:t>号）和《山东省人民政府办公厅关于做好政府信息公开信息处理费管理工作有关事项的通知》（鲁政办字</w:t>
      </w:r>
      <w:r>
        <w:rPr>
          <w:rFonts w:hint="default" w:ascii="Times New Roman" w:hAnsi="Times New Roman" w:eastAsia="方正仿宋简体" w:cs="Times New Roman"/>
          <w:b/>
          <w:color w:val="auto"/>
          <w:sz w:val="32"/>
          <w:szCs w:val="32"/>
          <w:lang w:val="en-US" w:eastAsia="zh-CN"/>
        </w:rPr>
        <w:t>〔2020〕179</w:t>
      </w:r>
      <w:r>
        <w:rPr>
          <w:rFonts w:hint="eastAsia" w:ascii="方正仿宋简体" w:hAnsi="方正仿宋简体" w:eastAsia="方正仿宋简体" w:cs="方正仿宋简体"/>
          <w:b/>
          <w:color w:val="auto"/>
          <w:sz w:val="32"/>
          <w:szCs w:val="32"/>
          <w:lang w:val="en-US" w:eastAsia="zh-CN"/>
        </w:rPr>
        <w:t>号）规定，未向申请人收取任何费用。</w:t>
      </w:r>
    </w:p>
    <w:p w14:paraId="061FC710">
      <w:pPr>
        <w:numPr>
          <w:ilvl w:val="0"/>
          <w:numId w:val="0"/>
        </w:numPr>
        <w:spacing w:line="590" w:lineRule="exact"/>
        <w:ind w:right="-105" w:rightChars="-50" w:firstLine="643" w:firstLineChars="200"/>
        <w:rPr>
          <w:rFonts w:hint="eastAsia"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（二）落实上级年度政务公开工作要点</w:t>
      </w:r>
    </w:p>
    <w:p w14:paraId="77429FF4">
      <w:pPr>
        <w:numPr>
          <w:ilvl w:val="0"/>
          <w:numId w:val="0"/>
        </w:numPr>
        <w:spacing w:line="590" w:lineRule="exact"/>
        <w:ind w:right="-105" w:rightChars="-50" w:firstLine="643" w:firstLineChars="200"/>
        <w:rPr>
          <w:rFonts w:hint="eastAsia" w:ascii="方正仿宋简体" w:hAnsi="方正仿宋简体" w:eastAsia="方正仿宋简体" w:cs="方正仿宋简体"/>
          <w:b/>
          <w:color w:val="auto"/>
          <w:sz w:val="32"/>
          <w:szCs w:val="32"/>
          <w:lang w:val="en-US" w:eastAsia="zh-CN"/>
        </w:rPr>
      </w:pPr>
      <w:r>
        <w:rPr>
          <w:rFonts w:hint="eastAsia" w:ascii="方正仿宋简体" w:hAnsi="方正仿宋简体" w:eastAsia="方正仿宋简体" w:cs="方正仿宋简体"/>
          <w:b/>
          <w:color w:val="auto"/>
          <w:sz w:val="32"/>
          <w:szCs w:val="32"/>
          <w:lang w:val="en-US" w:eastAsia="zh-CN"/>
        </w:rPr>
        <w:t>根据国务院、省、市政务公开工作要点要求，泗水县印发《贯彻落实2024年</w:t>
      </w:r>
      <w:r>
        <w:rPr>
          <w:rFonts w:hint="eastAsia" w:ascii="方正仿宋简体" w:hAnsi="方正仿宋简体" w:eastAsia="方正仿宋简体" w:cs="方正仿宋简体"/>
          <w:b/>
          <w:color w:val="auto"/>
          <w:sz w:val="32"/>
        </w:rPr>
        <w:t>山东省政务公开工作要点</w:t>
      </w:r>
      <w:r>
        <w:rPr>
          <w:rFonts w:hint="eastAsia" w:ascii="方正仿宋简体" w:hAnsi="方正仿宋简体" w:eastAsia="方正仿宋简体" w:cs="方正仿宋简体"/>
          <w:b/>
          <w:color w:val="auto"/>
          <w:sz w:val="32"/>
          <w:lang w:val="en-US" w:eastAsia="zh-CN"/>
        </w:rPr>
        <w:t>任务分解表</w:t>
      </w:r>
      <w:r>
        <w:rPr>
          <w:rFonts w:hint="eastAsia" w:ascii="方正仿宋简体" w:hAnsi="方正仿宋简体" w:eastAsia="方正仿宋简体" w:cs="方正仿宋简体"/>
          <w:b/>
          <w:color w:val="auto"/>
          <w:sz w:val="32"/>
          <w:szCs w:val="32"/>
          <w:lang w:val="en-US" w:eastAsia="zh-CN"/>
        </w:rPr>
        <w:t>》，各级各部门围绕法定主动公开内容、重点领域及其他信息，及时公开到位。</w:t>
      </w:r>
    </w:p>
    <w:p w14:paraId="51CD4A3A">
      <w:pPr>
        <w:numPr>
          <w:ilvl w:val="0"/>
          <w:numId w:val="0"/>
        </w:numPr>
        <w:spacing w:line="590" w:lineRule="exact"/>
        <w:ind w:right="-105" w:rightChars="-50" w:firstLine="643" w:firstLineChars="200"/>
        <w:rPr>
          <w:rFonts w:hint="eastAsia" w:ascii="仿宋" w:hAnsi="仿宋" w:eastAsia="仿宋" w:cs="仿宋"/>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（三）人大代表建议和政协提案办理结果公开</w:t>
      </w:r>
    </w:p>
    <w:p w14:paraId="7AEE3DED">
      <w:pPr>
        <w:numPr>
          <w:ilvl w:val="0"/>
          <w:numId w:val="0"/>
        </w:numPr>
        <w:spacing w:line="590" w:lineRule="exact"/>
        <w:ind w:right="-105" w:rightChars="-50" w:firstLine="643" w:firstLineChars="200"/>
        <w:rPr>
          <w:rFonts w:hint="eastAsia" w:ascii="方正仿宋简体" w:hAnsi="方正仿宋简体" w:eastAsia="方正仿宋简体" w:cs="方正仿宋简体"/>
          <w:b/>
          <w:color w:val="auto"/>
          <w:sz w:val="32"/>
          <w:szCs w:val="32"/>
          <w:lang w:val="en-US" w:eastAsia="zh-CN"/>
        </w:rPr>
      </w:pPr>
      <w:r>
        <w:rPr>
          <w:rFonts w:hint="default" w:ascii="方正仿宋简体" w:hAnsi="方正仿宋简体" w:eastAsia="方正仿宋简体" w:cs="方正仿宋简体"/>
          <w:b/>
          <w:color w:val="auto"/>
          <w:sz w:val="32"/>
          <w:szCs w:val="32"/>
          <w:lang w:val="en-US" w:eastAsia="zh-CN"/>
        </w:rPr>
        <w:t>202</w:t>
      </w:r>
      <w:r>
        <w:rPr>
          <w:rFonts w:hint="eastAsia" w:ascii="方正仿宋简体" w:hAnsi="方正仿宋简体" w:eastAsia="方正仿宋简体" w:cs="方正仿宋简体"/>
          <w:b/>
          <w:color w:val="auto"/>
          <w:sz w:val="32"/>
          <w:szCs w:val="32"/>
          <w:lang w:val="en-US" w:eastAsia="zh-CN"/>
        </w:rPr>
        <w:t>4年，济宁市泗水县人民政府在县十九届人大三次会议期间，共收到人大代表建议85件。在县人大常委会及其工作机构的监督指导和广大代表的关心支持下，经过县政府及各承办部门的共同努力，所有建议已于7月底前全部答复各位代表，答复率100%，满意率98.8%（84件满意，1件基本满意）。</w:t>
      </w:r>
    </w:p>
    <w:p w14:paraId="7FF10516">
      <w:pPr>
        <w:numPr>
          <w:ilvl w:val="0"/>
          <w:numId w:val="0"/>
        </w:numPr>
        <w:spacing w:line="590" w:lineRule="exact"/>
        <w:ind w:right="-105" w:rightChars="-50" w:firstLine="643" w:firstLineChars="200"/>
        <w:rPr>
          <w:rFonts w:hint="eastAsia" w:ascii="方正仿宋简体" w:hAnsi="方正仿宋简体" w:eastAsia="方正仿宋简体" w:cs="方正仿宋简体"/>
          <w:b/>
          <w:color w:val="auto"/>
          <w:sz w:val="32"/>
          <w:szCs w:val="32"/>
          <w:lang w:val="en-US" w:eastAsia="zh-CN"/>
        </w:rPr>
      </w:pPr>
      <w:r>
        <w:rPr>
          <w:rFonts w:hint="default" w:ascii="Times New Roman" w:hAnsi="Times New Roman" w:eastAsia="方正仿宋简体" w:cs="Times New Roman"/>
          <w:b/>
          <w:color w:val="auto"/>
          <w:sz w:val="32"/>
          <w:szCs w:val="32"/>
          <w:lang w:val="en-US" w:eastAsia="zh-CN"/>
        </w:rPr>
        <w:t>202</w:t>
      </w:r>
      <w:r>
        <w:rPr>
          <w:rFonts w:hint="eastAsia" w:eastAsia="方正仿宋简体" w:cs="Times New Roman"/>
          <w:b/>
          <w:color w:val="auto"/>
          <w:sz w:val="32"/>
          <w:szCs w:val="32"/>
          <w:lang w:val="en-US" w:eastAsia="zh-CN"/>
        </w:rPr>
        <w:t>4</w:t>
      </w:r>
      <w:r>
        <w:rPr>
          <w:rFonts w:hint="eastAsia" w:ascii="方正仿宋简体" w:hAnsi="方正仿宋简体" w:eastAsia="方正仿宋简体" w:cs="方正仿宋简体"/>
          <w:b/>
          <w:color w:val="auto"/>
          <w:sz w:val="32"/>
          <w:szCs w:val="32"/>
          <w:lang w:val="en-US" w:eastAsia="zh-CN"/>
        </w:rPr>
        <w:t>年，济宁市泗水县人民政府在县政协十届三次会议期间，共收到提案</w:t>
      </w:r>
      <w:r>
        <w:rPr>
          <w:rFonts w:hint="eastAsia" w:eastAsia="方正仿宋简体" w:cs="Times New Roman"/>
          <w:b/>
          <w:color w:val="auto"/>
          <w:sz w:val="32"/>
          <w:szCs w:val="32"/>
          <w:lang w:val="en-US" w:eastAsia="zh-CN"/>
        </w:rPr>
        <w:t>95</w:t>
      </w:r>
      <w:r>
        <w:rPr>
          <w:rFonts w:hint="eastAsia" w:ascii="方正仿宋简体" w:hAnsi="方正仿宋简体" w:eastAsia="方正仿宋简体" w:cs="方正仿宋简体"/>
          <w:b/>
          <w:color w:val="auto"/>
          <w:sz w:val="32"/>
          <w:szCs w:val="32"/>
          <w:lang w:val="en-US" w:eastAsia="zh-CN"/>
        </w:rPr>
        <w:t>件。政协委员所提提案，共涉及</w:t>
      </w:r>
      <w:r>
        <w:rPr>
          <w:rFonts w:hint="eastAsia" w:eastAsia="方正仿宋简体" w:cs="Times New Roman"/>
          <w:b/>
          <w:color w:val="auto"/>
          <w:sz w:val="32"/>
          <w:szCs w:val="32"/>
          <w:lang w:val="en-US" w:eastAsia="zh-CN"/>
        </w:rPr>
        <w:t>36</w:t>
      </w:r>
      <w:r>
        <w:rPr>
          <w:rFonts w:hint="eastAsia" w:ascii="方正仿宋简体" w:hAnsi="方正仿宋简体" w:eastAsia="方正仿宋简体" w:cs="方正仿宋简体"/>
          <w:b/>
          <w:color w:val="auto"/>
          <w:sz w:val="32"/>
          <w:szCs w:val="32"/>
          <w:lang w:val="en-US" w:eastAsia="zh-CN"/>
        </w:rPr>
        <w:t>个承办单位，经过各承办单位共同努力，所有提案于</w:t>
      </w:r>
      <w:r>
        <w:rPr>
          <w:rFonts w:hint="eastAsia" w:eastAsia="方正仿宋简体" w:cs="Times New Roman"/>
          <w:b/>
          <w:color w:val="auto"/>
          <w:sz w:val="32"/>
          <w:szCs w:val="32"/>
          <w:lang w:val="en-US" w:eastAsia="zh-CN"/>
        </w:rPr>
        <w:t>8</w:t>
      </w:r>
      <w:r>
        <w:rPr>
          <w:rFonts w:hint="eastAsia" w:ascii="方正仿宋简体" w:hAnsi="方正仿宋简体" w:eastAsia="方正仿宋简体" w:cs="方正仿宋简体"/>
          <w:b/>
          <w:color w:val="auto"/>
          <w:sz w:val="32"/>
          <w:szCs w:val="32"/>
          <w:lang w:val="en-US" w:eastAsia="zh-CN"/>
        </w:rPr>
        <w:t>月底全部答复各位委员，答复率</w:t>
      </w:r>
      <w:r>
        <w:rPr>
          <w:rFonts w:hint="default" w:ascii="Times New Roman" w:hAnsi="Times New Roman" w:eastAsia="方正仿宋简体" w:cs="Times New Roman"/>
          <w:b/>
          <w:color w:val="auto"/>
          <w:sz w:val="32"/>
          <w:szCs w:val="32"/>
          <w:lang w:val="en-US" w:eastAsia="zh-CN"/>
        </w:rPr>
        <w:t>100%</w:t>
      </w:r>
      <w:r>
        <w:rPr>
          <w:rFonts w:hint="eastAsia" w:ascii="方正仿宋简体" w:hAnsi="方正仿宋简体" w:eastAsia="方正仿宋简体" w:cs="方正仿宋简体"/>
          <w:b/>
          <w:color w:val="auto"/>
          <w:sz w:val="32"/>
          <w:szCs w:val="32"/>
          <w:lang w:val="en-US" w:eastAsia="zh-CN"/>
        </w:rPr>
        <w:t>，满意率</w:t>
      </w:r>
      <w:r>
        <w:rPr>
          <w:rFonts w:hint="default" w:ascii="Times New Roman" w:hAnsi="Times New Roman" w:eastAsia="方正仿宋简体" w:cs="Times New Roman"/>
          <w:b/>
          <w:color w:val="auto"/>
          <w:sz w:val="32"/>
          <w:szCs w:val="32"/>
          <w:lang w:val="en-US" w:eastAsia="zh-CN"/>
        </w:rPr>
        <w:t>100%</w:t>
      </w:r>
      <w:r>
        <w:rPr>
          <w:rFonts w:hint="eastAsia" w:ascii="方正仿宋简体" w:hAnsi="方正仿宋简体" w:eastAsia="方正仿宋简体" w:cs="方正仿宋简体"/>
          <w:b/>
          <w:color w:val="auto"/>
          <w:sz w:val="32"/>
          <w:szCs w:val="32"/>
          <w:lang w:val="en-US" w:eastAsia="zh-CN"/>
        </w:rPr>
        <w:t>。</w:t>
      </w:r>
    </w:p>
    <w:p w14:paraId="4B659629">
      <w:pPr>
        <w:numPr>
          <w:ilvl w:val="0"/>
          <w:numId w:val="1"/>
        </w:numPr>
        <w:spacing w:line="590" w:lineRule="exact"/>
        <w:ind w:right="-105" w:rightChars="-50" w:firstLine="643" w:firstLineChars="200"/>
        <w:rPr>
          <w:rFonts w:hint="eastAsia"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年度政务公开工作创新</w:t>
      </w:r>
    </w:p>
    <w:p w14:paraId="0C82D2E5">
      <w:pPr>
        <w:numPr>
          <w:ilvl w:val="0"/>
          <w:numId w:val="0"/>
        </w:numPr>
        <w:spacing w:line="590" w:lineRule="exact"/>
        <w:ind w:right="-105" w:rightChars="-50" w:firstLine="643" w:firstLineChars="200"/>
        <w:rPr>
          <w:rFonts w:hint="eastAsia" w:ascii="方正仿宋简体" w:hAnsi="方正仿宋简体" w:eastAsia="方正仿宋简体" w:cs="方正仿宋简体"/>
          <w:b/>
          <w:color w:val="auto"/>
          <w:sz w:val="32"/>
          <w:szCs w:val="32"/>
          <w:lang w:val="en-US" w:eastAsia="zh-CN"/>
        </w:rPr>
      </w:pPr>
      <w:r>
        <w:rPr>
          <w:rFonts w:hint="eastAsia" w:ascii="方正仿宋简体" w:hAnsi="方正仿宋简体" w:eastAsia="方正仿宋简体" w:cs="方正仿宋简体"/>
          <w:b/>
          <w:color w:val="auto"/>
          <w:sz w:val="32"/>
          <w:szCs w:val="32"/>
          <w:lang w:val="en-US" w:eastAsia="zh-CN"/>
        </w:rPr>
        <w:t>一是加强政策咨询服务。积极配合济宁市政策文件库建设，建设政策发布解读咨询兑现</w:t>
      </w:r>
      <w:r>
        <w:rPr>
          <w:rFonts w:hint="default" w:ascii="方正仿宋简体" w:hAnsi="方正仿宋简体" w:eastAsia="方正仿宋简体" w:cs="方正仿宋简体"/>
          <w:b/>
          <w:color w:val="auto"/>
          <w:sz w:val="32"/>
          <w:szCs w:val="32"/>
          <w:lang w:val="en-US" w:eastAsia="zh-CN"/>
        </w:rPr>
        <w:t>“一体化”平台，向社会提供政策解读、咨询、兑现等功能。</w:t>
      </w:r>
      <w:r>
        <w:rPr>
          <w:rFonts w:hint="eastAsia" w:ascii="方正仿宋简体" w:hAnsi="方正仿宋简体" w:eastAsia="方正仿宋简体" w:cs="方正仿宋简体"/>
          <w:b/>
          <w:color w:val="auto"/>
          <w:sz w:val="32"/>
          <w:szCs w:val="32"/>
          <w:lang w:val="en-US" w:eastAsia="zh-CN"/>
        </w:rPr>
        <w:t>二是深化基层政务公开，优化35个专项领域目录设置，全面提升各领域公开水平。县直各领域牵头部门及时对接市级主管部门，完成相关领域栏目信息的调整完善，切实维护各领域日常信息的上传发布工作，保证信息发布质量，真正做到应公开尽公开。</w:t>
      </w:r>
    </w:p>
    <w:p w14:paraId="767C4429">
      <w:pPr>
        <w:numPr>
          <w:ilvl w:val="0"/>
          <w:numId w:val="0"/>
        </w:numPr>
        <w:spacing w:line="590" w:lineRule="exact"/>
        <w:ind w:right="-105" w:rightChars="-50" w:firstLine="643" w:firstLineChars="200"/>
        <w:rPr>
          <w:rFonts w:hint="eastAsia" w:ascii="方正仿宋简体" w:hAnsi="方正仿宋简体" w:eastAsia="方正仿宋简体" w:cs="方正仿宋简体"/>
          <w:b/>
          <w:bCs/>
          <w:color w:val="auto"/>
          <w:sz w:val="32"/>
          <w:szCs w:val="32"/>
          <w:lang w:val="en-US" w:eastAsia="zh-CN"/>
        </w:rPr>
      </w:pPr>
      <w:r>
        <w:rPr>
          <w:rFonts w:hint="eastAsia" w:ascii="方正仿宋简体" w:hAnsi="方正仿宋简体" w:eastAsia="方正仿宋简体" w:cs="方正仿宋简体"/>
          <w:b/>
          <w:bCs/>
          <w:color w:val="auto"/>
          <w:sz w:val="32"/>
          <w:szCs w:val="32"/>
          <w:lang w:val="en-US" w:eastAsia="zh-CN"/>
        </w:rPr>
        <w:t>（五）本行政机关政府信息公开工作年度报告数据统计需要说明的事项：本年度报告中所列数据统计期限从</w:t>
      </w:r>
      <w:r>
        <w:rPr>
          <w:rFonts w:hint="default" w:ascii="Times New Roman" w:hAnsi="Times New Roman" w:eastAsia="方正仿宋简体" w:cs="Times New Roman"/>
          <w:b/>
          <w:bCs/>
          <w:color w:val="auto"/>
          <w:sz w:val="32"/>
          <w:szCs w:val="32"/>
          <w:lang w:val="en-US" w:eastAsia="zh-CN"/>
        </w:rPr>
        <w:t>202</w:t>
      </w:r>
      <w:r>
        <w:rPr>
          <w:rFonts w:hint="eastAsia" w:eastAsia="方正仿宋简体" w:cs="Times New Roman"/>
          <w:b/>
          <w:bCs/>
          <w:color w:val="auto"/>
          <w:sz w:val="32"/>
          <w:szCs w:val="32"/>
          <w:lang w:val="en-US" w:eastAsia="zh-CN"/>
        </w:rPr>
        <w:t>4</w:t>
      </w:r>
      <w:r>
        <w:rPr>
          <w:rFonts w:hint="eastAsia" w:ascii="方正仿宋简体" w:hAnsi="方正仿宋简体" w:eastAsia="方正仿宋简体" w:cs="方正仿宋简体"/>
          <w:b/>
          <w:bCs/>
          <w:color w:val="auto"/>
          <w:sz w:val="32"/>
          <w:szCs w:val="32"/>
          <w:lang w:val="en-US" w:eastAsia="zh-CN"/>
        </w:rPr>
        <w:t>年</w:t>
      </w:r>
      <w:r>
        <w:rPr>
          <w:rFonts w:hint="default" w:ascii="Times New Roman" w:hAnsi="Times New Roman" w:eastAsia="方正仿宋简体" w:cs="Times New Roman"/>
          <w:b/>
          <w:bCs/>
          <w:color w:val="auto"/>
          <w:sz w:val="32"/>
          <w:szCs w:val="32"/>
          <w:lang w:val="en-US" w:eastAsia="zh-CN"/>
        </w:rPr>
        <w:t>1</w:t>
      </w:r>
      <w:r>
        <w:rPr>
          <w:rFonts w:hint="eastAsia" w:ascii="方正仿宋简体" w:hAnsi="方正仿宋简体" w:eastAsia="方正仿宋简体" w:cs="方正仿宋简体"/>
          <w:b/>
          <w:bCs/>
          <w:color w:val="auto"/>
          <w:sz w:val="32"/>
          <w:szCs w:val="32"/>
          <w:lang w:val="en-US" w:eastAsia="zh-CN"/>
        </w:rPr>
        <w:t>月</w:t>
      </w:r>
      <w:r>
        <w:rPr>
          <w:rFonts w:hint="default" w:ascii="Times New Roman" w:hAnsi="Times New Roman" w:eastAsia="方正仿宋简体" w:cs="Times New Roman"/>
          <w:b/>
          <w:bCs/>
          <w:color w:val="auto"/>
          <w:sz w:val="32"/>
          <w:szCs w:val="32"/>
          <w:lang w:val="en-US" w:eastAsia="zh-CN"/>
        </w:rPr>
        <w:t>1</w:t>
      </w:r>
      <w:r>
        <w:rPr>
          <w:rFonts w:hint="eastAsia" w:ascii="方正仿宋简体" w:hAnsi="方正仿宋简体" w:eastAsia="方正仿宋简体" w:cs="方正仿宋简体"/>
          <w:b/>
          <w:bCs/>
          <w:color w:val="auto"/>
          <w:sz w:val="32"/>
          <w:szCs w:val="32"/>
          <w:lang w:val="en-US" w:eastAsia="zh-CN"/>
        </w:rPr>
        <w:t>日到</w:t>
      </w:r>
      <w:r>
        <w:rPr>
          <w:rFonts w:hint="default" w:ascii="Times New Roman" w:hAnsi="Times New Roman" w:eastAsia="方正仿宋简体" w:cs="Times New Roman"/>
          <w:b/>
          <w:bCs/>
          <w:color w:val="auto"/>
          <w:sz w:val="32"/>
          <w:szCs w:val="32"/>
          <w:lang w:val="en-US" w:eastAsia="zh-CN"/>
        </w:rPr>
        <w:t>12</w:t>
      </w:r>
      <w:r>
        <w:rPr>
          <w:rFonts w:hint="eastAsia" w:ascii="方正仿宋简体" w:hAnsi="方正仿宋简体" w:eastAsia="方正仿宋简体" w:cs="方正仿宋简体"/>
          <w:b/>
          <w:bCs/>
          <w:color w:val="auto"/>
          <w:sz w:val="32"/>
          <w:szCs w:val="32"/>
          <w:lang w:val="en-US" w:eastAsia="zh-CN"/>
        </w:rPr>
        <w:t>月</w:t>
      </w:r>
      <w:r>
        <w:rPr>
          <w:rFonts w:hint="default" w:ascii="Times New Roman" w:hAnsi="Times New Roman" w:eastAsia="方正仿宋简体" w:cs="Times New Roman"/>
          <w:b/>
          <w:bCs/>
          <w:color w:val="auto"/>
          <w:sz w:val="32"/>
          <w:szCs w:val="32"/>
          <w:lang w:val="en-US" w:eastAsia="zh-CN"/>
        </w:rPr>
        <w:t>31</w:t>
      </w:r>
      <w:r>
        <w:rPr>
          <w:rFonts w:hint="eastAsia" w:ascii="方正仿宋简体" w:hAnsi="方正仿宋简体" w:eastAsia="方正仿宋简体" w:cs="方正仿宋简体"/>
          <w:b/>
          <w:bCs/>
          <w:color w:val="auto"/>
          <w:sz w:val="32"/>
          <w:szCs w:val="32"/>
          <w:lang w:val="en-US" w:eastAsia="zh-CN"/>
        </w:rPr>
        <w:t>日止。</w:t>
      </w:r>
    </w:p>
    <w:p w14:paraId="51883771">
      <w:pPr>
        <w:numPr>
          <w:ilvl w:val="0"/>
          <w:numId w:val="0"/>
        </w:numPr>
        <w:spacing w:line="590" w:lineRule="exact"/>
        <w:ind w:right="-105" w:rightChars="-50" w:firstLine="643" w:firstLineChars="200"/>
        <w:rPr>
          <w:rFonts w:hint="eastAsia" w:ascii="方正仿宋简体" w:hAnsi="方正仿宋简体" w:eastAsia="方正仿宋简体" w:cs="方正仿宋简体"/>
          <w:b/>
          <w:bCs/>
          <w:color w:val="auto"/>
          <w:sz w:val="32"/>
          <w:szCs w:val="32"/>
          <w:lang w:val="en-US" w:eastAsia="zh-CN"/>
        </w:rPr>
      </w:pPr>
      <w:r>
        <w:rPr>
          <w:rFonts w:hint="eastAsia" w:ascii="方正仿宋简体" w:hAnsi="方正仿宋简体" w:eastAsia="方正仿宋简体" w:cs="方正仿宋简体"/>
          <w:b/>
          <w:bCs/>
          <w:color w:val="auto"/>
          <w:sz w:val="32"/>
          <w:szCs w:val="32"/>
          <w:lang w:val="en-US" w:eastAsia="zh-CN"/>
        </w:rPr>
        <w:t>（六）本行政机关认为需要报告的其他事项：无。</w:t>
      </w:r>
    </w:p>
    <w:p w14:paraId="29C83D22">
      <w:pPr>
        <w:rPr>
          <w:color w:val="auto"/>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2FE5C6B-6E45-4927-B807-BA3B8DA1BA3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2" w:fontKey="{6A95050B-AEC4-4CA0-B400-2C760D5FF030}"/>
  </w:font>
  <w:font w:name="方正小标宋简体">
    <w:panose1 w:val="03000509000000000000"/>
    <w:charset w:val="86"/>
    <w:family w:val="auto"/>
    <w:pitch w:val="default"/>
    <w:sig w:usb0="00000001" w:usb1="080E0000" w:usb2="00000000" w:usb3="00000000" w:csb0="00040000" w:csb1="00000000"/>
    <w:embedRegular r:id="rId3" w:fontKey="{E2B5D17D-8F4C-417E-831E-78D2D41601D0}"/>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4" w:fontKey="{D627A798-81E2-43BF-A4F1-C3CED124B5E4}"/>
  </w:font>
  <w:font w:name="方正黑体简体">
    <w:panose1 w:val="03000509000000000000"/>
    <w:charset w:val="86"/>
    <w:family w:val="auto"/>
    <w:pitch w:val="default"/>
    <w:sig w:usb0="00000001" w:usb1="080E0000" w:usb2="00000000" w:usb3="00000000" w:csb0="00040000" w:csb1="00000000"/>
    <w:embedRegular r:id="rId5" w:fontKey="{D31C45C4-D5B1-4BBE-8136-AF2FE1B437F5}"/>
  </w:font>
  <w:font w:name="方正楷体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6" w:fontKey="{B993D6E6-F5D5-4B87-BC91-01EAEB46F813}"/>
  </w:font>
  <w:font w:name="楷体_GB2312">
    <w:panose1 w:val="02010609030101010101"/>
    <w:charset w:val="86"/>
    <w:family w:val="modern"/>
    <w:pitch w:val="default"/>
    <w:sig w:usb0="00000001" w:usb1="080E0000" w:usb2="00000000" w:usb3="00000000" w:csb0="00040000" w:csb1="00000000"/>
    <w:embedRegular r:id="rId7" w:fontKey="{4E9EEC41-54D8-4A99-B859-A99D4BB17761}"/>
  </w:font>
  <w:font w:name="楷体">
    <w:panose1 w:val="02010609060101010101"/>
    <w:charset w:val="86"/>
    <w:family w:val="modern"/>
    <w:pitch w:val="default"/>
    <w:sig w:usb0="800002BF" w:usb1="38CF7CFA" w:usb2="00000016" w:usb3="00000000" w:csb0="00040001" w:csb1="00000000"/>
    <w:embedRegular r:id="rId8" w:fontKey="{12F166BB-078F-4DF3-862C-8D6559E0E0E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1CCD1">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B00050">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2B00050">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11DEA1"/>
    <w:multiLevelType w:val="singleLevel"/>
    <w:tmpl w:val="2F11DEA1"/>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iMDEyMjk1ZTA5Yzg0NzliOGJjYTRiNTMxOTBmMzQifQ=="/>
  </w:docVars>
  <w:rsids>
    <w:rsidRoot w:val="00000000"/>
    <w:rsid w:val="000E72D6"/>
    <w:rsid w:val="002E6D39"/>
    <w:rsid w:val="009A5857"/>
    <w:rsid w:val="015659CC"/>
    <w:rsid w:val="015720A0"/>
    <w:rsid w:val="017B18CE"/>
    <w:rsid w:val="019D589D"/>
    <w:rsid w:val="01DA23AF"/>
    <w:rsid w:val="01E7687A"/>
    <w:rsid w:val="01FA47FF"/>
    <w:rsid w:val="035937A7"/>
    <w:rsid w:val="036B1176"/>
    <w:rsid w:val="03724869"/>
    <w:rsid w:val="03BB23AE"/>
    <w:rsid w:val="03C14924"/>
    <w:rsid w:val="041A2F36"/>
    <w:rsid w:val="042A0CA0"/>
    <w:rsid w:val="0430275A"/>
    <w:rsid w:val="045A3333"/>
    <w:rsid w:val="04EA6B1C"/>
    <w:rsid w:val="052F6AFF"/>
    <w:rsid w:val="05745675"/>
    <w:rsid w:val="05D80EA0"/>
    <w:rsid w:val="0602610F"/>
    <w:rsid w:val="0620235A"/>
    <w:rsid w:val="06F07F7E"/>
    <w:rsid w:val="07155C37"/>
    <w:rsid w:val="072408B5"/>
    <w:rsid w:val="07837045"/>
    <w:rsid w:val="07AD40C1"/>
    <w:rsid w:val="08915791"/>
    <w:rsid w:val="091E5277"/>
    <w:rsid w:val="095C7B4D"/>
    <w:rsid w:val="095D7750"/>
    <w:rsid w:val="09AB2883"/>
    <w:rsid w:val="0A03621B"/>
    <w:rsid w:val="0A4F1460"/>
    <w:rsid w:val="0A6749FB"/>
    <w:rsid w:val="0A690774"/>
    <w:rsid w:val="0A86042B"/>
    <w:rsid w:val="0A960E3D"/>
    <w:rsid w:val="0AD303C0"/>
    <w:rsid w:val="0B1701D0"/>
    <w:rsid w:val="0B534F80"/>
    <w:rsid w:val="0B5807E8"/>
    <w:rsid w:val="0C0C7A0F"/>
    <w:rsid w:val="0C7D42D8"/>
    <w:rsid w:val="0CE340E1"/>
    <w:rsid w:val="0D076022"/>
    <w:rsid w:val="0D725B91"/>
    <w:rsid w:val="0D9773A6"/>
    <w:rsid w:val="0DD24882"/>
    <w:rsid w:val="0EA37FCC"/>
    <w:rsid w:val="0ECC18E9"/>
    <w:rsid w:val="0EEA5BFB"/>
    <w:rsid w:val="0FD06E18"/>
    <w:rsid w:val="0FEB1C2B"/>
    <w:rsid w:val="10036F74"/>
    <w:rsid w:val="100A034B"/>
    <w:rsid w:val="105B7B98"/>
    <w:rsid w:val="10861954"/>
    <w:rsid w:val="10B85EE0"/>
    <w:rsid w:val="111B3762"/>
    <w:rsid w:val="114B136B"/>
    <w:rsid w:val="1198193E"/>
    <w:rsid w:val="12063A8B"/>
    <w:rsid w:val="12192A7F"/>
    <w:rsid w:val="12755F3D"/>
    <w:rsid w:val="13623FB2"/>
    <w:rsid w:val="13660293"/>
    <w:rsid w:val="13B62550"/>
    <w:rsid w:val="142474B9"/>
    <w:rsid w:val="14861F22"/>
    <w:rsid w:val="16331C36"/>
    <w:rsid w:val="16784D9F"/>
    <w:rsid w:val="16C36C2C"/>
    <w:rsid w:val="16DC051F"/>
    <w:rsid w:val="177B4A14"/>
    <w:rsid w:val="17DB2585"/>
    <w:rsid w:val="18B4270C"/>
    <w:rsid w:val="190D2C12"/>
    <w:rsid w:val="19145D4E"/>
    <w:rsid w:val="19151463"/>
    <w:rsid w:val="19805192"/>
    <w:rsid w:val="19885571"/>
    <w:rsid w:val="1ADA4D76"/>
    <w:rsid w:val="1C27223D"/>
    <w:rsid w:val="1C404828"/>
    <w:rsid w:val="1CC47DA2"/>
    <w:rsid w:val="1D440BCC"/>
    <w:rsid w:val="1DD0420E"/>
    <w:rsid w:val="1DFE6FCD"/>
    <w:rsid w:val="1E4A2212"/>
    <w:rsid w:val="1EBA1A91"/>
    <w:rsid w:val="1EDF0BAD"/>
    <w:rsid w:val="1F3A79D5"/>
    <w:rsid w:val="2080016D"/>
    <w:rsid w:val="20D81D57"/>
    <w:rsid w:val="21244F9D"/>
    <w:rsid w:val="2134627A"/>
    <w:rsid w:val="21423675"/>
    <w:rsid w:val="21A36F2A"/>
    <w:rsid w:val="221072CF"/>
    <w:rsid w:val="222A0391"/>
    <w:rsid w:val="22C75BE0"/>
    <w:rsid w:val="231425D0"/>
    <w:rsid w:val="23256DAA"/>
    <w:rsid w:val="232F6C87"/>
    <w:rsid w:val="23BA5744"/>
    <w:rsid w:val="23C87E61"/>
    <w:rsid w:val="24AD7057"/>
    <w:rsid w:val="25695674"/>
    <w:rsid w:val="25701D7D"/>
    <w:rsid w:val="25BF5294"/>
    <w:rsid w:val="2613738E"/>
    <w:rsid w:val="26260D1B"/>
    <w:rsid w:val="268B0052"/>
    <w:rsid w:val="26B24DF9"/>
    <w:rsid w:val="27C70430"/>
    <w:rsid w:val="283F26BC"/>
    <w:rsid w:val="288F719F"/>
    <w:rsid w:val="28E81C9C"/>
    <w:rsid w:val="2953641F"/>
    <w:rsid w:val="295B52D4"/>
    <w:rsid w:val="2A41096D"/>
    <w:rsid w:val="2B794137"/>
    <w:rsid w:val="2BD63337"/>
    <w:rsid w:val="2BE47802"/>
    <w:rsid w:val="2C577567"/>
    <w:rsid w:val="2C7F535E"/>
    <w:rsid w:val="2C8A7733"/>
    <w:rsid w:val="2C9A25B7"/>
    <w:rsid w:val="2CA86A82"/>
    <w:rsid w:val="2CB05936"/>
    <w:rsid w:val="2CFA4E04"/>
    <w:rsid w:val="2E310CF9"/>
    <w:rsid w:val="2E412C9A"/>
    <w:rsid w:val="2E772BB0"/>
    <w:rsid w:val="2EB77450"/>
    <w:rsid w:val="2ED00512"/>
    <w:rsid w:val="303C5AC3"/>
    <w:rsid w:val="309A0DD7"/>
    <w:rsid w:val="312E32CE"/>
    <w:rsid w:val="31344D88"/>
    <w:rsid w:val="31466869"/>
    <w:rsid w:val="31C216A8"/>
    <w:rsid w:val="31C75BFC"/>
    <w:rsid w:val="320B7BFA"/>
    <w:rsid w:val="322A618B"/>
    <w:rsid w:val="32785F22"/>
    <w:rsid w:val="33BC72B7"/>
    <w:rsid w:val="3421711A"/>
    <w:rsid w:val="34711E4F"/>
    <w:rsid w:val="3478656B"/>
    <w:rsid w:val="34B561E0"/>
    <w:rsid w:val="35A65B28"/>
    <w:rsid w:val="35A95619"/>
    <w:rsid w:val="3647730B"/>
    <w:rsid w:val="376D2DA2"/>
    <w:rsid w:val="380341AD"/>
    <w:rsid w:val="38C72F18"/>
    <w:rsid w:val="38CC3A47"/>
    <w:rsid w:val="39237490"/>
    <w:rsid w:val="39785A2E"/>
    <w:rsid w:val="39902D77"/>
    <w:rsid w:val="39E6440A"/>
    <w:rsid w:val="3A7A7584"/>
    <w:rsid w:val="3A7B6635"/>
    <w:rsid w:val="3B567FF1"/>
    <w:rsid w:val="3BAF0E16"/>
    <w:rsid w:val="3C5A58BF"/>
    <w:rsid w:val="3CAD3C40"/>
    <w:rsid w:val="3CCD7E3F"/>
    <w:rsid w:val="3CEA09F1"/>
    <w:rsid w:val="3CED228F"/>
    <w:rsid w:val="3D583BAC"/>
    <w:rsid w:val="3E1C7765"/>
    <w:rsid w:val="3EA82911"/>
    <w:rsid w:val="3EAA6689"/>
    <w:rsid w:val="3EB42084"/>
    <w:rsid w:val="3EF9316D"/>
    <w:rsid w:val="3F536D21"/>
    <w:rsid w:val="3FA94B93"/>
    <w:rsid w:val="3FC512A1"/>
    <w:rsid w:val="40207CD9"/>
    <w:rsid w:val="404D74C9"/>
    <w:rsid w:val="41405083"/>
    <w:rsid w:val="41D43A1D"/>
    <w:rsid w:val="421540C4"/>
    <w:rsid w:val="42366486"/>
    <w:rsid w:val="42E163F2"/>
    <w:rsid w:val="431C38CE"/>
    <w:rsid w:val="4428785A"/>
    <w:rsid w:val="44557820"/>
    <w:rsid w:val="44607214"/>
    <w:rsid w:val="44EE3048"/>
    <w:rsid w:val="45190F2D"/>
    <w:rsid w:val="463A4797"/>
    <w:rsid w:val="46844D9D"/>
    <w:rsid w:val="46B81B60"/>
    <w:rsid w:val="47F15329"/>
    <w:rsid w:val="47F24F0F"/>
    <w:rsid w:val="47F95F8C"/>
    <w:rsid w:val="48FC3F85"/>
    <w:rsid w:val="4A0550BC"/>
    <w:rsid w:val="4A4C2CEB"/>
    <w:rsid w:val="4A547DF1"/>
    <w:rsid w:val="4A8C30E7"/>
    <w:rsid w:val="4AEB2504"/>
    <w:rsid w:val="4AF71ABC"/>
    <w:rsid w:val="4B6B53F2"/>
    <w:rsid w:val="4BCD5112"/>
    <w:rsid w:val="4BE3142D"/>
    <w:rsid w:val="4C92349B"/>
    <w:rsid w:val="4D630FA4"/>
    <w:rsid w:val="4D69478A"/>
    <w:rsid w:val="4D6C0BAC"/>
    <w:rsid w:val="4D881BF8"/>
    <w:rsid w:val="4DA1334D"/>
    <w:rsid w:val="4DF3633A"/>
    <w:rsid w:val="4E261AA5"/>
    <w:rsid w:val="4E6F6FA8"/>
    <w:rsid w:val="4E7D7917"/>
    <w:rsid w:val="4EEF1E97"/>
    <w:rsid w:val="500946F5"/>
    <w:rsid w:val="504A437F"/>
    <w:rsid w:val="50EB4D8E"/>
    <w:rsid w:val="51EB4B97"/>
    <w:rsid w:val="522D3402"/>
    <w:rsid w:val="527903F5"/>
    <w:rsid w:val="527C1C93"/>
    <w:rsid w:val="52B60C61"/>
    <w:rsid w:val="52C93019"/>
    <w:rsid w:val="53C13423"/>
    <w:rsid w:val="53EB3FD9"/>
    <w:rsid w:val="545033D7"/>
    <w:rsid w:val="54921C42"/>
    <w:rsid w:val="54BE47E5"/>
    <w:rsid w:val="551A48F9"/>
    <w:rsid w:val="55937A20"/>
    <w:rsid w:val="55F54744"/>
    <w:rsid w:val="55FD758F"/>
    <w:rsid w:val="573568B4"/>
    <w:rsid w:val="576D42A0"/>
    <w:rsid w:val="57FB05CF"/>
    <w:rsid w:val="5889264A"/>
    <w:rsid w:val="588B4AFA"/>
    <w:rsid w:val="58BF0B2C"/>
    <w:rsid w:val="5A504131"/>
    <w:rsid w:val="5BA81D4B"/>
    <w:rsid w:val="5BB93F58"/>
    <w:rsid w:val="5BB97AB4"/>
    <w:rsid w:val="5C25514A"/>
    <w:rsid w:val="5C3D2493"/>
    <w:rsid w:val="5C4F0B22"/>
    <w:rsid w:val="5CFF0696"/>
    <w:rsid w:val="5D400DC5"/>
    <w:rsid w:val="5D665A1A"/>
    <w:rsid w:val="5D804D2D"/>
    <w:rsid w:val="5DE02EBF"/>
    <w:rsid w:val="5E7C1D97"/>
    <w:rsid w:val="5EB17168"/>
    <w:rsid w:val="5EE33737"/>
    <w:rsid w:val="5EE575A7"/>
    <w:rsid w:val="5EFA2209"/>
    <w:rsid w:val="5F4C0C3F"/>
    <w:rsid w:val="5FB011CE"/>
    <w:rsid w:val="60FA5887"/>
    <w:rsid w:val="61842912"/>
    <w:rsid w:val="61CA6D11"/>
    <w:rsid w:val="6220088D"/>
    <w:rsid w:val="62797F9D"/>
    <w:rsid w:val="62874BFA"/>
    <w:rsid w:val="62F21288"/>
    <w:rsid w:val="62FC43EA"/>
    <w:rsid w:val="63932865"/>
    <w:rsid w:val="63D25BB7"/>
    <w:rsid w:val="63F773CC"/>
    <w:rsid w:val="63FA510E"/>
    <w:rsid w:val="6401024A"/>
    <w:rsid w:val="641A130C"/>
    <w:rsid w:val="647C0AC9"/>
    <w:rsid w:val="64B008F4"/>
    <w:rsid w:val="64D8544F"/>
    <w:rsid w:val="64E80E78"/>
    <w:rsid w:val="65B3649A"/>
    <w:rsid w:val="65DA51F7"/>
    <w:rsid w:val="66460B4F"/>
    <w:rsid w:val="667E066E"/>
    <w:rsid w:val="66D41C46"/>
    <w:rsid w:val="68EB20F0"/>
    <w:rsid w:val="693B41FE"/>
    <w:rsid w:val="699F6187"/>
    <w:rsid w:val="6A6E563D"/>
    <w:rsid w:val="6B4C26F3"/>
    <w:rsid w:val="6B7D28AC"/>
    <w:rsid w:val="6C687B08"/>
    <w:rsid w:val="6C691082"/>
    <w:rsid w:val="6CA95923"/>
    <w:rsid w:val="6CD56718"/>
    <w:rsid w:val="6DBD51C9"/>
    <w:rsid w:val="6DEC5AC7"/>
    <w:rsid w:val="6E777A87"/>
    <w:rsid w:val="6EDF387E"/>
    <w:rsid w:val="6F1277AF"/>
    <w:rsid w:val="6F4002B0"/>
    <w:rsid w:val="6F616041"/>
    <w:rsid w:val="6F692303"/>
    <w:rsid w:val="6FC860C0"/>
    <w:rsid w:val="70145200"/>
    <w:rsid w:val="706978A3"/>
    <w:rsid w:val="70F657AC"/>
    <w:rsid w:val="71A1306D"/>
    <w:rsid w:val="72117AFC"/>
    <w:rsid w:val="721E6986"/>
    <w:rsid w:val="72640322"/>
    <w:rsid w:val="72750781"/>
    <w:rsid w:val="72AA5DC0"/>
    <w:rsid w:val="730E4732"/>
    <w:rsid w:val="7439758C"/>
    <w:rsid w:val="74A76DA3"/>
    <w:rsid w:val="74CE6EC4"/>
    <w:rsid w:val="75120509"/>
    <w:rsid w:val="75776589"/>
    <w:rsid w:val="76D303A9"/>
    <w:rsid w:val="7752346A"/>
    <w:rsid w:val="779A2A38"/>
    <w:rsid w:val="785B5D23"/>
    <w:rsid w:val="78DD0E2E"/>
    <w:rsid w:val="78F61EF0"/>
    <w:rsid w:val="79427A90"/>
    <w:rsid w:val="79921C19"/>
    <w:rsid w:val="79B847EB"/>
    <w:rsid w:val="79E63648"/>
    <w:rsid w:val="7B25086A"/>
    <w:rsid w:val="7BC534C1"/>
    <w:rsid w:val="7BEF390F"/>
    <w:rsid w:val="7BF96CF1"/>
    <w:rsid w:val="7C142DB9"/>
    <w:rsid w:val="7CAC1243"/>
    <w:rsid w:val="7CCA3477"/>
    <w:rsid w:val="7DEF500B"/>
    <w:rsid w:val="7E1D5234"/>
    <w:rsid w:val="7E971A7F"/>
    <w:rsid w:val="7F286B7B"/>
    <w:rsid w:val="7F4D0390"/>
    <w:rsid w:val="7FE67798"/>
    <w:rsid w:val="7FEB2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alloon Text"/>
    <w:basedOn w:val="1"/>
    <w:semiHidden/>
    <w:qFormat/>
    <w:uiPriority w:val="99"/>
    <w:rPr>
      <w:sz w:val="18"/>
      <w:szCs w:val="18"/>
    </w:rPr>
  </w:style>
  <w:style w:type="paragraph" w:styleId="4">
    <w:name w:val="Body Text Indent"/>
    <w:basedOn w:val="1"/>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Body Text First Indent 2"/>
    <w:basedOn w:val="4"/>
    <w:qFormat/>
    <w:uiPriority w:val="0"/>
    <w:pPr>
      <w:spacing w:after="0"/>
      <w:ind w:firstLine="200" w:firstLineChars="200"/>
      <w:jc w:val="left"/>
    </w:pPr>
    <w:rPr>
      <w:sz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spc="0" baseline="0">
              <a:solidFill>
                <a:schemeClr val="tx1">
                  <a:lumMod val="65000"/>
                  <a:lumOff val="35000"/>
                </a:schemeClr>
              </a:solidFill>
              <a:latin typeface="+mn-lt"/>
              <a:ea typeface="+mn-ea"/>
              <a:cs typeface="+mn-cs"/>
            </a:defRPr>
          </a:pPr>
        </a:p>
      </c:tx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2024年泗水县人民政府信息主动公开工作情况统计</c:v>
                </c:pt>
              </c:strCache>
            </c:strRef>
          </c:tx>
          <c:spPr>
            <a:scene3d>
              <a:camera prst="orthographicFront"/>
              <a:lightRig rig="threePt" dir="t"/>
            </a:scene3d>
            <a:sp3d contourW="25400"/>
          </c:spPr>
          <c:explosion val="0"/>
          <c:dPt>
            <c:idx val="0"/>
            <c:bubble3D val="0"/>
            <c:spPr>
              <a:solidFill>
                <a:schemeClr val="accent6"/>
              </a:solidFill>
              <a:ln w="25400">
                <a:solidFill>
                  <a:schemeClr val="lt1"/>
                </a:solidFill>
              </a:ln>
              <a:effectLst/>
              <a:scene3d>
                <a:camera prst="orthographicFront"/>
                <a:lightRig rig="threePt" dir="t"/>
              </a:scene3d>
              <a:sp3d contourW="25400"/>
            </c:spPr>
          </c:dPt>
          <c:dPt>
            <c:idx val="1"/>
            <c:bubble3D val="0"/>
            <c:spPr>
              <a:solidFill>
                <a:schemeClr val="accent5"/>
              </a:solidFill>
              <a:ln w="25400">
                <a:solidFill>
                  <a:schemeClr val="lt1"/>
                </a:solidFill>
              </a:ln>
              <a:effectLst/>
              <a:scene3d>
                <a:camera prst="orthographicFront"/>
                <a:lightRig rig="threePt" dir="t"/>
              </a:scene3d>
              <a:sp3d contourW="25400"/>
            </c:spPr>
          </c:dPt>
          <c:dPt>
            <c:idx val="2"/>
            <c:bubble3D val="0"/>
            <c:spPr>
              <a:solidFill>
                <a:schemeClr val="accent4"/>
              </a:solidFill>
              <a:ln w="25400">
                <a:solidFill>
                  <a:schemeClr val="lt1"/>
                </a:solidFill>
              </a:ln>
              <a:effectLst/>
              <a:scene3d>
                <a:camera prst="orthographicFront"/>
                <a:lightRig rig="threePt" dir="t"/>
              </a:scene3d>
              <a:sp3d contourW="25400"/>
            </c:spPr>
          </c:dPt>
          <c:dPt>
            <c:idx val="3"/>
            <c:bubble3D val="0"/>
            <c:spPr>
              <a:solidFill>
                <a:schemeClr val="accent6">
                  <a:lumMod val="60000"/>
                </a:schemeClr>
              </a:solidFill>
              <a:ln w="25400">
                <a:solidFill>
                  <a:schemeClr val="lt1"/>
                </a:solidFill>
              </a:ln>
              <a:effectLst/>
              <a:scene3d>
                <a:camera prst="orthographicFront"/>
                <a:lightRig rig="threePt" dir="t"/>
              </a:scene3d>
              <a:sp3d contourW="25400"/>
            </c:spPr>
          </c:dPt>
          <c:dPt>
            <c:idx val="4"/>
            <c:bubble3D val="0"/>
            <c:spPr>
              <a:solidFill>
                <a:schemeClr val="accent5">
                  <a:lumMod val="60000"/>
                </a:schemeClr>
              </a:solidFill>
              <a:ln w="25400">
                <a:solidFill>
                  <a:schemeClr val="lt1"/>
                </a:solidFill>
              </a:ln>
              <a:effectLst/>
              <a:scene3d>
                <a:camera prst="orthographicFront"/>
                <a:lightRig rig="threePt" dir="t"/>
              </a:scene3d>
              <a:sp3d contourW="25400"/>
            </c:spPr>
          </c:dPt>
          <c:dPt>
            <c:idx val="5"/>
            <c:bubble3D val="0"/>
            <c:spPr>
              <a:solidFill>
                <a:schemeClr val="accent4">
                  <a:lumMod val="60000"/>
                </a:schemeClr>
              </a:solidFill>
              <a:ln w="25400">
                <a:solidFill>
                  <a:schemeClr val="lt1"/>
                </a:solidFill>
              </a:ln>
              <a:effectLst/>
              <a:scene3d>
                <a:camera prst="orthographicFront"/>
                <a:lightRig rig="threePt" dir="t"/>
              </a:scene3d>
              <a:sp3d contourW="25400"/>
            </c:spPr>
          </c:dPt>
          <c:dPt>
            <c:idx val="6"/>
            <c:bubble3D val="0"/>
            <c:spPr>
              <a:solidFill>
                <a:schemeClr val="accent6">
                  <a:lumMod val="80000"/>
                  <a:lumOff val="20000"/>
                </a:schemeClr>
              </a:solidFill>
              <a:ln w="25400">
                <a:solidFill>
                  <a:schemeClr val="lt1"/>
                </a:solidFill>
              </a:ln>
              <a:effectLst/>
              <a:scene3d>
                <a:camera prst="orthographicFront"/>
                <a:lightRig rig="threePt" dir="t"/>
              </a:scene3d>
              <a:sp3d contourW="25400"/>
            </c:spPr>
          </c:dPt>
          <c:dPt>
            <c:idx val="7"/>
            <c:bubble3D val="0"/>
            <c:spPr>
              <a:solidFill>
                <a:schemeClr val="accent5">
                  <a:lumMod val="80000"/>
                  <a:lumOff val="20000"/>
                </a:schemeClr>
              </a:solidFill>
              <a:ln w="25400">
                <a:solidFill>
                  <a:schemeClr val="lt1"/>
                </a:solidFill>
              </a:ln>
              <a:effectLst/>
              <a:scene3d>
                <a:camera prst="orthographicFront"/>
                <a:lightRig rig="threePt" dir="t"/>
              </a:scene3d>
              <a:sp3d contourW="25400"/>
            </c:spPr>
          </c:dPt>
          <c:dPt>
            <c:idx val="8"/>
            <c:bubble3D val="0"/>
            <c:spPr>
              <a:solidFill>
                <a:schemeClr val="accent4">
                  <a:lumMod val="80000"/>
                  <a:lumOff val="20000"/>
                </a:schemeClr>
              </a:solidFill>
              <a:ln w="25400">
                <a:solidFill>
                  <a:schemeClr val="lt1"/>
                </a:solidFill>
              </a:ln>
              <a:effectLst/>
              <a:scene3d>
                <a:camera prst="orthographicFront"/>
                <a:lightRig rig="threePt" dir="t"/>
              </a:scene3d>
              <a:sp3d contourW="25400"/>
            </c:spPr>
          </c:dPt>
          <c:dPt>
            <c:idx val="9"/>
            <c:bubble3D val="0"/>
            <c:spPr>
              <a:solidFill>
                <a:schemeClr val="accent6">
                  <a:lumMod val="80000"/>
                </a:schemeClr>
              </a:solidFill>
              <a:ln w="25400">
                <a:solidFill>
                  <a:schemeClr val="lt1"/>
                </a:solidFill>
              </a:ln>
              <a:effectLst/>
              <a:scene3d>
                <a:camera prst="orthographicFront"/>
                <a:lightRig rig="threePt" dir="t"/>
              </a:scene3d>
              <a:sp3d contourW="25400"/>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优化营商环境相关信息</c:v>
                </c:pt>
                <c:pt idx="1">
                  <c:v>财政领域信息</c:v>
                </c:pt>
                <c:pt idx="2">
                  <c:v>教育领域信息</c:v>
                </c:pt>
                <c:pt idx="3">
                  <c:v>医疗保障领域信息</c:v>
                </c:pt>
                <c:pt idx="4">
                  <c:v>住房保障领域政务信息</c:v>
                </c:pt>
                <c:pt idx="5">
                  <c:v>食品药品领域信息</c:v>
                </c:pt>
                <c:pt idx="6">
                  <c:v>稳岗就业领域</c:v>
                </c:pt>
                <c:pt idx="7">
                  <c:v>社会救助及养老服务领域信息</c:v>
                </c:pt>
                <c:pt idx="8">
                  <c:v>实施行政处罚</c:v>
                </c:pt>
                <c:pt idx="9">
                  <c:v>行政强制</c:v>
                </c:pt>
              </c:strCache>
            </c:strRef>
          </c:cat>
          <c:val>
            <c:numRef>
              <c:f>Sheet1!$B$2:$B$11</c:f>
              <c:numCache>
                <c:formatCode>General</c:formatCode>
                <c:ptCount val="10"/>
                <c:pt idx="0">
                  <c:v>1510</c:v>
                </c:pt>
                <c:pt idx="1">
                  <c:v>546</c:v>
                </c:pt>
                <c:pt idx="2">
                  <c:v>246</c:v>
                </c:pt>
                <c:pt idx="3">
                  <c:v>364</c:v>
                </c:pt>
                <c:pt idx="4">
                  <c:v>217</c:v>
                </c:pt>
                <c:pt idx="5">
                  <c:v>182</c:v>
                </c:pt>
                <c:pt idx="6">
                  <c:v>265</c:v>
                </c:pt>
                <c:pt idx="7">
                  <c:v>310</c:v>
                </c:pt>
                <c:pt idx="8">
                  <c:v>4402</c:v>
                </c:pt>
                <c:pt idx="9">
                  <c:v>155</c:v>
                </c:pt>
              </c:numCache>
            </c:numRef>
          </c:val>
        </c:ser>
        <c:dLbls>
          <c:showLegendKey val="0"/>
          <c:showVal val="1"/>
          <c:showCatName val="0"/>
          <c:showSerName val="0"/>
          <c:showPercent val="0"/>
          <c:showBubbleSize val="0"/>
        </c:dLbls>
      </c:pie3D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0c8f8cc-8b5f-4ccc-b03e-f06d30664dc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2024年泗水县人民政府依申请公开答复情况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予以公开</c:v>
                </c:pt>
                <c:pt idx="1">
                  <c:v>本机关不掌握相关政府信息</c:v>
                </c:pt>
                <c:pt idx="2">
                  <c:v>属于三类内部事务信息</c:v>
                </c:pt>
                <c:pt idx="3">
                  <c:v>保护第三方合法权益</c:v>
                </c:pt>
                <c:pt idx="4">
                  <c:v>无正当理由大量反复申请</c:v>
                </c:pt>
                <c:pt idx="5">
                  <c:v>其他处理</c:v>
                </c:pt>
              </c:strCache>
            </c:strRef>
          </c:cat>
          <c:val>
            <c:numRef>
              <c:f>Sheet1!$B$2:$B$7</c:f>
              <c:numCache>
                <c:formatCode>General</c:formatCode>
                <c:ptCount val="6"/>
                <c:pt idx="0">
                  <c:v>39</c:v>
                </c:pt>
                <c:pt idx="1">
                  <c:v>16</c:v>
                </c:pt>
                <c:pt idx="2">
                  <c:v>10</c:v>
                </c:pt>
                <c:pt idx="3">
                  <c:v>1</c:v>
                </c:pt>
                <c:pt idx="4">
                  <c:v>1</c:v>
                </c:pt>
                <c:pt idx="5">
                  <c:v>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ad89f9c-4436-47b1-b30a-df3532064f8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1793</Words>
  <Characters>1918</Characters>
  <Lines>0</Lines>
  <Paragraphs>0</Paragraphs>
  <TotalTime>12</TotalTime>
  <ScaleCrop>false</ScaleCrop>
  <LinksUpToDate>false</LinksUpToDate>
  <CharactersWithSpaces>1918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2025-02-20T06:00:48Z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93D30CB768AB40EDAF6F800D6F69D0F0_13</vt:lpwstr>
  </property>
  <property fmtid="{D5CDD505-2E9C-101B-9397-08002B2CF9AE}" pid="4" name="KSOTemplateDocerSaveRecord">
    <vt:lpwstr>eyJoZGlkIjoiOGViMDEyMjk1ZTA5Yzg0NzliOGJjYTRiNTMxOTBmMzQifQ==</vt:lpwstr>
  </property>
</Properties>
</file>