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35DC6">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0C0C0C"/>
          <w:lang w:val="en-US" w:eastAsia="zh-CN"/>
        </w:rPr>
      </w:pPr>
    </w:p>
    <w:p w14:paraId="1FF4D4ED">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泗水县人民政府</w:t>
      </w:r>
    </w:p>
    <w:p w14:paraId="3DCBC0F2">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color w:val="auto"/>
          <w:sz w:val="32"/>
          <w:szCs w:val="32"/>
        </w:rPr>
      </w:pPr>
      <w:r>
        <w:rPr>
          <w:rFonts w:hint="default" w:ascii="Times New Roman" w:hAnsi="Times New Roman" w:eastAsia="方正小标宋简体" w:cs="Times New Roman"/>
          <w:color w:val="auto"/>
        </w:rPr>
        <w:t>202</w:t>
      </w:r>
      <w:r>
        <w:rPr>
          <w:rFonts w:hint="eastAsia" w:eastAsia="方正小标宋简体" w:cs="Times New Roman"/>
          <w:color w:val="auto"/>
          <w:lang w:val="en-US" w:eastAsia="zh-CN"/>
        </w:rPr>
        <w:t>4</w:t>
      </w:r>
      <w:r>
        <w:rPr>
          <w:rFonts w:hint="eastAsia" w:ascii="方正小标宋简体" w:hAnsi="方正小标宋简体" w:eastAsia="方正小标宋简体" w:cs="方正小标宋简体"/>
          <w:color w:val="auto"/>
        </w:rPr>
        <w:t>年政府信息公开工作年度报告</w:t>
      </w:r>
    </w:p>
    <w:p w14:paraId="7DE2DA49">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p>
    <w:p w14:paraId="183A64B3">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本报告由</w:t>
      </w:r>
      <w:r>
        <w:rPr>
          <w:rFonts w:hint="eastAsia" w:ascii="方正仿宋简体" w:hAnsi="方正仿宋简体" w:eastAsia="方正仿宋简体" w:cs="方正仿宋简体"/>
          <w:b/>
          <w:color w:val="auto"/>
          <w:sz w:val="32"/>
          <w:szCs w:val="32"/>
          <w:lang w:val="en-US" w:eastAsia="zh-CN"/>
        </w:rPr>
        <w:t>山东省济宁市泗水县人民政府</w:t>
      </w:r>
      <w:r>
        <w:rPr>
          <w:rFonts w:hint="eastAsia" w:ascii="方正仿宋简体" w:hAnsi="方正仿宋简体" w:eastAsia="方正仿宋简体" w:cs="方正仿宋简体"/>
          <w:b/>
          <w:color w:val="auto"/>
          <w:sz w:val="32"/>
          <w:szCs w:val="32"/>
        </w:rPr>
        <w:t>按照《中华人民共和国政府信息公开条例》（以下简称《条例》）和《中华人民共和国政府信息公开工作年度报告格式》（国办公开办函〔</w:t>
      </w:r>
      <w:r>
        <w:rPr>
          <w:rFonts w:hint="default" w:ascii="Times New Roman" w:hAnsi="Times New Roman" w:eastAsia="方正仿宋简体" w:cs="Times New Roman"/>
          <w:b/>
          <w:color w:val="auto"/>
          <w:sz w:val="32"/>
          <w:szCs w:val="32"/>
        </w:rPr>
        <w:t>2021</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30</w:t>
      </w:r>
      <w:r>
        <w:rPr>
          <w:rFonts w:hint="eastAsia" w:ascii="方正仿宋简体" w:hAnsi="方正仿宋简体" w:eastAsia="方正仿宋简体" w:cs="方正仿宋简体"/>
          <w:b/>
          <w:color w:val="auto"/>
          <w:sz w:val="32"/>
          <w:szCs w:val="32"/>
        </w:rPr>
        <w:t>号）要求编制。</w:t>
      </w:r>
    </w:p>
    <w:p w14:paraId="5132DFEC">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58A17A9A">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本报告所列数据的统计期限自</w:t>
      </w:r>
      <w:r>
        <w:rPr>
          <w:rFonts w:hint="default" w:ascii="Times New Roman" w:hAnsi="Times New Roman" w:eastAsia="方正仿宋简体" w:cs="Times New Roman"/>
          <w:b/>
          <w:color w:val="auto"/>
          <w:sz w:val="32"/>
          <w:szCs w:val="32"/>
        </w:rPr>
        <w:t>202</w:t>
      </w:r>
      <w:r>
        <w:rPr>
          <w:rFonts w:hint="eastAsia" w:eastAsia="方正仿宋简体" w:cs="Times New Roman"/>
          <w:b/>
          <w:color w:val="auto"/>
          <w:sz w:val="32"/>
          <w:szCs w:val="32"/>
          <w:lang w:val="en-US" w:eastAsia="zh-CN"/>
        </w:rPr>
        <w:t>4</w:t>
      </w:r>
      <w:r>
        <w:rPr>
          <w:rFonts w:hint="eastAsia" w:ascii="方正仿宋简体" w:hAnsi="方正仿宋简体" w:eastAsia="方正仿宋简体" w:cs="方正仿宋简体"/>
          <w:b/>
          <w:color w:val="auto"/>
          <w:sz w:val="32"/>
          <w:szCs w:val="32"/>
        </w:rPr>
        <w:t>年</w:t>
      </w:r>
      <w:r>
        <w:rPr>
          <w:rFonts w:hint="default" w:ascii="Times New Roman" w:hAnsi="Times New Roman" w:eastAsia="方正仿宋简体" w:cs="Times New Roman"/>
          <w:b/>
          <w:color w:val="auto"/>
          <w:sz w:val="32"/>
          <w:szCs w:val="32"/>
        </w:rPr>
        <w:t>1</w:t>
      </w:r>
      <w:r>
        <w:rPr>
          <w:rFonts w:hint="eastAsia" w:ascii="方正仿宋简体" w:hAnsi="方正仿宋简体"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1</w:t>
      </w:r>
      <w:r>
        <w:rPr>
          <w:rFonts w:hint="eastAsia" w:ascii="方正仿宋简体" w:hAnsi="方正仿宋简体" w:eastAsia="方正仿宋简体" w:cs="方正仿宋简体"/>
          <w:b/>
          <w:color w:val="auto"/>
          <w:sz w:val="32"/>
          <w:szCs w:val="32"/>
        </w:rPr>
        <w:t>日起至</w:t>
      </w:r>
      <w:r>
        <w:rPr>
          <w:rFonts w:hint="default" w:ascii="Times New Roman" w:hAnsi="Times New Roman" w:eastAsia="方正仿宋简体" w:cs="Times New Roman"/>
          <w:b/>
          <w:color w:val="auto"/>
          <w:sz w:val="32"/>
          <w:szCs w:val="32"/>
        </w:rPr>
        <w:t>202</w:t>
      </w:r>
      <w:r>
        <w:rPr>
          <w:rFonts w:hint="eastAsia" w:eastAsia="方正仿宋简体" w:cs="Times New Roman"/>
          <w:b/>
          <w:color w:val="auto"/>
          <w:sz w:val="32"/>
          <w:szCs w:val="32"/>
          <w:lang w:val="en-US" w:eastAsia="zh-CN"/>
        </w:rPr>
        <w:t>4</w:t>
      </w:r>
      <w:r>
        <w:rPr>
          <w:rFonts w:hint="eastAsia" w:ascii="方正仿宋简体" w:hAnsi="方正仿宋简体" w:eastAsia="方正仿宋简体" w:cs="方正仿宋简体"/>
          <w:b/>
          <w:color w:val="auto"/>
          <w:sz w:val="32"/>
          <w:szCs w:val="32"/>
        </w:rPr>
        <w:t>年</w:t>
      </w:r>
      <w:r>
        <w:rPr>
          <w:rFonts w:hint="default" w:ascii="Times New Roman" w:hAnsi="Times New Roman" w:eastAsia="方正仿宋简体" w:cs="Times New Roman"/>
          <w:b/>
          <w:color w:val="auto"/>
          <w:sz w:val="32"/>
          <w:szCs w:val="32"/>
        </w:rPr>
        <w:t>12</w:t>
      </w:r>
      <w:r>
        <w:rPr>
          <w:rFonts w:hint="eastAsia" w:ascii="方正仿宋简体" w:hAnsi="方正仿宋简体"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31</w:t>
      </w:r>
      <w:r>
        <w:rPr>
          <w:rFonts w:hint="eastAsia" w:ascii="方正仿宋简体" w:hAnsi="方正仿宋简体" w:eastAsia="方正仿宋简体" w:cs="方正仿宋简体"/>
          <w:b/>
          <w:color w:val="auto"/>
          <w:sz w:val="32"/>
          <w:szCs w:val="32"/>
        </w:rPr>
        <w:t>日止。本报告电子版可在“中国·</w:t>
      </w:r>
      <w:r>
        <w:rPr>
          <w:rFonts w:hint="eastAsia" w:ascii="方正仿宋简体" w:hAnsi="方正仿宋简体" w:eastAsia="方正仿宋简体" w:cs="方正仿宋简体"/>
          <w:b/>
          <w:color w:val="auto"/>
          <w:sz w:val="32"/>
          <w:szCs w:val="32"/>
          <w:lang w:val="en-US" w:eastAsia="zh-CN"/>
        </w:rPr>
        <w:t>泗水</w:t>
      </w:r>
      <w:r>
        <w:rPr>
          <w:rFonts w:hint="eastAsia" w:ascii="方正仿宋简体" w:hAnsi="方正仿宋简体" w:eastAsia="方正仿宋简体" w:cs="方正仿宋简体"/>
          <w:b/>
          <w:color w:val="auto"/>
          <w:sz w:val="32"/>
          <w:szCs w:val="32"/>
        </w:rPr>
        <w:t>”政府门户网站（</w:t>
      </w:r>
      <w:r>
        <w:rPr>
          <w:rFonts w:hint="default" w:ascii="Times New Roman" w:hAnsi="Times New Roman" w:eastAsia="方正仿宋简体" w:cs="Times New Roman"/>
          <w:b/>
          <w:color w:val="auto"/>
          <w:sz w:val="32"/>
          <w:szCs w:val="32"/>
        </w:rPr>
        <w:t>www.sishui.gov.cn</w:t>
      </w:r>
      <w:r>
        <w:rPr>
          <w:rFonts w:hint="eastAsia" w:ascii="方正仿宋简体" w:hAnsi="方正仿宋简体" w:eastAsia="方正仿宋简体" w:cs="方正仿宋简体"/>
          <w:b/>
          <w:color w:val="auto"/>
          <w:sz w:val="32"/>
          <w:szCs w:val="32"/>
        </w:rPr>
        <w:t>）查阅或下载。如对本报告有疑问，请与</w:t>
      </w:r>
      <w:r>
        <w:rPr>
          <w:rFonts w:hint="eastAsia" w:ascii="方正仿宋简体" w:hAnsi="方正仿宋简体" w:eastAsia="方正仿宋简体" w:cs="方正仿宋简体"/>
          <w:b/>
          <w:color w:val="auto"/>
          <w:sz w:val="32"/>
          <w:szCs w:val="32"/>
          <w:lang w:val="en-US" w:eastAsia="zh-CN"/>
        </w:rPr>
        <w:t>山东省济宁市泗水县人民政府办公室</w:t>
      </w:r>
      <w:r>
        <w:rPr>
          <w:rFonts w:hint="eastAsia" w:ascii="方正仿宋简体" w:hAnsi="方正仿宋简体" w:eastAsia="方正仿宋简体" w:cs="方正仿宋简体"/>
          <w:b/>
          <w:color w:val="auto"/>
          <w:sz w:val="32"/>
          <w:szCs w:val="32"/>
        </w:rPr>
        <w:t>联系（地址：泗水县泉兴路</w:t>
      </w:r>
      <w:r>
        <w:rPr>
          <w:rFonts w:hint="default" w:ascii="Times New Roman" w:hAnsi="Times New Roman" w:eastAsia="方正仿宋简体" w:cs="Times New Roman"/>
          <w:b/>
          <w:color w:val="auto"/>
          <w:sz w:val="32"/>
          <w:szCs w:val="32"/>
        </w:rPr>
        <w:t>7</w:t>
      </w:r>
      <w:r>
        <w:rPr>
          <w:rFonts w:hint="eastAsia" w:ascii="方正仿宋简体" w:hAnsi="方正仿宋简体" w:eastAsia="方正仿宋简体" w:cs="方正仿宋简体"/>
          <w:b/>
          <w:color w:val="auto"/>
          <w:sz w:val="32"/>
          <w:szCs w:val="32"/>
        </w:rPr>
        <w:t>号行政中心，联系电话：</w:t>
      </w:r>
      <w:r>
        <w:rPr>
          <w:rFonts w:hint="default" w:ascii="Times New Roman" w:hAnsi="Times New Roman" w:eastAsia="方正仿宋简体" w:cs="Times New Roman"/>
          <w:b/>
          <w:color w:val="auto"/>
          <w:sz w:val="32"/>
          <w:szCs w:val="32"/>
        </w:rPr>
        <w:t>0537-</w:t>
      </w:r>
      <w:r>
        <w:rPr>
          <w:rFonts w:hint="default" w:ascii="Times New Roman" w:hAnsi="Times New Roman" w:eastAsia="方正仿宋简体" w:cs="Times New Roman"/>
          <w:b/>
          <w:color w:val="auto"/>
          <w:sz w:val="32"/>
          <w:szCs w:val="32"/>
          <w:lang w:val="en-US" w:eastAsia="zh-CN"/>
        </w:rPr>
        <w:t>4221207</w:t>
      </w:r>
      <w:r>
        <w:rPr>
          <w:rFonts w:hint="eastAsia" w:ascii="方正仿宋简体" w:hAnsi="方正仿宋简体" w:eastAsia="方正仿宋简体" w:cs="方正仿宋简体"/>
          <w:b/>
          <w:color w:val="auto"/>
          <w:sz w:val="32"/>
          <w:szCs w:val="32"/>
        </w:rPr>
        <w:t>）。</w:t>
      </w:r>
    </w:p>
    <w:p w14:paraId="05E25FA2">
      <w:pPr>
        <w:spacing w:line="590" w:lineRule="exact"/>
        <w:ind w:right="-105" w:rightChars="-50" w:firstLine="643" w:firstLineChars="200"/>
        <w:rPr>
          <w:rFonts w:hint="eastAsia" w:ascii="仿宋" w:hAnsi="仿宋" w:eastAsia="仿宋" w:cs="仿宋"/>
          <w:b/>
          <w:color w:val="auto"/>
          <w:sz w:val="32"/>
          <w:szCs w:val="32"/>
        </w:rPr>
      </w:pPr>
      <w:r>
        <w:rPr>
          <w:rFonts w:hint="eastAsia" w:ascii="方正黑体简体" w:hAnsi="方正黑体简体" w:eastAsia="方正黑体简体" w:cs="方正黑体简体"/>
          <w:b/>
          <w:color w:val="auto"/>
          <w:sz w:val="32"/>
          <w:szCs w:val="32"/>
        </w:rPr>
        <w:t>一、总体情况</w:t>
      </w:r>
    </w:p>
    <w:p w14:paraId="3E5D11D8">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方正仿宋简体" w:hAnsi="方正仿宋简体" w:eastAsia="方正仿宋简体" w:cs="方正仿宋简体"/>
          <w:b/>
          <w:color w:val="auto"/>
          <w:sz w:val="32"/>
          <w:szCs w:val="32"/>
          <w:lang w:val="en-US" w:eastAsia="zh-CN"/>
        </w:rPr>
        <w:t>202</w:t>
      </w:r>
      <w:r>
        <w:rPr>
          <w:rFonts w:hint="eastAsia" w:ascii="方正仿宋简体" w:hAnsi="方正仿宋简体" w:eastAsia="方正仿宋简体" w:cs="方正仿宋简体"/>
          <w:b/>
          <w:color w:val="auto"/>
          <w:sz w:val="32"/>
          <w:szCs w:val="32"/>
          <w:lang w:val="en-US" w:eastAsia="zh-CN"/>
        </w:rPr>
        <w:t>4年，泗水县人民政府以习近平新时代中国特色社会主义思想为指导，严格执行《中华人民共和国政府信息公开条例》，认真履行政府信息公开工作职责，坚持信息公开为中心工作服务的原则。</w:t>
      </w:r>
    </w:p>
    <w:p w14:paraId="043FEF67">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（一）政府信息</w:t>
      </w:r>
      <w:r>
        <w:rPr>
          <w:rFonts w:hint="eastAsia" w:ascii="方正楷体简体" w:hAnsi="方正楷体简体" w:eastAsia="方正楷体简体" w:cs="方正楷体简体"/>
          <w:b/>
          <w:color w:val="auto"/>
          <w:sz w:val="32"/>
          <w:szCs w:val="32"/>
        </w:rPr>
        <w:t>主动公开</w:t>
      </w:r>
      <w:r>
        <w:rPr>
          <w:rFonts w:hint="eastAsia" w:ascii="方正楷体简体" w:hAnsi="方正楷体简体" w:eastAsia="方正楷体简体" w:cs="方正楷体简体"/>
          <w:b/>
          <w:color w:val="auto"/>
          <w:sz w:val="32"/>
          <w:szCs w:val="32"/>
          <w:lang w:val="en-US" w:eastAsia="zh-CN"/>
        </w:rPr>
        <w:t>工作</w:t>
      </w:r>
    </w:p>
    <w:p w14:paraId="7E51FFB6">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坚持“以公开为常态、不公开为例外”，扎实抓好惠民利企的政府信息公开工作。及时发布优化营商环境相关信息1510条、财政领域信息546条、教育领域信息246条、医疗保障领域信息364条、住房保障领域政务信息217条，食品药品领域信息182条，稳岗就业领域265条，社会救助及养老服务领域信息310条。行政许可137485件，实施行政处罚4402件、行政强制155件。持续加强专题专栏建设，有序规范科学高效公开政府信息。</w:t>
      </w:r>
    </w:p>
    <w:p w14:paraId="2822E44C">
      <w:pPr>
        <w:pStyle w:val="2"/>
        <w:rPr>
          <w:rFonts w:hint="eastAsia" w:ascii="方正仿宋简体" w:hAnsi="方正仿宋简体" w:eastAsia="方正仿宋简体" w:cs="方正仿宋简体"/>
          <w:b/>
          <w:color w:val="FF0000"/>
          <w:sz w:val="32"/>
          <w:szCs w:val="32"/>
          <w:lang w:val="en-US" w:eastAsia="zh-CN"/>
        </w:rPr>
      </w:pPr>
      <w:r>
        <w:rPr>
          <w:rFonts w:hint="eastAsia" w:ascii="方正仿宋简体" w:hAnsi="方正仿宋简体" w:eastAsia="方正仿宋简体" w:cs="方正仿宋简体"/>
          <w:b/>
          <w:color w:val="FF0000"/>
          <w:sz w:val="32"/>
          <w:szCs w:val="32"/>
          <w:lang w:val="en-US"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B4BCBFA">
      <w:pPr>
        <w:pStyle w:val="2"/>
        <w:rPr>
          <w:rFonts w:hint="eastAsia"/>
          <w:color w:val="0C0C0C"/>
        </w:rPr>
      </w:pPr>
    </w:p>
    <w:p w14:paraId="536E064A">
      <w:p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（二）依申请公开工作</w:t>
      </w:r>
    </w:p>
    <w:p w14:paraId="74B66A82">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4</w:t>
      </w:r>
      <w:r>
        <w:rPr>
          <w:rFonts w:hint="eastAsia" w:ascii="方正仿宋简体" w:hAnsi="方正仿宋简体" w:eastAsia="方正仿宋简体" w:cs="方正仿宋简体"/>
          <w:b/>
          <w:color w:val="auto"/>
          <w:sz w:val="32"/>
          <w:szCs w:val="32"/>
          <w:lang w:val="en-US" w:eastAsia="zh-CN"/>
        </w:rPr>
        <w:t>年，全县共受理信息公开申请</w:t>
      </w:r>
      <w:r>
        <w:rPr>
          <w:rFonts w:hint="eastAsia" w:eastAsia="方正仿宋简体" w:cs="Times New Roman"/>
          <w:b/>
          <w:color w:val="auto"/>
          <w:sz w:val="32"/>
          <w:szCs w:val="32"/>
          <w:lang w:val="en-US" w:eastAsia="zh-CN"/>
        </w:rPr>
        <w:t>69</w:t>
      </w:r>
      <w:r>
        <w:rPr>
          <w:rFonts w:hint="eastAsia" w:ascii="方正仿宋简体" w:hAnsi="方正仿宋简体" w:eastAsia="方正仿宋简体" w:cs="方正仿宋简体"/>
          <w:b/>
          <w:color w:val="auto"/>
          <w:sz w:val="32"/>
          <w:szCs w:val="32"/>
          <w:lang w:val="en-US" w:eastAsia="zh-CN"/>
        </w:rPr>
        <w:t>件，与往年相比数量增加</w:t>
      </w:r>
      <w:r>
        <w:rPr>
          <w:rFonts w:hint="eastAsia" w:eastAsia="方正仿宋简体" w:cs="Times New Roman"/>
          <w:b/>
          <w:color w:val="auto"/>
          <w:sz w:val="32"/>
          <w:szCs w:val="32"/>
          <w:lang w:val="en-US" w:eastAsia="zh-CN"/>
        </w:rPr>
        <w:t>3</w:t>
      </w:r>
      <w:r>
        <w:rPr>
          <w:rFonts w:hint="eastAsia" w:ascii="方正仿宋简体" w:hAnsi="方正仿宋简体" w:eastAsia="方正仿宋简体" w:cs="方正仿宋简体"/>
          <w:b/>
          <w:color w:val="auto"/>
          <w:sz w:val="32"/>
          <w:szCs w:val="32"/>
          <w:lang w:val="en-US" w:eastAsia="zh-CN"/>
        </w:rPr>
        <w:t>件，</w:t>
      </w:r>
      <w:bookmarkStart w:id="10" w:name="_GoBack"/>
      <w:r>
        <w:rPr>
          <w:rFonts w:hint="eastAsia" w:ascii="方正仿宋简体" w:hAnsi="方正仿宋简体" w:eastAsia="方正仿宋简体" w:cs="方正仿宋简体"/>
          <w:b/>
          <w:color w:val="auto"/>
          <w:sz w:val="32"/>
          <w:szCs w:val="32"/>
          <w:lang w:val="en-US" w:eastAsia="zh-CN"/>
        </w:rPr>
        <w:t>其中予以公开</w:t>
      </w:r>
      <w:r>
        <w:rPr>
          <w:rFonts w:hint="eastAsia" w:eastAsia="方正仿宋简体" w:cs="Times New Roman"/>
          <w:b/>
          <w:color w:val="auto"/>
          <w:sz w:val="32"/>
          <w:szCs w:val="32"/>
          <w:lang w:val="en-US" w:eastAsia="zh-CN"/>
        </w:rPr>
        <w:t>39</w:t>
      </w:r>
      <w:r>
        <w:rPr>
          <w:rFonts w:hint="eastAsia" w:ascii="方正仿宋简体" w:hAnsi="方正仿宋简体" w:eastAsia="方正仿宋简体" w:cs="方正仿宋简体"/>
          <w:b/>
          <w:color w:val="auto"/>
          <w:sz w:val="32"/>
          <w:szCs w:val="32"/>
          <w:lang w:val="en-US" w:eastAsia="zh-CN"/>
        </w:rPr>
        <w:t>件、本机关不掌握相关政府信息</w:t>
      </w:r>
      <w:r>
        <w:rPr>
          <w:rFonts w:hint="eastAsia" w:eastAsia="方正仿宋简体" w:cs="Times New Roman"/>
          <w:b/>
          <w:color w:val="auto"/>
          <w:sz w:val="32"/>
          <w:szCs w:val="32"/>
          <w:lang w:val="en-US" w:eastAsia="zh-CN"/>
        </w:rPr>
        <w:t>16</w:t>
      </w:r>
      <w:r>
        <w:rPr>
          <w:rFonts w:hint="eastAsia" w:ascii="方正仿宋简体" w:hAnsi="方正仿宋简体" w:eastAsia="方正仿宋简体" w:cs="方正仿宋简体"/>
          <w:b/>
          <w:color w:val="auto"/>
          <w:sz w:val="32"/>
          <w:szCs w:val="32"/>
          <w:lang w:val="en-US" w:eastAsia="zh-CN"/>
        </w:rPr>
        <w:t>件，属于三类内部事务信息10件，保护第三方合法权益1件，无正当理由大量反复申请1件，其他处理2件，</w:t>
      </w:r>
      <w:r>
        <w:rPr>
          <w:rFonts w:hint="eastAsia" w:ascii="仿宋" w:hAnsi="仿宋" w:eastAsia="仿宋" w:cs="仿宋"/>
          <w:b/>
          <w:color w:val="auto"/>
          <w:sz w:val="32"/>
          <w:szCs w:val="32"/>
          <w:lang w:val="en-US" w:eastAsia="zh-CN"/>
        </w:rPr>
        <w:t>未收取任何费用</w:t>
      </w:r>
      <w:r>
        <w:rPr>
          <w:rFonts w:hint="eastAsia" w:ascii="仿宋" w:hAnsi="仿宋" w:eastAsia="仿宋" w:cs="仿宋"/>
          <w:b/>
          <w:color w:val="auto"/>
          <w:sz w:val="32"/>
          <w:szCs w:val="32"/>
        </w:rPr>
        <w:t>。</w:t>
      </w:r>
      <w:bookmarkEnd w:id="10"/>
      <w:r>
        <w:rPr>
          <w:rFonts w:hint="eastAsia" w:ascii="仿宋" w:hAnsi="仿宋" w:eastAsia="仿宋" w:cs="仿宋"/>
          <w:b/>
          <w:color w:val="auto"/>
          <w:sz w:val="32"/>
          <w:szCs w:val="32"/>
          <w:lang w:val="en-US" w:eastAsia="zh-CN"/>
        </w:rPr>
        <w:t>申请内容主要涉及土地征收、学校招生、民生问题等，</w:t>
      </w:r>
      <w:r>
        <w:rPr>
          <w:rFonts w:hint="eastAsia" w:ascii="方正仿宋简体" w:hAnsi="方正仿宋简体" w:eastAsia="方正仿宋简体" w:cs="方正仿宋简体"/>
          <w:b/>
          <w:color w:val="auto"/>
          <w:sz w:val="32"/>
          <w:szCs w:val="32"/>
          <w:lang w:val="en-US" w:eastAsia="zh-CN"/>
        </w:rPr>
        <w:t>均依法答复，答复率</w:t>
      </w:r>
      <w:r>
        <w:rPr>
          <w:rFonts w:hint="default" w:ascii="Times New Roman" w:hAnsi="Times New Roman" w:eastAsia="方正仿宋简体" w:cs="Times New Roman"/>
          <w:b/>
          <w:color w:val="auto"/>
          <w:sz w:val="32"/>
          <w:szCs w:val="32"/>
          <w:lang w:val="en-US" w:eastAsia="zh-CN"/>
        </w:rPr>
        <w:t>100%</w:t>
      </w:r>
      <w:r>
        <w:rPr>
          <w:rFonts w:hint="eastAsia" w:ascii="方正仿宋简体" w:hAnsi="方正仿宋简体" w:eastAsia="方正仿宋简体" w:cs="方正仿宋简体"/>
          <w:b/>
          <w:color w:val="auto"/>
          <w:sz w:val="32"/>
          <w:szCs w:val="32"/>
          <w:lang w:val="en-US" w:eastAsia="zh-CN"/>
        </w:rPr>
        <w:t>。因依申请公开工作引发行政复议</w:t>
      </w:r>
      <w:r>
        <w:rPr>
          <w:rFonts w:hint="eastAsia" w:eastAsia="方正仿宋简体" w:cs="Times New Roman"/>
          <w:b/>
          <w:color w:val="auto"/>
          <w:sz w:val="32"/>
          <w:szCs w:val="32"/>
          <w:lang w:val="en-US" w:eastAsia="zh-CN"/>
        </w:rPr>
        <w:t>13</w:t>
      </w:r>
      <w:r>
        <w:rPr>
          <w:rFonts w:hint="eastAsia" w:ascii="方正仿宋简体" w:hAnsi="方正仿宋简体" w:eastAsia="方正仿宋简体" w:cs="方正仿宋简体"/>
          <w:b/>
          <w:color w:val="auto"/>
          <w:sz w:val="32"/>
          <w:szCs w:val="32"/>
          <w:lang w:val="en-US" w:eastAsia="zh-CN"/>
        </w:rPr>
        <w:t>件、行政诉讼案件</w:t>
      </w:r>
      <w:r>
        <w:rPr>
          <w:rFonts w:hint="eastAsia" w:eastAsia="方正仿宋简体" w:cs="Times New Roman"/>
          <w:b/>
          <w:color w:val="auto"/>
          <w:sz w:val="32"/>
          <w:szCs w:val="32"/>
          <w:lang w:val="en-US" w:eastAsia="zh-CN"/>
        </w:rPr>
        <w:t>5</w:t>
      </w:r>
      <w:r>
        <w:rPr>
          <w:rFonts w:hint="eastAsia" w:ascii="方正仿宋简体" w:hAnsi="方正仿宋简体" w:eastAsia="方正仿宋简体" w:cs="方正仿宋简体"/>
          <w:b/>
          <w:color w:val="auto"/>
          <w:sz w:val="32"/>
          <w:szCs w:val="32"/>
          <w:lang w:val="en-US" w:eastAsia="zh-CN"/>
        </w:rPr>
        <w:t>件。</w:t>
      </w:r>
    </w:p>
    <w:p w14:paraId="1874842E">
      <w:pPr>
        <w:pStyle w:val="2"/>
        <w:rPr>
          <w:rFonts w:hint="eastAsia" w:ascii="方正仿宋简体" w:hAnsi="方正仿宋简体" w:eastAsia="方正仿宋简体" w:cs="方正仿宋简体"/>
          <w:b/>
          <w:color w:val="FF0000"/>
          <w:sz w:val="32"/>
          <w:szCs w:val="32"/>
          <w:lang w:val="en-US" w:eastAsia="zh-CN"/>
        </w:rPr>
      </w:pPr>
    </w:p>
    <w:p w14:paraId="6CFA4E9A">
      <w:pPr>
        <w:pStyle w:val="2"/>
        <w:rPr>
          <w:rFonts w:hint="eastAsia" w:ascii="方正仿宋简体" w:hAnsi="方正仿宋简体" w:eastAsia="方正仿宋简体" w:cs="方正仿宋简体"/>
          <w:b/>
          <w:color w:val="FF0000"/>
          <w:sz w:val="32"/>
          <w:szCs w:val="32"/>
          <w:lang w:val="en-US" w:eastAsia="zh-CN"/>
        </w:rPr>
      </w:pPr>
      <w:r>
        <w:rPr>
          <w:rFonts w:hint="eastAsia" w:ascii="方正仿宋简体" w:hAnsi="方正仿宋简体" w:eastAsia="方正仿宋简体" w:cs="方正仿宋简体"/>
          <w:b/>
          <w:color w:val="FF0000"/>
          <w:sz w:val="32"/>
          <w:szCs w:val="32"/>
          <w:lang w:val="en-US"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3C59B5">
      <w:pPr>
        <w:pStyle w:val="2"/>
        <w:rPr>
          <w:rFonts w:hint="eastAsia" w:ascii="方正仿宋简体" w:hAnsi="方正仿宋简体" w:eastAsia="方正仿宋简体" w:cs="方正仿宋简体"/>
          <w:b/>
          <w:color w:val="FF0000"/>
          <w:sz w:val="32"/>
          <w:szCs w:val="32"/>
          <w:lang w:val="en-US" w:eastAsia="zh-CN"/>
        </w:rPr>
      </w:pPr>
    </w:p>
    <w:p w14:paraId="64DF5531">
      <w:pPr>
        <w:pStyle w:val="2"/>
        <w:rPr>
          <w:rFonts w:hint="default" w:ascii="仿宋" w:hAnsi="仿宋" w:eastAsia="仿宋" w:cs="仿宋"/>
          <w:b w:val="0"/>
          <w:bCs/>
          <w:color w:val="0C0C0C"/>
          <w:sz w:val="32"/>
          <w:szCs w:val="32"/>
          <w:lang w:val="en-US" w:eastAsia="zh-CN"/>
        </w:rPr>
      </w:pPr>
      <w:r>
        <w:rPr>
          <w:rFonts w:hint="default" w:ascii="仿宋" w:hAnsi="仿宋" w:eastAsia="仿宋" w:cs="仿宋"/>
          <w:b w:val="0"/>
          <w:bCs/>
          <w:color w:val="0C0C0C"/>
          <w:sz w:val="32"/>
          <w:szCs w:val="32"/>
          <w:lang w:val="en-US" w:eastAsia="zh-CN"/>
        </w:rPr>
        <w:drawing>
          <wp:inline distT="0" distB="0" distL="114300" distR="114300">
            <wp:extent cx="5151120" cy="3860800"/>
            <wp:effectExtent l="0" t="0" r="5080" b="0"/>
            <wp:docPr id="1" name="图片 1" descr="5a5d490e37177b00934a35965d01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5d490e37177b00934a35965d0145f"/>
                    <pic:cNvPicPr>
                      <a:picLocks noChangeAspect="1"/>
                    </pic:cNvPicPr>
                  </pic:nvPicPr>
                  <pic:blipFill>
                    <a:blip r:embed="rId7"/>
                    <a:stretch>
                      <a:fillRect/>
                    </a:stretch>
                  </pic:blipFill>
                  <pic:spPr>
                    <a:xfrm>
                      <a:off x="0" y="0"/>
                      <a:ext cx="5151120" cy="3860800"/>
                    </a:xfrm>
                    <a:prstGeom prst="rect">
                      <a:avLst/>
                    </a:prstGeom>
                  </pic:spPr>
                </pic:pic>
              </a:graphicData>
            </a:graphic>
          </wp:inline>
        </w:drawing>
      </w:r>
    </w:p>
    <w:p w14:paraId="29582230">
      <w:pPr>
        <w:pStyle w:val="2"/>
        <w:rPr>
          <w:rFonts w:hint="eastAsia" w:ascii="仿宋" w:hAnsi="仿宋" w:eastAsia="仿宋" w:cs="仿宋"/>
          <w:b w:val="0"/>
          <w:bCs/>
          <w:color w:val="0C0C0C"/>
          <w:sz w:val="32"/>
          <w:szCs w:val="32"/>
          <w:lang w:val="en-US" w:eastAsia="zh-CN"/>
        </w:rPr>
      </w:pPr>
    </w:p>
    <w:p w14:paraId="5BFA903F">
      <w:p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（三）政府信息管理工作</w:t>
      </w:r>
    </w:p>
    <w:p w14:paraId="108120B9">
      <w:pPr>
        <w:spacing w:line="590" w:lineRule="exact"/>
        <w:ind w:left="0" w:leftChars="0"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推进泗水县政府现行有效行政规范性文件与省、市政府文件库数据对接，及时在县政府门户网站政府信息公开专栏对已废止的行政规范性文件进行标注，按照省市政府数据联通相关部署要求，积极开展现行有效行政规范性文件库数据入库工作，累计向省政府门户网站政策文件数据库推送现行有效行政规范性文件8件，实现县政府规范性文件与省市文件库的数据一致、同步更新。</w:t>
      </w:r>
    </w:p>
    <w:p w14:paraId="2D5064D4">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（四）政府信息公开平台建设工作</w:t>
      </w:r>
    </w:p>
    <w:p w14:paraId="2D6616DC">
      <w:pPr>
        <w:spacing w:line="590" w:lineRule="exact"/>
        <w:ind w:left="0" w:leftChars="0"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方正仿宋简体" w:hAnsi="方正仿宋简体" w:eastAsia="方正仿宋简体" w:cs="方正仿宋简体"/>
          <w:b/>
          <w:color w:val="auto"/>
          <w:sz w:val="32"/>
          <w:szCs w:val="32"/>
          <w:lang w:val="en-US" w:eastAsia="zh-CN"/>
        </w:rPr>
        <w:t>今年以来，调整、合并冗余网站栏目70余个；</w:t>
      </w:r>
      <w:r>
        <w:rPr>
          <w:rFonts w:hint="eastAsia" w:ascii="方正仿宋简体" w:hAnsi="方正仿宋简体" w:eastAsia="方正仿宋简体" w:cs="方正仿宋简体"/>
          <w:b/>
          <w:color w:val="auto"/>
          <w:sz w:val="32"/>
          <w:szCs w:val="32"/>
          <w:lang w:val="en-US" w:eastAsia="zh-CN"/>
        </w:rPr>
        <w:t>配合省市技术平台改造，优化升级依申请公开平台建设。</w:t>
      </w:r>
      <w:r>
        <w:rPr>
          <w:rFonts w:hint="default" w:ascii="方正仿宋简体" w:hAnsi="方正仿宋简体" w:eastAsia="方正仿宋简体" w:cs="方正仿宋简体"/>
          <w:b/>
          <w:color w:val="auto"/>
          <w:sz w:val="32"/>
          <w:szCs w:val="32"/>
          <w:lang w:val="en-US" w:eastAsia="zh-CN"/>
        </w:rPr>
        <w:t>完成四个季度政府网站自查整改，调度整改不合格栏目100余次。政务新媒体方面，全面推进政务新媒体“瘦身提质”工作，全国政务新媒体信息报送系统关停账号32个；组织政务新媒体群完成上级信息转发120余篇；常态化做好政务新媒体更新预警提醒工作。202</w:t>
      </w:r>
      <w:r>
        <w:rPr>
          <w:rFonts w:hint="eastAsia" w:ascii="方正仿宋简体" w:hAnsi="方正仿宋简体" w:eastAsia="方正仿宋简体" w:cs="方正仿宋简体"/>
          <w:b/>
          <w:color w:val="auto"/>
          <w:sz w:val="32"/>
          <w:szCs w:val="32"/>
          <w:lang w:val="en-US" w:eastAsia="zh-CN"/>
        </w:rPr>
        <w:t>4年累计发布政府公报</w:t>
      </w:r>
      <w:r>
        <w:rPr>
          <w:rFonts w:hint="default" w:ascii="方正仿宋简体" w:hAnsi="方正仿宋简体" w:eastAsia="方正仿宋简体" w:cs="方正仿宋简体"/>
          <w:b/>
          <w:color w:val="auto"/>
          <w:sz w:val="32"/>
          <w:szCs w:val="32"/>
          <w:lang w:val="en-US" w:eastAsia="zh-CN"/>
        </w:rPr>
        <w:t>6</w:t>
      </w:r>
      <w:r>
        <w:rPr>
          <w:rFonts w:hint="eastAsia" w:ascii="方正仿宋简体" w:hAnsi="方正仿宋简体" w:eastAsia="方正仿宋简体" w:cs="方正仿宋简体"/>
          <w:b/>
          <w:color w:val="auto"/>
          <w:sz w:val="32"/>
          <w:szCs w:val="32"/>
          <w:lang w:val="en-US" w:eastAsia="zh-CN"/>
        </w:rPr>
        <w:t>期。</w:t>
      </w:r>
    </w:p>
    <w:p w14:paraId="1389D25C">
      <w:p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rPr>
        <w:t>（五）监督保障</w:t>
      </w:r>
      <w:r>
        <w:rPr>
          <w:rFonts w:hint="eastAsia" w:ascii="方正楷体简体" w:hAnsi="方正楷体简体" w:eastAsia="方正楷体简体" w:cs="方正楷体简体"/>
          <w:b/>
          <w:color w:val="auto"/>
          <w:sz w:val="32"/>
          <w:szCs w:val="32"/>
          <w:lang w:val="en-US" w:eastAsia="zh-CN"/>
        </w:rPr>
        <w:t>工作</w:t>
      </w:r>
    </w:p>
    <w:p w14:paraId="3DAF7E02">
      <w:pPr>
        <w:spacing w:line="590" w:lineRule="exact"/>
        <w:ind w:left="0" w:leftChars="0"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一是做好</w:t>
      </w:r>
      <w:r>
        <w:rPr>
          <w:rFonts w:hint="default" w:ascii="方正仿宋简体" w:hAnsi="方正仿宋简体" w:eastAsia="方正仿宋简体" w:cs="方正仿宋简体"/>
          <w:b/>
          <w:color w:val="auto"/>
          <w:sz w:val="32"/>
          <w:szCs w:val="32"/>
          <w:lang w:val="en-US" w:eastAsia="zh-CN"/>
        </w:rPr>
        <w:t>工作</w:t>
      </w:r>
      <w:r>
        <w:rPr>
          <w:rFonts w:hint="eastAsia" w:ascii="方正仿宋简体" w:hAnsi="方正仿宋简体" w:eastAsia="方正仿宋简体" w:cs="方正仿宋简体"/>
          <w:b/>
          <w:color w:val="auto"/>
          <w:sz w:val="32"/>
          <w:szCs w:val="32"/>
          <w:lang w:val="en-US" w:eastAsia="zh-CN"/>
        </w:rPr>
        <w:t>安排</w:t>
      </w:r>
      <w:r>
        <w:rPr>
          <w:rFonts w:hint="default" w:ascii="方正仿宋简体" w:hAnsi="方正仿宋简体" w:eastAsia="方正仿宋简体" w:cs="方正仿宋简体"/>
          <w:b/>
          <w:color w:val="auto"/>
          <w:sz w:val="32"/>
          <w:szCs w:val="32"/>
          <w:lang w:val="en-US" w:eastAsia="zh-CN"/>
        </w:rPr>
        <w:t>，根据</w:t>
      </w:r>
      <w:r>
        <w:rPr>
          <w:rFonts w:hint="eastAsia" w:ascii="方正仿宋简体" w:hAnsi="方正仿宋简体" w:eastAsia="方正仿宋简体" w:cs="方正仿宋简体"/>
          <w:b/>
          <w:color w:val="auto"/>
          <w:sz w:val="32"/>
          <w:szCs w:val="32"/>
          <w:lang w:val="en-US" w:eastAsia="zh-CN"/>
        </w:rPr>
        <w:t>省市</w:t>
      </w:r>
      <w:r>
        <w:rPr>
          <w:rFonts w:hint="default" w:ascii="方正仿宋简体" w:hAnsi="方正仿宋简体" w:eastAsia="方正仿宋简体" w:cs="方正仿宋简体"/>
          <w:b/>
          <w:color w:val="auto"/>
          <w:sz w:val="32"/>
          <w:szCs w:val="32"/>
          <w:lang w:val="en-US" w:eastAsia="zh-CN"/>
        </w:rPr>
        <w:t>202</w:t>
      </w:r>
      <w:r>
        <w:rPr>
          <w:rFonts w:hint="eastAsia" w:ascii="方正仿宋简体" w:hAnsi="方正仿宋简体" w:eastAsia="方正仿宋简体" w:cs="方正仿宋简体"/>
          <w:b/>
          <w:color w:val="auto"/>
          <w:sz w:val="32"/>
          <w:szCs w:val="32"/>
          <w:lang w:val="en-US" w:eastAsia="zh-CN"/>
        </w:rPr>
        <w:t>4</w:t>
      </w:r>
      <w:r>
        <w:rPr>
          <w:rFonts w:hint="default" w:ascii="方正仿宋简体" w:hAnsi="方正仿宋简体" w:eastAsia="方正仿宋简体" w:cs="方正仿宋简体"/>
          <w:b/>
          <w:color w:val="auto"/>
          <w:sz w:val="32"/>
          <w:szCs w:val="32"/>
          <w:lang w:val="en-US" w:eastAsia="zh-CN"/>
        </w:rPr>
        <w:t>年政务公开工作要点，结合我</w:t>
      </w:r>
      <w:r>
        <w:rPr>
          <w:rFonts w:hint="eastAsia" w:ascii="方正仿宋简体" w:hAnsi="方正仿宋简体" w:eastAsia="方正仿宋简体" w:cs="方正仿宋简体"/>
          <w:b/>
          <w:color w:val="auto"/>
          <w:sz w:val="32"/>
          <w:szCs w:val="32"/>
          <w:lang w:val="en-US" w:eastAsia="zh-CN"/>
        </w:rPr>
        <w:t>县</w:t>
      </w:r>
      <w:r>
        <w:rPr>
          <w:rFonts w:hint="default" w:ascii="方正仿宋简体" w:hAnsi="方正仿宋简体" w:eastAsia="方正仿宋简体" w:cs="方正仿宋简体"/>
          <w:b/>
          <w:color w:val="auto"/>
          <w:sz w:val="32"/>
          <w:szCs w:val="32"/>
          <w:lang w:val="en-US" w:eastAsia="zh-CN"/>
        </w:rPr>
        <w:t>实际下发任务清单，细化工作任务，压实工作责任</w:t>
      </w:r>
      <w:r>
        <w:rPr>
          <w:rFonts w:hint="eastAsia" w:ascii="方正仿宋简体" w:hAnsi="方正仿宋简体" w:eastAsia="方正仿宋简体" w:cs="方正仿宋简体"/>
          <w:b/>
          <w:color w:val="auto"/>
          <w:sz w:val="32"/>
          <w:szCs w:val="32"/>
          <w:lang w:val="en-US" w:eastAsia="zh-CN"/>
        </w:rPr>
        <w:t>。二是加大培训力度，召开2024年度全县政务公开工作培训会，围绕省市政务公开工作要点、依申请公开等工作开展专题培训。三是开展政务公开督导工作，做好常态化检查和督促整改，持续将政务公开工作纳入全县经济社会发展考核，确保政务公开有序推进。</w:t>
      </w:r>
    </w:p>
    <w:p w14:paraId="5DE8BD86">
      <w:pPr>
        <w:spacing w:line="590" w:lineRule="exact"/>
        <w:ind w:right="-105" w:rightChars="-50" w:firstLine="643" w:firstLineChars="200"/>
        <w:rPr>
          <w:rFonts w:hint="eastAsia" w:ascii="仿宋_GB2312" w:eastAsia="仿宋_GB2312"/>
          <w:b/>
          <w:bCs/>
          <w:color w:val="0C0C0C"/>
          <w:sz w:val="28"/>
          <w:szCs w:val="28"/>
        </w:rPr>
      </w:pPr>
      <w:r>
        <w:rPr>
          <w:rFonts w:hint="eastAsia" w:ascii="方正黑体简体" w:hAnsi="方正黑体简体" w:eastAsia="方正黑体简体" w:cs="方正黑体简体"/>
          <w:b/>
          <w:color w:val="0C0C0C"/>
          <w:sz w:val="32"/>
          <w:szCs w:val="32"/>
        </w:rPr>
        <w:t>二、主动公开政府信息情况</w:t>
      </w:r>
    </w:p>
    <w:tbl>
      <w:tblPr>
        <w:tblStyle w:val="9"/>
        <w:tblW w:w="5000" w:type="pct"/>
        <w:tblInd w:w="0" w:type="dxa"/>
        <w:tblLayout w:type="autofit"/>
        <w:tblCellMar>
          <w:top w:w="0" w:type="dxa"/>
          <w:left w:w="108" w:type="dxa"/>
          <w:bottom w:w="0" w:type="dxa"/>
          <w:right w:w="108" w:type="dxa"/>
        </w:tblCellMar>
      </w:tblPr>
      <w:tblGrid>
        <w:gridCol w:w="2130"/>
        <w:gridCol w:w="2130"/>
        <w:gridCol w:w="2131"/>
        <w:gridCol w:w="2131"/>
      </w:tblGrid>
      <w:tr w14:paraId="7844DC3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06C674">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第二十条第（一）项</w:t>
            </w:r>
          </w:p>
        </w:tc>
      </w:tr>
      <w:tr w14:paraId="59B0EC3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19A1C33">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1250" w:type="pct"/>
            <w:tcBorders>
              <w:top w:val="nil"/>
              <w:left w:val="nil"/>
              <w:bottom w:val="single" w:color="auto" w:sz="8" w:space="0"/>
              <w:right w:val="single" w:color="auto" w:sz="8" w:space="0"/>
            </w:tcBorders>
            <w:noWrap w:val="0"/>
            <w:vAlign w:val="center"/>
          </w:tcPr>
          <w:p w14:paraId="15CBBFBB">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654CC175">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24F52415">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现行有效件数</w:t>
            </w:r>
          </w:p>
        </w:tc>
      </w:tr>
      <w:tr w14:paraId="27D78C5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4" w:space="0"/>
              <w:right w:val="single" w:color="auto" w:sz="8" w:space="0"/>
            </w:tcBorders>
            <w:noWrap w:val="0"/>
            <w:vAlign w:val="center"/>
          </w:tcPr>
          <w:p w14:paraId="36F88760">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规章</w:t>
            </w:r>
          </w:p>
        </w:tc>
        <w:tc>
          <w:tcPr>
            <w:tcW w:w="1250" w:type="pct"/>
            <w:tcBorders>
              <w:top w:val="nil"/>
              <w:left w:val="nil"/>
              <w:bottom w:val="single" w:color="auto" w:sz="4" w:space="0"/>
              <w:right w:val="single" w:color="auto" w:sz="8" w:space="0"/>
            </w:tcBorders>
            <w:noWrap w:val="0"/>
            <w:vAlign w:val="center"/>
          </w:tcPr>
          <w:p w14:paraId="6FA01C10">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1250" w:type="pct"/>
            <w:tcBorders>
              <w:top w:val="nil"/>
              <w:left w:val="nil"/>
              <w:bottom w:val="single" w:color="auto" w:sz="4" w:space="0"/>
              <w:right w:val="single" w:color="auto" w:sz="8" w:space="0"/>
            </w:tcBorders>
            <w:noWrap w:val="0"/>
            <w:vAlign w:val="center"/>
          </w:tcPr>
          <w:p w14:paraId="68B0F2CF">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1250" w:type="pct"/>
            <w:tcBorders>
              <w:top w:val="nil"/>
              <w:left w:val="nil"/>
              <w:bottom w:val="single" w:color="auto" w:sz="4" w:space="0"/>
              <w:right w:val="single" w:color="auto" w:sz="8" w:space="0"/>
            </w:tcBorders>
            <w:noWrap w:val="0"/>
            <w:vAlign w:val="center"/>
          </w:tcPr>
          <w:p w14:paraId="66187D3D">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5BD253ED">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3DAC213F">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行政规范性文件</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2DD6DC9">
            <w:pPr>
              <w:widowControl/>
              <w:jc w:val="center"/>
              <w:rPr>
                <w:rFonts w:hint="default" w:ascii="Times New Roman" w:hAnsi="Times New Roman" w:eastAsia="仿宋_GB2312" w:cs="Times New Roman"/>
                <w:color w:val="auto"/>
                <w:kern w:val="0"/>
                <w:szCs w:val="21"/>
                <w:lang w:eastAsia="zh-CN"/>
              </w:rPr>
            </w:pPr>
            <w:r>
              <w:rPr>
                <w:rFonts w:hint="eastAsia" w:eastAsia="仿宋_GB2312" w:cs="Times New Roman"/>
                <w:color w:val="auto"/>
                <w:kern w:val="0"/>
                <w:szCs w:val="21"/>
                <w:lang w:val="en-US" w:eastAsia="zh-CN"/>
              </w:rPr>
              <w:t>1</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70CEA14">
            <w:pPr>
              <w:widowControl/>
              <w:jc w:val="center"/>
              <w:rPr>
                <w:rFonts w:hint="default" w:ascii="Times New Roman" w:hAnsi="Times New Roman" w:eastAsia="仿宋_GB2312" w:cs="Times New Roman"/>
                <w:color w:val="auto"/>
                <w:kern w:val="0"/>
                <w:szCs w:val="21"/>
                <w:lang w:eastAsia="zh-CN"/>
              </w:rPr>
            </w:pPr>
            <w:r>
              <w:rPr>
                <w:rFonts w:hint="eastAsia" w:eastAsia="仿宋_GB2312" w:cs="Times New Roman"/>
                <w:color w:val="auto"/>
                <w:kern w:val="0"/>
                <w:szCs w:val="21"/>
                <w:lang w:val="en-US" w:eastAsia="zh-CN"/>
              </w:rPr>
              <w:t>4</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7BC2F75C">
            <w:pPr>
              <w:widowControl/>
              <w:jc w:val="center"/>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8</w:t>
            </w:r>
          </w:p>
        </w:tc>
      </w:tr>
      <w:tr w14:paraId="2A487710">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14:paraId="71FD1C6E">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第二十条第（五）项</w:t>
            </w:r>
          </w:p>
        </w:tc>
      </w:tr>
      <w:tr w14:paraId="30F53F39">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76C2AE8E">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14DD6055">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本年处理决定数量</w:t>
            </w:r>
          </w:p>
        </w:tc>
      </w:tr>
      <w:tr w14:paraId="3F52FB13">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49D8BCBF">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行政许可</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01C4F595">
            <w:pPr>
              <w:widowControl/>
              <w:jc w:val="center"/>
              <w:rPr>
                <w:rFonts w:hint="default" w:ascii="仿宋_GB2312" w:hAnsi="Calibri" w:eastAsia="仿宋_GB2312" w:cs="Calibri"/>
                <w:color w:val="0C0C0C"/>
                <w:kern w:val="0"/>
                <w:szCs w:val="21"/>
                <w:lang w:val="en-US" w:eastAsia="zh-CN"/>
              </w:rPr>
            </w:pPr>
            <w:r>
              <w:rPr>
                <w:rFonts w:hint="default" w:ascii="Times New Roman" w:hAnsi="Times New Roman" w:eastAsia="仿宋_GB2312" w:cs="Times New Roman"/>
                <w:color w:val="auto"/>
                <w:kern w:val="0"/>
                <w:szCs w:val="21"/>
                <w:lang w:val="en-US" w:eastAsia="zh-CN"/>
              </w:rPr>
              <w:t>137485</w:t>
            </w:r>
          </w:p>
        </w:tc>
      </w:tr>
      <w:tr w14:paraId="6302EBCB">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14:paraId="200F8635">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第二十条第（六）项</w:t>
            </w:r>
          </w:p>
        </w:tc>
      </w:tr>
      <w:tr w14:paraId="52D1406C">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8" w:space="0"/>
              <w:bottom w:val="single" w:color="auto" w:sz="8" w:space="0"/>
              <w:right w:val="single" w:color="auto" w:sz="8" w:space="0"/>
            </w:tcBorders>
            <w:noWrap w:val="0"/>
            <w:vAlign w:val="center"/>
          </w:tcPr>
          <w:p w14:paraId="7F0AA853">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4" w:space="0"/>
              <w:left w:val="nil"/>
              <w:bottom w:val="single" w:color="auto" w:sz="8" w:space="0"/>
              <w:right w:val="single" w:color="000000" w:sz="8" w:space="0"/>
            </w:tcBorders>
            <w:noWrap w:val="0"/>
            <w:vAlign w:val="center"/>
          </w:tcPr>
          <w:p w14:paraId="120E2BCF">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本年处理决定数量</w:t>
            </w:r>
          </w:p>
        </w:tc>
      </w:tr>
      <w:tr w14:paraId="05C5A18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D6B422C">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70200175">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4402</w:t>
            </w:r>
          </w:p>
        </w:tc>
      </w:tr>
      <w:tr w14:paraId="2FD253A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CD80B35">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6F7703CD">
            <w:pPr>
              <w:widowControl/>
              <w:jc w:val="center"/>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155</w:t>
            </w:r>
          </w:p>
        </w:tc>
      </w:tr>
      <w:tr w14:paraId="05B40A1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205A50F">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第二十条第（八）项</w:t>
            </w:r>
          </w:p>
        </w:tc>
      </w:tr>
      <w:tr w14:paraId="0E08AB9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9C8FF9E">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D42BABB">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本年收费金额（单位：万元）</w:t>
            </w:r>
          </w:p>
        </w:tc>
      </w:tr>
      <w:tr w14:paraId="709E137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735CF5B">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433E00A8">
            <w:pPr>
              <w:widowControl/>
              <w:jc w:val="center"/>
              <w:rPr>
                <w:rFonts w:hint="default" w:ascii="仿宋_GB2312" w:hAnsi="Calibri" w:eastAsia="仿宋_GB2312" w:cs="Calibri"/>
                <w:color w:val="0C0C0C"/>
                <w:kern w:val="0"/>
                <w:szCs w:val="21"/>
                <w:lang w:val="en-US" w:eastAsia="zh-CN"/>
              </w:rPr>
            </w:pPr>
            <w:r>
              <w:rPr>
                <w:rFonts w:hint="eastAsia" w:eastAsia="仿宋_GB2312" w:cs="Times New Roman"/>
                <w:color w:val="auto"/>
                <w:kern w:val="0"/>
                <w:szCs w:val="21"/>
                <w:lang w:val="en-US" w:eastAsia="zh-CN"/>
              </w:rPr>
              <w:t>2812</w:t>
            </w:r>
          </w:p>
        </w:tc>
      </w:tr>
    </w:tbl>
    <w:p w14:paraId="065320DE">
      <w:pPr>
        <w:spacing w:line="590" w:lineRule="exact"/>
        <w:ind w:right="-105" w:rightChars="-50" w:firstLine="643" w:firstLineChars="200"/>
        <w:rPr>
          <w:rFonts w:hint="eastAsia" w:ascii="方正黑体简体" w:hAnsi="方正黑体简体" w:eastAsia="方正黑体简体" w:cs="方正黑体简体"/>
          <w:b/>
          <w:color w:val="0C0C0C"/>
          <w:sz w:val="32"/>
          <w:szCs w:val="32"/>
        </w:rPr>
      </w:pPr>
      <w:r>
        <w:rPr>
          <w:rFonts w:hint="eastAsia" w:ascii="方正黑体简体" w:hAnsi="方正黑体简体" w:eastAsia="方正黑体简体" w:cs="方正黑体简体"/>
          <w:b/>
          <w:color w:val="0C0C0C"/>
          <w:sz w:val="32"/>
          <w:szCs w:val="32"/>
          <w:lang w:val="en-US" w:eastAsia="zh-CN"/>
        </w:rPr>
        <w:t>三、</w:t>
      </w:r>
      <w:r>
        <w:rPr>
          <w:rFonts w:hint="eastAsia" w:ascii="方正黑体简体" w:hAnsi="方正黑体简体" w:eastAsia="方正黑体简体" w:cs="方正黑体简体"/>
          <w:b/>
          <w:color w:val="0C0C0C"/>
          <w:sz w:val="32"/>
          <w:szCs w:val="32"/>
        </w:rPr>
        <w:t>收到和处理政府信息公开申请情况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96"/>
        <w:gridCol w:w="1121"/>
        <w:gridCol w:w="2976"/>
        <w:gridCol w:w="829"/>
        <w:gridCol w:w="567"/>
        <w:gridCol w:w="567"/>
        <w:gridCol w:w="731"/>
        <w:gridCol w:w="708"/>
        <w:gridCol w:w="567"/>
        <w:gridCol w:w="851"/>
      </w:tblGrid>
      <w:tr w14:paraId="02278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E470A0F">
            <w:pPr>
              <w:widowControl/>
              <w:jc w:val="center"/>
              <w:rPr>
                <w:rFonts w:ascii="楷体_GB2312" w:hAnsi="黑体" w:eastAsia="楷体_GB2312"/>
                <w:color w:val="0C0C0C"/>
                <w:kern w:val="0"/>
                <w:szCs w:val="21"/>
              </w:rPr>
            </w:pPr>
            <w:r>
              <w:rPr>
                <w:rFonts w:hint="eastAsia" w:ascii="楷体_GB2312" w:hAnsi="黑体" w:eastAsia="楷体_GB2312"/>
                <w:color w:val="0C0C0C"/>
                <w:kern w:val="0"/>
                <w:szCs w:val="21"/>
              </w:rPr>
              <w:t>（本列数据的勾稽关系为：第一项加第二项之和，</w:t>
            </w:r>
          </w:p>
          <w:p w14:paraId="3F0905D6">
            <w:pPr>
              <w:widowControl/>
              <w:jc w:val="center"/>
              <w:rPr>
                <w:rFonts w:ascii="仿宋_GB2312" w:hAnsi="Times New Roman" w:eastAsia="仿宋_GB2312"/>
                <w:color w:val="0C0C0C"/>
                <w:szCs w:val="21"/>
              </w:rPr>
            </w:pPr>
            <w:r>
              <w:rPr>
                <w:rFonts w:hint="eastAsia" w:ascii="楷体_GB2312" w:hAnsi="黑体" w:eastAsia="楷体_GB2312"/>
                <w:color w:val="0C0C0C"/>
                <w:kern w:val="0"/>
                <w:szCs w:val="21"/>
              </w:rPr>
              <w:t>等于第三项加第四项之和）</w:t>
            </w:r>
          </w:p>
        </w:tc>
        <w:tc>
          <w:tcPr>
            <w:tcW w:w="4820" w:type="dxa"/>
            <w:gridSpan w:val="7"/>
            <w:noWrap w:val="0"/>
            <w:tcMar>
              <w:left w:w="108" w:type="dxa"/>
              <w:right w:w="108" w:type="dxa"/>
            </w:tcMar>
            <w:vAlign w:val="center"/>
          </w:tcPr>
          <w:p w14:paraId="607FE7D8">
            <w:pPr>
              <w:widowControl/>
              <w:spacing w:line="320" w:lineRule="exact"/>
              <w:jc w:val="center"/>
              <w:rPr>
                <w:rFonts w:ascii="黑体" w:hAnsi="黑体" w:eastAsia="黑体"/>
                <w:color w:val="0C0C0C"/>
                <w:szCs w:val="21"/>
              </w:rPr>
            </w:pPr>
            <w:r>
              <w:rPr>
                <w:rFonts w:hint="eastAsia" w:ascii="黑体" w:hAnsi="黑体" w:eastAsia="黑体"/>
                <w:color w:val="0C0C0C"/>
                <w:kern w:val="0"/>
                <w:szCs w:val="21"/>
              </w:rPr>
              <w:t>申请人情况</w:t>
            </w:r>
          </w:p>
        </w:tc>
      </w:tr>
      <w:tr w14:paraId="261FB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0579144C">
            <w:pPr>
              <w:jc w:val="center"/>
              <w:rPr>
                <w:rFonts w:ascii="仿宋_GB2312" w:hAnsi="Times New Roman" w:eastAsia="仿宋_GB2312"/>
                <w:color w:val="0C0C0C"/>
                <w:szCs w:val="21"/>
              </w:rPr>
            </w:pPr>
          </w:p>
        </w:tc>
        <w:tc>
          <w:tcPr>
            <w:tcW w:w="829" w:type="dxa"/>
            <w:vMerge w:val="restart"/>
            <w:noWrap w:val="0"/>
            <w:tcMar>
              <w:left w:w="108" w:type="dxa"/>
              <w:right w:w="108" w:type="dxa"/>
            </w:tcMar>
            <w:vAlign w:val="center"/>
          </w:tcPr>
          <w:p w14:paraId="6CE7023F">
            <w:pPr>
              <w:widowControl/>
              <w:jc w:val="center"/>
              <w:rPr>
                <w:rFonts w:ascii="黑体" w:hAnsi="黑体" w:eastAsia="黑体"/>
                <w:color w:val="0C0C0C"/>
                <w:szCs w:val="21"/>
              </w:rPr>
            </w:pPr>
            <w:r>
              <w:rPr>
                <w:rFonts w:hint="eastAsia" w:ascii="黑体" w:hAnsi="黑体" w:eastAsia="黑体"/>
                <w:color w:val="0C0C0C"/>
                <w:kern w:val="0"/>
                <w:szCs w:val="21"/>
              </w:rPr>
              <w:t>自然人</w:t>
            </w:r>
          </w:p>
        </w:tc>
        <w:tc>
          <w:tcPr>
            <w:tcW w:w="3140" w:type="dxa"/>
            <w:gridSpan w:val="5"/>
            <w:noWrap w:val="0"/>
            <w:tcMar>
              <w:left w:w="108" w:type="dxa"/>
              <w:right w:w="108" w:type="dxa"/>
            </w:tcMar>
            <w:vAlign w:val="center"/>
          </w:tcPr>
          <w:p w14:paraId="426B1C1A">
            <w:pPr>
              <w:widowControl/>
              <w:spacing w:line="320" w:lineRule="exact"/>
              <w:jc w:val="center"/>
              <w:rPr>
                <w:rFonts w:ascii="黑体" w:hAnsi="黑体" w:eastAsia="黑体"/>
                <w:color w:val="0C0C0C"/>
                <w:szCs w:val="21"/>
              </w:rPr>
            </w:pPr>
            <w:r>
              <w:rPr>
                <w:rFonts w:hint="eastAsia" w:ascii="黑体" w:hAnsi="黑体" w:eastAsia="黑体"/>
                <w:color w:val="0C0C0C"/>
                <w:kern w:val="0"/>
                <w:szCs w:val="21"/>
              </w:rPr>
              <w:t>法人或其他组织</w:t>
            </w:r>
          </w:p>
        </w:tc>
        <w:tc>
          <w:tcPr>
            <w:tcW w:w="851" w:type="dxa"/>
            <w:vMerge w:val="restart"/>
            <w:noWrap w:val="0"/>
            <w:tcMar>
              <w:left w:w="108" w:type="dxa"/>
              <w:right w:w="108" w:type="dxa"/>
            </w:tcMar>
            <w:vAlign w:val="center"/>
          </w:tcPr>
          <w:p w14:paraId="6DA7E9CF">
            <w:pPr>
              <w:widowControl/>
              <w:jc w:val="center"/>
              <w:rPr>
                <w:rFonts w:ascii="黑体" w:hAnsi="黑体" w:eastAsia="黑体"/>
                <w:color w:val="0C0C0C"/>
                <w:szCs w:val="21"/>
              </w:rPr>
            </w:pPr>
            <w:r>
              <w:rPr>
                <w:rFonts w:hint="eastAsia" w:ascii="黑体" w:hAnsi="黑体" w:eastAsia="黑体"/>
                <w:color w:val="0C0C0C"/>
                <w:kern w:val="0"/>
                <w:szCs w:val="21"/>
              </w:rPr>
              <w:t>总计</w:t>
            </w:r>
          </w:p>
        </w:tc>
      </w:tr>
      <w:tr w14:paraId="32F01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AEAC4B9">
            <w:pPr>
              <w:jc w:val="center"/>
              <w:rPr>
                <w:rFonts w:ascii="仿宋_GB2312" w:hAnsi="Times New Roman" w:eastAsia="仿宋_GB2312"/>
                <w:color w:val="0C0C0C"/>
                <w:szCs w:val="21"/>
              </w:rPr>
            </w:pPr>
          </w:p>
        </w:tc>
        <w:tc>
          <w:tcPr>
            <w:tcW w:w="829" w:type="dxa"/>
            <w:vMerge w:val="continue"/>
            <w:noWrap w:val="0"/>
            <w:tcMar>
              <w:left w:w="108" w:type="dxa"/>
              <w:right w:w="108" w:type="dxa"/>
            </w:tcMar>
            <w:vAlign w:val="center"/>
          </w:tcPr>
          <w:p w14:paraId="5CA4A072">
            <w:pPr>
              <w:jc w:val="center"/>
              <w:rPr>
                <w:rFonts w:ascii="黑体" w:hAnsi="黑体" w:eastAsia="黑体"/>
                <w:color w:val="0C0C0C"/>
                <w:szCs w:val="21"/>
              </w:rPr>
            </w:pPr>
          </w:p>
        </w:tc>
        <w:tc>
          <w:tcPr>
            <w:tcW w:w="567" w:type="dxa"/>
            <w:noWrap w:val="0"/>
            <w:tcMar>
              <w:left w:w="108" w:type="dxa"/>
              <w:right w:w="108" w:type="dxa"/>
            </w:tcMar>
            <w:vAlign w:val="center"/>
          </w:tcPr>
          <w:p w14:paraId="368CB2C5">
            <w:pPr>
              <w:widowControl/>
              <w:spacing w:line="320" w:lineRule="exact"/>
              <w:ind w:left="-106" w:leftChars="-51" w:right="-107" w:rightChars="-51" w:hanging="1" w:firstLineChars="0"/>
              <w:jc w:val="center"/>
              <w:rPr>
                <w:rFonts w:ascii="黑体" w:hAnsi="黑体" w:eastAsia="黑体"/>
                <w:color w:val="0C0C0C"/>
                <w:szCs w:val="21"/>
              </w:rPr>
            </w:pPr>
            <w:r>
              <w:rPr>
                <w:rFonts w:hint="eastAsia" w:ascii="黑体" w:hAnsi="黑体" w:eastAsia="黑体"/>
                <w:color w:val="0C0C0C"/>
                <w:kern w:val="0"/>
                <w:szCs w:val="21"/>
              </w:rPr>
              <w:t>商业企业</w:t>
            </w:r>
          </w:p>
        </w:tc>
        <w:tc>
          <w:tcPr>
            <w:tcW w:w="567" w:type="dxa"/>
            <w:noWrap w:val="0"/>
            <w:tcMar>
              <w:left w:w="108" w:type="dxa"/>
              <w:right w:w="108" w:type="dxa"/>
            </w:tcMar>
            <w:vAlign w:val="center"/>
          </w:tcPr>
          <w:p w14:paraId="39ADE7A9">
            <w:pPr>
              <w:widowControl/>
              <w:spacing w:line="320" w:lineRule="exact"/>
              <w:ind w:left="-107" w:leftChars="-51" w:right="-107" w:rightChars="-51"/>
              <w:jc w:val="center"/>
              <w:rPr>
                <w:rFonts w:ascii="黑体" w:hAnsi="黑体" w:eastAsia="黑体"/>
                <w:color w:val="0C0C0C"/>
                <w:szCs w:val="21"/>
              </w:rPr>
            </w:pPr>
            <w:r>
              <w:rPr>
                <w:rFonts w:hint="eastAsia" w:ascii="黑体" w:hAnsi="黑体" w:eastAsia="黑体"/>
                <w:color w:val="0C0C0C"/>
                <w:kern w:val="0"/>
                <w:szCs w:val="21"/>
              </w:rPr>
              <w:t>科研机构</w:t>
            </w:r>
          </w:p>
        </w:tc>
        <w:tc>
          <w:tcPr>
            <w:tcW w:w="731" w:type="dxa"/>
            <w:noWrap w:val="0"/>
            <w:tcMar>
              <w:left w:w="108" w:type="dxa"/>
              <w:right w:w="108" w:type="dxa"/>
            </w:tcMar>
            <w:vAlign w:val="center"/>
          </w:tcPr>
          <w:p w14:paraId="48F544E7">
            <w:pPr>
              <w:widowControl/>
              <w:spacing w:line="320" w:lineRule="exact"/>
              <w:ind w:left="-107" w:leftChars="-51" w:right="-107" w:rightChars="-51"/>
              <w:jc w:val="center"/>
              <w:rPr>
                <w:rFonts w:ascii="黑体" w:hAnsi="黑体" w:eastAsia="黑体"/>
                <w:color w:val="0C0C0C"/>
                <w:szCs w:val="21"/>
              </w:rPr>
            </w:pPr>
            <w:r>
              <w:rPr>
                <w:rFonts w:hint="eastAsia" w:ascii="黑体" w:hAnsi="黑体" w:eastAsia="黑体"/>
                <w:color w:val="0C0C0C"/>
                <w:kern w:val="0"/>
                <w:szCs w:val="21"/>
              </w:rPr>
              <w:t>社会公益组织</w:t>
            </w:r>
          </w:p>
        </w:tc>
        <w:tc>
          <w:tcPr>
            <w:tcW w:w="708" w:type="dxa"/>
            <w:noWrap w:val="0"/>
            <w:tcMar>
              <w:left w:w="108" w:type="dxa"/>
              <w:right w:w="108" w:type="dxa"/>
            </w:tcMar>
            <w:vAlign w:val="center"/>
          </w:tcPr>
          <w:p w14:paraId="760E74F5">
            <w:pPr>
              <w:widowControl/>
              <w:spacing w:line="320" w:lineRule="exact"/>
              <w:ind w:left="-106" w:leftChars="-51" w:right="-107" w:rightChars="-51" w:hanging="1" w:firstLineChars="0"/>
              <w:jc w:val="center"/>
              <w:rPr>
                <w:rFonts w:ascii="黑体" w:hAnsi="黑体" w:eastAsia="黑体"/>
                <w:color w:val="0C0C0C"/>
                <w:szCs w:val="21"/>
              </w:rPr>
            </w:pPr>
            <w:r>
              <w:rPr>
                <w:rFonts w:hint="eastAsia" w:ascii="黑体" w:hAnsi="黑体" w:eastAsia="黑体"/>
                <w:color w:val="0C0C0C"/>
                <w:kern w:val="0"/>
                <w:szCs w:val="21"/>
              </w:rPr>
              <w:t>法律服务机构</w:t>
            </w:r>
          </w:p>
        </w:tc>
        <w:tc>
          <w:tcPr>
            <w:tcW w:w="567" w:type="dxa"/>
            <w:noWrap w:val="0"/>
            <w:tcMar>
              <w:left w:w="108" w:type="dxa"/>
              <w:right w:w="108" w:type="dxa"/>
            </w:tcMar>
            <w:vAlign w:val="center"/>
          </w:tcPr>
          <w:p w14:paraId="5F6E6D10">
            <w:pPr>
              <w:widowControl/>
              <w:spacing w:line="360" w:lineRule="exact"/>
              <w:ind w:left="-63" w:leftChars="-30" w:right="-134" w:rightChars="-64"/>
              <w:jc w:val="center"/>
              <w:rPr>
                <w:rFonts w:ascii="黑体" w:hAnsi="黑体" w:eastAsia="黑体"/>
                <w:color w:val="0C0C0C"/>
                <w:szCs w:val="21"/>
              </w:rPr>
            </w:pPr>
            <w:r>
              <w:rPr>
                <w:rFonts w:hint="eastAsia" w:ascii="黑体" w:hAnsi="黑体" w:eastAsia="黑体"/>
                <w:color w:val="0C0C0C"/>
                <w:kern w:val="0"/>
                <w:szCs w:val="21"/>
              </w:rPr>
              <w:t>其他</w:t>
            </w:r>
          </w:p>
        </w:tc>
        <w:tc>
          <w:tcPr>
            <w:tcW w:w="851" w:type="dxa"/>
            <w:vMerge w:val="continue"/>
            <w:noWrap w:val="0"/>
            <w:tcMar>
              <w:left w:w="108" w:type="dxa"/>
              <w:right w:w="108" w:type="dxa"/>
            </w:tcMar>
            <w:vAlign w:val="center"/>
          </w:tcPr>
          <w:p w14:paraId="35534812">
            <w:pPr>
              <w:jc w:val="center"/>
              <w:rPr>
                <w:rFonts w:ascii="仿宋_GB2312" w:hAnsi="Times New Roman" w:eastAsia="仿宋_GB2312"/>
                <w:color w:val="0C0C0C"/>
                <w:szCs w:val="21"/>
              </w:rPr>
            </w:pPr>
          </w:p>
        </w:tc>
      </w:tr>
      <w:tr w14:paraId="3D289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0B80C97">
            <w:pPr>
              <w:widowControl/>
              <w:rPr>
                <w:rFonts w:ascii="黑体" w:hAnsi="黑体" w:eastAsia="黑体"/>
                <w:color w:val="0C0C0C"/>
                <w:szCs w:val="21"/>
              </w:rPr>
            </w:pPr>
            <w:r>
              <w:rPr>
                <w:rFonts w:hint="eastAsia" w:ascii="黑体" w:hAnsi="黑体" w:eastAsia="黑体"/>
                <w:color w:val="0C0C0C"/>
                <w:kern w:val="0"/>
                <w:szCs w:val="21"/>
              </w:rPr>
              <w:t>一、</w:t>
            </w:r>
            <w:bookmarkStart w:id="0" w:name="_Hlk66973412"/>
            <w:r>
              <w:rPr>
                <w:rFonts w:hint="eastAsia" w:ascii="黑体" w:hAnsi="黑体" w:eastAsia="黑体"/>
                <w:color w:val="0C0C0C"/>
                <w:kern w:val="0"/>
                <w:szCs w:val="21"/>
              </w:rPr>
              <w:t>本年新收政府信息公开申请数量</w:t>
            </w:r>
            <w:bookmarkEnd w:id="0"/>
          </w:p>
        </w:tc>
        <w:tc>
          <w:tcPr>
            <w:tcW w:w="829" w:type="dxa"/>
            <w:noWrap w:val="0"/>
            <w:tcMar>
              <w:left w:w="108" w:type="dxa"/>
              <w:right w:w="108" w:type="dxa"/>
            </w:tcMar>
            <w:vAlign w:val="bottom"/>
          </w:tcPr>
          <w:p w14:paraId="231916A8">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67</w:t>
            </w:r>
          </w:p>
        </w:tc>
        <w:tc>
          <w:tcPr>
            <w:tcW w:w="567" w:type="dxa"/>
            <w:noWrap w:val="0"/>
            <w:tcMar>
              <w:left w:w="108" w:type="dxa"/>
              <w:right w:w="108" w:type="dxa"/>
            </w:tcMar>
            <w:vAlign w:val="bottom"/>
          </w:tcPr>
          <w:p w14:paraId="431E9B4D">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14:paraId="4842D69A">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14:paraId="26B0B4BA">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14:paraId="64511E90">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2</w:t>
            </w:r>
          </w:p>
        </w:tc>
        <w:tc>
          <w:tcPr>
            <w:tcW w:w="567" w:type="dxa"/>
            <w:noWrap w:val="0"/>
            <w:tcMar>
              <w:left w:w="108" w:type="dxa"/>
              <w:right w:w="108" w:type="dxa"/>
            </w:tcMar>
            <w:vAlign w:val="bottom"/>
          </w:tcPr>
          <w:p w14:paraId="60DEF4ED">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14:paraId="030F30CE">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69</w:t>
            </w:r>
          </w:p>
        </w:tc>
      </w:tr>
      <w:tr w14:paraId="7B849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F1A91E3">
            <w:pPr>
              <w:widowControl/>
              <w:rPr>
                <w:rFonts w:ascii="黑体" w:hAnsi="黑体" w:eastAsia="黑体"/>
                <w:color w:val="0C0C0C"/>
                <w:szCs w:val="21"/>
              </w:rPr>
            </w:pPr>
            <w:r>
              <w:rPr>
                <w:rFonts w:hint="eastAsia" w:ascii="黑体" w:hAnsi="黑体" w:eastAsia="黑体"/>
                <w:color w:val="0C0C0C"/>
                <w:kern w:val="0"/>
                <w:szCs w:val="21"/>
              </w:rPr>
              <w:t>二、上年结转政府信息公开申请数量</w:t>
            </w:r>
          </w:p>
        </w:tc>
        <w:tc>
          <w:tcPr>
            <w:tcW w:w="829" w:type="dxa"/>
            <w:noWrap w:val="0"/>
            <w:tcMar>
              <w:left w:w="108" w:type="dxa"/>
              <w:right w:w="108" w:type="dxa"/>
            </w:tcMar>
            <w:vAlign w:val="bottom"/>
          </w:tcPr>
          <w:p w14:paraId="483C3BB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2C8532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493E0E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36D69A6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1748A3E2">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24CB4E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ECA6D7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7426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restart"/>
            <w:noWrap w:val="0"/>
            <w:tcMar>
              <w:left w:w="108" w:type="dxa"/>
              <w:right w:w="108" w:type="dxa"/>
            </w:tcMar>
            <w:vAlign w:val="center"/>
          </w:tcPr>
          <w:p w14:paraId="6C081464">
            <w:pPr>
              <w:widowControl/>
              <w:spacing w:after="180"/>
              <w:rPr>
                <w:rFonts w:ascii="黑体" w:hAnsi="黑体" w:eastAsia="黑体"/>
                <w:color w:val="0C0C0C"/>
                <w:szCs w:val="21"/>
              </w:rPr>
            </w:pPr>
            <w:r>
              <w:rPr>
                <w:rFonts w:hint="eastAsia" w:ascii="黑体" w:hAnsi="黑体" w:eastAsia="黑体"/>
                <w:color w:val="0C0C0C"/>
                <w:kern w:val="0"/>
                <w:szCs w:val="21"/>
              </w:rPr>
              <w:t>三、本年度办理结果</w:t>
            </w:r>
          </w:p>
        </w:tc>
        <w:tc>
          <w:tcPr>
            <w:tcW w:w="4097" w:type="dxa"/>
            <w:gridSpan w:val="2"/>
            <w:noWrap w:val="0"/>
            <w:tcMar>
              <w:left w:w="108" w:type="dxa"/>
              <w:right w:w="108" w:type="dxa"/>
            </w:tcMar>
            <w:vAlign w:val="center"/>
          </w:tcPr>
          <w:p w14:paraId="3B6EF1D3">
            <w:pPr>
              <w:widowControl/>
              <w:rPr>
                <w:rFonts w:ascii="黑体" w:hAnsi="黑体" w:eastAsia="黑体"/>
                <w:color w:val="0C0C0C"/>
                <w:szCs w:val="21"/>
              </w:rPr>
            </w:pPr>
            <w:r>
              <w:rPr>
                <w:rFonts w:hint="eastAsia" w:ascii="黑体" w:hAnsi="黑体" w:eastAsia="黑体"/>
                <w:color w:val="0C0C0C"/>
                <w:kern w:val="0"/>
                <w:szCs w:val="21"/>
              </w:rPr>
              <w:t>（一）予以公开</w:t>
            </w:r>
          </w:p>
        </w:tc>
        <w:tc>
          <w:tcPr>
            <w:tcW w:w="829" w:type="dxa"/>
            <w:noWrap w:val="0"/>
            <w:tcMar>
              <w:left w:w="108" w:type="dxa"/>
              <w:right w:w="108" w:type="dxa"/>
            </w:tcMar>
            <w:vAlign w:val="bottom"/>
          </w:tcPr>
          <w:p w14:paraId="69464168">
            <w:pPr>
              <w:widowControl/>
              <w:spacing w:after="180"/>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38</w:t>
            </w:r>
          </w:p>
        </w:tc>
        <w:tc>
          <w:tcPr>
            <w:tcW w:w="567" w:type="dxa"/>
            <w:noWrap w:val="0"/>
            <w:tcMar>
              <w:left w:w="108" w:type="dxa"/>
              <w:right w:w="108" w:type="dxa"/>
            </w:tcMar>
            <w:vAlign w:val="bottom"/>
          </w:tcPr>
          <w:p w14:paraId="4C7BFDB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A39468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3F2EE41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07576CFB">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c>
          <w:tcPr>
            <w:tcW w:w="567" w:type="dxa"/>
            <w:noWrap w:val="0"/>
            <w:tcMar>
              <w:left w:w="108" w:type="dxa"/>
              <w:right w:w="108" w:type="dxa"/>
            </w:tcMar>
            <w:vAlign w:val="bottom"/>
          </w:tcPr>
          <w:p w14:paraId="7782F3B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B8B8D91">
            <w:pPr>
              <w:widowControl/>
              <w:spacing w:after="180"/>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39</w:t>
            </w:r>
          </w:p>
        </w:tc>
      </w:tr>
      <w:tr w14:paraId="51A62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1ED3FE86">
            <w:pPr>
              <w:rPr>
                <w:rFonts w:ascii="黑体" w:hAnsi="黑体" w:eastAsia="黑体"/>
                <w:color w:val="0C0C0C"/>
                <w:szCs w:val="21"/>
              </w:rPr>
            </w:pPr>
          </w:p>
        </w:tc>
        <w:tc>
          <w:tcPr>
            <w:tcW w:w="4097" w:type="dxa"/>
            <w:gridSpan w:val="2"/>
            <w:noWrap w:val="0"/>
            <w:tcMar>
              <w:left w:w="108" w:type="dxa"/>
              <w:right w:w="108" w:type="dxa"/>
            </w:tcMar>
            <w:vAlign w:val="center"/>
          </w:tcPr>
          <w:p w14:paraId="11D985F5">
            <w:pPr>
              <w:widowControl/>
              <w:rPr>
                <w:rFonts w:ascii="黑体" w:hAnsi="黑体" w:eastAsia="黑体"/>
                <w:color w:val="0C0C0C"/>
                <w:szCs w:val="21"/>
              </w:rPr>
            </w:pPr>
            <w:r>
              <w:rPr>
                <w:rFonts w:hint="eastAsia" w:ascii="黑体" w:hAnsi="黑体" w:eastAsia="黑体"/>
                <w:color w:val="0C0C0C"/>
                <w:kern w:val="0"/>
                <w:szCs w:val="21"/>
              </w:rPr>
              <w:t>（二）部分公开（</w:t>
            </w:r>
            <w:bookmarkStart w:id="1" w:name="_Hlk66973981"/>
            <w:r>
              <w:rPr>
                <w:rFonts w:hint="eastAsia" w:ascii="黑体" w:hAnsi="黑体" w:eastAsia="黑体"/>
                <w:color w:val="0C0C0C"/>
                <w:kern w:val="0"/>
                <w:szCs w:val="21"/>
              </w:rPr>
              <w:t>区分处理的，只计这一情形，不计其他情形</w:t>
            </w:r>
            <w:bookmarkEnd w:id="1"/>
            <w:r>
              <w:rPr>
                <w:rFonts w:hint="eastAsia" w:ascii="黑体" w:hAnsi="黑体" w:eastAsia="黑体"/>
                <w:color w:val="0C0C0C"/>
                <w:kern w:val="0"/>
                <w:szCs w:val="21"/>
              </w:rPr>
              <w:t>）</w:t>
            </w:r>
          </w:p>
        </w:tc>
        <w:tc>
          <w:tcPr>
            <w:tcW w:w="829" w:type="dxa"/>
            <w:noWrap w:val="0"/>
            <w:tcMar>
              <w:left w:w="108" w:type="dxa"/>
              <w:right w:w="108" w:type="dxa"/>
            </w:tcMar>
            <w:vAlign w:val="bottom"/>
          </w:tcPr>
          <w:p w14:paraId="1110D03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3EC633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3BEFFB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2F43300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62178E0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804672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0FAB58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1A6A5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76EF73C4">
            <w:pPr>
              <w:rPr>
                <w:rFonts w:ascii="黑体" w:hAnsi="黑体" w:eastAsia="黑体"/>
                <w:color w:val="0C0C0C"/>
                <w:szCs w:val="21"/>
              </w:rPr>
            </w:pPr>
          </w:p>
        </w:tc>
        <w:tc>
          <w:tcPr>
            <w:tcW w:w="1121" w:type="dxa"/>
            <w:vMerge w:val="restart"/>
            <w:noWrap w:val="0"/>
            <w:tcMar>
              <w:left w:w="108" w:type="dxa"/>
              <w:right w:w="108" w:type="dxa"/>
            </w:tcMar>
            <w:vAlign w:val="center"/>
          </w:tcPr>
          <w:p w14:paraId="1F12A7FF">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（三）不予公开</w:t>
            </w:r>
          </w:p>
        </w:tc>
        <w:tc>
          <w:tcPr>
            <w:tcW w:w="2976" w:type="dxa"/>
            <w:noWrap w:val="0"/>
            <w:tcMar>
              <w:left w:w="108" w:type="dxa"/>
              <w:right w:w="108" w:type="dxa"/>
            </w:tcMar>
            <w:vAlign w:val="center"/>
          </w:tcPr>
          <w:p w14:paraId="7D7DF04E">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1.属于国家秘密</w:t>
            </w:r>
          </w:p>
        </w:tc>
        <w:tc>
          <w:tcPr>
            <w:tcW w:w="829" w:type="dxa"/>
            <w:noWrap w:val="0"/>
            <w:tcMar>
              <w:left w:w="108" w:type="dxa"/>
              <w:right w:w="108" w:type="dxa"/>
            </w:tcMar>
            <w:vAlign w:val="bottom"/>
          </w:tcPr>
          <w:p w14:paraId="717C030B">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D11F273">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C28629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2406CC1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7C74A4F2">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A97B17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6D53805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125B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0025D815">
            <w:pPr>
              <w:rPr>
                <w:rFonts w:ascii="黑体" w:hAnsi="黑体" w:eastAsia="黑体"/>
                <w:color w:val="0C0C0C"/>
                <w:szCs w:val="21"/>
              </w:rPr>
            </w:pPr>
          </w:p>
        </w:tc>
        <w:tc>
          <w:tcPr>
            <w:tcW w:w="1121" w:type="dxa"/>
            <w:vMerge w:val="continue"/>
            <w:noWrap w:val="0"/>
            <w:tcMar>
              <w:left w:w="108" w:type="dxa"/>
              <w:right w:w="108" w:type="dxa"/>
            </w:tcMar>
            <w:vAlign w:val="center"/>
          </w:tcPr>
          <w:p w14:paraId="0D8FDF3E">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6725C454">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w:t>
            </w:r>
            <w:bookmarkStart w:id="2" w:name="_Hlk66974104"/>
            <w:r>
              <w:rPr>
                <w:rFonts w:hint="eastAsia" w:ascii="仿宋_GB2312" w:hAnsi="黑体" w:eastAsia="仿宋_GB2312"/>
                <w:color w:val="0C0C0C"/>
                <w:kern w:val="0"/>
                <w:szCs w:val="21"/>
              </w:rPr>
              <w:t>其他法律行政法规禁止公开</w:t>
            </w:r>
            <w:bookmarkEnd w:id="2"/>
          </w:p>
        </w:tc>
        <w:tc>
          <w:tcPr>
            <w:tcW w:w="829" w:type="dxa"/>
            <w:noWrap w:val="0"/>
            <w:tcMar>
              <w:left w:w="108" w:type="dxa"/>
              <w:right w:w="108" w:type="dxa"/>
            </w:tcMar>
            <w:vAlign w:val="bottom"/>
          </w:tcPr>
          <w:p w14:paraId="51C7D372">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B271C81">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54E034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1A23CEA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6DD8815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A8583C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7F783B4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24338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67FE04BB">
            <w:pPr>
              <w:rPr>
                <w:rFonts w:ascii="黑体" w:hAnsi="黑体" w:eastAsia="黑体"/>
                <w:color w:val="0C0C0C"/>
                <w:szCs w:val="21"/>
              </w:rPr>
            </w:pPr>
          </w:p>
        </w:tc>
        <w:tc>
          <w:tcPr>
            <w:tcW w:w="1121" w:type="dxa"/>
            <w:vMerge w:val="continue"/>
            <w:noWrap w:val="0"/>
            <w:tcMar>
              <w:left w:w="108" w:type="dxa"/>
              <w:right w:w="108" w:type="dxa"/>
            </w:tcMar>
            <w:vAlign w:val="center"/>
          </w:tcPr>
          <w:p w14:paraId="19EDAF3F">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2A8DD790">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3.危及“三安全一稳定”</w:t>
            </w:r>
          </w:p>
        </w:tc>
        <w:tc>
          <w:tcPr>
            <w:tcW w:w="829" w:type="dxa"/>
            <w:noWrap w:val="0"/>
            <w:tcMar>
              <w:left w:w="108" w:type="dxa"/>
              <w:right w:w="108" w:type="dxa"/>
            </w:tcMar>
            <w:vAlign w:val="bottom"/>
          </w:tcPr>
          <w:p w14:paraId="31F4D7E2">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C273469">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60DB44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0838819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7D0AAAC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300A75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451D319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49971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10E16B2B">
            <w:pPr>
              <w:rPr>
                <w:rFonts w:ascii="黑体" w:hAnsi="黑体" w:eastAsia="黑体"/>
                <w:color w:val="0C0C0C"/>
                <w:szCs w:val="21"/>
              </w:rPr>
            </w:pPr>
          </w:p>
        </w:tc>
        <w:tc>
          <w:tcPr>
            <w:tcW w:w="1121" w:type="dxa"/>
            <w:vMerge w:val="continue"/>
            <w:noWrap w:val="0"/>
            <w:tcMar>
              <w:left w:w="108" w:type="dxa"/>
              <w:right w:w="108" w:type="dxa"/>
            </w:tcMar>
            <w:vAlign w:val="center"/>
          </w:tcPr>
          <w:p w14:paraId="74641328">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59A60CB4">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4.</w:t>
            </w:r>
            <w:bookmarkStart w:id="3" w:name="_Hlk66974290"/>
            <w:r>
              <w:rPr>
                <w:rFonts w:hint="eastAsia" w:ascii="仿宋_GB2312" w:hAnsi="黑体" w:eastAsia="仿宋_GB2312"/>
                <w:color w:val="0C0C0C"/>
                <w:kern w:val="0"/>
                <w:szCs w:val="21"/>
              </w:rPr>
              <w:t>保护第三方合法权益</w:t>
            </w:r>
            <w:bookmarkEnd w:id="3"/>
          </w:p>
        </w:tc>
        <w:tc>
          <w:tcPr>
            <w:tcW w:w="829" w:type="dxa"/>
            <w:noWrap w:val="0"/>
            <w:tcMar>
              <w:left w:w="108" w:type="dxa"/>
              <w:right w:w="108" w:type="dxa"/>
            </w:tcMar>
            <w:vAlign w:val="bottom"/>
          </w:tcPr>
          <w:p w14:paraId="5CC55B59">
            <w:pPr>
              <w:widowControl/>
              <w:spacing w:after="180" w:line="200" w:lineRule="exact"/>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c>
          <w:tcPr>
            <w:tcW w:w="567" w:type="dxa"/>
            <w:noWrap w:val="0"/>
            <w:tcMar>
              <w:left w:w="108" w:type="dxa"/>
              <w:right w:w="108" w:type="dxa"/>
            </w:tcMar>
            <w:vAlign w:val="bottom"/>
          </w:tcPr>
          <w:p w14:paraId="650BCC78">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0D6D8C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66FEAEB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4DE972F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66A2B3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680D110">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r>
      <w:tr w14:paraId="0B9C6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3428E387">
            <w:pPr>
              <w:rPr>
                <w:rFonts w:ascii="黑体" w:hAnsi="黑体" w:eastAsia="黑体"/>
                <w:color w:val="0C0C0C"/>
                <w:szCs w:val="21"/>
              </w:rPr>
            </w:pPr>
          </w:p>
        </w:tc>
        <w:tc>
          <w:tcPr>
            <w:tcW w:w="1121" w:type="dxa"/>
            <w:vMerge w:val="continue"/>
            <w:noWrap w:val="0"/>
            <w:tcMar>
              <w:left w:w="108" w:type="dxa"/>
              <w:right w:w="108" w:type="dxa"/>
            </w:tcMar>
            <w:vAlign w:val="center"/>
          </w:tcPr>
          <w:p w14:paraId="292E095E">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7B956D49">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5.属于三类内部事务信息</w:t>
            </w:r>
          </w:p>
        </w:tc>
        <w:tc>
          <w:tcPr>
            <w:tcW w:w="829" w:type="dxa"/>
            <w:noWrap w:val="0"/>
            <w:tcMar>
              <w:left w:w="108" w:type="dxa"/>
              <w:right w:w="108" w:type="dxa"/>
            </w:tcMar>
            <w:vAlign w:val="bottom"/>
          </w:tcPr>
          <w:p w14:paraId="762D092E">
            <w:pPr>
              <w:widowControl/>
              <w:spacing w:after="180" w:line="200" w:lineRule="exact"/>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10</w:t>
            </w:r>
          </w:p>
        </w:tc>
        <w:tc>
          <w:tcPr>
            <w:tcW w:w="567" w:type="dxa"/>
            <w:noWrap w:val="0"/>
            <w:tcMar>
              <w:left w:w="108" w:type="dxa"/>
              <w:right w:w="108" w:type="dxa"/>
            </w:tcMar>
            <w:vAlign w:val="bottom"/>
          </w:tcPr>
          <w:p w14:paraId="29FAD81E">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3C497F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4703A86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2AA4586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042679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1FBA04BE">
            <w:pPr>
              <w:widowControl/>
              <w:spacing w:after="180"/>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10</w:t>
            </w:r>
          </w:p>
        </w:tc>
      </w:tr>
      <w:tr w14:paraId="7DCF7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6D8D0C49">
            <w:pPr>
              <w:rPr>
                <w:rFonts w:ascii="黑体" w:hAnsi="黑体" w:eastAsia="黑体"/>
                <w:color w:val="0C0C0C"/>
                <w:szCs w:val="21"/>
              </w:rPr>
            </w:pPr>
          </w:p>
        </w:tc>
        <w:tc>
          <w:tcPr>
            <w:tcW w:w="1121" w:type="dxa"/>
            <w:vMerge w:val="continue"/>
            <w:noWrap w:val="0"/>
            <w:tcMar>
              <w:left w:w="108" w:type="dxa"/>
              <w:right w:w="108" w:type="dxa"/>
            </w:tcMar>
            <w:vAlign w:val="center"/>
          </w:tcPr>
          <w:p w14:paraId="6F3B8284">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5A9EF943">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6.</w:t>
            </w:r>
            <w:bookmarkStart w:id="4" w:name="_Hlk66974555"/>
            <w:r>
              <w:rPr>
                <w:rFonts w:hint="eastAsia" w:ascii="仿宋_GB2312" w:hAnsi="黑体" w:eastAsia="仿宋_GB2312"/>
                <w:color w:val="0C0C0C"/>
                <w:kern w:val="0"/>
                <w:szCs w:val="21"/>
              </w:rPr>
              <w:t>属于四类过程性信息</w:t>
            </w:r>
            <w:bookmarkEnd w:id="4"/>
          </w:p>
        </w:tc>
        <w:tc>
          <w:tcPr>
            <w:tcW w:w="829" w:type="dxa"/>
            <w:noWrap w:val="0"/>
            <w:tcMar>
              <w:left w:w="108" w:type="dxa"/>
              <w:right w:w="108" w:type="dxa"/>
            </w:tcMar>
            <w:vAlign w:val="bottom"/>
          </w:tcPr>
          <w:p w14:paraId="246E48E1">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75A9E87">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F2971A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7EA4A0F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566F0D6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3E8B2C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11D16BF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58D45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6BE44F20">
            <w:pPr>
              <w:rPr>
                <w:rFonts w:ascii="黑体" w:hAnsi="黑体" w:eastAsia="黑体"/>
                <w:color w:val="0C0C0C"/>
                <w:szCs w:val="21"/>
              </w:rPr>
            </w:pPr>
          </w:p>
        </w:tc>
        <w:tc>
          <w:tcPr>
            <w:tcW w:w="1121" w:type="dxa"/>
            <w:vMerge w:val="continue"/>
            <w:noWrap w:val="0"/>
            <w:tcMar>
              <w:left w:w="108" w:type="dxa"/>
              <w:right w:w="108" w:type="dxa"/>
            </w:tcMar>
            <w:vAlign w:val="center"/>
          </w:tcPr>
          <w:p w14:paraId="0CA9FC41">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5DFF95DA">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7.属于行政执法案卷</w:t>
            </w:r>
          </w:p>
        </w:tc>
        <w:tc>
          <w:tcPr>
            <w:tcW w:w="829" w:type="dxa"/>
            <w:noWrap w:val="0"/>
            <w:tcMar>
              <w:left w:w="108" w:type="dxa"/>
              <w:right w:w="108" w:type="dxa"/>
            </w:tcMar>
            <w:vAlign w:val="bottom"/>
          </w:tcPr>
          <w:p w14:paraId="13759AFC">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524B33E">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95AFB5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4924FAE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7A81E80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EF830E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5FB6989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0BCF4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25FAF3DE">
            <w:pPr>
              <w:rPr>
                <w:rFonts w:ascii="黑体" w:hAnsi="黑体" w:eastAsia="黑体"/>
                <w:color w:val="0C0C0C"/>
                <w:szCs w:val="21"/>
              </w:rPr>
            </w:pPr>
          </w:p>
        </w:tc>
        <w:tc>
          <w:tcPr>
            <w:tcW w:w="1121" w:type="dxa"/>
            <w:vMerge w:val="continue"/>
            <w:noWrap w:val="0"/>
            <w:tcMar>
              <w:left w:w="108" w:type="dxa"/>
              <w:right w:w="108" w:type="dxa"/>
            </w:tcMar>
            <w:vAlign w:val="center"/>
          </w:tcPr>
          <w:p w14:paraId="037242BC">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575752F5">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8.</w:t>
            </w:r>
            <w:bookmarkStart w:id="5" w:name="_Hlk66975211"/>
            <w:r>
              <w:rPr>
                <w:rFonts w:hint="eastAsia" w:ascii="仿宋_GB2312" w:hAnsi="黑体" w:eastAsia="仿宋_GB2312"/>
                <w:color w:val="0C0C0C"/>
                <w:kern w:val="0"/>
                <w:szCs w:val="21"/>
              </w:rPr>
              <w:t>属于行政查询事项</w:t>
            </w:r>
            <w:bookmarkEnd w:id="5"/>
          </w:p>
        </w:tc>
        <w:tc>
          <w:tcPr>
            <w:tcW w:w="829" w:type="dxa"/>
            <w:noWrap w:val="0"/>
            <w:tcMar>
              <w:left w:w="108" w:type="dxa"/>
              <w:right w:w="108" w:type="dxa"/>
            </w:tcMar>
            <w:vAlign w:val="bottom"/>
          </w:tcPr>
          <w:p w14:paraId="62325FB7">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F72CF0F">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3AD3D2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29FA80D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486E42B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A18B7A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4053D4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6B1DF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030FC8BC">
            <w:pPr>
              <w:rPr>
                <w:rFonts w:ascii="黑体" w:hAnsi="黑体" w:eastAsia="黑体"/>
                <w:color w:val="0C0C0C"/>
                <w:szCs w:val="21"/>
              </w:rPr>
            </w:pPr>
          </w:p>
        </w:tc>
        <w:tc>
          <w:tcPr>
            <w:tcW w:w="1121" w:type="dxa"/>
            <w:vMerge w:val="restart"/>
            <w:noWrap w:val="0"/>
            <w:tcMar>
              <w:left w:w="108" w:type="dxa"/>
              <w:right w:w="108" w:type="dxa"/>
            </w:tcMar>
            <w:vAlign w:val="center"/>
          </w:tcPr>
          <w:p w14:paraId="45EF1995">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（四）无法提供</w:t>
            </w:r>
          </w:p>
        </w:tc>
        <w:tc>
          <w:tcPr>
            <w:tcW w:w="2976" w:type="dxa"/>
            <w:noWrap w:val="0"/>
            <w:tcMar>
              <w:left w:w="108" w:type="dxa"/>
              <w:right w:w="108" w:type="dxa"/>
            </w:tcMar>
            <w:vAlign w:val="center"/>
          </w:tcPr>
          <w:p w14:paraId="5192EC90">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1.本机关不掌握相关政府信息</w:t>
            </w:r>
          </w:p>
        </w:tc>
        <w:tc>
          <w:tcPr>
            <w:tcW w:w="829" w:type="dxa"/>
            <w:noWrap w:val="0"/>
            <w:tcMar>
              <w:left w:w="108" w:type="dxa"/>
              <w:right w:w="108" w:type="dxa"/>
            </w:tcMar>
            <w:vAlign w:val="bottom"/>
          </w:tcPr>
          <w:p w14:paraId="0177E9C1">
            <w:pPr>
              <w:widowControl/>
              <w:spacing w:after="180" w:line="200" w:lineRule="exact"/>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15</w:t>
            </w:r>
          </w:p>
        </w:tc>
        <w:tc>
          <w:tcPr>
            <w:tcW w:w="567" w:type="dxa"/>
            <w:noWrap w:val="0"/>
            <w:tcMar>
              <w:left w:w="108" w:type="dxa"/>
              <w:right w:w="108" w:type="dxa"/>
            </w:tcMar>
            <w:vAlign w:val="bottom"/>
          </w:tcPr>
          <w:p w14:paraId="59935E46">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73691C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3F98F1C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122A75A9">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c>
          <w:tcPr>
            <w:tcW w:w="567" w:type="dxa"/>
            <w:noWrap w:val="0"/>
            <w:tcMar>
              <w:left w:w="108" w:type="dxa"/>
              <w:right w:w="108" w:type="dxa"/>
            </w:tcMar>
            <w:vAlign w:val="bottom"/>
          </w:tcPr>
          <w:p w14:paraId="6823B23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688178A8">
            <w:pPr>
              <w:widowControl/>
              <w:spacing w:after="180"/>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16</w:t>
            </w:r>
          </w:p>
        </w:tc>
      </w:tr>
      <w:tr w14:paraId="5AD92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557440FC">
            <w:pPr>
              <w:rPr>
                <w:rFonts w:ascii="黑体" w:hAnsi="黑体" w:eastAsia="黑体"/>
                <w:color w:val="0C0C0C"/>
                <w:szCs w:val="21"/>
              </w:rPr>
            </w:pPr>
          </w:p>
        </w:tc>
        <w:tc>
          <w:tcPr>
            <w:tcW w:w="1121" w:type="dxa"/>
            <w:vMerge w:val="continue"/>
            <w:noWrap w:val="0"/>
            <w:tcMar>
              <w:left w:w="108" w:type="dxa"/>
              <w:right w:w="108" w:type="dxa"/>
            </w:tcMar>
            <w:vAlign w:val="center"/>
          </w:tcPr>
          <w:p w14:paraId="1B958F64">
            <w:pPr>
              <w:spacing w:line="200" w:lineRule="exact"/>
              <w:ind w:left="-107" w:leftChars="-51"/>
              <w:rPr>
                <w:rFonts w:ascii="黑体" w:hAnsi="黑体" w:eastAsia="黑体"/>
                <w:color w:val="0C0C0C"/>
                <w:szCs w:val="21"/>
              </w:rPr>
            </w:pPr>
          </w:p>
        </w:tc>
        <w:tc>
          <w:tcPr>
            <w:tcW w:w="2976" w:type="dxa"/>
            <w:noWrap w:val="0"/>
            <w:tcMar>
              <w:left w:w="108" w:type="dxa"/>
              <w:right w:w="108" w:type="dxa"/>
            </w:tcMar>
            <w:vAlign w:val="center"/>
          </w:tcPr>
          <w:p w14:paraId="2824077F">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w:t>
            </w:r>
            <w:bookmarkStart w:id="6" w:name="_Hlk66975392"/>
            <w:r>
              <w:rPr>
                <w:rFonts w:hint="eastAsia" w:ascii="仿宋_GB2312" w:hAnsi="黑体" w:eastAsia="仿宋_GB2312"/>
                <w:color w:val="0C0C0C"/>
                <w:kern w:val="0"/>
                <w:szCs w:val="21"/>
              </w:rPr>
              <w:t>没有现成信息需要另行制作</w:t>
            </w:r>
            <w:bookmarkEnd w:id="6"/>
          </w:p>
        </w:tc>
        <w:tc>
          <w:tcPr>
            <w:tcW w:w="829" w:type="dxa"/>
            <w:noWrap w:val="0"/>
            <w:tcMar>
              <w:left w:w="108" w:type="dxa"/>
              <w:right w:w="108" w:type="dxa"/>
            </w:tcMar>
            <w:vAlign w:val="bottom"/>
          </w:tcPr>
          <w:p w14:paraId="55BDDB58">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72D2056">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FCBD072">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1E138B11">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20632EE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7153D9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2147758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2A705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798C5D65">
            <w:pPr>
              <w:rPr>
                <w:rFonts w:ascii="黑体" w:hAnsi="黑体" w:eastAsia="黑体"/>
                <w:color w:val="0C0C0C"/>
                <w:szCs w:val="21"/>
              </w:rPr>
            </w:pPr>
          </w:p>
        </w:tc>
        <w:tc>
          <w:tcPr>
            <w:tcW w:w="1121" w:type="dxa"/>
            <w:vMerge w:val="continue"/>
            <w:noWrap w:val="0"/>
            <w:tcMar>
              <w:left w:w="108" w:type="dxa"/>
              <w:right w:w="108" w:type="dxa"/>
            </w:tcMar>
            <w:vAlign w:val="center"/>
          </w:tcPr>
          <w:p w14:paraId="2E2DE6B3">
            <w:pPr>
              <w:spacing w:line="200" w:lineRule="exact"/>
              <w:ind w:left="-107" w:leftChars="-51"/>
              <w:rPr>
                <w:rFonts w:ascii="黑体" w:hAnsi="黑体" w:eastAsia="黑体"/>
                <w:color w:val="0C0C0C"/>
                <w:szCs w:val="21"/>
              </w:rPr>
            </w:pPr>
          </w:p>
        </w:tc>
        <w:tc>
          <w:tcPr>
            <w:tcW w:w="2976" w:type="dxa"/>
            <w:noWrap w:val="0"/>
            <w:tcMar>
              <w:left w:w="108" w:type="dxa"/>
              <w:right w:w="108" w:type="dxa"/>
            </w:tcMar>
            <w:vAlign w:val="center"/>
          </w:tcPr>
          <w:p w14:paraId="5F533ABC">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3.</w:t>
            </w:r>
            <w:bookmarkStart w:id="7" w:name="_Hlk66975466"/>
            <w:r>
              <w:rPr>
                <w:rFonts w:hint="eastAsia" w:ascii="仿宋_GB2312" w:hAnsi="黑体" w:eastAsia="仿宋_GB2312"/>
                <w:color w:val="0C0C0C"/>
                <w:kern w:val="0"/>
                <w:szCs w:val="21"/>
              </w:rPr>
              <w:t>补正后申请内容仍不明确</w:t>
            </w:r>
            <w:bookmarkEnd w:id="7"/>
          </w:p>
        </w:tc>
        <w:tc>
          <w:tcPr>
            <w:tcW w:w="829" w:type="dxa"/>
            <w:noWrap w:val="0"/>
            <w:tcMar>
              <w:left w:w="108" w:type="dxa"/>
              <w:right w:w="108" w:type="dxa"/>
            </w:tcMar>
            <w:vAlign w:val="bottom"/>
          </w:tcPr>
          <w:p w14:paraId="5C1128BE">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03499EAD">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AD4182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4A62A1D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65C53AC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8197E11">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7173421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3E192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5873C198">
            <w:pPr>
              <w:rPr>
                <w:rFonts w:ascii="黑体" w:hAnsi="黑体" w:eastAsia="黑体"/>
                <w:color w:val="0C0C0C"/>
                <w:szCs w:val="21"/>
              </w:rPr>
            </w:pPr>
          </w:p>
        </w:tc>
        <w:tc>
          <w:tcPr>
            <w:tcW w:w="1121" w:type="dxa"/>
            <w:vMerge w:val="restart"/>
            <w:noWrap w:val="0"/>
            <w:tcMar>
              <w:left w:w="108" w:type="dxa"/>
              <w:right w:w="108" w:type="dxa"/>
            </w:tcMar>
            <w:vAlign w:val="center"/>
          </w:tcPr>
          <w:p w14:paraId="1292792F">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（五）不予处理</w:t>
            </w:r>
          </w:p>
        </w:tc>
        <w:tc>
          <w:tcPr>
            <w:tcW w:w="2976" w:type="dxa"/>
            <w:noWrap w:val="0"/>
            <w:tcMar>
              <w:left w:w="108" w:type="dxa"/>
              <w:right w:w="108" w:type="dxa"/>
            </w:tcMar>
            <w:vAlign w:val="center"/>
          </w:tcPr>
          <w:p w14:paraId="112B8356">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w:t>
            </w:r>
            <w:bookmarkStart w:id="8" w:name="_Hlk66975537"/>
            <w:r>
              <w:rPr>
                <w:rFonts w:hint="eastAsia" w:ascii="仿宋_GB2312" w:hAnsi="黑体" w:eastAsia="仿宋_GB2312"/>
                <w:color w:val="0C0C0C"/>
                <w:kern w:val="0"/>
                <w:szCs w:val="21"/>
              </w:rPr>
              <w:t>信访举报投诉类申请</w:t>
            </w:r>
            <w:bookmarkEnd w:id="8"/>
          </w:p>
        </w:tc>
        <w:tc>
          <w:tcPr>
            <w:tcW w:w="829" w:type="dxa"/>
            <w:noWrap w:val="0"/>
            <w:tcMar>
              <w:left w:w="108" w:type="dxa"/>
              <w:right w:w="108" w:type="dxa"/>
            </w:tcMar>
            <w:vAlign w:val="bottom"/>
          </w:tcPr>
          <w:p w14:paraId="4ECAD24A">
            <w:pPr>
              <w:widowControl/>
              <w:spacing w:after="180" w:line="200" w:lineRule="exact"/>
              <w:jc w:val="center"/>
              <w:rPr>
                <w:rFonts w:hint="eastAsia" w:ascii="Times New Roman" w:hAnsi="Times New Roman" w:eastAsia="仿宋_GB2312" w:cs="Times New Roman"/>
                <w:color w:val="0C0C0C"/>
                <w:szCs w:val="21"/>
                <w:lang w:val="en-US" w:eastAsia="zh-CN"/>
              </w:rPr>
            </w:pPr>
            <w:r>
              <w:rPr>
                <w:rFonts w:hint="eastAsia" w:eastAsia="仿宋_GB2312" w:cs="Times New Roman"/>
                <w:color w:val="0C0C0C"/>
                <w:szCs w:val="21"/>
                <w:lang w:val="en-US" w:eastAsia="zh-CN"/>
              </w:rPr>
              <w:t>0</w:t>
            </w:r>
          </w:p>
        </w:tc>
        <w:tc>
          <w:tcPr>
            <w:tcW w:w="567" w:type="dxa"/>
            <w:noWrap w:val="0"/>
            <w:tcMar>
              <w:left w:w="108" w:type="dxa"/>
              <w:right w:w="108" w:type="dxa"/>
            </w:tcMar>
            <w:vAlign w:val="bottom"/>
          </w:tcPr>
          <w:p w14:paraId="7002778B">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B35AB8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6A2139C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756EA0E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8315B0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20898598">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0</w:t>
            </w:r>
          </w:p>
        </w:tc>
      </w:tr>
      <w:tr w14:paraId="05F37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5D08464E">
            <w:pPr>
              <w:rPr>
                <w:rFonts w:ascii="黑体" w:hAnsi="黑体" w:eastAsia="黑体"/>
                <w:color w:val="0C0C0C"/>
                <w:szCs w:val="21"/>
              </w:rPr>
            </w:pPr>
          </w:p>
        </w:tc>
        <w:tc>
          <w:tcPr>
            <w:tcW w:w="1121" w:type="dxa"/>
            <w:vMerge w:val="continue"/>
            <w:noWrap w:val="0"/>
            <w:tcMar>
              <w:left w:w="108" w:type="dxa"/>
              <w:right w:w="108" w:type="dxa"/>
            </w:tcMar>
            <w:vAlign w:val="center"/>
          </w:tcPr>
          <w:p w14:paraId="1DD3BC54">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26E2BFEC">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2.重复申请</w:t>
            </w:r>
          </w:p>
        </w:tc>
        <w:tc>
          <w:tcPr>
            <w:tcW w:w="829" w:type="dxa"/>
            <w:noWrap w:val="0"/>
            <w:tcMar>
              <w:left w:w="108" w:type="dxa"/>
              <w:right w:w="108" w:type="dxa"/>
            </w:tcMar>
            <w:vAlign w:val="bottom"/>
          </w:tcPr>
          <w:p w14:paraId="05E73B07">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1E5420F">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8EE77E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583201A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1BEF39F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599392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64EC9808">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7AE76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14:paraId="3D495EE1">
            <w:pPr>
              <w:rPr>
                <w:rFonts w:ascii="黑体" w:hAnsi="黑体" w:eastAsia="黑体"/>
                <w:color w:val="0C0C0C"/>
                <w:szCs w:val="21"/>
              </w:rPr>
            </w:pPr>
          </w:p>
        </w:tc>
        <w:tc>
          <w:tcPr>
            <w:tcW w:w="1121" w:type="dxa"/>
            <w:vMerge w:val="continue"/>
            <w:noWrap w:val="0"/>
            <w:tcMar>
              <w:left w:w="108" w:type="dxa"/>
              <w:right w:w="108" w:type="dxa"/>
            </w:tcMar>
            <w:vAlign w:val="center"/>
          </w:tcPr>
          <w:p w14:paraId="2D6024B6">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68345197">
            <w:pPr>
              <w:widowControl/>
              <w:spacing w:line="200" w:lineRule="exact"/>
              <w:rPr>
                <w:rFonts w:ascii="仿宋_GB2312" w:hAnsi="黑体" w:eastAsia="仿宋_GB2312"/>
                <w:color w:val="0C0C0C"/>
                <w:szCs w:val="21"/>
              </w:rPr>
            </w:pPr>
            <w:r>
              <w:rPr>
                <w:rFonts w:hint="eastAsia" w:ascii="仿宋_GB2312" w:hAnsi="黑体" w:eastAsia="仿宋_GB2312"/>
                <w:color w:val="0C0C0C"/>
                <w:kern w:val="0"/>
                <w:szCs w:val="21"/>
              </w:rPr>
              <w:t>3.要求提供公开出版物</w:t>
            </w:r>
          </w:p>
        </w:tc>
        <w:tc>
          <w:tcPr>
            <w:tcW w:w="829" w:type="dxa"/>
            <w:noWrap w:val="0"/>
            <w:tcMar>
              <w:left w:w="108" w:type="dxa"/>
              <w:right w:w="108" w:type="dxa"/>
            </w:tcMar>
            <w:vAlign w:val="bottom"/>
          </w:tcPr>
          <w:p w14:paraId="30E36B04">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A27B187">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7755660">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052A14C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39E363F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531FC27">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1568F43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15528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96" w:type="dxa"/>
            <w:vMerge w:val="continue"/>
            <w:noWrap w:val="0"/>
            <w:tcMar>
              <w:left w:w="108" w:type="dxa"/>
              <w:right w:w="108" w:type="dxa"/>
            </w:tcMar>
            <w:vAlign w:val="center"/>
          </w:tcPr>
          <w:p w14:paraId="6E338356">
            <w:pPr>
              <w:rPr>
                <w:rFonts w:ascii="黑体" w:hAnsi="黑体" w:eastAsia="黑体"/>
                <w:color w:val="0C0C0C"/>
                <w:szCs w:val="21"/>
              </w:rPr>
            </w:pPr>
          </w:p>
        </w:tc>
        <w:tc>
          <w:tcPr>
            <w:tcW w:w="1121" w:type="dxa"/>
            <w:vMerge w:val="continue"/>
            <w:noWrap w:val="0"/>
            <w:tcMar>
              <w:left w:w="108" w:type="dxa"/>
              <w:right w:w="108" w:type="dxa"/>
            </w:tcMar>
            <w:vAlign w:val="center"/>
          </w:tcPr>
          <w:p w14:paraId="6A70CB99">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09778E14">
            <w:pPr>
              <w:widowControl/>
              <w:spacing w:line="200" w:lineRule="exact"/>
              <w:rPr>
                <w:rFonts w:ascii="仿宋_GB2312" w:hAnsi="黑体" w:eastAsia="仿宋_GB2312"/>
                <w:color w:val="0C0C0C"/>
                <w:szCs w:val="21"/>
              </w:rPr>
            </w:pPr>
            <w:r>
              <w:rPr>
                <w:rFonts w:hint="eastAsia" w:ascii="仿宋_GB2312" w:hAnsi="黑体" w:eastAsia="仿宋_GB2312"/>
                <w:color w:val="0C0C0C"/>
                <w:kern w:val="0"/>
                <w:szCs w:val="21"/>
              </w:rPr>
              <w:t>4.无正当理由大量反复申请</w:t>
            </w:r>
          </w:p>
        </w:tc>
        <w:tc>
          <w:tcPr>
            <w:tcW w:w="829" w:type="dxa"/>
            <w:noWrap w:val="0"/>
            <w:tcMar>
              <w:left w:w="108" w:type="dxa"/>
              <w:right w:w="108" w:type="dxa"/>
            </w:tcMar>
            <w:vAlign w:val="bottom"/>
          </w:tcPr>
          <w:p w14:paraId="5E8578D6">
            <w:pPr>
              <w:widowControl/>
              <w:spacing w:after="180" w:line="200" w:lineRule="exact"/>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c>
          <w:tcPr>
            <w:tcW w:w="567" w:type="dxa"/>
            <w:noWrap w:val="0"/>
            <w:tcMar>
              <w:left w:w="108" w:type="dxa"/>
              <w:right w:w="108" w:type="dxa"/>
            </w:tcMar>
            <w:vAlign w:val="bottom"/>
          </w:tcPr>
          <w:p w14:paraId="0FAF29BA">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0D50E18">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335B9E82">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2F8AE4A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EEF772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0AD892BA">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1</w:t>
            </w:r>
          </w:p>
        </w:tc>
      </w:tr>
      <w:tr w14:paraId="1F5DD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06E2EB9E">
            <w:pPr>
              <w:rPr>
                <w:rFonts w:ascii="黑体" w:hAnsi="黑体" w:eastAsia="黑体"/>
                <w:color w:val="0C0C0C"/>
                <w:szCs w:val="21"/>
              </w:rPr>
            </w:pPr>
          </w:p>
        </w:tc>
        <w:tc>
          <w:tcPr>
            <w:tcW w:w="1121" w:type="dxa"/>
            <w:vMerge w:val="continue"/>
            <w:noWrap w:val="0"/>
            <w:tcMar>
              <w:left w:w="108" w:type="dxa"/>
              <w:right w:w="108" w:type="dxa"/>
            </w:tcMar>
            <w:vAlign w:val="center"/>
          </w:tcPr>
          <w:p w14:paraId="5680FBE8">
            <w:pPr>
              <w:spacing w:line="200" w:lineRule="exact"/>
              <w:rPr>
                <w:rFonts w:ascii="黑体" w:hAnsi="黑体" w:eastAsia="黑体"/>
                <w:color w:val="0C0C0C"/>
                <w:szCs w:val="21"/>
              </w:rPr>
            </w:pPr>
          </w:p>
        </w:tc>
        <w:tc>
          <w:tcPr>
            <w:tcW w:w="2976" w:type="dxa"/>
            <w:noWrap w:val="0"/>
            <w:tcMar>
              <w:left w:w="108" w:type="dxa"/>
              <w:right w:w="108" w:type="dxa"/>
            </w:tcMar>
            <w:vAlign w:val="center"/>
          </w:tcPr>
          <w:p w14:paraId="4A6C0ED1">
            <w:pPr>
              <w:widowControl/>
              <w:spacing w:line="300" w:lineRule="exact"/>
              <w:rPr>
                <w:rFonts w:ascii="仿宋_GB2312" w:hAnsi="黑体" w:eastAsia="仿宋_GB2312"/>
                <w:color w:val="0C0C0C"/>
                <w:kern w:val="0"/>
                <w:szCs w:val="21"/>
              </w:rPr>
            </w:pPr>
            <w:r>
              <w:rPr>
                <w:rFonts w:hint="eastAsia" w:ascii="仿宋_GB2312" w:hAnsi="黑体" w:eastAsia="仿宋_GB2312"/>
                <w:color w:val="0C0C0C"/>
                <w:kern w:val="0"/>
                <w:szCs w:val="21"/>
              </w:rPr>
              <w:t>5.要求行政机关确认或重新</w:t>
            </w:r>
          </w:p>
          <w:p w14:paraId="341FFA95">
            <w:pPr>
              <w:widowControl/>
              <w:spacing w:line="300" w:lineRule="exact"/>
              <w:ind w:firstLine="210" w:firstLineChars="100"/>
              <w:rPr>
                <w:rFonts w:ascii="仿宋_GB2312" w:hAnsi="黑体" w:eastAsia="仿宋_GB2312"/>
                <w:color w:val="0C0C0C"/>
                <w:szCs w:val="21"/>
              </w:rPr>
            </w:pPr>
            <w:r>
              <w:rPr>
                <w:rFonts w:hint="eastAsia" w:ascii="仿宋_GB2312" w:hAnsi="黑体" w:eastAsia="仿宋_GB2312"/>
                <w:color w:val="0C0C0C"/>
                <w:kern w:val="0"/>
                <w:szCs w:val="21"/>
              </w:rPr>
              <w:t>出具已获取信息</w:t>
            </w:r>
          </w:p>
        </w:tc>
        <w:tc>
          <w:tcPr>
            <w:tcW w:w="829" w:type="dxa"/>
            <w:noWrap w:val="0"/>
            <w:tcMar>
              <w:left w:w="108" w:type="dxa"/>
              <w:right w:w="108" w:type="dxa"/>
            </w:tcMar>
            <w:vAlign w:val="bottom"/>
          </w:tcPr>
          <w:p w14:paraId="76385EBA">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8FE2446">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3E21708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78DB195E">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570A1E9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6C0338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201F8F38">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5D792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55E467A8">
            <w:pPr>
              <w:rPr>
                <w:rFonts w:ascii="黑体" w:hAnsi="黑体" w:eastAsia="黑体"/>
                <w:color w:val="0C0C0C"/>
                <w:szCs w:val="21"/>
              </w:rPr>
            </w:pPr>
          </w:p>
        </w:tc>
        <w:tc>
          <w:tcPr>
            <w:tcW w:w="1121" w:type="dxa"/>
            <w:vMerge w:val="restart"/>
            <w:noWrap w:val="0"/>
            <w:tcMar>
              <w:left w:w="108" w:type="dxa"/>
              <w:right w:w="108" w:type="dxa"/>
            </w:tcMar>
            <w:vAlign w:val="center"/>
          </w:tcPr>
          <w:p w14:paraId="2757437E">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（六）其他处理</w:t>
            </w:r>
          </w:p>
        </w:tc>
        <w:tc>
          <w:tcPr>
            <w:tcW w:w="2976" w:type="dxa"/>
            <w:noWrap w:val="0"/>
            <w:vAlign w:val="center"/>
          </w:tcPr>
          <w:p w14:paraId="3A38A2A6">
            <w:pPr>
              <w:widowControl/>
              <w:spacing w:line="300" w:lineRule="exact"/>
              <w:rPr>
                <w:rFonts w:ascii="仿宋_GB2312" w:hAnsi="楷体" w:eastAsia="仿宋_GB2312"/>
                <w:color w:val="0C0C0C"/>
              </w:rPr>
            </w:pPr>
            <w:r>
              <w:rPr>
                <w:rFonts w:hint="eastAsia" w:ascii="仿宋_GB2312" w:hAnsi="楷体" w:eastAsia="仿宋_GB2312"/>
                <w:color w:val="0C0C0C"/>
              </w:rPr>
              <w:t>1.申请人无正当理由逾期不补正、行政机关不再处理其政府信息公开申请</w:t>
            </w:r>
          </w:p>
        </w:tc>
        <w:tc>
          <w:tcPr>
            <w:tcW w:w="829" w:type="dxa"/>
            <w:noWrap w:val="0"/>
            <w:tcMar>
              <w:left w:w="108" w:type="dxa"/>
              <w:right w:w="108" w:type="dxa"/>
            </w:tcMar>
            <w:vAlign w:val="bottom"/>
          </w:tcPr>
          <w:p w14:paraId="69D4FC2E">
            <w:pPr>
              <w:widowControl/>
              <w:spacing w:after="180" w:line="200" w:lineRule="exact"/>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2</w:t>
            </w:r>
          </w:p>
        </w:tc>
        <w:tc>
          <w:tcPr>
            <w:tcW w:w="567" w:type="dxa"/>
            <w:noWrap w:val="0"/>
            <w:tcMar>
              <w:left w:w="108" w:type="dxa"/>
              <w:right w:w="108" w:type="dxa"/>
            </w:tcMar>
            <w:vAlign w:val="bottom"/>
          </w:tcPr>
          <w:p w14:paraId="2B6B100F">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14AD8899">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73F87FA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75054E0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2891A4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60422B26">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2</w:t>
            </w:r>
          </w:p>
        </w:tc>
      </w:tr>
      <w:tr w14:paraId="14F62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7984986C">
            <w:pPr>
              <w:rPr>
                <w:rFonts w:ascii="黑体" w:hAnsi="黑体" w:eastAsia="黑体"/>
                <w:color w:val="0C0C0C"/>
                <w:szCs w:val="21"/>
              </w:rPr>
            </w:pPr>
          </w:p>
        </w:tc>
        <w:tc>
          <w:tcPr>
            <w:tcW w:w="1121" w:type="dxa"/>
            <w:vMerge w:val="continue"/>
            <w:noWrap w:val="0"/>
            <w:tcMar>
              <w:left w:w="108" w:type="dxa"/>
              <w:right w:w="108" w:type="dxa"/>
            </w:tcMar>
            <w:vAlign w:val="center"/>
          </w:tcPr>
          <w:p w14:paraId="4DC4DF3A">
            <w:pPr>
              <w:widowControl/>
              <w:spacing w:line="300" w:lineRule="exact"/>
              <w:rPr>
                <w:rFonts w:ascii="黑体" w:hAnsi="黑体" w:eastAsia="黑体"/>
                <w:color w:val="0C0C0C"/>
                <w:kern w:val="0"/>
                <w:szCs w:val="21"/>
              </w:rPr>
            </w:pPr>
          </w:p>
        </w:tc>
        <w:tc>
          <w:tcPr>
            <w:tcW w:w="2976" w:type="dxa"/>
            <w:noWrap w:val="0"/>
            <w:vAlign w:val="center"/>
          </w:tcPr>
          <w:p w14:paraId="712EB5A7">
            <w:pPr>
              <w:widowControl/>
              <w:spacing w:line="300" w:lineRule="exact"/>
              <w:rPr>
                <w:rFonts w:ascii="仿宋_GB2312" w:hAnsi="黑体" w:eastAsia="仿宋_GB2312"/>
                <w:color w:val="0C0C0C"/>
                <w:kern w:val="0"/>
                <w:szCs w:val="21"/>
              </w:rPr>
            </w:pPr>
            <w:r>
              <w:rPr>
                <w:rFonts w:hint="eastAsia" w:ascii="仿宋_GB2312" w:hAnsi="楷体" w:eastAsia="仿宋_GB2312"/>
                <w:color w:val="0C0C0C"/>
              </w:rPr>
              <w:t>2.申请人逾期未按收费通知要求缴纳费用、行政机关不再处理其政府信息公开申请</w:t>
            </w:r>
          </w:p>
        </w:tc>
        <w:tc>
          <w:tcPr>
            <w:tcW w:w="829" w:type="dxa"/>
            <w:noWrap w:val="0"/>
            <w:tcMar>
              <w:left w:w="108" w:type="dxa"/>
              <w:right w:w="108" w:type="dxa"/>
            </w:tcMar>
            <w:vAlign w:val="bottom"/>
          </w:tcPr>
          <w:p w14:paraId="0ABCB912">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708C555D">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99D458A">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43185CE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0291B33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0899C8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544E0C71">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56846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04CCC420">
            <w:pPr>
              <w:rPr>
                <w:rFonts w:ascii="黑体" w:hAnsi="黑体" w:eastAsia="黑体"/>
                <w:color w:val="0C0C0C"/>
                <w:szCs w:val="21"/>
              </w:rPr>
            </w:pPr>
          </w:p>
        </w:tc>
        <w:tc>
          <w:tcPr>
            <w:tcW w:w="1121" w:type="dxa"/>
            <w:vMerge w:val="continue"/>
            <w:noWrap w:val="0"/>
            <w:tcMar>
              <w:left w:w="108" w:type="dxa"/>
              <w:right w:w="108" w:type="dxa"/>
            </w:tcMar>
            <w:vAlign w:val="center"/>
          </w:tcPr>
          <w:p w14:paraId="7C230D51">
            <w:pPr>
              <w:widowControl/>
              <w:spacing w:line="300" w:lineRule="exact"/>
              <w:rPr>
                <w:rFonts w:ascii="黑体" w:hAnsi="黑体" w:eastAsia="黑体"/>
                <w:color w:val="0C0C0C"/>
                <w:kern w:val="0"/>
                <w:szCs w:val="21"/>
              </w:rPr>
            </w:pPr>
          </w:p>
        </w:tc>
        <w:tc>
          <w:tcPr>
            <w:tcW w:w="2976" w:type="dxa"/>
            <w:noWrap w:val="0"/>
            <w:vAlign w:val="center"/>
          </w:tcPr>
          <w:p w14:paraId="777BD9F3">
            <w:pPr>
              <w:widowControl/>
              <w:spacing w:line="300" w:lineRule="exact"/>
              <w:rPr>
                <w:rFonts w:ascii="仿宋_GB2312" w:hAnsi="黑体" w:eastAsia="仿宋_GB2312"/>
                <w:color w:val="0C0C0C"/>
                <w:kern w:val="0"/>
                <w:szCs w:val="21"/>
              </w:rPr>
            </w:pPr>
            <w:r>
              <w:rPr>
                <w:rFonts w:hint="eastAsia" w:ascii="仿宋_GB2312" w:hAnsi="楷体" w:eastAsia="仿宋_GB2312"/>
                <w:color w:val="0C0C0C"/>
              </w:rPr>
              <w:t>3.其他</w:t>
            </w:r>
          </w:p>
        </w:tc>
        <w:tc>
          <w:tcPr>
            <w:tcW w:w="829" w:type="dxa"/>
            <w:noWrap w:val="0"/>
            <w:tcMar>
              <w:left w:w="108" w:type="dxa"/>
              <w:right w:w="108" w:type="dxa"/>
            </w:tcMar>
            <w:vAlign w:val="bottom"/>
          </w:tcPr>
          <w:p w14:paraId="603AD5FD">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97D51B3">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5F3DDFE8">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518A95D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383B1C9B">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CB6A30C">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30159ED4">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14:paraId="7600F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14:paraId="271FBFC9">
            <w:pPr>
              <w:rPr>
                <w:rFonts w:ascii="黑体" w:hAnsi="黑体" w:eastAsia="黑体"/>
                <w:color w:val="0C0C0C"/>
                <w:szCs w:val="21"/>
              </w:rPr>
            </w:pPr>
          </w:p>
        </w:tc>
        <w:tc>
          <w:tcPr>
            <w:tcW w:w="4097" w:type="dxa"/>
            <w:gridSpan w:val="2"/>
            <w:noWrap w:val="0"/>
            <w:tcMar>
              <w:left w:w="108" w:type="dxa"/>
              <w:right w:w="108" w:type="dxa"/>
            </w:tcMar>
            <w:vAlign w:val="center"/>
          </w:tcPr>
          <w:p w14:paraId="08AF86B0">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（七）总计</w:t>
            </w:r>
          </w:p>
        </w:tc>
        <w:tc>
          <w:tcPr>
            <w:tcW w:w="829" w:type="dxa"/>
            <w:noWrap w:val="0"/>
            <w:tcMar>
              <w:left w:w="108" w:type="dxa"/>
              <w:right w:w="108" w:type="dxa"/>
            </w:tcMar>
            <w:vAlign w:val="bottom"/>
          </w:tcPr>
          <w:p w14:paraId="782BAC38">
            <w:pPr>
              <w:widowControl/>
              <w:spacing w:after="180" w:line="200" w:lineRule="exact"/>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67</w:t>
            </w:r>
          </w:p>
        </w:tc>
        <w:tc>
          <w:tcPr>
            <w:tcW w:w="567" w:type="dxa"/>
            <w:noWrap w:val="0"/>
            <w:tcMar>
              <w:left w:w="108" w:type="dxa"/>
              <w:right w:w="108" w:type="dxa"/>
            </w:tcMar>
            <w:vAlign w:val="bottom"/>
          </w:tcPr>
          <w:p w14:paraId="6EC48713">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C21713F">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63D7715D">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4283198E">
            <w:pPr>
              <w:widowControl/>
              <w:spacing w:after="180"/>
              <w:jc w:val="center"/>
              <w:rPr>
                <w:rFonts w:hint="default" w:ascii="Times New Roman" w:hAnsi="Times New Roman" w:eastAsia="仿宋_GB2312" w:cs="Times New Roman"/>
                <w:color w:val="0C0C0C"/>
                <w:szCs w:val="21"/>
              </w:rPr>
            </w:pPr>
            <w:r>
              <w:rPr>
                <w:rFonts w:hint="eastAsia" w:eastAsia="仿宋_GB2312" w:cs="Times New Roman"/>
                <w:color w:val="0C0C0C"/>
                <w:szCs w:val="21"/>
                <w:lang w:val="en-US" w:eastAsia="zh-CN"/>
              </w:rPr>
              <w:t>2</w:t>
            </w:r>
          </w:p>
        </w:tc>
        <w:tc>
          <w:tcPr>
            <w:tcW w:w="567" w:type="dxa"/>
            <w:noWrap w:val="0"/>
            <w:tcMar>
              <w:left w:w="108" w:type="dxa"/>
              <w:right w:w="108" w:type="dxa"/>
            </w:tcMar>
            <w:vAlign w:val="bottom"/>
          </w:tcPr>
          <w:p w14:paraId="550C89B8">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2849CAFC">
            <w:pPr>
              <w:widowControl/>
              <w:spacing w:after="180"/>
              <w:jc w:val="center"/>
              <w:rPr>
                <w:rFonts w:hint="default" w:ascii="Times New Roman" w:hAnsi="Times New Roman" w:eastAsia="仿宋_GB2312" w:cs="Times New Roman"/>
                <w:color w:val="0C0C0C"/>
                <w:szCs w:val="21"/>
                <w:lang w:val="en-US"/>
              </w:rPr>
            </w:pPr>
            <w:r>
              <w:rPr>
                <w:rFonts w:hint="eastAsia" w:eastAsia="仿宋_GB2312" w:cs="Times New Roman"/>
                <w:color w:val="0C0C0C"/>
                <w:szCs w:val="21"/>
                <w:lang w:val="en-US" w:eastAsia="zh-CN"/>
              </w:rPr>
              <w:t>69</w:t>
            </w:r>
          </w:p>
        </w:tc>
      </w:tr>
      <w:tr w14:paraId="19C1E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691B5C69">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四、结转下年度继续办理</w:t>
            </w:r>
          </w:p>
        </w:tc>
        <w:tc>
          <w:tcPr>
            <w:tcW w:w="829" w:type="dxa"/>
            <w:noWrap w:val="0"/>
            <w:tcMar>
              <w:left w:w="108" w:type="dxa"/>
              <w:right w:w="108" w:type="dxa"/>
            </w:tcMar>
            <w:vAlign w:val="bottom"/>
          </w:tcPr>
          <w:p w14:paraId="18F1CE01">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6EF1714A">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2DC7B7D6">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14:paraId="4EF205D0">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14:paraId="20FE5D53">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14:paraId="4E30FB30">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14:paraId="45685855">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bl>
    <w:p w14:paraId="6B74FDC8">
      <w:pPr>
        <w:numPr>
          <w:ilvl w:val="0"/>
          <w:numId w:val="0"/>
        </w:numPr>
        <w:spacing w:line="590" w:lineRule="exact"/>
        <w:ind w:right="-105" w:rightChars="-50" w:firstLine="321" w:firstLineChars="100"/>
        <w:jc w:val="left"/>
        <w:rPr>
          <w:rFonts w:hint="eastAsia"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lang w:val="en-US" w:eastAsia="zh-CN"/>
        </w:rPr>
        <w:t>四、</w:t>
      </w:r>
      <w:r>
        <w:rPr>
          <w:rFonts w:hint="eastAsia" w:ascii="方正黑体简体" w:hAnsi="方正黑体简体" w:eastAsia="方正黑体简体" w:cs="方正黑体简体"/>
          <w:b/>
          <w:color w:val="auto"/>
          <w:sz w:val="32"/>
          <w:szCs w:val="32"/>
        </w:rPr>
        <w:t>政府信息公开行政复议、行政诉讼情况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CDF71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98B649">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410F2590">
            <w:pPr>
              <w:widowControl/>
              <w:jc w:val="center"/>
              <w:rPr>
                <w:rFonts w:ascii="黑体" w:hAnsi="黑体" w:eastAsia="黑体"/>
                <w:color w:val="auto"/>
              </w:rPr>
            </w:pPr>
            <w:r>
              <w:rPr>
                <w:rFonts w:ascii="黑体" w:hAnsi="黑体" w:eastAsia="黑体"/>
                <w:color w:val="auto"/>
                <w:kern w:val="0"/>
                <w:sz w:val="20"/>
                <w:szCs w:val="20"/>
              </w:rPr>
              <w:t>行政诉讼</w:t>
            </w:r>
          </w:p>
        </w:tc>
      </w:tr>
      <w:tr w14:paraId="42D09D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D34CC2F">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1161BC91">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00D88DA">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909156">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A175664">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0B7E3237">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69B0256">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14:paraId="6FD442DA">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2C8FF04">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DB02E9B">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14:paraId="704A3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DD00B2C">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42526818">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CCF542C">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D82B697">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37B51B4">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21749B8">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B037D58">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308DF3">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1243C886">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F1CFE6A">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08851FE9">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D204E5">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B3261F">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8CFD2C">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2F56986F">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676BB7">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1D36FE0A">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F3E6AE8">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678ADD0">
            <w:pPr>
              <w:widowControl/>
              <w:jc w:val="center"/>
              <w:rPr>
                <w:rFonts w:ascii="黑体" w:hAnsi="黑体" w:eastAsia="黑体"/>
                <w:color w:val="auto"/>
              </w:rPr>
            </w:pPr>
            <w:r>
              <w:rPr>
                <w:rFonts w:ascii="黑体" w:hAnsi="黑体" w:eastAsia="黑体"/>
                <w:color w:val="auto"/>
                <w:kern w:val="0"/>
                <w:sz w:val="20"/>
                <w:szCs w:val="20"/>
              </w:rPr>
              <w:t>总计</w:t>
            </w:r>
          </w:p>
        </w:tc>
      </w:tr>
      <w:tr w14:paraId="4F2F4D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14:paraId="201940CF">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13A25381">
            <w:pPr>
              <w:widowControl/>
              <w:spacing w:after="180"/>
              <w:jc w:val="center"/>
              <w:rPr>
                <w:rFonts w:hint="eastAsia" w:ascii="Times New Roman" w:hAnsi="Times New Roman" w:eastAsia="宋体"/>
                <w:color w:val="auto"/>
                <w:lang w:val="en-US" w:eastAsia="zh-CN"/>
              </w:rPr>
            </w:pPr>
            <w:r>
              <w:rPr>
                <w:rFonts w:hint="eastAsia"/>
                <w:color w:val="auto"/>
                <w:lang w:val="en-US" w:eastAsia="zh-CN"/>
              </w:rPr>
              <w:t>7</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7A1E262E">
            <w:pPr>
              <w:widowControl/>
              <w:spacing w:after="180"/>
              <w:jc w:val="center"/>
              <w:rPr>
                <w:rFonts w:hint="default" w:ascii="Times New Roman" w:hAnsi="Times New Roman" w:eastAsia="宋体"/>
                <w:color w:val="auto"/>
                <w:lang w:val="en-US" w:eastAsia="zh-CN"/>
              </w:rPr>
            </w:pPr>
            <w:r>
              <w:rPr>
                <w:rFonts w:hint="eastAsia"/>
                <w:color w:val="auto"/>
                <w:lang w:val="en-US" w:eastAsia="zh-CN"/>
              </w:rPr>
              <w:t>2</w:t>
            </w:r>
          </w:p>
        </w:tc>
        <w:tc>
          <w:tcPr>
            <w:tcW w:w="604" w:type="dxa"/>
            <w:tcBorders>
              <w:top w:val="nil"/>
              <w:left w:val="nil"/>
              <w:bottom w:val="single" w:color="auto" w:sz="8" w:space="0"/>
              <w:right w:val="single" w:color="auto" w:sz="8" w:space="0"/>
            </w:tcBorders>
            <w:noWrap w:val="0"/>
            <w:tcMar>
              <w:left w:w="108" w:type="dxa"/>
              <w:right w:w="108" w:type="dxa"/>
            </w:tcMar>
            <w:vAlign w:val="bottom"/>
          </w:tcPr>
          <w:p w14:paraId="1C035C63">
            <w:pPr>
              <w:widowControl/>
              <w:spacing w:after="180"/>
              <w:jc w:val="center"/>
              <w:rPr>
                <w:rFonts w:hint="default" w:ascii="Times New Roman" w:hAnsi="Times New Roman" w:eastAsia="宋体"/>
                <w:color w:val="auto"/>
                <w:lang w:val="en-US" w:eastAsia="zh-CN"/>
              </w:rPr>
            </w:pPr>
            <w:r>
              <w:rPr>
                <w:rFonts w:hint="eastAsia"/>
                <w:color w:val="auto"/>
                <w:lang w:val="en-US" w:eastAsia="zh-CN"/>
              </w:rPr>
              <w:t>3</w:t>
            </w:r>
          </w:p>
        </w:tc>
        <w:tc>
          <w:tcPr>
            <w:tcW w:w="658" w:type="dxa"/>
            <w:tcBorders>
              <w:top w:val="nil"/>
              <w:left w:val="nil"/>
              <w:bottom w:val="single" w:color="auto" w:sz="8" w:space="0"/>
              <w:right w:val="single" w:color="auto" w:sz="8" w:space="0"/>
            </w:tcBorders>
            <w:noWrap w:val="0"/>
            <w:tcMar>
              <w:left w:w="108" w:type="dxa"/>
              <w:right w:w="108" w:type="dxa"/>
            </w:tcMar>
            <w:vAlign w:val="bottom"/>
          </w:tcPr>
          <w:p w14:paraId="2060D21F">
            <w:pPr>
              <w:widowControl/>
              <w:spacing w:after="180"/>
              <w:jc w:val="center"/>
              <w:rPr>
                <w:rFonts w:hint="default" w:ascii="Times New Roman" w:hAnsi="Times New Roman" w:eastAsia="宋体"/>
                <w:color w:val="auto"/>
                <w:lang w:val="en-US" w:eastAsia="zh-CN"/>
              </w:rPr>
            </w:pPr>
            <w:r>
              <w:rPr>
                <w:rFonts w:hint="eastAsia"/>
                <w:color w:val="auto"/>
                <w:lang w:val="en-US" w:eastAsia="zh-CN"/>
              </w:rPr>
              <w:t>13</w:t>
            </w:r>
          </w:p>
        </w:tc>
        <w:tc>
          <w:tcPr>
            <w:tcW w:w="550" w:type="dxa"/>
            <w:tcBorders>
              <w:top w:val="nil"/>
              <w:left w:val="nil"/>
              <w:bottom w:val="single" w:color="auto" w:sz="8" w:space="0"/>
              <w:right w:val="single" w:color="auto" w:sz="8" w:space="0"/>
            </w:tcBorders>
            <w:noWrap w:val="0"/>
            <w:tcMar>
              <w:left w:w="108" w:type="dxa"/>
              <w:right w:w="108" w:type="dxa"/>
            </w:tcMar>
            <w:vAlign w:val="bottom"/>
          </w:tcPr>
          <w:p w14:paraId="481BA60F">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3329FEEE">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703D1F74">
            <w:pPr>
              <w:widowControl/>
              <w:spacing w:after="180"/>
              <w:jc w:val="center"/>
              <w:rPr>
                <w:rFonts w:hint="eastAsia" w:ascii="Times New Roman" w:hAnsi="Times New Roman" w:eastAsia="宋体"/>
                <w:color w:val="auto"/>
                <w:lang w:val="en-US" w:eastAsia="zh-CN"/>
              </w:rPr>
            </w:pPr>
            <w:r>
              <w:rPr>
                <w:rFonts w:hint="eastAsia"/>
                <w:color w:val="auto"/>
                <w:lang w:val="en-US" w:eastAsia="zh-CN"/>
              </w:rPr>
              <w:t>3</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2D786399">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0B788919">
            <w:pPr>
              <w:widowControl/>
              <w:spacing w:after="180"/>
              <w:jc w:val="center"/>
              <w:rPr>
                <w:rFonts w:hint="eastAsia" w:ascii="Times New Roman" w:hAnsi="Times New Roman" w:eastAsia="宋体"/>
                <w:color w:val="auto"/>
                <w:lang w:val="en-US" w:eastAsia="zh-CN"/>
              </w:rPr>
            </w:pPr>
            <w:r>
              <w:rPr>
                <w:rFonts w:hint="eastAsia"/>
                <w:color w:val="auto"/>
                <w:lang w:val="en-US" w:eastAsia="zh-CN"/>
              </w:rPr>
              <w:t>4</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1B491E92">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51EF30CA">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14:paraId="1F1C4742">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0BCB3E03">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14:paraId="51C6D99B">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r>
    </w:tbl>
    <w:p w14:paraId="069D4B98">
      <w:pPr>
        <w:numPr>
          <w:ilvl w:val="0"/>
          <w:numId w:val="0"/>
        </w:numPr>
        <w:spacing w:line="590" w:lineRule="exact"/>
        <w:ind w:right="-105" w:rightChars="-50" w:firstLine="643" w:firstLineChars="200"/>
        <w:rPr>
          <w:rFonts w:hint="eastAsia" w:ascii="方正黑体简体" w:hAnsi="方正黑体简体" w:eastAsia="方正黑体简体" w:cs="方正黑体简体"/>
          <w:color w:val="auto"/>
        </w:rPr>
      </w:pPr>
      <w:r>
        <w:rPr>
          <w:rFonts w:hint="eastAsia" w:ascii="方正黑体简体" w:hAnsi="方正黑体简体" w:eastAsia="方正黑体简体" w:cs="方正黑体简体"/>
          <w:b/>
          <w:color w:val="auto"/>
          <w:sz w:val="32"/>
          <w:szCs w:val="32"/>
          <w:lang w:val="en-US" w:eastAsia="zh-CN"/>
        </w:rPr>
        <w:t>五、</w:t>
      </w:r>
      <w:r>
        <w:rPr>
          <w:rFonts w:hint="eastAsia" w:ascii="方正黑体简体" w:hAnsi="方正黑体简体" w:eastAsia="方正黑体简体" w:cs="方正黑体简体"/>
          <w:b/>
          <w:color w:val="auto"/>
          <w:sz w:val="32"/>
          <w:szCs w:val="32"/>
        </w:rPr>
        <w:t>存在的主要问题及改进情况</w:t>
      </w:r>
    </w:p>
    <w:p w14:paraId="5DA0600C">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存在问题：</w:t>
      </w:r>
      <w:r>
        <w:rPr>
          <w:rFonts w:hint="eastAsia" w:ascii="方正仿宋简体" w:hAnsi="方正仿宋简体" w:eastAsia="方正仿宋简体" w:cs="方正仿宋简体"/>
          <w:b/>
          <w:bCs/>
          <w:color w:val="auto"/>
          <w:sz w:val="32"/>
          <w:szCs w:val="32"/>
          <w:lang w:val="en-US" w:eastAsia="zh-CN"/>
        </w:rPr>
        <w:t>一是政府信息依申请公开办理、答复业务存在不熟练不规范等问题。二是部分镇街、单位政府信息公开基本目录存在不规范问题。三是政府网站与政务新媒体建设存在管理不到位问题。</w:t>
      </w:r>
    </w:p>
    <w:p w14:paraId="7E48DB4F">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改进情况：</w:t>
      </w: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b/>
          <w:bCs/>
          <w:color w:val="auto"/>
          <w:sz w:val="32"/>
          <w:szCs w:val="32"/>
        </w:rPr>
        <w:t>规范依申请公开流程，加强业务</w:t>
      </w:r>
      <w:r>
        <w:rPr>
          <w:rFonts w:hint="eastAsia" w:ascii="方正仿宋简体" w:hAnsi="方正仿宋简体" w:eastAsia="方正仿宋简体" w:cs="方正仿宋简体"/>
          <w:b/>
          <w:bCs/>
          <w:color w:val="auto"/>
          <w:sz w:val="32"/>
          <w:szCs w:val="32"/>
          <w:lang w:val="en-US" w:eastAsia="zh-CN"/>
        </w:rPr>
        <w:t>培训学习。严格按照前期调查、论证研讨、</w:t>
      </w:r>
      <w:r>
        <w:rPr>
          <w:rFonts w:hint="eastAsia" w:ascii="方正仿宋简体" w:hAnsi="方正仿宋简体" w:eastAsia="方正仿宋简体" w:cs="方正仿宋简体"/>
          <w:b/>
          <w:bCs/>
          <w:color w:val="auto"/>
          <w:sz w:val="32"/>
          <w:szCs w:val="32"/>
        </w:rPr>
        <w:t>政府法律顾问审查</w:t>
      </w:r>
      <w:r>
        <w:rPr>
          <w:rFonts w:hint="eastAsia" w:ascii="方正仿宋简体" w:hAnsi="方正仿宋简体" w:eastAsia="方正仿宋简体" w:cs="方正仿宋简体"/>
          <w:b/>
          <w:bCs/>
          <w:color w:val="auto"/>
          <w:sz w:val="32"/>
          <w:szCs w:val="32"/>
          <w:lang w:val="en-US" w:eastAsia="zh-CN"/>
        </w:rPr>
        <w:t>等程序</w:t>
      </w:r>
      <w:r>
        <w:rPr>
          <w:rFonts w:hint="eastAsia" w:ascii="方正仿宋简体" w:hAnsi="方正仿宋简体" w:eastAsia="方正仿宋简体" w:cs="方正仿宋简体"/>
          <w:b/>
          <w:bCs/>
          <w:color w:val="auto"/>
          <w:sz w:val="32"/>
          <w:szCs w:val="32"/>
        </w:rPr>
        <w:t>，确保答复合法性。</w:t>
      </w:r>
      <w:r>
        <w:rPr>
          <w:rFonts w:hint="eastAsia" w:ascii="方正仿宋简体" w:hAnsi="方正仿宋简体" w:eastAsia="方正仿宋简体" w:cs="方正仿宋简体"/>
          <w:b/>
          <w:bCs/>
          <w:color w:val="auto"/>
          <w:sz w:val="32"/>
          <w:szCs w:val="32"/>
          <w:lang w:val="en-US" w:eastAsia="zh-CN"/>
        </w:rPr>
        <w:t>二是</w:t>
      </w:r>
      <w:r>
        <w:rPr>
          <w:rFonts w:hint="default" w:ascii="方正仿宋简体" w:hAnsi="方正仿宋简体" w:eastAsia="方正仿宋简体" w:cs="方正仿宋简体"/>
          <w:b/>
          <w:bCs/>
          <w:color w:val="auto"/>
          <w:sz w:val="32"/>
          <w:szCs w:val="32"/>
          <w:lang w:val="en-US" w:eastAsia="zh-CN"/>
        </w:rPr>
        <w:t>按照《中华人民共和国政府信息公开条例》和“三定”规定、权责清单及实际承担的工作职责全面梳理公开内容，</w:t>
      </w:r>
      <w:r>
        <w:rPr>
          <w:rFonts w:hint="eastAsia" w:ascii="方正仿宋简体" w:hAnsi="方正仿宋简体" w:eastAsia="方正仿宋简体" w:cs="方正仿宋简体"/>
          <w:b/>
          <w:bCs/>
          <w:color w:val="auto"/>
          <w:sz w:val="32"/>
          <w:szCs w:val="32"/>
          <w:lang w:val="en-US" w:eastAsia="zh-CN"/>
        </w:rPr>
        <w:t>准确</w:t>
      </w:r>
      <w:r>
        <w:rPr>
          <w:rFonts w:hint="default" w:ascii="方正仿宋简体" w:hAnsi="方正仿宋简体" w:eastAsia="方正仿宋简体" w:cs="方正仿宋简体"/>
          <w:b/>
          <w:bCs/>
          <w:color w:val="auto"/>
          <w:sz w:val="32"/>
          <w:szCs w:val="32"/>
          <w:lang w:val="en-US" w:eastAsia="zh-CN"/>
        </w:rPr>
        <w:t>提供政府信息公开目录。</w:t>
      </w:r>
      <w:r>
        <w:rPr>
          <w:rFonts w:hint="eastAsia" w:ascii="方正仿宋简体" w:hAnsi="方正仿宋简体" w:eastAsia="方正仿宋简体" w:cs="方正仿宋简体"/>
          <w:b/>
          <w:bCs/>
          <w:color w:val="auto"/>
          <w:sz w:val="32"/>
          <w:szCs w:val="32"/>
          <w:lang w:val="en-US" w:eastAsia="zh-CN"/>
        </w:rPr>
        <w:t>三是加强建设运维，提升工作质效。</w:t>
      </w:r>
      <w:r>
        <w:rPr>
          <w:rFonts w:hint="default" w:ascii="方正仿宋简体" w:hAnsi="方正仿宋简体" w:eastAsia="方正仿宋简体" w:cs="方正仿宋简体"/>
          <w:b/>
          <w:bCs/>
          <w:color w:val="auto"/>
          <w:sz w:val="32"/>
          <w:szCs w:val="32"/>
          <w:lang w:val="en-US" w:eastAsia="zh-CN"/>
        </w:rPr>
        <w:t>对照《政府网站和政务新媒体检查指标》进一步做好自查，对无法保障、访问量低的栏目进行优化调整，加强与各网站运维部门的沟通交流，杜绝出现空白栏目、长期不更新栏目。</w:t>
      </w:r>
    </w:p>
    <w:p w14:paraId="7EBC3891">
      <w:pPr>
        <w:numPr>
          <w:ilvl w:val="0"/>
          <w:numId w:val="0"/>
        </w:numPr>
        <w:spacing w:line="590" w:lineRule="exact"/>
        <w:ind w:right="-105" w:rightChars="-50" w:firstLine="643" w:firstLineChars="200"/>
        <w:rPr>
          <w:rFonts w:hint="eastAsia" w:ascii="方正黑体简体" w:hAnsi="方正黑体简体" w:eastAsia="方正黑体简体" w:cs="方正黑体简体"/>
          <w:b/>
          <w:color w:val="auto"/>
          <w:sz w:val="32"/>
          <w:szCs w:val="32"/>
          <w:lang w:val="en-US" w:eastAsia="zh-CN"/>
        </w:rPr>
      </w:pPr>
      <w:r>
        <w:rPr>
          <w:rFonts w:hint="eastAsia" w:ascii="方正黑体简体" w:hAnsi="方正黑体简体" w:eastAsia="方正黑体简体" w:cs="方正黑体简体"/>
          <w:b/>
          <w:color w:val="auto"/>
          <w:sz w:val="32"/>
          <w:szCs w:val="32"/>
          <w:lang w:val="en-US" w:eastAsia="zh-CN"/>
        </w:rPr>
        <w:t>六、其他需要报告的事项</w:t>
      </w:r>
    </w:p>
    <w:p w14:paraId="2A7FEA74">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（一）依据《政府信息公开信息处理费管理办法》收取信息处理费</w:t>
      </w:r>
    </w:p>
    <w:p w14:paraId="30A63338">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4</w:t>
      </w:r>
      <w:r>
        <w:rPr>
          <w:rFonts w:hint="eastAsia" w:ascii="方正仿宋简体" w:hAnsi="方正仿宋简体" w:eastAsia="方正仿宋简体" w:cs="方正仿宋简体"/>
          <w:b/>
          <w:color w:val="auto"/>
          <w:sz w:val="32"/>
          <w:szCs w:val="32"/>
          <w:lang w:val="en-US" w:eastAsia="zh-CN"/>
        </w:rPr>
        <w:t>年，济宁市泗水县人民政府及各级各部门严格落实《国务院办公厅关于印发&lt;政府信息公开信息处理费管理办法&gt;的通知》（国办函</w:t>
      </w:r>
      <w:r>
        <w:rPr>
          <w:rFonts w:hint="default" w:ascii="Times New Roman" w:hAnsi="Times New Roman" w:eastAsia="方正仿宋简体" w:cs="Times New Roman"/>
          <w:b/>
          <w:color w:val="auto"/>
          <w:sz w:val="32"/>
          <w:szCs w:val="32"/>
          <w:lang w:val="en-US" w:eastAsia="zh-CN"/>
        </w:rPr>
        <w:t>〔2020〕109</w:t>
      </w:r>
      <w:r>
        <w:rPr>
          <w:rFonts w:hint="eastAsia" w:ascii="方正仿宋简体" w:hAnsi="方正仿宋简体" w:eastAsia="方正仿宋简体" w:cs="方正仿宋简体"/>
          <w:b/>
          <w:color w:val="auto"/>
          <w:sz w:val="32"/>
          <w:szCs w:val="32"/>
          <w:lang w:val="en-US" w:eastAsia="zh-CN"/>
        </w:rPr>
        <w:t>号）和《山东省人民政府办公厅关于做好政府信息公开信息处理费管理工作有关事项的通知》（鲁政办字</w:t>
      </w:r>
      <w:r>
        <w:rPr>
          <w:rFonts w:hint="default" w:ascii="Times New Roman" w:hAnsi="Times New Roman" w:eastAsia="方正仿宋简体" w:cs="Times New Roman"/>
          <w:b/>
          <w:color w:val="auto"/>
          <w:sz w:val="32"/>
          <w:szCs w:val="32"/>
          <w:lang w:val="en-US" w:eastAsia="zh-CN"/>
        </w:rPr>
        <w:t>〔2020〕179</w:t>
      </w:r>
      <w:r>
        <w:rPr>
          <w:rFonts w:hint="eastAsia" w:ascii="方正仿宋简体" w:hAnsi="方正仿宋简体" w:eastAsia="方正仿宋简体" w:cs="方正仿宋简体"/>
          <w:b/>
          <w:color w:val="auto"/>
          <w:sz w:val="32"/>
          <w:szCs w:val="32"/>
          <w:lang w:val="en-US" w:eastAsia="zh-CN"/>
        </w:rPr>
        <w:t>号）规定，未向申请人收取任何费用。</w:t>
      </w:r>
    </w:p>
    <w:p w14:paraId="061FC710">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（二）落实上级年度政务公开工作要点</w:t>
      </w:r>
    </w:p>
    <w:p w14:paraId="77429FF4">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根据国务院、省、市政务公开工作要点要求，泗水县印发《贯彻落实2024年</w:t>
      </w:r>
      <w:r>
        <w:rPr>
          <w:rFonts w:hint="eastAsia" w:ascii="方正仿宋简体" w:hAnsi="方正仿宋简体" w:eastAsia="方正仿宋简体" w:cs="方正仿宋简体"/>
          <w:b/>
          <w:color w:val="auto"/>
          <w:sz w:val="32"/>
        </w:rPr>
        <w:t>山东省政务公开工作要点</w:t>
      </w:r>
      <w:r>
        <w:rPr>
          <w:rFonts w:hint="eastAsia" w:ascii="方正仿宋简体" w:hAnsi="方正仿宋简体" w:eastAsia="方正仿宋简体" w:cs="方正仿宋简体"/>
          <w:b/>
          <w:color w:val="auto"/>
          <w:sz w:val="32"/>
          <w:lang w:val="en-US" w:eastAsia="zh-CN"/>
        </w:rPr>
        <w:t>任务分解表</w:t>
      </w:r>
      <w:r>
        <w:rPr>
          <w:rFonts w:hint="eastAsia" w:ascii="方正仿宋简体" w:hAnsi="方正仿宋简体" w:eastAsia="方正仿宋简体" w:cs="方正仿宋简体"/>
          <w:b/>
          <w:color w:val="auto"/>
          <w:sz w:val="32"/>
          <w:szCs w:val="32"/>
          <w:lang w:val="en-US" w:eastAsia="zh-CN"/>
        </w:rPr>
        <w:t>》，各级各部门围绕法定主动公开内容、重点领域及其他信息，及时公开到位。</w:t>
      </w:r>
    </w:p>
    <w:p w14:paraId="51CD4A3A">
      <w:pPr>
        <w:numPr>
          <w:ilvl w:val="0"/>
          <w:numId w:val="0"/>
        </w:numPr>
        <w:spacing w:line="590" w:lineRule="exact"/>
        <w:ind w:right="-105" w:rightChars="-50" w:firstLine="643" w:firstLineChars="200"/>
        <w:rPr>
          <w:rFonts w:hint="eastAsia" w:ascii="仿宋" w:hAnsi="仿宋" w:eastAsia="仿宋" w:cs="仿宋"/>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（三）人大代表建议和政协提案办理结果公开</w:t>
      </w:r>
    </w:p>
    <w:p w14:paraId="7AEE3DED">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方正仿宋简体" w:hAnsi="方正仿宋简体" w:eastAsia="方正仿宋简体" w:cs="方正仿宋简体"/>
          <w:b/>
          <w:color w:val="auto"/>
          <w:sz w:val="32"/>
          <w:szCs w:val="32"/>
          <w:lang w:val="en-US" w:eastAsia="zh-CN"/>
        </w:rPr>
        <w:t>202</w:t>
      </w:r>
      <w:r>
        <w:rPr>
          <w:rFonts w:hint="eastAsia" w:ascii="方正仿宋简体" w:hAnsi="方正仿宋简体" w:eastAsia="方正仿宋简体" w:cs="方正仿宋简体"/>
          <w:b/>
          <w:color w:val="auto"/>
          <w:sz w:val="32"/>
          <w:szCs w:val="32"/>
          <w:lang w:val="en-US" w:eastAsia="zh-CN"/>
        </w:rPr>
        <w:t>4年，济宁市泗水县人民政府在县十九届人大三次会议期间，共收到人大代表建议85件。在县人大常委会及其工作机构的监督指导和广大代表的关心支持下，经过县政府及各承办部门的共同努力，所有建议已于7月底前全部答复各位代表，答复率100%，满意率98.8%（84件满意，1件基本满意）。</w:t>
      </w:r>
    </w:p>
    <w:p w14:paraId="7FF10516">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4</w:t>
      </w:r>
      <w:r>
        <w:rPr>
          <w:rFonts w:hint="eastAsia" w:ascii="方正仿宋简体" w:hAnsi="方正仿宋简体" w:eastAsia="方正仿宋简体" w:cs="方正仿宋简体"/>
          <w:b/>
          <w:color w:val="auto"/>
          <w:sz w:val="32"/>
          <w:szCs w:val="32"/>
          <w:lang w:val="en-US" w:eastAsia="zh-CN"/>
        </w:rPr>
        <w:t>年，济宁市泗水县人民政府在县政协十届三次会议期间，共收到提案</w:t>
      </w:r>
      <w:r>
        <w:rPr>
          <w:rFonts w:hint="eastAsia" w:eastAsia="方正仿宋简体" w:cs="Times New Roman"/>
          <w:b/>
          <w:color w:val="auto"/>
          <w:sz w:val="32"/>
          <w:szCs w:val="32"/>
          <w:lang w:val="en-US" w:eastAsia="zh-CN"/>
        </w:rPr>
        <w:t>95</w:t>
      </w:r>
      <w:r>
        <w:rPr>
          <w:rFonts w:hint="eastAsia" w:ascii="方正仿宋简体" w:hAnsi="方正仿宋简体" w:eastAsia="方正仿宋简体" w:cs="方正仿宋简体"/>
          <w:b/>
          <w:color w:val="auto"/>
          <w:sz w:val="32"/>
          <w:szCs w:val="32"/>
          <w:lang w:val="en-US" w:eastAsia="zh-CN"/>
        </w:rPr>
        <w:t>件。政协委员所提提案，共涉及</w:t>
      </w:r>
      <w:r>
        <w:rPr>
          <w:rFonts w:hint="eastAsia" w:eastAsia="方正仿宋简体" w:cs="Times New Roman"/>
          <w:b/>
          <w:color w:val="auto"/>
          <w:sz w:val="32"/>
          <w:szCs w:val="32"/>
          <w:lang w:val="en-US" w:eastAsia="zh-CN"/>
        </w:rPr>
        <w:t>36</w:t>
      </w:r>
      <w:r>
        <w:rPr>
          <w:rFonts w:hint="eastAsia" w:ascii="方正仿宋简体" w:hAnsi="方正仿宋简体" w:eastAsia="方正仿宋简体" w:cs="方正仿宋简体"/>
          <w:b/>
          <w:color w:val="auto"/>
          <w:sz w:val="32"/>
          <w:szCs w:val="32"/>
          <w:lang w:val="en-US" w:eastAsia="zh-CN"/>
        </w:rPr>
        <w:t>个承办单位，经过各承办单位共同努力，所有提案于</w:t>
      </w:r>
      <w:r>
        <w:rPr>
          <w:rFonts w:hint="eastAsia" w:eastAsia="方正仿宋简体" w:cs="Times New Roman"/>
          <w:b/>
          <w:color w:val="auto"/>
          <w:sz w:val="32"/>
          <w:szCs w:val="32"/>
          <w:lang w:val="en-US" w:eastAsia="zh-CN"/>
        </w:rPr>
        <w:t>8</w:t>
      </w:r>
      <w:r>
        <w:rPr>
          <w:rFonts w:hint="eastAsia" w:ascii="方正仿宋简体" w:hAnsi="方正仿宋简体" w:eastAsia="方正仿宋简体" w:cs="方正仿宋简体"/>
          <w:b/>
          <w:color w:val="auto"/>
          <w:sz w:val="32"/>
          <w:szCs w:val="32"/>
          <w:lang w:val="en-US" w:eastAsia="zh-CN"/>
        </w:rPr>
        <w:t>月底全部答复各位委员，答复率</w:t>
      </w:r>
      <w:r>
        <w:rPr>
          <w:rFonts w:hint="default" w:ascii="Times New Roman" w:hAnsi="Times New Roman" w:eastAsia="方正仿宋简体" w:cs="Times New Roman"/>
          <w:b/>
          <w:color w:val="auto"/>
          <w:sz w:val="32"/>
          <w:szCs w:val="32"/>
          <w:lang w:val="en-US" w:eastAsia="zh-CN"/>
        </w:rPr>
        <w:t>100%</w:t>
      </w:r>
      <w:r>
        <w:rPr>
          <w:rFonts w:hint="eastAsia" w:ascii="方正仿宋简体" w:hAnsi="方正仿宋简体" w:eastAsia="方正仿宋简体" w:cs="方正仿宋简体"/>
          <w:b/>
          <w:color w:val="auto"/>
          <w:sz w:val="32"/>
          <w:szCs w:val="32"/>
          <w:lang w:val="en-US" w:eastAsia="zh-CN"/>
        </w:rPr>
        <w:t>，满意率</w:t>
      </w:r>
      <w:r>
        <w:rPr>
          <w:rFonts w:hint="default" w:ascii="Times New Roman" w:hAnsi="Times New Roman" w:eastAsia="方正仿宋简体" w:cs="Times New Roman"/>
          <w:b/>
          <w:color w:val="auto"/>
          <w:sz w:val="32"/>
          <w:szCs w:val="32"/>
          <w:lang w:val="en-US" w:eastAsia="zh-CN"/>
        </w:rPr>
        <w:t>100%</w:t>
      </w:r>
      <w:r>
        <w:rPr>
          <w:rFonts w:hint="eastAsia" w:ascii="方正仿宋简体" w:hAnsi="方正仿宋简体" w:eastAsia="方正仿宋简体" w:cs="方正仿宋简体"/>
          <w:b/>
          <w:color w:val="auto"/>
          <w:sz w:val="32"/>
          <w:szCs w:val="32"/>
          <w:lang w:val="en-US" w:eastAsia="zh-CN"/>
        </w:rPr>
        <w:t>。</w:t>
      </w:r>
    </w:p>
    <w:p w14:paraId="4B659629">
      <w:pPr>
        <w:numPr>
          <w:ilvl w:val="0"/>
          <w:numId w:val="1"/>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年度政务公开工作创新</w:t>
      </w:r>
    </w:p>
    <w:p w14:paraId="0C82D2E5">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一是加强政策咨询服务。积极配合济宁市政策文件库建设，建设政策发布解读咨询兑现</w:t>
      </w:r>
      <w:r>
        <w:rPr>
          <w:rFonts w:hint="default" w:ascii="方正仿宋简体" w:hAnsi="方正仿宋简体" w:eastAsia="方正仿宋简体" w:cs="方正仿宋简体"/>
          <w:b/>
          <w:color w:val="auto"/>
          <w:sz w:val="32"/>
          <w:szCs w:val="32"/>
          <w:lang w:val="en-US" w:eastAsia="zh-CN"/>
        </w:rPr>
        <w:t>“一体化”平台，向社会提供政策解读、咨询、兑现等功能。</w:t>
      </w:r>
      <w:r>
        <w:rPr>
          <w:rFonts w:hint="eastAsia" w:ascii="方正仿宋简体" w:hAnsi="方正仿宋简体" w:eastAsia="方正仿宋简体" w:cs="方正仿宋简体"/>
          <w:b/>
          <w:color w:val="auto"/>
          <w:sz w:val="32"/>
          <w:szCs w:val="32"/>
          <w:lang w:val="en-US" w:eastAsia="zh-CN"/>
        </w:rPr>
        <w:t>二是深化基层政务公开，优化35个专项领域目录设置，全面提升各领域公开水平。县直各领域牵头部门及时对接市级主管部门，完成相关领域栏目信息的调整完善，切实维护各领域日常信息的上传发布工作，保证信息发布质量，真正做到应公开尽公开。</w:t>
      </w:r>
    </w:p>
    <w:p w14:paraId="767C4429">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（五）本行政机关政府信息公开工作年度报告数据统计需要说明的事项：本年度报告中所列数据统计期限从</w:t>
      </w:r>
      <w:r>
        <w:rPr>
          <w:rFonts w:hint="default" w:ascii="Times New Roman" w:hAnsi="Times New Roman" w:eastAsia="方正仿宋简体" w:cs="Times New Roman"/>
          <w:b/>
          <w:bCs/>
          <w:color w:val="auto"/>
          <w:sz w:val="32"/>
          <w:szCs w:val="32"/>
          <w:lang w:val="en-US" w:eastAsia="zh-CN"/>
        </w:rPr>
        <w:t>202</w:t>
      </w:r>
      <w:r>
        <w:rPr>
          <w:rFonts w:hint="eastAsia"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年</w:t>
      </w: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日到</w:t>
      </w:r>
      <w:r>
        <w:rPr>
          <w:rFonts w:hint="default" w:ascii="Times New Roman" w:hAnsi="Times New Roman" w:eastAsia="方正仿宋简体" w:cs="Times New Roman"/>
          <w:b/>
          <w:bCs/>
          <w:color w:val="auto"/>
          <w:sz w:val="32"/>
          <w:szCs w:val="32"/>
          <w:lang w:val="en-US" w:eastAsia="zh-CN"/>
        </w:rPr>
        <w:t>12</w:t>
      </w:r>
      <w:r>
        <w:rPr>
          <w:rFonts w:hint="eastAsia" w:ascii="方正仿宋简体" w:hAnsi="方正仿宋简体"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31</w:t>
      </w:r>
      <w:r>
        <w:rPr>
          <w:rFonts w:hint="eastAsia" w:ascii="方正仿宋简体" w:hAnsi="方正仿宋简体" w:eastAsia="方正仿宋简体" w:cs="方正仿宋简体"/>
          <w:b/>
          <w:bCs/>
          <w:color w:val="auto"/>
          <w:sz w:val="32"/>
          <w:szCs w:val="32"/>
          <w:lang w:val="en-US" w:eastAsia="zh-CN"/>
        </w:rPr>
        <w:t>日止。</w:t>
      </w:r>
    </w:p>
    <w:p w14:paraId="51883771">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（六）本行政机关认为需要报告的其他事项：无。</w:t>
      </w:r>
    </w:p>
    <w:p w14:paraId="29C83D22">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E5C6B-6E45-4927-B807-BA3B8DA1BA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6A95050B-AEC4-4CA0-B400-2C760D5FF030}"/>
  </w:font>
  <w:font w:name="方正小标宋简体">
    <w:panose1 w:val="03000509000000000000"/>
    <w:charset w:val="86"/>
    <w:family w:val="auto"/>
    <w:pitch w:val="default"/>
    <w:sig w:usb0="00000001" w:usb1="080E0000" w:usb2="00000000" w:usb3="00000000" w:csb0="00040000" w:csb1="00000000"/>
    <w:embedRegular r:id="rId3" w:fontKey="{E2B5D17D-8F4C-417E-831E-78D2D41601D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627A798-81E2-43BF-A4F1-C3CED124B5E4}"/>
  </w:font>
  <w:font w:name="方正黑体简体">
    <w:panose1 w:val="03000509000000000000"/>
    <w:charset w:val="86"/>
    <w:family w:val="auto"/>
    <w:pitch w:val="default"/>
    <w:sig w:usb0="00000001" w:usb1="080E0000" w:usb2="00000000" w:usb3="00000000" w:csb0="00040000" w:csb1="00000000"/>
    <w:embedRegular r:id="rId5" w:fontKey="{D31C45C4-D5B1-4BBE-8136-AF2FE1B437F5}"/>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B993D6E6-F5D5-4B87-BC91-01EAEB46F813}"/>
  </w:font>
  <w:font w:name="楷体_GB2312">
    <w:panose1 w:val="02010609030101010101"/>
    <w:charset w:val="86"/>
    <w:family w:val="modern"/>
    <w:pitch w:val="default"/>
    <w:sig w:usb0="00000001" w:usb1="080E0000" w:usb2="00000000" w:usb3="00000000" w:csb0="00040000" w:csb1="00000000"/>
    <w:embedRegular r:id="rId7" w:fontKey="{4E9EEC41-54D8-4A99-B859-A99D4BB17761}"/>
  </w:font>
  <w:font w:name="楷体">
    <w:panose1 w:val="02010609060101010101"/>
    <w:charset w:val="86"/>
    <w:family w:val="modern"/>
    <w:pitch w:val="default"/>
    <w:sig w:usb0="800002BF" w:usb1="38CF7CFA" w:usb2="00000016" w:usb3="00000000" w:csb0="00040001" w:csb1="00000000"/>
    <w:embedRegular r:id="rId8" w:fontKey="{12F166BB-078F-4DF3-862C-8D6559E0E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CCD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0005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B0005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1DEA1"/>
    <w:multiLevelType w:val="singleLevel"/>
    <w:tmpl w:val="2F11DE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MDEyMjk1ZTA5Yzg0NzliOGJjYTRiNTMxOTBmMzQifQ=="/>
  </w:docVars>
  <w:rsids>
    <w:rsidRoot w:val="00000000"/>
    <w:rsid w:val="000E72D6"/>
    <w:rsid w:val="002E6D39"/>
    <w:rsid w:val="009A5857"/>
    <w:rsid w:val="015659CC"/>
    <w:rsid w:val="015720A0"/>
    <w:rsid w:val="017B18CE"/>
    <w:rsid w:val="019D589D"/>
    <w:rsid w:val="01DA23AF"/>
    <w:rsid w:val="01E7687A"/>
    <w:rsid w:val="01FA47FF"/>
    <w:rsid w:val="035937A7"/>
    <w:rsid w:val="036B1176"/>
    <w:rsid w:val="03724869"/>
    <w:rsid w:val="03BB23AE"/>
    <w:rsid w:val="03C14924"/>
    <w:rsid w:val="041A2F36"/>
    <w:rsid w:val="042A0CA0"/>
    <w:rsid w:val="0430275A"/>
    <w:rsid w:val="045A3333"/>
    <w:rsid w:val="04EA6B1C"/>
    <w:rsid w:val="052F6AFF"/>
    <w:rsid w:val="05745675"/>
    <w:rsid w:val="05D80EA0"/>
    <w:rsid w:val="0602610F"/>
    <w:rsid w:val="0620235A"/>
    <w:rsid w:val="06F07F7E"/>
    <w:rsid w:val="07155C37"/>
    <w:rsid w:val="072408B5"/>
    <w:rsid w:val="07837045"/>
    <w:rsid w:val="07AD40C1"/>
    <w:rsid w:val="08915791"/>
    <w:rsid w:val="091E5277"/>
    <w:rsid w:val="095C7B4D"/>
    <w:rsid w:val="095D7750"/>
    <w:rsid w:val="09AB2883"/>
    <w:rsid w:val="0A03621B"/>
    <w:rsid w:val="0A4F1460"/>
    <w:rsid w:val="0A6749FB"/>
    <w:rsid w:val="0A690774"/>
    <w:rsid w:val="0A86042B"/>
    <w:rsid w:val="0A960E3D"/>
    <w:rsid w:val="0AD303C0"/>
    <w:rsid w:val="0B1701D0"/>
    <w:rsid w:val="0B534F80"/>
    <w:rsid w:val="0B5807E8"/>
    <w:rsid w:val="0C0C7A0F"/>
    <w:rsid w:val="0C7D42D8"/>
    <w:rsid w:val="0CE340E1"/>
    <w:rsid w:val="0D076022"/>
    <w:rsid w:val="0D725B91"/>
    <w:rsid w:val="0D9773A6"/>
    <w:rsid w:val="0DD24882"/>
    <w:rsid w:val="0EA37FCC"/>
    <w:rsid w:val="0ECC18E9"/>
    <w:rsid w:val="0EEA5BFB"/>
    <w:rsid w:val="0FD06E18"/>
    <w:rsid w:val="0FEB1C2B"/>
    <w:rsid w:val="10036F74"/>
    <w:rsid w:val="100A034B"/>
    <w:rsid w:val="105B7B98"/>
    <w:rsid w:val="10861954"/>
    <w:rsid w:val="10B85EE0"/>
    <w:rsid w:val="111B3762"/>
    <w:rsid w:val="114B136B"/>
    <w:rsid w:val="1198193E"/>
    <w:rsid w:val="12063A8B"/>
    <w:rsid w:val="12192A7F"/>
    <w:rsid w:val="12755F3D"/>
    <w:rsid w:val="13623FB2"/>
    <w:rsid w:val="13660293"/>
    <w:rsid w:val="13B62550"/>
    <w:rsid w:val="142474B9"/>
    <w:rsid w:val="14861F22"/>
    <w:rsid w:val="16331C36"/>
    <w:rsid w:val="16784D9F"/>
    <w:rsid w:val="16C36C2C"/>
    <w:rsid w:val="16DC051F"/>
    <w:rsid w:val="177B4A14"/>
    <w:rsid w:val="17DB2585"/>
    <w:rsid w:val="18B4270C"/>
    <w:rsid w:val="190D2C12"/>
    <w:rsid w:val="19145D4E"/>
    <w:rsid w:val="19151463"/>
    <w:rsid w:val="19805192"/>
    <w:rsid w:val="19885571"/>
    <w:rsid w:val="1ADA4D76"/>
    <w:rsid w:val="1C27223D"/>
    <w:rsid w:val="1C404828"/>
    <w:rsid w:val="1CC47DA2"/>
    <w:rsid w:val="1D440BCC"/>
    <w:rsid w:val="1DD0420E"/>
    <w:rsid w:val="1DFE6FCD"/>
    <w:rsid w:val="1E4A2212"/>
    <w:rsid w:val="1EBA1A91"/>
    <w:rsid w:val="1EDF0BAD"/>
    <w:rsid w:val="1F3A79D5"/>
    <w:rsid w:val="2080016D"/>
    <w:rsid w:val="20D81D57"/>
    <w:rsid w:val="21244F9D"/>
    <w:rsid w:val="2134627A"/>
    <w:rsid w:val="21423675"/>
    <w:rsid w:val="21A36F2A"/>
    <w:rsid w:val="221072CF"/>
    <w:rsid w:val="222A0391"/>
    <w:rsid w:val="22C75BE0"/>
    <w:rsid w:val="231425D0"/>
    <w:rsid w:val="23256DAA"/>
    <w:rsid w:val="232F6C87"/>
    <w:rsid w:val="23BA5744"/>
    <w:rsid w:val="23C87E61"/>
    <w:rsid w:val="24AD7057"/>
    <w:rsid w:val="25695674"/>
    <w:rsid w:val="25701D7D"/>
    <w:rsid w:val="25BF5294"/>
    <w:rsid w:val="2613738E"/>
    <w:rsid w:val="26260D1B"/>
    <w:rsid w:val="268B0052"/>
    <w:rsid w:val="26B24DF9"/>
    <w:rsid w:val="27C70430"/>
    <w:rsid w:val="283F26BC"/>
    <w:rsid w:val="288F719F"/>
    <w:rsid w:val="28E81C9C"/>
    <w:rsid w:val="2953641F"/>
    <w:rsid w:val="295B52D4"/>
    <w:rsid w:val="2A41096D"/>
    <w:rsid w:val="2B794137"/>
    <w:rsid w:val="2BD63337"/>
    <w:rsid w:val="2BE47802"/>
    <w:rsid w:val="2C577567"/>
    <w:rsid w:val="2C7F535E"/>
    <w:rsid w:val="2C8A7733"/>
    <w:rsid w:val="2C9A25B7"/>
    <w:rsid w:val="2CA86A82"/>
    <w:rsid w:val="2CB05936"/>
    <w:rsid w:val="2CFA4E04"/>
    <w:rsid w:val="2E310CF9"/>
    <w:rsid w:val="2E412C9A"/>
    <w:rsid w:val="2E772BB0"/>
    <w:rsid w:val="2EB77450"/>
    <w:rsid w:val="2ED00512"/>
    <w:rsid w:val="303C5AC3"/>
    <w:rsid w:val="309A0DD7"/>
    <w:rsid w:val="312E32CE"/>
    <w:rsid w:val="31344D88"/>
    <w:rsid w:val="31466869"/>
    <w:rsid w:val="31C216A8"/>
    <w:rsid w:val="31C75BFC"/>
    <w:rsid w:val="320B7BFA"/>
    <w:rsid w:val="322A618B"/>
    <w:rsid w:val="32785F22"/>
    <w:rsid w:val="33BC72B7"/>
    <w:rsid w:val="3421711A"/>
    <w:rsid w:val="34711E4F"/>
    <w:rsid w:val="3478656B"/>
    <w:rsid w:val="34B561E0"/>
    <w:rsid w:val="35A65B28"/>
    <w:rsid w:val="35A95619"/>
    <w:rsid w:val="3647730B"/>
    <w:rsid w:val="376D2DA2"/>
    <w:rsid w:val="380341AD"/>
    <w:rsid w:val="38C72F18"/>
    <w:rsid w:val="38CC3A47"/>
    <w:rsid w:val="39237490"/>
    <w:rsid w:val="39785A2E"/>
    <w:rsid w:val="39902D77"/>
    <w:rsid w:val="39E6440A"/>
    <w:rsid w:val="3A7A7584"/>
    <w:rsid w:val="3A7B6635"/>
    <w:rsid w:val="3B567FF1"/>
    <w:rsid w:val="3BAF0E16"/>
    <w:rsid w:val="3C5A58BF"/>
    <w:rsid w:val="3CAD3C40"/>
    <w:rsid w:val="3CCD7E3F"/>
    <w:rsid w:val="3CEA09F1"/>
    <w:rsid w:val="3CED228F"/>
    <w:rsid w:val="3D583BAC"/>
    <w:rsid w:val="3E1C7765"/>
    <w:rsid w:val="3EA82911"/>
    <w:rsid w:val="3EAA6689"/>
    <w:rsid w:val="3EB42084"/>
    <w:rsid w:val="3EF9316D"/>
    <w:rsid w:val="3F536D21"/>
    <w:rsid w:val="3FA94B93"/>
    <w:rsid w:val="3FC512A1"/>
    <w:rsid w:val="40207CD9"/>
    <w:rsid w:val="404D74C9"/>
    <w:rsid w:val="41405083"/>
    <w:rsid w:val="41D43A1D"/>
    <w:rsid w:val="421540C4"/>
    <w:rsid w:val="42366486"/>
    <w:rsid w:val="42E163F2"/>
    <w:rsid w:val="431C38CE"/>
    <w:rsid w:val="4428785A"/>
    <w:rsid w:val="44557820"/>
    <w:rsid w:val="44607214"/>
    <w:rsid w:val="44EE3048"/>
    <w:rsid w:val="45190F2D"/>
    <w:rsid w:val="463A4797"/>
    <w:rsid w:val="46844D9D"/>
    <w:rsid w:val="46B81B60"/>
    <w:rsid w:val="47F15329"/>
    <w:rsid w:val="47F24F0F"/>
    <w:rsid w:val="47F95F8C"/>
    <w:rsid w:val="48FC3F85"/>
    <w:rsid w:val="4A0550BC"/>
    <w:rsid w:val="4A4C2CEB"/>
    <w:rsid w:val="4A547DF1"/>
    <w:rsid w:val="4A8C30E7"/>
    <w:rsid w:val="4AEB2504"/>
    <w:rsid w:val="4AF71ABC"/>
    <w:rsid w:val="4B6B53F2"/>
    <w:rsid w:val="4BCD5112"/>
    <w:rsid w:val="4BE3142D"/>
    <w:rsid w:val="4C92349B"/>
    <w:rsid w:val="4D630FA4"/>
    <w:rsid w:val="4D69478A"/>
    <w:rsid w:val="4D6C0BAC"/>
    <w:rsid w:val="4D881BF8"/>
    <w:rsid w:val="4DA1334D"/>
    <w:rsid w:val="4DF3633A"/>
    <w:rsid w:val="4E261AA5"/>
    <w:rsid w:val="4E6F6FA8"/>
    <w:rsid w:val="4E7D7917"/>
    <w:rsid w:val="4EEF1E97"/>
    <w:rsid w:val="500946F5"/>
    <w:rsid w:val="504A437F"/>
    <w:rsid w:val="50EB4D8E"/>
    <w:rsid w:val="51EB4B97"/>
    <w:rsid w:val="522D3402"/>
    <w:rsid w:val="527903F5"/>
    <w:rsid w:val="527C1C93"/>
    <w:rsid w:val="52B60C61"/>
    <w:rsid w:val="52C93019"/>
    <w:rsid w:val="53C13423"/>
    <w:rsid w:val="53EB3FD9"/>
    <w:rsid w:val="545033D7"/>
    <w:rsid w:val="54921C42"/>
    <w:rsid w:val="54BE47E5"/>
    <w:rsid w:val="551A48F9"/>
    <w:rsid w:val="55937A20"/>
    <w:rsid w:val="55F54744"/>
    <w:rsid w:val="55FD758F"/>
    <w:rsid w:val="573568B4"/>
    <w:rsid w:val="576D42A0"/>
    <w:rsid w:val="57FB05CF"/>
    <w:rsid w:val="5889264A"/>
    <w:rsid w:val="588B4AFA"/>
    <w:rsid w:val="58BF0B2C"/>
    <w:rsid w:val="5A504131"/>
    <w:rsid w:val="5BA81D4B"/>
    <w:rsid w:val="5BB93F58"/>
    <w:rsid w:val="5BB97AB4"/>
    <w:rsid w:val="5C25514A"/>
    <w:rsid w:val="5C3D2493"/>
    <w:rsid w:val="5C4F0B22"/>
    <w:rsid w:val="5CFF0696"/>
    <w:rsid w:val="5D400DC5"/>
    <w:rsid w:val="5D665A1A"/>
    <w:rsid w:val="5D804D2D"/>
    <w:rsid w:val="5DE02EBF"/>
    <w:rsid w:val="5E7C1D97"/>
    <w:rsid w:val="5EB17168"/>
    <w:rsid w:val="5EE33737"/>
    <w:rsid w:val="5EE575A7"/>
    <w:rsid w:val="5EFA2209"/>
    <w:rsid w:val="5F4C0C3F"/>
    <w:rsid w:val="5FB011CE"/>
    <w:rsid w:val="60FA5887"/>
    <w:rsid w:val="61842912"/>
    <w:rsid w:val="61CA6D11"/>
    <w:rsid w:val="6220088D"/>
    <w:rsid w:val="62797F9D"/>
    <w:rsid w:val="62874BFA"/>
    <w:rsid w:val="62F21288"/>
    <w:rsid w:val="62FC43EA"/>
    <w:rsid w:val="63932865"/>
    <w:rsid w:val="63D25BB7"/>
    <w:rsid w:val="63F773CC"/>
    <w:rsid w:val="63FA510E"/>
    <w:rsid w:val="6401024A"/>
    <w:rsid w:val="641A130C"/>
    <w:rsid w:val="647C0AC9"/>
    <w:rsid w:val="64B008F4"/>
    <w:rsid w:val="64D8544F"/>
    <w:rsid w:val="64E80E78"/>
    <w:rsid w:val="65B3649A"/>
    <w:rsid w:val="65DA51F7"/>
    <w:rsid w:val="66460B4F"/>
    <w:rsid w:val="667E066E"/>
    <w:rsid w:val="66D41C46"/>
    <w:rsid w:val="68EB20F0"/>
    <w:rsid w:val="693B41FE"/>
    <w:rsid w:val="699F6187"/>
    <w:rsid w:val="6A6E563D"/>
    <w:rsid w:val="6B4C26F3"/>
    <w:rsid w:val="6B7D28AC"/>
    <w:rsid w:val="6C687B08"/>
    <w:rsid w:val="6C691082"/>
    <w:rsid w:val="6CA95923"/>
    <w:rsid w:val="6CD56718"/>
    <w:rsid w:val="6DBD51C9"/>
    <w:rsid w:val="6DEC5AC7"/>
    <w:rsid w:val="6E777A87"/>
    <w:rsid w:val="6EDF387E"/>
    <w:rsid w:val="6F1277AF"/>
    <w:rsid w:val="6F4002B0"/>
    <w:rsid w:val="6F616041"/>
    <w:rsid w:val="6F692303"/>
    <w:rsid w:val="6FC860C0"/>
    <w:rsid w:val="70145200"/>
    <w:rsid w:val="706978A3"/>
    <w:rsid w:val="70F657AC"/>
    <w:rsid w:val="71A1306D"/>
    <w:rsid w:val="72117AFC"/>
    <w:rsid w:val="721E6986"/>
    <w:rsid w:val="72640322"/>
    <w:rsid w:val="72750781"/>
    <w:rsid w:val="72AA5DC0"/>
    <w:rsid w:val="730E4732"/>
    <w:rsid w:val="7439758C"/>
    <w:rsid w:val="74A76DA3"/>
    <w:rsid w:val="74CE6EC4"/>
    <w:rsid w:val="75120509"/>
    <w:rsid w:val="75776589"/>
    <w:rsid w:val="76D303A9"/>
    <w:rsid w:val="7752346A"/>
    <w:rsid w:val="779A2A38"/>
    <w:rsid w:val="785B5D23"/>
    <w:rsid w:val="78DD0E2E"/>
    <w:rsid w:val="78F61EF0"/>
    <w:rsid w:val="79427A90"/>
    <w:rsid w:val="79921C19"/>
    <w:rsid w:val="79B847EB"/>
    <w:rsid w:val="79E63648"/>
    <w:rsid w:val="7B25086A"/>
    <w:rsid w:val="7BC534C1"/>
    <w:rsid w:val="7BEF390F"/>
    <w:rsid w:val="7BF96CF1"/>
    <w:rsid w:val="7C142DB9"/>
    <w:rsid w:val="7CAC1243"/>
    <w:rsid w:val="7CCA3477"/>
    <w:rsid w:val="7DEF500B"/>
    <w:rsid w:val="7E1D5234"/>
    <w:rsid w:val="7E971A7F"/>
    <w:rsid w:val="7F286B7B"/>
    <w:rsid w:val="7F4D0390"/>
    <w:rsid w:val="7FE67798"/>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spacing w:after="0"/>
      <w:ind w:firstLine="200" w:firstLineChars="200"/>
      <w:jc w:val="left"/>
    </w:pPr>
    <w:rPr>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2024年泗水县人民政府信息主动公开工作情况统计</c:v>
                </c:pt>
              </c:strCache>
            </c:strRef>
          </c:tx>
          <c:spPr>
            <a:scene3d>
              <a:camera prst="orthographicFront"/>
              <a:lightRig rig="threePt" dir="t"/>
            </a:scene3d>
            <a:sp3d contourW="25400"/>
          </c:spPr>
          <c:explosion val="0"/>
          <c:dPt>
            <c:idx val="0"/>
            <c:bubble3D val="0"/>
            <c:spPr>
              <a:solidFill>
                <a:schemeClr val="accent6"/>
              </a:solidFill>
              <a:ln w="25400">
                <a:solidFill>
                  <a:schemeClr val="lt1"/>
                </a:solidFill>
              </a:ln>
              <a:effectLst/>
              <a:scene3d>
                <a:camera prst="orthographicFront"/>
                <a:lightRig rig="threePt" dir="t"/>
              </a:scene3d>
              <a:sp3d contourW="25400"/>
            </c:spPr>
          </c:dPt>
          <c:dPt>
            <c:idx val="1"/>
            <c:bubble3D val="0"/>
            <c:spPr>
              <a:solidFill>
                <a:schemeClr val="accent5"/>
              </a:solidFill>
              <a:ln w="25400">
                <a:solidFill>
                  <a:schemeClr val="lt1"/>
                </a:solidFill>
              </a:ln>
              <a:effectLst/>
              <a:scene3d>
                <a:camera prst="orthographicFront"/>
                <a:lightRig rig="threePt" dir="t"/>
              </a:scene3d>
              <a:sp3d contourW="25400"/>
            </c:spPr>
          </c:dPt>
          <c:dPt>
            <c:idx val="2"/>
            <c:bubble3D val="0"/>
            <c:spPr>
              <a:solidFill>
                <a:schemeClr val="accent4"/>
              </a:solidFill>
              <a:ln w="25400">
                <a:solidFill>
                  <a:schemeClr val="lt1"/>
                </a:solidFill>
              </a:ln>
              <a:effectLst/>
              <a:scene3d>
                <a:camera prst="orthographicFront"/>
                <a:lightRig rig="threePt" dir="t"/>
              </a:scene3d>
              <a:sp3d contourW="25400"/>
            </c:spPr>
          </c:dPt>
          <c:dPt>
            <c:idx val="3"/>
            <c:bubble3D val="0"/>
            <c:spPr>
              <a:solidFill>
                <a:schemeClr val="accent6">
                  <a:lumMod val="60000"/>
                </a:schemeClr>
              </a:solidFill>
              <a:ln w="25400">
                <a:solidFill>
                  <a:schemeClr val="lt1"/>
                </a:solidFill>
              </a:ln>
              <a:effectLst/>
              <a:scene3d>
                <a:camera prst="orthographicFront"/>
                <a:lightRig rig="threePt" dir="t"/>
              </a:scene3d>
              <a:sp3d contourW="25400"/>
            </c:spPr>
          </c:dPt>
          <c:dPt>
            <c:idx val="4"/>
            <c:bubble3D val="0"/>
            <c:spPr>
              <a:solidFill>
                <a:schemeClr val="accent5">
                  <a:lumMod val="60000"/>
                </a:schemeClr>
              </a:solidFill>
              <a:ln w="25400">
                <a:solidFill>
                  <a:schemeClr val="lt1"/>
                </a:solidFill>
              </a:ln>
              <a:effectLst/>
              <a:scene3d>
                <a:camera prst="orthographicFront"/>
                <a:lightRig rig="threePt" dir="t"/>
              </a:scene3d>
              <a:sp3d contourW="25400"/>
            </c:spPr>
          </c:dPt>
          <c:dPt>
            <c:idx val="5"/>
            <c:bubble3D val="0"/>
            <c:spPr>
              <a:solidFill>
                <a:schemeClr val="accent4">
                  <a:lumMod val="60000"/>
                </a:schemeClr>
              </a:solidFill>
              <a:ln w="25400">
                <a:solidFill>
                  <a:schemeClr val="lt1"/>
                </a:solidFill>
              </a:ln>
              <a:effectLst/>
              <a:scene3d>
                <a:camera prst="orthographicFront"/>
                <a:lightRig rig="threePt" dir="t"/>
              </a:scene3d>
              <a:sp3d contourW="25400"/>
            </c:spPr>
          </c:dPt>
          <c:dPt>
            <c:idx val="6"/>
            <c:bubble3D val="0"/>
            <c:spPr>
              <a:solidFill>
                <a:schemeClr val="accent6">
                  <a:lumMod val="80000"/>
                  <a:lumOff val="20000"/>
                </a:schemeClr>
              </a:solidFill>
              <a:ln w="25400">
                <a:solidFill>
                  <a:schemeClr val="lt1"/>
                </a:solidFill>
              </a:ln>
              <a:effectLst/>
              <a:scene3d>
                <a:camera prst="orthographicFront"/>
                <a:lightRig rig="threePt" dir="t"/>
              </a:scene3d>
              <a:sp3d contourW="25400"/>
            </c:spPr>
          </c:dPt>
          <c:dPt>
            <c:idx val="7"/>
            <c:bubble3D val="0"/>
            <c:spPr>
              <a:solidFill>
                <a:schemeClr val="accent5">
                  <a:lumMod val="80000"/>
                  <a:lumOff val="20000"/>
                </a:schemeClr>
              </a:solidFill>
              <a:ln w="25400">
                <a:solidFill>
                  <a:schemeClr val="lt1"/>
                </a:solidFill>
              </a:ln>
              <a:effectLst/>
              <a:scene3d>
                <a:camera prst="orthographicFront"/>
                <a:lightRig rig="threePt" dir="t"/>
              </a:scene3d>
              <a:sp3d contourW="25400"/>
            </c:spPr>
          </c:dPt>
          <c:dPt>
            <c:idx val="8"/>
            <c:bubble3D val="0"/>
            <c:spPr>
              <a:solidFill>
                <a:schemeClr val="accent4">
                  <a:lumMod val="80000"/>
                  <a:lumOff val="20000"/>
                </a:schemeClr>
              </a:solidFill>
              <a:ln w="25400">
                <a:solidFill>
                  <a:schemeClr val="lt1"/>
                </a:solidFill>
              </a:ln>
              <a:effectLst/>
              <a:scene3d>
                <a:camera prst="orthographicFront"/>
                <a:lightRig rig="threePt" dir="t"/>
              </a:scene3d>
              <a:sp3d contourW="25400"/>
            </c:spPr>
          </c:dPt>
          <c:dPt>
            <c:idx val="9"/>
            <c:bubble3D val="0"/>
            <c:spPr>
              <a:solidFill>
                <a:schemeClr val="accent6">
                  <a:lumMod val="80000"/>
                </a:schemeClr>
              </a:solidFill>
              <a:ln w="25400">
                <a:solidFill>
                  <a:schemeClr val="lt1"/>
                </a:solidFill>
              </a:ln>
              <a:effectLst/>
              <a:scene3d>
                <a:camera prst="orthographicFront"/>
                <a:lightRig rig="threePt" dir="t"/>
              </a:scene3d>
              <a:sp3d contourW="25400"/>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优化营商环境相关信息</c:v>
                </c:pt>
                <c:pt idx="1">
                  <c:v>财政领域信息</c:v>
                </c:pt>
                <c:pt idx="2">
                  <c:v>教育领域信息</c:v>
                </c:pt>
                <c:pt idx="3">
                  <c:v>医疗保障领域信息</c:v>
                </c:pt>
                <c:pt idx="4">
                  <c:v>住房保障领域政务信息</c:v>
                </c:pt>
                <c:pt idx="5">
                  <c:v>食品药品领域信息</c:v>
                </c:pt>
                <c:pt idx="6">
                  <c:v>稳岗就业领域</c:v>
                </c:pt>
                <c:pt idx="7">
                  <c:v>社会救助及养老服务领域信息</c:v>
                </c:pt>
                <c:pt idx="8">
                  <c:v>实施行政处罚</c:v>
                </c:pt>
                <c:pt idx="9">
                  <c:v>行政强制</c:v>
                </c:pt>
              </c:strCache>
            </c:strRef>
          </c:cat>
          <c:val>
            <c:numRef>
              <c:f>Sheet1!$B$2:$B$11</c:f>
              <c:numCache>
                <c:formatCode>General</c:formatCode>
                <c:ptCount val="10"/>
                <c:pt idx="0">
                  <c:v>1510</c:v>
                </c:pt>
                <c:pt idx="1">
                  <c:v>546</c:v>
                </c:pt>
                <c:pt idx="2">
                  <c:v>246</c:v>
                </c:pt>
                <c:pt idx="3">
                  <c:v>364</c:v>
                </c:pt>
                <c:pt idx="4">
                  <c:v>217</c:v>
                </c:pt>
                <c:pt idx="5">
                  <c:v>182</c:v>
                </c:pt>
                <c:pt idx="6">
                  <c:v>265</c:v>
                </c:pt>
                <c:pt idx="7">
                  <c:v>310</c:v>
                </c:pt>
                <c:pt idx="8">
                  <c:v>4402</c:v>
                </c:pt>
                <c:pt idx="9">
                  <c:v>155</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c8f8cc-8b5f-4ccc-b03e-f06d30664d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2024年泗水县人民政府依申请公开答复情况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予以公开</c:v>
                </c:pt>
                <c:pt idx="1">
                  <c:v>本机关不掌握相关政府信息</c:v>
                </c:pt>
                <c:pt idx="2">
                  <c:v>属于三类内部事务信息</c:v>
                </c:pt>
                <c:pt idx="3">
                  <c:v>保护第三方合法权益</c:v>
                </c:pt>
                <c:pt idx="4">
                  <c:v>无正当理由大量反复申请</c:v>
                </c:pt>
                <c:pt idx="5">
                  <c:v>其他处理</c:v>
                </c:pt>
              </c:strCache>
            </c:strRef>
          </c:cat>
          <c:val>
            <c:numRef>
              <c:f>Sheet1!$B$2:$B$7</c:f>
              <c:numCache>
                <c:formatCode>General</c:formatCode>
                <c:ptCount val="6"/>
                <c:pt idx="0">
                  <c:v>39</c:v>
                </c:pt>
                <c:pt idx="1">
                  <c:v>16</c:v>
                </c:pt>
                <c:pt idx="2">
                  <c:v>10</c:v>
                </c:pt>
                <c:pt idx="3">
                  <c:v>1</c:v>
                </c:pt>
                <c:pt idx="4">
                  <c:v>1</c:v>
                </c:pt>
                <c:pt idx="5">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d89f9c-4436-47b1-b30a-df3532064f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1793</Words>
  <Characters>1918</Characters>
  <Lines>0</Lines>
  <Paragraphs>0</Paragraphs>
  <TotalTime>12</TotalTime>
  <ScaleCrop>false</ScaleCrop>
  <LinksUpToDate>false</LinksUpToDate>
  <CharactersWithSpaces>1918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2025-02-20T06:00:48Z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93D30CB768AB40EDAF6F800D6F69D0F0_13</vt:lpwstr>
  </property>
  <property fmtid="{D5CDD505-2E9C-101B-9397-08002B2CF9AE}" pid="4" name="KSOTemplateDocerSaveRecord">
    <vt:lpwstr>eyJoZGlkIjoiOGViMDEyMjk1ZTA5Yzg0NzliOGJjYTRiNTMxOTBmMzQifQ==</vt:lpwstr>
  </property>
</Properties>
</file>