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泗水县文化和旅游局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年度政府信息公开工作年度报告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本报告由泗水县文化和旅游局按照《中华人民共和国政府信息公开条例》（以下简称《条例》）和《中华人民共和国政府信息公开工作年度报告格式》（国办公开办函〔2021〕30号）要求编制。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年12月31日止。本报告电子版可在“中国·泗水”政府门户网站（www.sishui.gov.cn）查阅或下载。如对本报告有疑问，请与泗水县文化和旅游局联系（地址：泗水县泉兴路7号，联系电话：0537-4221655）。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今年以来，泗水县文化和旅游认真贯彻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关于全面推进政务公开的工作部署，加强政府信息管理，着力做好主动公开，规范依申请公开答复，进一步推进工作公开透明，切实保障好人民群众的合法权益。为全面总结我局政府信息公开工作开展情况，现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将202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年度政府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信息公开工作报告如下。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（一）主动公开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方面</w:t>
      </w:r>
    </w:p>
    <w:p>
      <w:pPr>
        <w:widowControl/>
        <w:spacing w:line="555" w:lineRule="atLeast"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我局围绕2024年度重点工作及涉及群众较为关注的民生工作为抓手，通过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泗水县政府门户网站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主动公开信息83条。</w:t>
      </w:r>
      <w:r>
        <w:drawing>
          <wp:inline distT="0" distB="0" distL="114300" distR="114300">
            <wp:extent cx="5597525" cy="3142615"/>
            <wp:effectExtent l="5080" t="4445" r="17145" b="1524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具体包括履职依据2条，法规文件1条，通知公告3条，机构职能1条，建议提案18条，“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双随机、一公开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”监管1条，行政执法公示14条，优化营商环境集成23条，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法定主动公开内容等其他信息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年，泗水县文化和旅游局收到依申请公开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条，予以公开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条，未向申请人收取任何费用。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今年以来，泗水县文化和旅游局立足行业职能，着力推进组织机构健全、监督检查加强，高效有序地开展政府信息公开工作，确保政府信息公开工作有力有序有效。集中学习信息公开制度，对公开内容形式进行明确规定，健全全局政府信息公开组织领导和责任追究制度。明确专人负责信息公开工作，保障公开信息审查、网络维护、信息报送、实时更新等工作齐头并进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文旅局将泗水县政府门户网站作为政府信息公开的主阵地，按照县政府统一要求，设置各项信息公开专栏，重视信息公开发布时效性。同时积极建设微信公众号等新媒体平台，通过各种渠道及时发布实时部门动态信息，不断提高信息公开平台建设水平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切实做好政务公开工作，深化主动公开内容，县文旅局建立健全政府信息公开工作机制，切实加强对信息公开工作的监督检查，确保各项准备工作和措施落实到位。加强对信息公开工作的督查指导，研究解决工作中出现的新情况和新问题，促进信息公开工作有序、有效开展。建立和完善信息发布协调与处理机制，保证发布的信息准确一致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0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122"/>
        <w:gridCol w:w="2122"/>
        <w:gridCol w:w="2122"/>
        <w:gridCol w:w="2138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8995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8995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8995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8995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626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34" w:type="dxa"/>
          <w:bottom w:w="0" w:type="dxa"/>
          <w:right w:w="34" w:type="dxa"/>
        </w:tblCellMar>
      </w:tblPr>
      <w:tblGrid>
        <w:gridCol w:w="706"/>
        <w:gridCol w:w="869"/>
        <w:gridCol w:w="3645"/>
        <w:gridCol w:w="544"/>
        <w:gridCol w:w="647"/>
        <w:gridCol w:w="636"/>
        <w:gridCol w:w="636"/>
        <w:gridCol w:w="647"/>
        <w:gridCol w:w="651"/>
        <w:gridCol w:w="64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tblHeader/>
          <w:jc w:val="center"/>
        </w:trPr>
        <w:tc>
          <w:tcPr>
            <w:tcW w:w="522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40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tblHeader/>
          <w:jc w:val="center"/>
        </w:trPr>
        <w:tc>
          <w:tcPr>
            <w:tcW w:w="522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2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tblHeader/>
          <w:jc w:val="center"/>
        </w:trPr>
        <w:tc>
          <w:tcPr>
            <w:tcW w:w="522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52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52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三、本年度办理结果</w:t>
            </w:r>
          </w:p>
        </w:tc>
        <w:tc>
          <w:tcPr>
            <w:tcW w:w="45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（一）予以公开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45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（三）不予公开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1.属于国家秘密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2.其他法律行政法规禁止公开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3.危及“三安全一稳定”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4.保护第三方合法权益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5.属于三类内部事务信息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6.属于四类过程性信息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7.属于行政执法案卷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8.属于行政查询事项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（四）无法提供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1.本机关不掌握相关政府信息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2.没有现成信息需要另行制作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3.补正后申请内容仍不明确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（五）不予处理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1.信访举报投诉类申请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2.重复申请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3.要求提供公开出版物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4.无正当理由大量反复申请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（六）其他处理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50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3.其他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Cs w:val="21"/>
              </w:rPr>
            </w:pPr>
          </w:p>
        </w:tc>
        <w:tc>
          <w:tcPr>
            <w:tcW w:w="45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（七）总计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52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05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603"/>
        <w:gridCol w:w="603"/>
        <w:gridCol w:w="603"/>
        <w:gridCol w:w="607"/>
        <w:gridCol w:w="603"/>
        <w:gridCol w:w="603"/>
        <w:gridCol w:w="603"/>
        <w:gridCol w:w="603"/>
        <w:gridCol w:w="607"/>
        <w:gridCol w:w="603"/>
        <w:gridCol w:w="603"/>
        <w:gridCol w:w="603"/>
        <w:gridCol w:w="603"/>
        <w:gridCol w:w="60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03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（一）存在问题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对照政府信息公开要求，我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政府信息公开工作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虽相对有一些进步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，但公开信息质量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仍存在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有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较大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差距，主要表现在：一是政务公开的重点不突出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，存在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只注重形式，不注重内容，致使公开的效果不好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内容简单、流于形式的现象。二是政策解读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的内容有时仅局限于文件本身，难以从多角度多方面进行扩展，实用性不强。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（二）改进措施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一是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结合我局业务工作特点，定期在专栏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主动公开各类群众关切的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文化惠民活动和旅游节事活动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信息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等，将政务公开平台充分利用起来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。二是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提高业务能力，提升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政策解读质量。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在现有文件的基础上，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丰富政策解读内容，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通过解读的形式让公众了解更多专业内容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，进一步提高对文旅政策的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关注度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其他需要报告的事项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（一）政府信息公开的收费及减免情况。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为方便群众，我局政府信息公开实行免费服务。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（二）落实上级年度政务公开工作要点情况。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县文化和旅游局按照县政府202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年度政务公开工作任务分解表的安排，由办公室牵头，各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局机关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科室、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各局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属单位共同参与，进一步明确分工、压实责任、畅通渠道、丰富形式，及时通过县政府门户网站发布相关信息，圆满完成工作任务。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（三）人大代表建议和政协委员提案办理结果公开情况。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年，泗水县文化和旅游局共承办</w:t>
      </w:r>
      <w:r>
        <w:rPr>
          <w:rFonts w:hint="default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十九届人大三次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议案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件，县政协十届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次提案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件，均在规定时间内提前办结，办复率、解决率、见面率、满意率达100%。同时，在我单位政府网站设立专栏，集中发布了政府系统人大代表建议和政协委员提案办理结果情况。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（四）政务公开工作创新情况。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泗水县文化和旅游局围绕文化惠民、旅游富民的工作宗旨，通过各类政务公开平台，创新公共文旅服务政务公开的方式和方法，不断满足群众的精神文化需求，在工作中主动“拥抱”新媒体，推动了政策传递更加顺畅，群众获取信息更加便捷，实现了政务公开与政务新媒体融合发展的良性互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通过“泗水文旅”微信公众号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、“泗水文旅”抖音号等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推送本地新闻资讯、政策动态、安全生产、生活百科，宣传文化惠民券相关政策、惠民演出团队等各类信息，提升服务的便捷度和群众满意度，让信息公开更加透明、互动交流更加丰富，以公开透明和优质服务不断提高人民群众对文化、旅游工作的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53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4A82DC6-E333-4891-9507-189A619897F3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AA864EB-CCE0-4F8E-A35D-9F015EFFD12E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19C339-C2A5-4251-933D-CE6515BD89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EF8FDC6-DF6D-4B43-92F1-EBF1FF95D3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Fonts w:hint="default" w:ascii="Times New Roman" w:hAnsi="Times New Roman" w:cs="Times New Roman"/>
        <w:b/>
        <w:bCs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Fonts w:hint="default" w:ascii="Times New Roman" w:hAnsi="Times New Roman" w:cs="Times New Roman"/>
        <w:b/>
        <w:bCs/>
        <w:sz w:val="28"/>
        <w:szCs w:val="28"/>
      </w:rPr>
      <w:t>1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Fonts w:hint="default" w:ascii="Times New Roman" w:hAnsi="Times New Roman" w:cs="Times New Roman"/>
        <w:b/>
        <w:bCs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  <w:docVar w:name="KSO_WPS_MARK_KEY" w:val="2fd6faca-f8b7-464e-827e-e1caa49ece0f"/>
  </w:docVars>
  <w:rsids>
    <w:rsidRoot w:val="2A327330"/>
    <w:rsid w:val="086A1FB2"/>
    <w:rsid w:val="0F380907"/>
    <w:rsid w:val="12BE4024"/>
    <w:rsid w:val="140621B2"/>
    <w:rsid w:val="1D98142E"/>
    <w:rsid w:val="20D8494A"/>
    <w:rsid w:val="261C58A6"/>
    <w:rsid w:val="26E53819"/>
    <w:rsid w:val="2A327330"/>
    <w:rsid w:val="2DF7386D"/>
    <w:rsid w:val="3C290315"/>
    <w:rsid w:val="3EC80DEC"/>
    <w:rsid w:val="479B2FB7"/>
    <w:rsid w:val="49777AB0"/>
    <w:rsid w:val="4FAF25DB"/>
    <w:rsid w:val="53EF2598"/>
    <w:rsid w:val="56EF6ED8"/>
    <w:rsid w:val="5B8B0DF1"/>
    <w:rsid w:val="5C567DCB"/>
    <w:rsid w:val="636C3F4F"/>
    <w:rsid w:val="69247763"/>
    <w:rsid w:val="6985092D"/>
    <w:rsid w:val="6A482E35"/>
    <w:rsid w:val="6C88023C"/>
    <w:rsid w:val="6D8A1322"/>
    <w:rsid w:val="6E924E78"/>
    <w:rsid w:val="72DC25AE"/>
    <w:rsid w:val="78B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</a:t>
            </a:r>
            <a:r>
              <a:rPr altLang="en-US"/>
              <a:t>泗水县文旅局主动公开政府信息情况统计表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[工作簿1]Sheet1!$A$2:$A$10</c:f>
              <c:strCache>
                <c:ptCount val="9"/>
                <c:pt idx="0">
                  <c:v>履职依据</c:v>
                </c:pt>
                <c:pt idx="1">
                  <c:v>法规文件</c:v>
                </c:pt>
                <c:pt idx="2">
                  <c:v>通知公告</c:v>
                </c:pt>
                <c:pt idx="3">
                  <c:v>机构职能</c:v>
                </c:pt>
                <c:pt idx="4">
                  <c:v>建议提案</c:v>
                </c:pt>
                <c:pt idx="5">
                  <c:v>“双随机、一公开”监管</c:v>
                </c:pt>
                <c:pt idx="6">
                  <c:v>行政执法公示</c:v>
                </c:pt>
                <c:pt idx="7">
                  <c:v>优化营商环境集成</c:v>
                </c:pt>
                <c:pt idx="8">
                  <c:v>法定主动公开内容等其他信息</c:v>
                </c:pt>
              </c:strCache>
            </c:strRef>
          </c:cat>
          <c:val>
            <c:numRef>
              <c:f>[工作簿1]Sheet1!$B$2:$B$10</c:f>
              <c:numCache>
                <c:formatCode>General</c:formatCode>
                <c:ptCount val="9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18</c:v>
                </c:pt>
                <c:pt idx="5">
                  <c:v>1</c:v>
                </c:pt>
                <c:pt idx="6">
                  <c:v>14</c:v>
                </c:pt>
                <c:pt idx="7">
                  <c:v>23</c:v>
                </c:pt>
                <c:pt idx="8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2879</Words>
  <Characters>2965</Characters>
  <Lines>0</Lines>
  <Paragraphs>0</Paragraphs>
  <TotalTime>29</TotalTime>
  <ScaleCrop>false</ScaleCrop>
  <LinksUpToDate>false</LinksUpToDate>
  <CharactersWithSpaces>2965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2024-01-26T06:44:00Z</dcterms:created>
  <dc:creator>楚子娴</dc:creator>
  <cp:lastModifiedBy>WPS_1661510369</cp:lastModifiedBy>
  <dcterms:modified xsi:type="dcterms:W3CDTF">2025-01-22T01:20:22Z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3A063C1F05BD4CA2AF697A5B2456C644_13</vt:lpwstr>
  </property>
  <property fmtid="{D5CDD505-2E9C-101B-9397-08002B2CF9AE}" pid="4" name="KSOTemplateDocerSaveRecord">
    <vt:lpwstr>eyJoZGlkIjoiMDE2NGNmZWQ0MGI3ZGViZmY2Y2ZiNTY5NjM3NjZkZGEiLCJ1c2VySWQiOiIxNDgyMjM1MDAyIn0=</vt:lpwstr>
  </property>
</Properties>
</file>