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泗水县</w:t>
      </w:r>
      <w:r>
        <w:rPr>
          <w:rFonts w:hint="eastAsia" w:ascii="方正小标宋简体" w:hAnsi="方正小标宋简体" w:eastAsia="方正小标宋简体" w:cs="方正小标宋简体"/>
          <w:sz w:val="44"/>
          <w:szCs w:val="44"/>
          <w:lang w:val="en-US" w:eastAsia="zh-CN"/>
        </w:rPr>
        <w:t>国有企业发展促进中心</w:t>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政府信息公开工作年度报告</w:t>
      </w:r>
    </w:p>
    <w:p>
      <w:pPr>
        <w:pStyle w:val="2"/>
        <w:keepNext w:val="0"/>
        <w:keepLines w:val="0"/>
        <w:widowControl/>
        <w:suppressLineNumbers w:val="0"/>
        <w:spacing w:before="0" w:beforeAutospacing="0" w:after="0" w:afterAutospacing="0" w:line="420" w:lineRule="atLeast"/>
        <w:ind w:left="0" w:right="0" w:firstLine="420"/>
        <w:jc w:val="left"/>
        <w:rPr>
          <w:rFonts w:hint="default" w:asciiTheme="minorHAnsi" w:hAnsiTheme="minorHAnsi" w:eastAsiaTheme="minorEastAsia" w:cstheme="minorBidi"/>
          <w:kern w:val="2"/>
          <w:sz w:val="21"/>
          <w:szCs w:val="24"/>
          <w:lang w:val="en-US" w:eastAsia="zh-CN" w:bidi="ar-SA"/>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right="0" w:firstLine="640" w:firstLineChars="200"/>
        <w:jc w:val="left"/>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本报告由泗水县国有企业发展促进中心按照《中华人民共和国政府信息公开条例》（以下简称《条例》）和《中华人民共和国政府信息公开工作年度报告格式》（国办公开办函〔2021〕30号）要求编制。</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right="0" w:firstLine="640" w:firstLineChars="200"/>
        <w:jc w:val="left"/>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本报告内容包括总体情况、主动公开政府信息情况、收到和处理政府信息公开申请情况、政府信息公开行政复议和行政诉讼情况、存在的主要问题及改进情况、其他需要报告的事项等六部分内容。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right="0" w:firstLine="640" w:firstLineChars="200"/>
        <w:jc w:val="left"/>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本报告中所列数据的统计期限自202</w:t>
      </w:r>
      <w:r>
        <w:rPr>
          <w:rFonts w:hint="eastAsia" w:asciiTheme="minorEastAsia" w:hAnsiTheme="minorEastAsia" w:cstheme="minorEastAsia"/>
          <w:kern w:val="2"/>
          <w:sz w:val="32"/>
          <w:szCs w:val="32"/>
          <w:lang w:val="en-US" w:eastAsia="zh-CN" w:bidi="ar-SA"/>
        </w:rPr>
        <w:t>2</w:t>
      </w:r>
      <w:r>
        <w:rPr>
          <w:rFonts w:hint="eastAsia" w:asciiTheme="minorEastAsia" w:hAnsiTheme="minorEastAsia" w:eastAsiaTheme="minorEastAsia" w:cstheme="minorEastAsia"/>
          <w:kern w:val="2"/>
          <w:sz w:val="32"/>
          <w:szCs w:val="32"/>
          <w:lang w:val="en-US" w:eastAsia="zh-CN" w:bidi="ar-SA"/>
        </w:rPr>
        <w:t>年1月1日起至202</w:t>
      </w:r>
      <w:r>
        <w:rPr>
          <w:rFonts w:hint="eastAsia" w:asciiTheme="minorEastAsia" w:hAnsiTheme="minorEastAsia" w:cstheme="minorEastAsia"/>
          <w:kern w:val="2"/>
          <w:sz w:val="32"/>
          <w:szCs w:val="32"/>
          <w:lang w:val="en-US" w:eastAsia="zh-CN" w:bidi="ar-SA"/>
        </w:rPr>
        <w:t>2</w:t>
      </w:r>
      <w:r>
        <w:rPr>
          <w:rFonts w:hint="eastAsia" w:asciiTheme="minorEastAsia" w:hAnsiTheme="minorEastAsia" w:eastAsiaTheme="minorEastAsia" w:cstheme="minorEastAsia"/>
          <w:kern w:val="2"/>
          <w:sz w:val="32"/>
          <w:szCs w:val="32"/>
          <w:lang w:val="en-US" w:eastAsia="zh-CN" w:bidi="ar-SA"/>
        </w:rPr>
        <w:t>年12月31日止。本报告的电子版可在“中国·泗水”政府门户网站（www.sishui. gov.cn）”查阅或下载。如对本报告有任何疑问，请与泗水县国有企业发展促进中心办公室联系；邮编：273200；电话：0537-4220597；电子邮箱：ssxgzw@126.com。</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right="0" w:firstLine="640" w:firstLineChars="200"/>
        <w:jc w:val="left"/>
        <w:textAlignment w:val="auto"/>
        <w:rPr>
          <w:rFonts w:hint="eastAsia" w:ascii="方正黑体简体" w:hAnsi="方正黑体简体" w:eastAsia="方正黑体简体" w:cs="方正黑体简体"/>
          <w:kern w:val="2"/>
          <w:sz w:val="32"/>
          <w:szCs w:val="32"/>
          <w:lang w:val="en-US" w:eastAsia="zh-CN" w:bidi="ar-SA"/>
        </w:rPr>
      </w:pPr>
      <w:r>
        <w:rPr>
          <w:rFonts w:hint="eastAsia" w:ascii="方正黑体简体" w:hAnsi="方正黑体简体" w:eastAsia="方正黑体简体" w:cs="方正黑体简体"/>
          <w:kern w:val="2"/>
          <w:sz w:val="32"/>
          <w:szCs w:val="32"/>
          <w:lang w:val="en-US" w:eastAsia="zh-CN" w:bidi="ar-SA"/>
        </w:rPr>
        <w:t>一、总体情况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right="0" w:firstLine="640" w:firstLineChars="200"/>
        <w:jc w:val="left"/>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泗水县国有企业发展促进中心，202</w:t>
      </w:r>
      <w:r>
        <w:rPr>
          <w:rFonts w:hint="eastAsia" w:asciiTheme="minorEastAsia" w:hAnsiTheme="minorEastAsia" w:cstheme="minorEastAsia"/>
          <w:kern w:val="2"/>
          <w:sz w:val="32"/>
          <w:szCs w:val="32"/>
          <w:lang w:val="en-US" w:eastAsia="zh-CN" w:bidi="ar-SA"/>
        </w:rPr>
        <w:t>2</w:t>
      </w:r>
      <w:r>
        <w:rPr>
          <w:rFonts w:hint="eastAsia" w:asciiTheme="minorEastAsia" w:hAnsiTheme="minorEastAsia" w:eastAsiaTheme="minorEastAsia" w:cstheme="minorEastAsia"/>
          <w:kern w:val="2"/>
          <w:sz w:val="32"/>
          <w:szCs w:val="32"/>
          <w:lang w:val="en-US" w:eastAsia="zh-CN" w:bidi="ar-SA"/>
        </w:rPr>
        <w:t>年度政务公开工作严格贯彻落实《中华人民共和国政府信息公开条例》（以下简称《条例》）精神，通过进行政务公开培训、专题学习《条例》精神等形式，进一步提高思想认识，强化服务意识，坚持“以民为本、为民解困、为民服务”核心理念抓好政务公开工作落实。同时，进一步加强组织领导、健全工作制度，成立政务公开领导小组，切实做好政策解读和舆情回应工作，确保政务公开工作透明度和公正度。</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right="0" w:firstLine="640" w:firstLineChars="200"/>
        <w:jc w:val="left"/>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（一）主动公开情况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right="0" w:firstLine="640" w:firstLineChars="200"/>
        <w:jc w:val="left"/>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自2022年1月1日起至2022年12月31日止，泗水县国有企业发展促进中心通过泗水政府网站主动公开政府信息51条。其中法规文件1条，公告公示2条，部门预算2条，评估落实2条，组织管理3条，公共企事业单位1条，公共监管40条。</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right="0" w:firstLine="640" w:firstLineChars="200"/>
        <w:jc w:val="left"/>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（二）依申请公开情况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right="0" w:firstLine="640" w:firstLineChars="200"/>
        <w:jc w:val="left"/>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202</w:t>
      </w:r>
      <w:r>
        <w:rPr>
          <w:rFonts w:hint="eastAsia" w:asciiTheme="minorEastAsia" w:hAnsiTheme="minorEastAsia" w:cstheme="minorEastAsia"/>
          <w:kern w:val="2"/>
          <w:sz w:val="32"/>
          <w:szCs w:val="32"/>
          <w:lang w:val="en-US" w:eastAsia="zh-CN" w:bidi="ar-SA"/>
        </w:rPr>
        <w:t>2</w:t>
      </w:r>
      <w:r>
        <w:rPr>
          <w:rFonts w:hint="eastAsia" w:asciiTheme="minorEastAsia" w:hAnsiTheme="minorEastAsia" w:eastAsiaTheme="minorEastAsia" w:cstheme="minorEastAsia"/>
          <w:kern w:val="2"/>
          <w:sz w:val="32"/>
          <w:szCs w:val="32"/>
          <w:lang w:val="en-US" w:eastAsia="zh-CN" w:bidi="ar-SA"/>
        </w:rPr>
        <w:t>年，泗水县国有企业发展促进中心无依申请公开情况。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right="0" w:firstLine="640" w:firstLineChars="200"/>
        <w:jc w:val="left"/>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（三）因政府信息公开申请行政复议，提起行政诉讼情况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right="0" w:firstLine="640" w:firstLineChars="200"/>
        <w:jc w:val="left"/>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202</w:t>
      </w:r>
      <w:r>
        <w:rPr>
          <w:rFonts w:hint="eastAsia" w:asciiTheme="minorEastAsia" w:hAnsiTheme="minorEastAsia" w:cstheme="minorEastAsia"/>
          <w:kern w:val="2"/>
          <w:sz w:val="32"/>
          <w:szCs w:val="32"/>
          <w:lang w:val="en-US" w:eastAsia="zh-CN" w:bidi="ar-SA"/>
        </w:rPr>
        <w:t>2</w:t>
      </w:r>
      <w:r>
        <w:rPr>
          <w:rFonts w:hint="eastAsia" w:asciiTheme="minorEastAsia" w:hAnsiTheme="minorEastAsia" w:eastAsiaTheme="minorEastAsia" w:cstheme="minorEastAsia"/>
          <w:kern w:val="2"/>
          <w:sz w:val="32"/>
          <w:szCs w:val="32"/>
          <w:lang w:val="en-US" w:eastAsia="zh-CN" w:bidi="ar-SA"/>
        </w:rPr>
        <w:t>年，泗水县国有企业发展促进中心未出现因政府信息公开引起的行政复议、行政诉讼的情况。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right="0" w:firstLine="640" w:firstLineChars="200"/>
        <w:jc w:val="left"/>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（四）政府信息管理情况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right="0" w:firstLine="640" w:firstLineChars="200"/>
        <w:jc w:val="left"/>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我单位按照《中华人民共和国政府信息公开条例》精神，严格落实政务公开责任制，进一步完善信息公开制度，细化信息公开内容，做到任务到人，责任到岗，严格做到“谁主管、谁审核、谁发布、谁负责”的原则，推动公开工作有序开展,明确专职人员进行信息公开报送，进一步明确政务公开责任追究办法，完善保密审查等程序，完善配套制度，确保政务信息公开工作取得实效。</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right="0" w:firstLine="640" w:firstLineChars="200"/>
        <w:jc w:val="left"/>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（五）保密审查及监督检查情况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right="0" w:firstLine="640" w:firstLineChars="200"/>
        <w:jc w:val="left"/>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泗水县国有企业发展促进中心认真完善政务公开制度，健全公开机制，加强组织领导和部门机构协调，成立了政务公开领导小组，按照“主要领导亲自抓，分管领导具体抓，专人负责工作落实”总体要求，推进政府信息公开工作全面落实。加强对信息公开工作实施和保密情况进行监督检查，确保公开内容真实有效。202</w:t>
      </w:r>
      <w:r>
        <w:rPr>
          <w:rFonts w:hint="eastAsia" w:asciiTheme="minorEastAsia" w:hAnsiTheme="minorEastAsia" w:cstheme="minorEastAsia"/>
          <w:kern w:val="2"/>
          <w:sz w:val="32"/>
          <w:szCs w:val="32"/>
          <w:lang w:val="en-US" w:eastAsia="zh-CN" w:bidi="ar-SA"/>
        </w:rPr>
        <w:t>2</w:t>
      </w:r>
      <w:r>
        <w:rPr>
          <w:rFonts w:hint="eastAsia" w:asciiTheme="minorEastAsia" w:hAnsiTheme="minorEastAsia" w:eastAsiaTheme="minorEastAsia" w:cstheme="minorEastAsia"/>
          <w:kern w:val="2"/>
          <w:sz w:val="32"/>
          <w:szCs w:val="32"/>
          <w:lang w:val="en-US" w:eastAsia="zh-CN" w:bidi="ar-SA"/>
        </w:rPr>
        <w:t>年度，我</w:t>
      </w:r>
      <w:r>
        <w:rPr>
          <w:rFonts w:hint="eastAsia" w:asciiTheme="minorEastAsia" w:hAnsiTheme="minorEastAsia" w:cstheme="minorEastAsia"/>
          <w:kern w:val="2"/>
          <w:sz w:val="32"/>
          <w:szCs w:val="32"/>
          <w:lang w:val="en-US" w:eastAsia="zh-CN" w:bidi="ar-SA"/>
        </w:rPr>
        <w:t>单位</w:t>
      </w:r>
      <w:r>
        <w:rPr>
          <w:rFonts w:hint="eastAsia" w:asciiTheme="minorEastAsia" w:hAnsiTheme="minorEastAsia" w:eastAsiaTheme="minorEastAsia" w:cstheme="minorEastAsia"/>
          <w:kern w:val="2"/>
          <w:sz w:val="32"/>
          <w:szCs w:val="32"/>
          <w:lang w:val="en-US" w:eastAsia="zh-CN" w:bidi="ar-SA"/>
        </w:rPr>
        <w:t>政务公开工作未发生责任追究情况。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right="0" w:firstLine="640" w:firstLineChars="200"/>
        <w:jc w:val="lef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二、主动公开政府信息情况</w:t>
      </w: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103"/>
        <w:gridCol w:w="2103"/>
        <w:gridCol w:w="2103"/>
        <w:gridCol w:w="21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000" w:type="pct"/>
            <w:gridSpan w:val="4"/>
            <w:tcBorders>
              <w:top w:val="single" w:color="auto" w:sz="6" w:space="0"/>
              <w:left w:val="single" w:color="auto" w:sz="6" w:space="0"/>
              <w:bottom w:val="single" w:color="auto" w:sz="6" w:space="0"/>
              <w:right w:val="single" w:color="auto" w:sz="6" w:space="0"/>
            </w:tcBorders>
            <w:shd w:val="clear" w:color="auto" w:fill="C6D9F1"/>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1248" w:type="pc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信息内容</w:t>
            </w:r>
          </w:p>
        </w:tc>
        <w:tc>
          <w:tcPr>
            <w:tcW w:w="1248" w:type="pct"/>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本年制发件数</w:t>
            </w:r>
          </w:p>
        </w:tc>
        <w:tc>
          <w:tcPr>
            <w:tcW w:w="1248" w:type="pct"/>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本年废止件数</w:t>
            </w:r>
          </w:p>
        </w:tc>
        <w:tc>
          <w:tcPr>
            <w:tcW w:w="1256" w:type="pct"/>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1248" w:type="pc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规章</w:t>
            </w:r>
          </w:p>
        </w:tc>
        <w:tc>
          <w:tcPr>
            <w:tcW w:w="1248" w:type="pct"/>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1248" w:type="pct"/>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1256" w:type="pct"/>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1248" w:type="pc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行政规范性文件</w:t>
            </w:r>
          </w:p>
        </w:tc>
        <w:tc>
          <w:tcPr>
            <w:tcW w:w="1248" w:type="pct"/>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1248" w:type="pct"/>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1256" w:type="pct"/>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5000" w:type="pct"/>
            <w:gridSpan w:val="4"/>
            <w:tcBorders>
              <w:top w:val="nil"/>
              <w:left w:val="single" w:color="auto" w:sz="6" w:space="0"/>
              <w:bottom w:val="single" w:color="auto" w:sz="6" w:space="0"/>
              <w:right w:val="single" w:color="auto" w:sz="6" w:space="0"/>
            </w:tcBorders>
            <w:shd w:val="clear" w:color="auto" w:fill="C6D9F1"/>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1248" w:type="pc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信息内容</w:t>
            </w:r>
          </w:p>
        </w:tc>
        <w:tc>
          <w:tcPr>
            <w:tcW w:w="3752" w:type="pct"/>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1248" w:type="pc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行政许可</w:t>
            </w:r>
          </w:p>
        </w:tc>
        <w:tc>
          <w:tcPr>
            <w:tcW w:w="3752" w:type="pct"/>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000" w:type="pct"/>
            <w:gridSpan w:val="4"/>
            <w:tcBorders>
              <w:top w:val="nil"/>
              <w:left w:val="single" w:color="auto" w:sz="6" w:space="0"/>
              <w:bottom w:val="single" w:color="auto" w:sz="6" w:space="0"/>
              <w:right w:val="single" w:color="auto" w:sz="6" w:space="0"/>
            </w:tcBorders>
            <w:shd w:val="clear" w:color="auto" w:fill="C6D9F1"/>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1248" w:type="pc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信息内容</w:t>
            </w:r>
          </w:p>
        </w:tc>
        <w:tc>
          <w:tcPr>
            <w:tcW w:w="3752" w:type="pct"/>
            <w:gridSpan w:val="3"/>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1248" w:type="pc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行政处罚</w:t>
            </w:r>
          </w:p>
        </w:tc>
        <w:tc>
          <w:tcPr>
            <w:tcW w:w="3752" w:type="pct"/>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1248" w:type="pc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行政强制</w:t>
            </w:r>
          </w:p>
        </w:tc>
        <w:tc>
          <w:tcPr>
            <w:tcW w:w="3752" w:type="pct"/>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5000" w:type="pct"/>
            <w:gridSpan w:val="4"/>
            <w:tcBorders>
              <w:top w:val="nil"/>
              <w:left w:val="single" w:color="auto" w:sz="6" w:space="0"/>
              <w:bottom w:val="single" w:color="auto" w:sz="6" w:space="0"/>
              <w:right w:val="single" w:color="auto" w:sz="6" w:space="0"/>
            </w:tcBorders>
            <w:shd w:val="clear" w:color="auto" w:fill="C6D9F1"/>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1248" w:type="pc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信息内容</w:t>
            </w:r>
          </w:p>
        </w:tc>
        <w:tc>
          <w:tcPr>
            <w:tcW w:w="3752" w:type="pct"/>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rPr>
        <w:tc>
          <w:tcPr>
            <w:tcW w:w="1248" w:type="pc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行政事业性收费</w:t>
            </w:r>
          </w:p>
        </w:tc>
        <w:tc>
          <w:tcPr>
            <w:tcW w:w="3752" w:type="pct"/>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r>
    </w:tbl>
    <w:p>
      <w:pPr>
        <w:pStyle w:val="2"/>
        <w:keepNext w:val="0"/>
        <w:keepLines w:val="0"/>
        <w:widowControl/>
        <w:suppressLineNumbers w:val="0"/>
        <w:spacing w:before="0" w:beforeAutospacing="0" w:after="0" w:afterAutospacing="0" w:line="420" w:lineRule="atLeast"/>
        <w:ind w:left="0" w:right="0" w:firstLine="0"/>
        <w:rPr>
          <w:rFonts w:hint="eastAsia" w:asciiTheme="minorEastAsia" w:hAnsiTheme="minorEastAsia" w:eastAsiaTheme="minorEastAsia" w:cstheme="minorEastAsia"/>
          <w:i w:val="0"/>
          <w:iCs w:val="0"/>
          <w:caps w:val="0"/>
          <w:color w:val="000000"/>
          <w:spacing w:val="0"/>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right="0" w:firstLine="640" w:firstLineChars="200"/>
        <w:jc w:val="left"/>
        <w:textAlignment w:val="auto"/>
        <w:rPr>
          <w:rFonts w:hint="eastAsia" w:ascii="方正黑体简体" w:hAnsi="方正黑体简体" w:eastAsia="方正黑体简体" w:cs="方正黑体简体"/>
          <w:kern w:val="2"/>
          <w:sz w:val="32"/>
          <w:szCs w:val="32"/>
          <w:lang w:val="en-US" w:eastAsia="zh-CN" w:bidi="ar-SA"/>
        </w:rPr>
      </w:pPr>
      <w:r>
        <w:rPr>
          <w:rFonts w:hint="eastAsia" w:ascii="方正黑体简体" w:hAnsi="方正黑体简体" w:eastAsia="方正黑体简体" w:cs="方正黑体简体"/>
          <w:kern w:val="2"/>
          <w:sz w:val="32"/>
          <w:szCs w:val="32"/>
          <w:lang w:val="en-US" w:eastAsia="zh-CN" w:bidi="ar-SA"/>
        </w:rPr>
        <w:t>三、收到和处理政府信息公开申请情况</w:t>
      </w:r>
    </w:p>
    <w:tbl>
      <w:tblPr>
        <w:tblStyle w:val="3"/>
        <w:tblW w:w="5000" w:type="pct"/>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60"/>
        <w:gridCol w:w="1080"/>
        <w:gridCol w:w="2432"/>
        <w:gridCol w:w="598"/>
        <w:gridCol w:w="598"/>
        <w:gridCol w:w="587"/>
        <w:gridCol w:w="587"/>
        <w:gridCol w:w="598"/>
        <w:gridCol w:w="610"/>
        <w:gridCol w:w="621"/>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jc w:val="center"/>
        </w:trPr>
        <w:tc>
          <w:tcPr>
            <w:tcW w:w="4500" w:type="dxa"/>
            <w:gridSpan w:val="3"/>
            <w:vMerge w:val="restart"/>
            <w:tcBorders>
              <w:top w:val="single" w:color="auto" w:sz="12" w:space="0"/>
              <w:left w:val="single" w:color="auto" w:sz="12"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（本列数据的勾稽关系为：第一项加第二项之和，等于第三项加第四项之和）</w:t>
            </w:r>
          </w:p>
        </w:tc>
        <w:tc>
          <w:tcPr>
            <w:tcW w:w="4515" w:type="dxa"/>
            <w:gridSpan w:val="7"/>
            <w:tcBorders>
              <w:top w:val="single" w:color="auto" w:sz="12" w:space="0"/>
              <w:left w:val="single" w:color="auto" w:sz="6" w:space="0"/>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申请人情况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jc w:val="center"/>
        </w:trPr>
        <w:tc>
          <w:tcPr>
            <w:tcW w:w="4500" w:type="dxa"/>
            <w:gridSpan w:val="3"/>
            <w:vMerge w:val="continue"/>
            <w:tcBorders>
              <w:top w:val="single" w:color="auto" w:sz="12" w:space="0"/>
              <w:left w:val="single" w:color="auto" w:sz="12"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Theme="minorEastAsia" w:hAnsiTheme="minorEastAsia" w:eastAsiaTheme="minorEastAsia" w:cstheme="minorEastAsia"/>
                <w:sz w:val="32"/>
                <w:szCs w:val="32"/>
              </w:rPr>
            </w:pPr>
          </w:p>
        </w:tc>
        <w:tc>
          <w:tcPr>
            <w:tcW w:w="645"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自然人</w:t>
            </w:r>
          </w:p>
        </w:tc>
        <w:tc>
          <w:tcPr>
            <w:tcW w:w="3210"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法人或其他组织</w:t>
            </w:r>
          </w:p>
        </w:tc>
        <w:tc>
          <w:tcPr>
            <w:tcW w:w="645" w:type="dxa"/>
            <w:vMerge w:val="restart"/>
            <w:tcBorders>
              <w:top w:val="single" w:color="auto" w:sz="6" w:space="0"/>
              <w:left w:val="single" w:color="auto" w:sz="6" w:space="0"/>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jc w:val="center"/>
        </w:trPr>
        <w:tc>
          <w:tcPr>
            <w:tcW w:w="4500" w:type="dxa"/>
            <w:gridSpan w:val="3"/>
            <w:vMerge w:val="continue"/>
            <w:tcBorders>
              <w:top w:val="single" w:color="auto" w:sz="12" w:space="0"/>
              <w:left w:val="single" w:color="auto" w:sz="12"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Theme="minorEastAsia" w:hAnsiTheme="minorEastAsia" w:eastAsiaTheme="minorEastAsia" w:cstheme="minorEastAsia"/>
                <w:sz w:val="32"/>
                <w:szCs w:val="32"/>
              </w:rPr>
            </w:pPr>
          </w:p>
        </w:tc>
        <w:tc>
          <w:tcPr>
            <w:tcW w:w="64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Theme="minorEastAsia" w:hAnsiTheme="minorEastAsia" w:eastAsiaTheme="minorEastAsia" w:cstheme="minorEastAsia"/>
                <w:sz w:val="32"/>
                <w:szCs w:val="32"/>
              </w:rPr>
            </w:pP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商业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企业</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科研</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机构</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社会公益组织</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法律服务机构</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其他</w:t>
            </w:r>
          </w:p>
        </w:tc>
        <w:tc>
          <w:tcPr>
            <w:tcW w:w="645" w:type="dxa"/>
            <w:vMerge w:val="continue"/>
            <w:tcBorders>
              <w:top w:val="single" w:color="auto" w:sz="6" w:space="0"/>
              <w:left w:val="single" w:color="auto" w:sz="6" w:space="0"/>
              <w:bottom w:val="single" w:color="auto" w:sz="6" w:space="0"/>
              <w:right w:val="single" w:color="auto" w:sz="12" w:space="0"/>
            </w:tcBorders>
            <w:shd w:val="clear" w:color="auto" w:fill="auto"/>
            <w:tcMar>
              <w:top w:w="0" w:type="dxa"/>
              <w:left w:w="60" w:type="dxa"/>
              <w:bottom w:w="0" w:type="dxa"/>
              <w:right w:w="60" w:type="dxa"/>
            </w:tcMar>
            <w:vAlign w:val="center"/>
          </w:tcPr>
          <w:p>
            <w:pPr>
              <w:rPr>
                <w:rFonts w:hint="eastAsia" w:asciiTheme="minorEastAsia" w:hAnsiTheme="minorEastAsia" w:eastAsiaTheme="minorEastAsia" w:cstheme="minorEastAsia"/>
                <w:sz w:val="32"/>
                <w:szCs w:val="32"/>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jc w:val="center"/>
        </w:trPr>
        <w:tc>
          <w:tcPr>
            <w:tcW w:w="4500" w:type="dxa"/>
            <w:gridSpan w:val="3"/>
            <w:tcBorders>
              <w:top w:val="single" w:color="auto" w:sz="6" w:space="0"/>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一、本年新收政府信息公开申请数量</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jc w:val="center"/>
        </w:trPr>
        <w:tc>
          <w:tcPr>
            <w:tcW w:w="4500" w:type="dxa"/>
            <w:gridSpan w:val="3"/>
            <w:tcBorders>
              <w:top w:val="single" w:color="auto" w:sz="6" w:space="0"/>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二、上年结转政府信息公开申请数量</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jc w:val="center"/>
        </w:trPr>
        <w:tc>
          <w:tcPr>
            <w:tcW w:w="705" w:type="dxa"/>
            <w:vMerge w:val="restart"/>
            <w:tcBorders>
              <w:top w:val="single" w:color="auto" w:sz="6" w:space="0"/>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三、本年度办理结果</w:t>
            </w:r>
          </w:p>
        </w:tc>
        <w:tc>
          <w:tcPr>
            <w:tcW w:w="3795"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（一）予以公开</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10" w:hRule="atLeast"/>
          <w:jc w:val="center"/>
        </w:trPr>
        <w:tc>
          <w:tcPr>
            <w:tcW w:w="705" w:type="dxa"/>
            <w:vMerge w:val="continue"/>
            <w:tcBorders>
              <w:top w:val="single" w:color="auto" w:sz="6" w:space="0"/>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Theme="minorEastAsia" w:hAnsiTheme="minorEastAsia" w:eastAsiaTheme="minorEastAsia" w:cstheme="minorEastAsia"/>
                <w:sz w:val="32"/>
                <w:szCs w:val="32"/>
              </w:rPr>
            </w:pPr>
          </w:p>
        </w:tc>
        <w:tc>
          <w:tcPr>
            <w:tcW w:w="3795"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（二）部分公开（区分处理的，只计这一情形，不计其他情形）</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10" w:hRule="atLeast"/>
          <w:jc w:val="center"/>
        </w:trPr>
        <w:tc>
          <w:tcPr>
            <w:tcW w:w="705" w:type="dxa"/>
            <w:vMerge w:val="continue"/>
            <w:tcBorders>
              <w:top w:val="single" w:color="auto" w:sz="6" w:space="0"/>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Theme="minorEastAsia" w:hAnsiTheme="minorEastAsia" w:eastAsiaTheme="minorEastAsia" w:cstheme="minorEastAsia"/>
                <w:sz w:val="32"/>
                <w:szCs w:val="32"/>
              </w:rPr>
            </w:pPr>
          </w:p>
        </w:tc>
        <w:tc>
          <w:tcPr>
            <w:tcW w:w="870"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（三）不予公开</w:t>
            </w:r>
          </w:p>
        </w:tc>
        <w:tc>
          <w:tcPr>
            <w:tcW w:w="292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1.属于国家秘密</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10" w:hRule="atLeast"/>
          <w:jc w:val="center"/>
        </w:trPr>
        <w:tc>
          <w:tcPr>
            <w:tcW w:w="705" w:type="dxa"/>
            <w:vMerge w:val="continue"/>
            <w:tcBorders>
              <w:top w:val="single" w:color="auto" w:sz="6" w:space="0"/>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Theme="minorEastAsia" w:hAnsiTheme="minorEastAsia" w:eastAsiaTheme="minorEastAsia" w:cstheme="minorEastAsia"/>
                <w:sz w:val="32"/>
                <w:szCs w:val="32"/>
              </w:rPr>
            </w:pPr>
          </w:p>
        </w:tc>
        <w:tc>
          <w:tcPr>
            <w:tcW w:w="87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Theme="minorEastAsia" w:hAnsiTheme="minorEastAsia" w:eastAsiaTheme="minorEastAsia" w:cstheme="minorEastAsia"/>
                <w:sz w:val="32"/>
                <w:szCs w:val="32"/>
              </w:rPr>
            </w:pPr>
          </w:p>
        </w:tc>
        <w:tc>
          <w:tcPr>
            <w:tcW w:w="292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2.其他法律行政法规禁止公开</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10" w:hRule="atLeast"/>
          <w:jc w:val="center"/>
        </w:trPr>
        <w:tc>
          <w:tcPr>
            <w:tcW w:w="705" w:type="dxa"/>
            <w:vMerge w:val="continue"/>
            <w:tcBorders>
              <w:top w:val="single" w:color="auto" w:sz="6" w:space="0"/>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Theme="minorEastAsia" w:hAnsiTheme="minorEastAsia" w:eastAsiaTheme="minorEastAsia" w:cstheme="minorEastAsia"/>
                <w:sz w:val="32"/>
                <w:szCs w:val="32"/>
              </w:rPr>
            </w:pPr>
          </w:p>
        </w:tc>
        <w:tc>
          <w:tcPr>
            <w:tcW w:w="87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Theme="minorEastAsia" w:hAnsiTheme="minorEastAsia" w:eastAsiaTheme="minorEastAsia" w:cstheme="minorEastAsia"/>
                <w:sz w:val="32"/>
                <w:szCs w:val="32"/>
              </w:rPr>
            </w:pPr>
          </w:p>
        </w:tc>
        <w:tc>
          <w:tcPr>
            <w:tcW w:w="292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3.危及“三安全一稳定”</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jc w:val="center"/>
        </w:trPr>
        <w:tc>
          <w:tcPr>
            <w:tcW w:w="705" w:type="dxa"/>
            <w:vMerge w:val="continue"/>
            <w:tcBorders>
              <w:top w:val="single" w:color="auto" w:sz="6" w:space="0"/>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Theme="minorEastAsia" w:hAnsiTheme="minorEastAsia" w:eastAsiaTheme="minorEastAsia" w:cstheme="minorEastAsia"/>
                <w:sz w:val="32"/>
                <w:szCs w:val="32"/>
              </w:rPr>
            </w:pPr>
          </w:p>
        </w:tc>
        <w:tc>
          <w:tcPr>
            <w:tcW w:w="87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Theme="minorEastAsia" w:hAnsiTheme="minorEastAsia" w:eastAsiaTheme="minorEastAsia" w:cstheme="minorEastAsia"/>
                <w:sz w:val="32"/>
                <w:szCs w:val="32"/>
              </w:rPr>
            </w:pPr>
          </w:p>
        </w:tc>
        <w:tc>
          <w:tcPr>
            <w:tcW w:w="292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4.保护第三方合法权益</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jc w:val="center"/>
        </w:trPr>
        <w:tc>
          <w:tcPr>
            <w:tcW w:w="705" w:type="dxa"/>
            <w:vMerge w:val="continue"/>
            <w:tcBorders>
              <w:top w:val="single" w:color="auto" w:sz="6" w:space="0"/>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Theme="minorEastAsia" w:hAnsiTheme="minorEastAsia" w:eastAsiaTheme="minorEastAsia" w:cstheme="minorEastAsia"/>
                <w:sz w:val="32"/>
                <w:szCs w:val="32"/>
              </w:rPr>
            </w:pPr>
          </w:p>
        </w:tc>
        <w:tc>
          <w:tcPr>
            <w:tcW w:w="87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Theme="minorEastAsia" w:hAnsiTheme="minorEastAsia" w:eastAsiaTheme="minorEastAsia" w:cstheme="minorEastAsia"/>
                <w:sz w:val="32"/>
                <w:szCs w:val="32"/>
              </w:rPr>
            </w:pPr>
          </w:p>
        </w:tc>
        <w:tc>
          <w:tcPr>
            <w:tcW w:w="292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5.属于三类内部事务信息</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10" w:hRule="atLeast"/>
          <w:jc w:val="center"/>
        </w:trPr>
        <w:tc>
          <w:tcPr>
            <w:tcW w:w="705" w:type="dxa"/>
            <w:vMerge w:val="continue"/>
            <w:tcBorders>
              <w:top w:val="single" w:color="auto" w:sz="6" w:space="0"/>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Theme="minorEastAsia" w:hAnsiTheme="minorEastAsia" w:eastAsiaTheme="minorEastAsia" w:cstheme="minorEastAsia"/>
                <w:sz w:val="32"/>
                <w:szCs w:val="32"/>
              </w:rPr>
            </w:pPr>
          </w:p>
        </w:tc>
        <w:tc>
          <w:tcPr>
            <w:tcW w:w="87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Theme="minorEastAsia" w:hAnsiTheme="minorEastAsia" w:eastAsiaTheme="minorEastAsia" w:cstheme="minorEastAsia"/>
                <w:sz w:val="32"/>
                <w:szCs w:val="32"/>
              </w:rPr>
            </w:pPr>
          </w:p>
        </w:tc>
        <w:tc>
          <w:tcPr>
            <w:tcW w:w="292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6.属于四类过程性信息</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jc w:val="center"/>
        </w:trPr>
        <w:tc>
          <w:tcPr>
            <w:tcW w:w="705" w:type="dxa"/>
            <w:vMerge w:val="continue"/>
            <w:tcBorders>
              <w:top w:val="single" w:color="auto" w:sz="6" w:space="0"/>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Theme="minorEastAsia" w:hAnsiTheme="minorEastAsia" w:eastAsiaTheme="minorEastAsia" w:cstheme="minorEastAsia"/>
                <w:sz w:val="32"/>
                <w:szCs w:val="32"/>
              </w:rPr>
            </w:pPr>
          </w:p>
        </w:tc>
        <w:tc>
          <w:tcPr>
            <w:tcW w:w="87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Theme="minorEastAsia" w:hAnsiTheme="minorEastAsia" w:eastAsiaTheme="minorEastAsia" w:cstheme="minorEastAsia"/>
                <w:sz w:val="32"/>
                <w:szCs w:val="32"/>
              </w:rPr>
            </w:pPr>
          </w:p>
        </w:tc>
        <w:tc>
          <w:tcPr>
            <w:tcW w:w="292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7.属于行政执法案卷</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jc w:val="center"/>
        </w:trPr>
        <w:tc>
          <w:tcPr>
            <w:tcW w:w="705" w:type="dxa"/>
            <w:vMerge w:val="continue"/>
            <w:tcBorders>
              <w:top w:val="single" w:color="auto" w:sz="6" w:space="0"/>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Theme="minorEastAsia" w:hAnsiTheme="minorEastAsia" w:eastAsiaTheme="minorEastAsia" w:cstheme="minorEastAsia"/>
                <w:sz w:val="32"/>
                <w:szCs w:val="32"/>
              </w:rPr>
            </w:pPr>
          </w:p>
        </w:tc>
        <w:tc>
          <w:tcPr>
            <w:tcW w:w="87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Theme="minorEastAsia" w:hAnsiTheme="minorEastAsia" w:eastAsiaTheme="minorEastAsia" w:cstheme="minorEastAsia"/>
                <w:sz w:val="32"/>
                <w:szCs w:val="32"/>
              </w:rPr>
            </w:pPr>
          </w:p>
        </w:tc>
        <w:tc>
          <w:tcPr>
            <w:tcW w:w="292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8.属于行政查询事项</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jc w:val="center"/>
        </w:trPr>
        <w:tc>
          <w:tcPr>
            <w:tcW w:w="705" w:type="dxa"/>
            <w:vMerge w:val="continue"/>
            <w:tcBorders>
              <w:top w:val="single" w:color="auto" w:sz="6" w:space="0"/>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Theme="minorEastAsia" w:hAnsiTheme="minorEastAsia" w:eastAsiaTheme="minorEastAsia" w:cstheme="minorEastAsia"/>
                <w:sz w:val="32"/>
                <w:szCs w:val="32"/>
              </w:rPr>
            </w:pPr>
          </w:p>
        </w:tc>
        <w:tc>
          <w:tcPr>
            <w:tcW w:w="870"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（四）无法提供</w:t>
            </w:r>
          </w:p>
        </w:tc>
        <w:tc>
          <w:tcPr>
            <w:tcW w:w="292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1.本机关不掌握相关政府信息</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jc w:val="center"/>
        </w:trPr>
        <w:tc>
          <w:tcPr>
            <w:tcW w:w="705" w:type="dxa"/>
            <w:vMerge w:val="continue"/>
            <w:tcBorders>
              <w:top w:val="single" w:color="auto" w:sz="6" w:space="0"/>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Theme="minorEastAsia" w:hAnsiTheme="minorEastAsia" w:eastAsiaTheme="minorEastAsia" w:cstheme="minorEastAsia"/>
                <w:sz w:val="32"/>
                <w:szCs w:val="32"/>
              </w:rPr>
            </w:pPr>
          </w:p>
        </w:tc>
        <w:tc>
          <w:tcPr>
            <w:tcW w:w="87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Theme="minorEastAsia" w:hAnsiTheme="minorEastAsia" w:eastAsiaTheme="minorEastAsia" w:cstheme="minorEastAsia"/>
                <w:sz w:val="32"/>
                <w:szCs w:val="32"/>
              </w:rPr>
            </w:pPr>
          </w:p>
        </w:tc>
        <w:tc>
          <w:tcPr>
            <w:tcW w:w="292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2.没有现成信息需要另行制作</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jc w:val="center"/>
        </w:trPr>
        <w:tc>
          <w:tcPr>
            <w:tcW w:w="705" w:type="dxa"/>
            <w:vMerge w:val="continue"/>
            <w:tcBorders>
              <w:top w:val="single" w:color="auto" w:sz="6" w:space="0"/>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Theme="minorEastAsia" w:hAnsiTheme="minorEastAsia" w:eastAsiaTheme="minorEastAsia" w:cstheme="minorEastAsia"/>
                <w:sz w:val="32"/>
                <w:szCs w:val="32"/>
              </w:rPr>
            </w:pPr>
          </w:p>
        </w:tc>
        <w:tc>
          <w:tcPr>
            <w:tcW w:w="87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Theme="minorEastAsia" w:hAnsiTheme="minorEastAsia" w:eastAsiaTheme="minorEastAsia" w:cstheme="minorEastAsia"/>
                <w:sz w:val="32"/>
                <w:szCs w:val="32"/>
              </w:rPr>
            </w:pPr>
          </w:p>
        </w:tc>
        <w:tc>
          <w:tcPr>
            <w:tcW w:w="292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3.补正后申请内容仍不明确</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jc w:val="center"/>
        </w:trPr>
        <w:tc>
          <w:tcPr>
            <w:tcW w:w="705" w:type="dxa"/>
            <w:vMerge w:val="continue"/>
            <w:tcBorders>
              <w:top w:val="single" w:color="auto" w:sz="6" w:space="0"/>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Theme="minorEastAsia" w:hAnsiTheme="minorEastAsia" w:eastAsiaTheme="minorEastAsia" w:cstheme="minorEastAsia"/>
                <w:sz w:val="32"/>
                <w:szCs w:val="32"/>
              </w:rPr>
            </w:pPr>
          </w:p>
        </w:tc>
        <w:tc>
          <w:tcPr>
            <w:tcW w:w="870"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（五）不予处理</w:t>
            </w:r>
          </w:p>
        </w:tc>
        <w:tc>
          <w:tcPr>
            <w:tcW w:w="292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1.信访举报投诉类申请</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jc w:val="center"/>
        </w:trPr>
        <w:tc>
          <w:tcPr>
            <w:tcW w:w="705" w:type="dxa"/>
            <w:vMerge w:val="continue"/>
            <w:tcBorders>
              <w:top w:val="single" w:color="auto" w:sz="6" w:space="0"/>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Theme="minorEastAsia" w:hAnsiTheme="minorEastAsia" w:eastAsiaTheme="minorEastAsia" w:cstheme="minorEastAsia"/>
                <w:sz w:val="32"/>
                <w:szCs w:val="32"/>
              </w:rPr>
            </w:pPr>
          </w:p>
        </w:tc>
        <w:tc>
          <w:tcPr>
            <w:tcW w:w="87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Theme="minorEastAsia" w:hAnsiTheme="minorEastAsia" w:eastAsiaTheme="minorEastAsia" w:cstheme="minorEastAsia"/>
                <w:sz w:val="32"/>
                <w:szCs w:val="32"/>
              </w:rPr>
            </w:pPr>
          </w:p>
        </w:tc>
        <w:tc>
          <w:tcPr>
            <w:tcW w:w="292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2.重复申请</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jc w:val="center"/>
        </w:trPr>
        <w:tc>
          <w:tcPr>
            <w:tcW w:w="705" w:type="dxa"/>
            <w:vMerge w:val="continue"/>
            <w:tcBorders>
              <w:top w:val="single" w:color="auto" w:sz="6" w:space="0"/>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Theme="minorEastAsia" w:hAnsiTheme="minorEastAsia" w:eastAsiaTheme="minorEastAsia" w:cstheme="minorEastAsia"/>
                <w:sz w:val="32"/>
                <w:szCs w:val="32"/>
              </w:rPr>
            </w:pPr>
          </w:p>
        </w:tc>
        <w:tc>
          <w:tcPr>
            <w:tcW w:w="87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Theme="minorEastAsia" w:hAnsiTheme="minorEastAsia" w:eastAsiaTheme="minorEastAsia" w:cstheme="minorEastAsia"/>
                <w:sz w:val="32"/>
                <w:szCs w:val="32"/>
              </w:rPr>
            </w:pPr>
          </w:p>
        </w:tc>
        <w:tc>
          <w:tcPr>
            <w:tcW w:w="292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3.要求提供公开出版物</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jc w:val="center"/>
        </w:trPr>
        <w:tc>
          <w:tcPr>
            <w:tcW w:w="705" w:type="dxa"/>
            <w:vMerge w:val="continue"/>
            <w:tcBorders>
              <w:top w:val="single" w:color="auto" w:sz="6" w:space="0"/>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Theme="minorEastAsia" w:hAnsiTheme="minorEastAsia" w:eastAsiaTheme="minorEastAsia" w:cstheme="minorEastAsia"/>
                <w:sz w:val="32"/>
                <w:szCs w:val="32"/>
              </w:rPr>
            </w:pPr>
          </w:p>
        </w:tc>
        <w:tc>
          <w:tcPr>
            <w:tcW w:w="87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Theme="minorEastAsia" w:hAnsiTheme="minorEastAsia" w:eastAsiaTheme="minorEastAsia" w:cstheme="minorEastAsia"/>
                <w:sz w:val="32"/>
                <w:szCs w:val="32"/>
              </w:rPr>
            </w:pPr>
          </w:p>
        </w:tc>
        <w:tc>
          <w:tcPr>
            <w:tcW w:w="292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4.无正当理由大量反复申请</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jc w:val="center"/>
        </w:trPr>
        <w:tc>
          <w:tcPr>
            <w:tcW w:w="705" w:type="dxa"/>
            <w:vMerge w:val="continue"/>
            <w:tcBorders>
              <w:top w:val="single" w:color="auto" w:sz="6" w:space="0"/>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Theme="minorEastAsia" w:hAnsiTheme="minorEastAsia" w:eastAsiaTheme="minorEastAsia" w:cstheme="minorEastAsia"/>
                <w:sz w:val="32"/>
                <w:szCs w:val="32"/>
              </w:rPr>
            </w:pPr>
          </w:p>
        </w:tc>
        <w:tc>
          <w:tcPr>
            <w:tcW w:w="87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Theme="minorEastAsia" w:hAnsiTheme="minorEastAsia" w:eastAsiaTheme="minorEastAsia" w:cstheme="minorEastAsia"/>
                <w:sz w:val="32"/>
                <w:szCs w:val="32"/>
              </w:rPr>
            </w:pPr>
          </w:p>
        </w:tc>
        <w:tc>
          <w:tcPr>
            <w:tcW w:w="292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5.要求行政机关确认或重新出具已获取信息</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jc w:val="center"/>
        </w:trPr>
        <w:tc>
          <w:tcPr>
            <w:tcW w:w="705" w:type="dxa"/>
            <w:vMerge w:val="continue"/>
            <w:tcBorders>
              <w:top w:val="single" w:color="auto" w:sz="6" w:space="0"/>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Theme="minorEastAsia" w:hAnsiTheme="minorEastAsia" w:eastAsiaTheme="minorEastAsia" w:cstheme="minorEastAsia"/>
                <w:sz w:val="32"/>
                <w:szCs w:val="32"/>
              </w:rPr>
            </w:pPr>
          </w:p>
        </w:tc>
        <w:tc>
          <w:tcPr>
            <w:tcW w:w="870"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（六）其他处理</w:t>
            </w:r>
          </w:p>
        </w:tc>
        <w:tc>
          <w:tcPr>
            <w:tcW w:w="292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1.申请人无正当理由逾期不补正、行政机关不再处理其政府信息公开申请</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jc w:val="center"/>
        </w:trPr>
        <w:tc>
          <w:tcPr>
            <w:tcW w:w="705" w:type="dxa"/>
            <w:vMerge w:val="continue"/>
            <w:tcBorders>
              <w:top w:val="single" w:color="auto" w:sz="6" w:space="0"/>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Theme="minorEastAsia" w:hAnsiTheme="minorEastAsia" w:eastAsiaTheme="minorEastAsia" w:cstheme="minorEastAsia"/>
                <w:sz w:val="32"/>
                <w:szCs w:val="32"/>
              </w:rPr>
            </w:pPr>
          </w:p>
        </w:tc>
        <w:tc>
          <w:tcPr>
            <w:tcW w:w="87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Theme="minorEastAsia" w:hAnsiTheme="minorEastAsia" w:eastAsiaTheme="minorEastAsia" w:cstheme="minorEastAsia"/>
                <w:sz w:val="32"/>
                <w:szCs w:val="32"/>
              </w:rPr>
            </w:pPr>
          </w:p>
        </w:tc>
        <w:tc>
          <w:tcPr>
            <w:tcW w:w="292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2.申请人逾期未按收费通知要求缴纳费用、行政机关不再处理其政府信息公开申请</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jc w:val="center"/>
        </w:trPr>
        <w:tc>
          <w:tcPr>
            <w:tcW w:w="705" w:type="dxa"/>
            <w:vMerge w:val="continue"/>
            <w:tcBorders>
              <w:top w:val="single" w:color="auto" w:sz="6" w:space="0"/>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Theme="minorEastAsia" w:hAnsiTheme="minorEastAsia" w:eastAsiaTheme="minorEastAsia" w:cstheme="minorEastAsia"/>
                <w:sz w:val="32"/>
                <w:szCs w:val="32"/>
              </w:rPr>
            </w:pPr>
          </w:p>
        </w:tc>
        <w:tc>
          <w:tcPr>
            <w:tcW w:w="87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Theme="minorEastAsia" w:hAnsiTheme="minorEastAsia" w:eastAsiaTheme="minorEastAsia" w:cstheme="minorEastAsia"/>
                <w:sz w:val="32"/>
                <w:szCs w:val="32"/>
              </w:rPr>
            </w:pPr>
          </w:p>
        </w:tc>
        <w:tc>
          <w:tcPr>
            <w:tcW w:w="292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3.其他</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jc w:val="center"/>
        </w:trPr>
        <w:tc>
          <w:tcPr>
            <w:tcW w:w="705" w:type="dxa"/>
            <w:vMerge w:val="continue"/>
            <w:tcBorders>
              <w:top w:val="single" w:color="auto" w:sz="6" w:space="0"/>
              <w:left w:val="single" w:color="auto" w:sz="12"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Theme="minorEastAsia" w:hAnsiTheme="minorEastAsia" w:eastAsiaTheme="minorEastAsia" w:cstheme="minorEastAsia"/>
                <w:sz w:val="32"/>
                <w:szCs w:val="32"/>
              </w:rPr>
            </w:pPr>
          </w:p>
        </w:tc>
        <w:tc>
          <w:tcPr>
            <w:tcW w:w="3795"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（七）总计</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6"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jc w:val="center"/>
        </w:trPr>
        <w:tc>
          <w:tcPr>
            <w:tcW w:w="4500" w:type="dxa"/>
            <w:gridSpan w:val="3"/>
            <w:tcBorders>
              <w:top w:val="single" w:color="auto" w:sz="6" w:space="0"/>
              <w:left w:val="single" w:color="auto" w:sz="12" w:space="0"/>
              <w:bottom w:val="single" w:color="auto" w:sz="12"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四、结转下年度继续办理</w:t>
            </w:r>
          </w:p>
        </w:tc>
        <w:tc>
          <w:tcPr>
            <w:tcW w:w="645" w:type="dxa"/>
            <w:tcBorders>
              <w:top w:val="single" w:color="auto" w:sz="6" w:space="0"/>
              <w:left w:val="single" w:color="auto" w:sz="6" w:space="0"/>
              <w:bottom w:val="single" w:color="auto" w:sz="12"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12"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12"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30" w:type="dxa"/>
            <w:tcBorders>
              <w:top w:val="single" w:color="auto" w:sz="6" w:space="0"/>
              <w:left w:val="single" w:color="auto" w:sz="6" w:space="0"/>
              <w:bottom w:val="single" w:color="auto" w:sz="12"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12"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12"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645" w:type="dxa"/>
            <w:tcBorders>
              <w:top w:val="single" w:color="auto" w:sz="6" w:space="0"/>
              <w:left w:val="single" w:color="auto" w:sz="6" w:space="0"/>
              <w:bottom w:val="single" w:color="auto" w:sz="12" w:space="0"/>
              <w:right w:val="single" w:color="auto" w:sz="12"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r>
    </w:tbl>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right="0" w:firstLine="640" w:firstLineChars="20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方正黑体简体" w:hAnsi="方正黑体简体" w:eastAsia="方正黑体简体" w:cs="方正黑体简体"/>
          <w:i w:val="0"/>
          <w:iCs w:val="0"/>
          <w:caps w:val="0"/>
          <w:color w:val="000000"/>
          <w:spacing w:val="0"/>
          <w:sz w:val="32"/>
          <w:szCs w:val="32"/>
        </w:rPr>
        <w:t>四、政府信息公开行政复议、行政诉讼情况</w:t>
      </w:r>
    </w:p>
    <w:tbl>
      <w:tblPr>
        <w:tblStyle w:val="3"/>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567"/>
        <w:gridCol w:w="567"/>
        <w:gridCol w:w="567"/>
        <w:gridCol w:w="567"/>
        <w:gridCol w:w="571"/>
        <w:gridCol w:w="567"/>
        <w:gridCol w:w="567"/>
        <w:gridCol w:w="567"/>
        <w:gridCol w:w="567"/>
        <w:gridCol w:w="571"/>
        <w:gridCol w:w="567"/>
        <w:gridCol w:w="567"/>
        <w:gridCol w:w="567"/>
        <w:gridCol w:w="567"/>
        <w:gridCol w:w="57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c>
          <w:tcPr>
            <w:tcW w:w="1667" w:type="pct"/>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行政复议</w:t>
            </w:r>
          </w:p>
        </w:tc>
        <w:tc>
          <w:tcPr>
            <w:tcW w:w="3333" w:type="pct"/>
            <w:gridSpan w:val="10"/>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行政诉讼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33" w:type="pct"/>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结果维持</w:t>
            </w:r>
          </w:p>
        </w:tc>
        <w:tc>
          <w:tcPr>
            <w:tcW w:w="333" w:type="pct"/>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纠正</w:t>
            </w:r>
          </w:p>
        </w:tc>
        <w:tc>
          <w:tcPr>
            <w:tcW w:w="333" w:type="pct"/>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其他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结果</w:t>
            </w:r>
          </w:p>
        </w:tc>
        <w:tc>
          <w:tcPr>
            <w:tcW w:w="333" w:type="pct"/>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尚未</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审结</w:t>
            </w:r>
          </w:p>
        </w:tc>
        <w:tc>
          <w:tcPr>
            <w:tcW w:w="333" w:type="pct"/>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总计</w:t>
            </w:r>
          </w:p>
        </w:tc>
        <w:tc>
          <w:tcPr>
            <w:tcW w:w="1667" w:type="pct"/>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未经复议直接起诉</w:t>
            </w:r>
          </w:p>
        </w:tc>
        <w:tc>
          <w:tcPr>
            <w:tcW w:w="1667" w:type="pct"/>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复议后起诉</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33" w:type="pct"/>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Theme="minorEastAsia" w:hAnsiTheme="minorEastAsia" w:eastAsiaTheme="minorEastAsia" w:cstheme="minorEastAsia"/>
                <w:sz w:val="32"/>
                <w:szCs w:val="32"/>
              </w:rPr>
            </w:pPr>
          </w:p>
        </w:tc>
        <w:tc>
          <w:tcPr>
            <w:tcW w:w="333" w:type="pct"/>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Theme="minorEastAsia" w:hAnsiTheme="minorEastAsia" w:eastAsiaTheme="minorEastAsia" w:cstheme="minorEastAsia"/>
                <w:sz w:val="32"/>
                <w:szCs w:val="32"/>
              </w:rPr>
            </w:pPr>
          </w:p>
        </w:tc>
        <w:tc>
          <w:tcPr>
            <w:tcW w:w="333" w:type="pct"/>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Theme="minorEastAsia" w:hAnsiTheme="minorEastAsia" w:eastAsiaTheme="minorEastAsia" w:cstheme="minorEastAsia"/>
                <w:sz w:val="32"/>
                <w:szCs w:val="32"/>
              </w:rPr>
            </w:pPr>
          </w:p>
        </w:tc>
        <w:tc>
          <w:tcPr>
            <w:tcW w:w="333" w:type="pct"/>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Theme="minorEastAsia" w:hAnsiTheme="minorEastAsia" w:eastAsiaTheme="minorEastAsia" w:cstheme="minorEastAsia"/>
                <w:sz w:val="32"/>
                <w:szCs w:val="32"/>
              </w:rPr>
            </w:pPr>
          </w:p>
        </w:tc>
        <w:tc>
          <w:tcPr>
            <w:tcW w:w="333" w:type="pct"/>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Theme="minorEastAsia" w:hAnsiTheme="minorEastAsia" w:eastAsiaTheme="minorEastAsia" w:cstheme="minorEastAsia"/>
                <w:sz w:val="32"/>
                <w:szCs w:val="32"/>
              </w:rPr>
            </w:pPr>
          </w:p>
        </w:tc>
        <w:tc>
          <w:tcPr>
            <w:tcW w:w="33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维持</w:t>
            </w:r>
          </w:p>
        </w:tc>
        <w:tc>
          <w:tcPr>
            <w:tcW w:w="33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纠正</w:t>
            </w:r>
          </w:p>
        </w:tc>
        <w:tc>
          <w:tcPr>
            <w:tcW w:w="333" w:type="pc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其他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结果</w:t>
            </w:r>
          </w:p>
        </w:tc>
        <w:tc>
          <w:tcPr>
            <w:tcW w:w="333" w:type="pc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尚未</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审结</w:t>
            </w:r>
          </w:p>
        </w:tc>
        <w:tc>
          <w:tcPr>
            <w:tcW w:w="333" w:type="pc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总计</w:t>
            </w:r>
          </w:p>
        </w:tc>
        <w:tc>
          <w:tcPr>
            <w:tcW w:w="333" w:type="pc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维持</w:t>
            </w:r>
          </w:p>
        </w:tc>
        <w:tc>
          <w:tcPr>
            <w:tcW w:w="333" w:type="pc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纠正</w:t>
            </w:r>
          </w:p>
        </w:tc>
        <w:tc>
          <w:tcPr>
            <w:tcW w:w="333" w:type="pc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其他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结果</w:t>
            </w:r>
          </w:p>
        </w:tc>
        <w:tc>
          <w:tcPr>
            <w:tcW w:w="333" w:type="pc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尚未</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审结</w:t>
            </w:r>
          </w:p>
        </w:tc>
        <w:tc>
          <w:tcPr>
            <w:tcW w:w="333" w:type="pc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75" w:hRule="atLeast"/>
        </w:trPr>
        <w:tc>
          <w:tcPr>
            <w:tcW w:w="333"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33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33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33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33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33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33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33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33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33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33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33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33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33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c>
          <w:tcPr>
            <w:tcW w:w="333"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0</w:t>
            </w:r>
          </w:p>
        </w:tc>
      </w:tr>
    </w:tbl>
    <w:p>
      <w:pPr>
        <w:pStyle w:val="2"/>
        <w:keepNext w:val="0"/>
        <w:keepLines w:val="0"/>
        <w:widowControl/>
        <w:suppressLineNumbers w:val="0"/>
        <w:spacing w:before="0" w:beforeAutospacing="0" w:after="0" w:afterAutospacing="0" w:line="420" w:lineRule="atLeast"/>
        <w:ind w:left="0" w:right="0" w:firstLine="0"/>
        <w:rPr>
          <w:rFonts w:hint="eastAsia" w:asciiTheme="minorEastAsia" w:hAnsiTheme="minorEastAsia" w:eastAsiaTheme="minorEastAsia" w:cstheme="minorEastAsia"/>
          <w:i w:val="0"/>
          <w:iCs w:val="0"/>
          <w:caps w:val="0"/>
          <w:color w:val="000000"/>
          <w:spacing w:val="0"/>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right="0" w:firstLine="640" w:firstLineChars="200"/>
        <w:jc w:val="left"/>
        <w:textAlignment w:val="auto"/>
        <w:rPr>
          <w:rFonts w:hint="eastAsia" w:ascii="方正黑体简体" w:hAnsi="方正黑体简体" w:eastAsia="方正黑体简体" w:cs="方正黑体简体"/>
          <w:kern w:val="2"/>
          <w:sz w:val="32"/>
          <w:szCs w:val="32"/>
          <w:lang w:val="en-US" w:eastAsia="zh-CN" w:bidi="ar-SA"/>
        </w:rPr>
      </w:pPr>
      <w:r>
        <w:rPr>
          <w:rFonts w:hint="eastAsia" w:ascii="方正黑体简体" w:hAnsi="方正黑体简体" w:eastAsia="方正黑体简体" w:cs="方正黑体简体"/>
          <w:kern w:val="2"/>
          <w:sz w:val="32"/>
          <w:szCs w:val="32"/>
          <w:lang w:val="en-US" w:eastAsia="zh-CN" w:bidi="ar-SA"/>
        </w:rPr>
        <w:t>五、存在的主要问题及改进情况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right="0" w:firstLine="640" w:firstLineChars="200"/>
        <w:jc w:val="left"/>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今年以来，泗水县国有企业发展促进中心严格按照《中华人民共和国政府信息公开条例》进行政务公开，取得了积极的工作进展，但同时也存在一些不足，主要表现在：一是个别干部对政务信息公开工作缺乏全面了解，主动公开意识不强、个别事项公开还不够及时；二是虽然安排了专人负责，但兼职人员工作任务繁重，在完成信息公开工作的质量上有待进一步提高；三是政务信息公开的事项多、涉及面广、要求高，政务信息公开培训工作还有待于进一步加强。</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right="0" w:firstLine="640" w:firstLineChars="200"/>
        <w:jc w:val="left"/>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改进措施：</w:t>
      </w:r>
      <w:bookmarkStart w:id="0" w:name="_GoBack"/>
      <w:bookmarkEnd w:id="0"/>
      <w:r>
        <w:rPr>
          <w:rFonts w:hint="eastAsia" w:asciiTheme="minorEastAsia" w:hAnsiTheme="minorEastAsia" w:eastAsiaTheme="minorEastAsia" w:cstheme="minorEastAsia"/>
          <w:kern w:val="2"/>
          <w:sz w:val="32"/>
          <w:szCs w:val="32"/>
          <w:lang w:val="en-US" w:eastAsia="zh-CN" w:bidi="ar-SA"/>
        </w:rPr>
        <w:t>一是加强政务信息公开工作的学习培训，进一步提高全体干部职工对政务信息公开工作重要性的认识，熟悉掌握信息公开工作的流程、制度和要求，提高政务信息公开工作水平。二是进一步健全政务信息公开工作机制，不断完善政务信息公开工作组织机构、保密审查、社会监督等制度，确保政务信息公开工作制度化、规范化。三是以“以公开为原则，不公开为例外”，准确把握主动公开、不予公开和依申请公开类型信息的不同要求，进一步深化政务信息公开工作，满足公众对政务信息公开工作的需求，更加积极主动接受社会各界的监督</w:t>
      </w:r>
      <w:r>
        <w:rPr>
          <w:rFonts w:hint="eastAsia" w:asciiTheme="minorEastAsia" w:hAnsiTheme="minorEastAsia" w:eastAsiaTheme="minorEastAsia" w:cstheme="minorEastAsia"/>
          <w:kern w:val="2"/>
          <w:sz w:val="32"/>
          <w:szCs w:val="32"/>
          <w:lang w:val="en-US" w:eastAsia="zh-CN" w:bidi="ar-SA"/>
        </w:rPr>
        <w:t>。</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right="0" w:firstLine="640" w:firstLineChars="200"/>
        <w:jc w:val="lef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六、其他需要报告的事项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right="0" w:firstLine="640" w:firstLineChars="200"/>
        <w:jc w:val="left"/>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依据《政府信息公开信息处理费管理办法》，本单位未收取信息处理费。</w:t>
      </w:r>
    </w:p>
    <w:p>
      <w:pPr>
        <w:pStyle w:val="2"/>
        <w:keepNext w:val="0"/>
        <w:keepLines w:val="0"/>
        <w:widowControl/>
        <w:suppressLineNumbers w:val="0"/>
        <w:spacing w:before="0" w:beforeAutospacing="0" w:after="0" w:afterAutospacing="0" w:line="420" w:lineRule="atLeast"/>
        <w:ind w:left="0" w:right="0" w:firstLine="420"/>
        <w:jc w:val="left"/>
        <w:rPr>
          <w:rFonts w:hint="eastAsia" w:asciiTheme="minorHAnsi" w:hAnsiTheme="minorHAnsi" w:eastAsiaTheme="minorEastAsia" w:cstheme="minorBidi"/>
          <w:kern w:val="2"/>
          <w:sz w:val="21"/>
          <w:szCs w:val="24"/>
          <w:lang w:val="en-US" w:eastAsia="zh-CN" w:bidi="ar-SA"/>
        </w:rPr>
      </w:pPr>
    </w:p>
    <w:p>
      <w:pPr>
        <w:rPr>
          <w:rFonts w:hint="eastAsia"/>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6C7207"/>
    <w:rsid w:val="033A0B59"/>
    <w:rsid w:val="042A0462"/>
    <w:rsid w:val="075A3B1D"/>
    <w:rsid w:val="096F1009"/>
    <w:rsid w:val="09FE75F3"/>
    <w:rsid w:val="0AF023FF"/>
    <w:rsid w:val="0C4E5BBE"/>
    <w:rsid w:val="0C961836"/>
    <w:rsid w:val="0CA17BC7"/>
    <w:rsid w:val="0D4B47DC"/>
    <w:rsid w:val="0DEF6094"/>
    <w:rsid w:val="0FFC1B47"/>
    <w:rsid w:val="103A0F2B"/>
    <w:rsid w:val="132E0705"/>
    <w:rsid w:val="14AC013E"/>
    <w:rsid w:val="152F0406"/>
    <w:rsid w:val="15E8637F"/>
    <w:rsid w:val="16FD0446"/>
    <w:rsid w:val="185E6D88"/>
    <w:rsid w:val="1C74143C"/>
    <w:rsid w:val="1F667210"/>
    <w:rsid w:val="1F7D7A94"/>
    <w:rsid w:val="1FE94BBB"/>
    <w:rsid w:val="20D42C6A"/>
    <w:rsid w:val="237F2849"/>
    <w:rsid w:val="242E16E8"/>
    <w:rsid w:val="2492140C"/>
    <w:rsid w:val="24D37C77"/>
    <w:rsid w:val="251E565A"/>
    <w:rsid w:val="26DC5ACE"/>
    <w:rsid w:val="27C47FCA"/>
    <w:rsid w:val="290B3B64"/>
    <w:rsid w:val="2BA37FA5"/>
    <w:rsid w:val="2BF65EED"/>
    <w:rsid w:val="2D07566E"/>
    <w:rsid w:val="2ECD1756"/>
    <w:rsid w:val="2FDD3B12"/>
    <w:rsid w:val="332D5503"/>
    <w:rsid w:val="341A770A"/>
    <w:rsid w:val="34756B1F"/>
    <w:rsid w:val="37B620F4"/>
    <w:rsid w:val="3A1B0664"/>
    <w:rsid w:val="3B8F2744"/>
    <w:rsid w:val="3DBF625C"/>
    <w:rsid w:val="3E7D7914"/>
    <w:rsid w:val="40A21818"/>
    <w:rsid w:val="43656A9D"/>
    <w:rsid w:val="4B1C1647"/>
    <w:rsid w:val="4C210EF5"/>
    <w:rsid w:val="4D333E84"/>
    <w:rsid w:val="4F396F09"/>
    <w:rsid w:val="512E60BF"/>
    <w:rsid w:val="523C4CFD"/>
    <w:rsid w:val="54BB3582"/>
    <w:rsid w:val="57183B71"/>
    <w:rsid w:val="575A58DF"/>
    <w:rsid w:val="5A4178A0"/>
    <w:rsid w:val="5A902EA3"/>
    <w:rsid w:val="5C8332D2"/>
    <w:rsid w:val="5F15360C"/>
    <w:rsid w:val="60B81ABE"/>
    <w:rsid w:val="60FC22A0"/>
    <w:rsid w:val="612B657A"/>
    <w:rsid w:val="61D5318F"/>
    <w:rsid w:val="61EC0BB6"/>
    <w:rsid w:val="63DD3565"/>
    <w:rsid w:val="666E039B"/>
    <w:rsid w:val="68A55A3C"/>
    <w:rsid w:val="69262B12"/>
    <w:rsid w:val="6A804048"/>
    <w:rsid w:val="6C0576C7"/>
    <w:rsid w:val="6D170809"/>
    <w:rsid w:val="6DA86A73"/>
    <w:rsid w:val="6DB30687"/>
    <w:rsid w:val="6F0547B1"/>
    <w:rsid w:val="72357E6C"/>
    <w:rsid w:val="76671E50"/>
    <w:rsid w:val="767B0AF0"/>
    <w:rsid w:val="7B0568FD"/>
    <w:rsid w:val="7BB06624"/>
    <w:rsid w:val="7CC77961"/>
    <w:rsid w:val="7CCD2078"/>
    <w:rsid w:val="7DE7321B"/>
    <w:rsid w:val="7FF81D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174</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2022-01-17T14:14:00Z</dcterms:created>
  <dc:creator>kai xin</dc:creator>
  <cp:lastModifiedBy>Administrator</cp:lastModifiedBy>
  <dcterms:modified xsi:type="dcterms:W3CDTF">2023-02-06T02:30:04Z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14514F8BC0304B5AA88CDA6F5047FA69</vt:lpwstr>
  </property>
</Properties>
</file>