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
          <w:bCs/>
          <w:i w:val="0"/>
          <w:iCs w:val="0"/>
          <w:color w:val="auto"/>
          <w:sz w:val="44"/>
          <w:szCs w:val="44"/>
        </w:rPr>
      </w:pPr>
      <w:r>
        <w:rPr>
          <w:rFonts w:hint="eastAsia" w:ascii="方正小标宋简体" w:hAnsi="方正小标宋简体" w:eastAsia="方正小标宋简体" w:cs="方正小标宋简体"/>
          <w:b/>
          <w:bCs/>
          <w:i w:val="0"/>
          <w:iCs w:val="0"/>
          <w:color w:val="auto"/>
          <w:sz w:val="44"/>
          <w:szCs w:val="44"/>
        </w:rPr>
        <w:t>泗水县卫生健康局</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
          <w:bCs/>
          <w:i w:val="0"/>
          <w:iCs w:val="0"/>
          <w:color w:val="auto"/>
          <w:sz w:val="44"/>
          <w:szCs w:val="44"/>
        </w:rPr>
      </w:pPr>
      <w:r>
        <w:rPr>
          <w:rFonts w:hint="eastAsia" w:ascii="方正小标宋简体" w:hAnsi="方正小标宋简体" w:eastAsia="方正小标宋简体" w:cs="方正小标宋简体"/>
          <w:b/>
          <w:bCs/>
          <w:i w:val="0"/>
          <w:iCs w:val="0"/>
          <w:color w:val="auto"/>
          <w:sz w:val="44"/>
          <w:szCs w:val="44"/>
        </w:rPr>
        <w:t>202</w:t>
      </w:r>
      <w:r>
        <w:rPr>
          <w:rFonts w:hint="eastAsia" w:ascii="方正小标宋简体" w:hAnsi="方正小标宋简体" w:eastAsia="方正小标宋简体" w:cs="方正小标宋简体"/>
          <w:b/>
          <w:bCs/>
          <w:i w:val="0"/>
          <w:iCs w:val="0"/>
          <w:color w:val="auto"/>
          <w:sz w:val="44"/>
          <w:szCs w:val="44"/>
          <w:lang w:val="en-US" w:eastAsia="zh-CN"/>
        </w:rPr>
        <w:t>5</w:t>
      </w:r>
      <w:r>
        <w:rPr>
          <w:rFonts w:hint="eastAsia" w:ascii="方正小标宋简体" w:hAnsi="方正小标宋简体" w:eastAsia="方正小标宋简体" w:cs="方正小标宋简体"/>
          <w:b/>
          <w:bCs/>
          <w:i w:val="0"/>
          <w:iCs w:val="0"/>
          <w:color w:val="auto"/>
          <w:sz w:val="44"/>
          <w:szCs w:val="44"/>
        </w:rPr>
        <w:t>年政府信息公开工作年度报告</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b/>
          <w:bCs/>
          <w:i w:val="0"/>
          <w:iCs w:val="0"/>
          <w:color w:val="auto"/>
          <w:sz w:val="44"/>
          <w:szCs w:val="44"/>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firstLine="643" w:firstLineChars="200"/>
        <w:jc w:val="both"/>
        <w:textAlignment w:val="auto"/>
        <w:rPr>
          <w:rFonts w:hint="default" w:ascii="Times New Roman" w:hAnsi="Times New Roman" w:eastAsia="方正仿宋简体" w:cs="Times New Roman"/>
          <w:b/>
          <w:bCs/>
          <w:color w:val="auto"/>
          <w:sz w:val="32"/>
          <w:szCs w:val="32"/>
        </w:rPr>
      </w:pPr>
      <w:bookmarkStart w:id="10" w:name="_GoBack"/>
      <w:r>
        <w:rPr>
          <w:rFonts w:hint="default" w:ascii="Times New Roman" w:hAnsi="Times New Roman" w:eastAsia="方正仿宋简体" w:cs="Times New Roman"/>
          <w:b/>
          <w:bCs/>
          <w:color w:val="auto"/>
          <w:sz w:val="32"/>
          <w:szCs w:val="32"/>
        </w:rPr>
        <w:t>本报告由泗水县</w:t>
      </w:r>
      <w:r>
        <w:rPr>
          <w:rFonts w:hint="eastAsia" w:ascii="Times New Roman" w:hAnsi="Times New Roman" w:eastAsia="方正仿宋简体" w:cs="Times New Roman"/>
          <w:b/>
          <w:bCs/>
          <w:color w:val="auto"/>
          <w:sz w:val="32"/>
          <w:szCs w:val="32"/>
          <w:lang w:val="en-US" w:eastAsia="zh-CN"/>
        </w:rPr>
        <w:t>卫生健康局</w:t>
      </w:r>
      <w:r>
        <w:rPr>
          <w:rFonts w:hint="default" w:ascii="Times New Roman" w:hAnsi="Times New Roman" w:eastAsia="方正仿宋简体" w:cs="Times New Roman"/>
          <w:b/>
          <w:bCs/>
          <w:color w:val="auto"/>
          <w:sz w:val="32"/>
          <w:szCs w:val="32"/>
        </w:rPr>
        <w:t>按照</w:t>
      </w:r>
      <w:r>
        <w:rPr>
          <w:rFonts w:hint="eastAsia"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b/>
          <w:bCs/>
          <w:color w:val="auto"/>
          <w:sz w:val="32"/>
          <w:szCs w:val="32"/>
        </w:rPr>
        <w:t>中华人民共和国政府信息公开条例</w:t>
      </w:r>
      <w:r>
        <w:rPr>
          <w:rFonts w:hint="eastAsia"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b/>
          <w:bCs/>
          <w:color w:val="auto"/>
          <w:sz w:val="32"/>
          <w:szCs w:val="32"/>
        </w:rPr>
        <w:t>(以下简称</w:t>
      </w:r>
      <w:r>
        <w:rPr>
          <w:rFonts w:hint="eastAsia"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b/>
          <w:bCs/>
          <w:color w:val="auto"/>
          <w:sz w:val="32"/>
          <w:szCs w:val="32"/>
        </w:rPr>
        <w:t>条例</w:t>
      </w:r>
      <w:r>
        <w:rPr>
          <w:rFonts w:hint="eastAsia"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b/>
          <w:bCs/>
          <w:color w:val="auto"/>
          <w:sz w:val="32"/>
          <w:szCs w:val="32"/>
        </w:rPr>
        <w:t>)和</w:t>
      </w:r>
      <w:r>
        <w:rPr>
          <w:rFonts w:hint="eastAsia"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b/>
          <w:bCs/>
          <w:color w:val="auto"/>
          <w:sz w:val="32"/>
          <w:szCs w:val="32"/>
        </w:rPr>
        <w:t>中华人民共和国政府信息公开工作年度报告格式</w:t>
      </w:r>
      <w:r>
        <w:rPr>
          <w:rFonts w:hint="eastAsia"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b/>
          <w:bCs/>
          <w:color w:val="auto"/>
          <w:sz w:val="32"/>
          <w:szCs w:val="32"/>
        </w:rPr>
        <w:t>(国办公开办函(2021)30号)要求编制。</w:t>
      </w:r>
    </w:p>
    <w:bookmarkEnd w:id="10"/>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firstLine="643" w:firstLineChars="200"/>
        <w:jc w:val="both"/>
        <w:textAlignment w:val="auto"/>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lang w:val="en-US" w:eastAsia="zh-CN"/>
        </w:rPr>
        <w:t>本报告</w:t>
      </w:r>
      <w:r>
        <w:rPr>
          <w:rFonts w:hint="default" w:ascii="Times New Roman" w:hAnsi="Times New Roman" w:eastAsia="方正仿宋简体" w:cs="Times New Roman"/>
          <w:b/>
          <w:bCs/>
          <w:color w:val="auto"/>
          <w:sz w:val="32"/>
          <w:szCs w:val="32"/>
        </w:rPr>
        <w:t>内容包括总体情况、主动公开政府信息情况、收到和处理政府信息公开申请情况、政府信息公开行政复议和行政诉讼情况、存在的主要问题及改进情况、其他需要报告的事项等六部分内容。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firstLine="643" w:firstLineChars="200"/>
        <w:jc w:val="both"/>
        <w:textAlignment w:val="auto"/>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rPr>
        <w:t>本年度报告中所列数据的统计期限自202</w:t>
      </w:r>
      <w:r>
        <w:rPr>
          <w:rFonts w:hint="default" w:ascii="Times New Roman" w:hAnsi="Times New Roman" w:eastAsia="方正仿宋简体" w:cs="Times New Roman"/>
          <w:b/>
          <w:bCs/>
          <w:color w:val="auto"/>
          <w:sz w:val="32"/>
          <w:szCs w:val="32"/>
          <w:lang w:val="en-US" w:eastAsia="zh-CN"/>
        </w:rPr>
        <w:t>5</w:t>
      </w:r>
      <w:r>
        <w:rPr>
          <w:rFonts w:hint="default" w:ascii="Times New Roman" w:hAnsi="Times New Roman" w:eastAsia="方正仿宋简体" w:cs="Times New Roman"/>
          <w:b/>
          <w:bCs/>
          <w:color w:val="auto"/>
          <w:sz w:val="32"/>
          <w:szCs w:val="32"/>
        </w:rPr>
        <w:t>年1月1日起至202</w:t>
      </w:r>
      <w:r>
        <w:rPr>
          <w:rFonts w:hint="default" w:ascii="Times New Roman" w:hAnsi="Times New Roman" w:eastAsia="方正仿宋简体" w:cs="Times New Roman"/>
          <w:b/>
          <w:bCs/>
          <w:color w:val="auto"/>
          <w:sz w:val="32"/>
          <w:szCs w:val="32"/>
          <w:lang w:val="en-US" w:eastAsia="zh-CN"/>
        </w:rPr>
        <w:t>5</w:t>
      </w:r>
      <w:r>
        <w:rPr>
          <w:rFonts w:hint="default" w:ascii="Times New Roman" w:hAnsi="Times New Roman" w:eastAsia="方正仿宋简体" w:cs="Times New Roman"/>
          <w:b/>
          <w:bCs/>
          <w:color w:val="auto"/>
          <w:sz w:val="32"/>
          <w:szCs w:val="32"/>
        </w:rPr>
        <w:t>年12月31日止。本报告电子版可在“中国•泗水”政府门户网站（www.sishui.gov.cn）查阅或下载。如对本报告有疑问，请与泗水县卫生健康局联系（地址：泗水县泉鑫3-1号，联系电话：0537-4221148）。</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firstLine="643" w:firstLineChars="200"/>
        <w:jc w:val="both"/>
        <w:textAlignment w:val="auto"/>
        <w:rPr>
          <w:rFonts w:hint="eastAsia" w:ascii="方正黑体简体" w:hAnsi="方正黑体简体" w:eastAsia="方正黑体简体" w:cs="方正黑体简体"/>
          <w:b/>
          <w:bCs/>
          <w:color w:val="auto"/>
          <w:sz w:val="32"/>
          <w:szCs w:val="32"/>
          <w:lang w:val="en-US" w:eastAsia="zh-CN"/>
        </w:rPr>
      </w:pPr>
      <w:r>
        <w:rPr>
          <w:rFonts w:hint="eastAsia" w:ascii="方正黑体简体" w:hAnsi="方正黑体简体" w:eastAsia="方正黑体简体" w:cs="方正黑体简体"/>
          <w:b/>
          <w:bCs/>
          <w:color w:val="auto"/>
          <w:sz w:val="32"/>
          <w:szCs w:val="32"/>
          <w:lang w:val="en-US" w:eastAsia="zh-CN"/>
        </w:rPr>
        <w:t>一、总体情况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firstLine="643" w:firstLineChars="200"/>
        <w:jc w:val="both"/>
        <w:textAlignment w:val="auto"/>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rPr>
        <w:t>202</w:t>
      </w:r>
      <w:r>
        <w:rPr>
          <w:rFonts w:hint="default" w:ascii="Times New Roman" w:hAnsi="Times New Roman" w:eastAsia="方正仿宋简体" w:cs="Times New Roman"/>
          <w:b/>
          <w:bCs/>
          <w:color w:val="auto"/>
          <w:sz w:val="32"/>
          <w:szCs w:val="32"/>
          <w:lang w:val="en-US" w:eastAsia="zh-CN"/>
        </w:rPr>
        <w:t>5</w:t>
      </w:r>
      <w:r>
        <w:rPr>
          <w:rFonts w:hint="default" w:ascii="Times New Roman" w:hAnsi="Times New Roman" w:eastAsia="方正仿宋简体" w:cs="Times New Roman"/>
          <w:b/>
          <w:bCs/>
          <w:color w:val="auto"/>
          <w:sz w:val="32"/>
          <w:szCs w:val="32"/>
        </w:rPr>
        <w:t>年</w:t>
      </w:r>
      <w:r>
        <w:rPr>
          <w:rFonts w:hint="default"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b/>
          <w:bCs/>
          <w:color w:val="auto"/>
          <w:sz w:val="32"/>
          <w:szCs w:val="32"/>
        </w:rPr>
        <w:t>泗水县卫生健康局</w:t>
      </w:r>
      <w:r>
        <w:rPr>
          <w:rFonts w:hint="default" w:ascii="Times New Roman" w:hAnsi="Times New Roman" w:eastAsia="方正仿宋简体" w:cs="Times New Roman"/>
          <w:b/>
          <w:bCs/>
          <w:color w:val="auto"/>
          <w:sz w:val="32"/>
          <w:szCs w:val="32"/>
          <w:lang w:eastAsia="zh-CN"/>
        </w:rPr>
        <w:t>坚持以习近平新时代中国特色社会主义思想为指导，</w:t>
      </w:r>
      <w:r>
        <w:rPr>
          <w:rFonts w:hint="default" w:ascii="Times New Roman" w:hAnsi="Times New Roman" w:eastAsia="方正仿宋简体" w:cs="Times New Roman"/>
          <w:b/>
          <w:bCs/>
          <w:color w:val="auto"/>
          <w:sz w:val="32"/>
          <w:szCs w:val="32"/>
        </w:rPr>
        <w:t>在</w:t>
      </w:r>
      <w:r>
        <w:rPr>
          <w:rFonts w:hint="default" w:ascii="Times New Roman" w:hAnsi="Times New Roman" w:eastAsia="方正仿宋简体" w:cs="Times New Roman"/>
          <w:b/>
          <w:bCs/>
          <w:color w:val="auto"/>
          <w:sz w:val="32"/>
          <w:szCs w:val="32"/>
          <w:lang w:eastAsia="zh-CN"/>
        </w:rPr>
        <w:t>县委、县政府</w:t>
      </w:r>
      <w:r>
        <w:rPr>
          <w:rFonts w:hint="default" w:ascii="Times New Roman" w:hAnsi="Times New Roman" w:eastAsia="方正仿宋简体" w:cs="Times New Roman"/>
          <w:b/>
          <w:bCs/>
          <w:color w:val="auto"/>
          <w:sz w:val="32"/>
          <w:szCs w:val="32"/>
        </w:rPr>
        <w:t>的</w:t>
      </w:r>
      <w:r>
        <w:rPr>
          <w:rFonts w:hint="default" w:ascii="Times New Roman" w:hAnsi="Times New Roman" w:eastAsia="方正仿宋简体" w:cs="Times New Roman"/>
          <w:b/>
          <w:bCs/>
          <w:color w:val="auto"/>
          <w:sz w:val="32"/>
          <w:szCs w:val="32"/>
          <w:lang w:val="en-US" w:eastAsia="zh-CN"/>
        </w:rPr>
        <w:t>正确</w:t>
      </w:r>
      <w:r>
        <w:rPr>
          <w:rFonts w:hint="default" w:ascii="Times New Roman" w:hAnsi="Times New Roman" w:eastAsia="方正仿宋简体" w:cs="Times New Roman"/>
          <w:b/>
          <w:bCs/>
          <w:color w:val="auto"/>
          <w:sz w:val="32"/>
          <w:szCs w:val="32"/>
        </w:rPr>
        <w:t>领导下，认真落实《中华人民共和国政府信息公开条例》各项规定，扎实开展政务公开工作，各项任务有序推进，工作取得积极成效。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firstLine="643" w:firstLineChars="200"/>
        <w:jc w:val="both"/>
        <w:textAlignment w:val="auto"/>
        <w:rPr>
          <w:rFonts w:hint="eastAsia" w:ascii="方正楷体简体" w:hAnsi="方正楷体简体" w:eastAsia="方正楷体简体" w:cs="方正楷体简体"/>
          <w:b/>
          <w:bCs/>
          <w:color w:val="auto"/>
          <w:sz w:val="32"/>
          <w:szCs w:val="32"/>
        </w:rPr>
      </w:pPr>
      <w:r>
        <w:rPr>
          <w:rFonts w:hint="eastAsia" w:ascii="方正楷体简体" w:hAnsi="方正楷体简体" w:eastAsia="方正楷体简体" w:cs="方正楷体简体"/>
          <w:b/>
          <w:bCs/>
          <w:color w:val="auto"/>
          <w:sz w:val="32"/>
          <w:szCs w:val="32"/>
        </w:rPr>
        <w:t>（一）主动公开情况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firstLine="643" w:firstLineChars="200"/>
        <w:jc w:val="both"/>
        <w:textAlignment w:val="auto"/>
        <w:rPr>
          <w:rFonts w:hint="eastAsia" w:ascii="Times New Roman" w:hAnsi="Times New Roman" w:eastAsia="方正仿宋简体" w:cs="Times New Roman"/>
          <w:b/>
          <w:bCs/>
          <w:color w:val="auto"/>
          <w:sz w:val="32"/>
          <w:szCs w:val="32"/>
        </w:rPr>
      </w:pPr>
      <w:r>
        <w:rPr>
          <w:rFonts w:hint="eastAsia" w:ascii="Times New Roman" w:hAnsi="Times New Roman" w:eastAsia="方正仿宋简体" w:cs="Times New Roman"/>
          <w:b/>
          <w:bCs/>
          <w:color w:val="auto"/>
          <w:sz w:val="32"/>
          <w:szCs w:val="32"/>
        </w:rPr>
        <w:t>202</w:t>
      </w:r>
      <w:r>
        <w:rPr>
          <w:rFonts w:hint="eastAsia" w:ascii="Times New Roman" w:hAnsi="Times New Roman" w:eastAsia="方正仿宋简体" w:cs="Times New Roman"/>
          <w:b/>
          <w:bCs/>
          <w:color w:val="auto"/>
          <w:sz w:val="32"/>
          <w:szCs w:val="32"/>
          <w:lang w:val="en-US" w:eastAsia="zh-CN"/>
        </w:rPr>
        <w:t>5</w:t>
      </w:r>
      <w:r>
        <w:rPr>
          <w:rFonts w:hint="eastAsia" w:ascii="Times New Roman" w:hAnsi="Times New Roman" w:eastAsia="方正仿宋简体" w:cs="Times New Roman"/>
          <w:b/>
          <w:bCs/>
          <w:color w:val="auto"/>
          <w:sz w:val="32"/>
          <w:szCs w:val="32"/>
        </w:rPr>
        <w:t>年我局共主动公开政府信息</w:t>
      </w:r>
      <w:r>
        <w:rPr>
          <w:rFonts w:hint="eastAsia" w:ascii="Times New Roman" w:hAnsi="Times New Roman" w:eastAsia="方正仿宋简体" w:cs="Times New Roman"/>
          <w:b/>
          <w:bCs/>
          <w:color w:val="auto"/>
          <w:sz w:val="32"/>
          <w:szCs w:val="32"/>
          <w:lang w:val="en-US" w:eastAsia="zh-CN"/>
        </w:rPr>
        <w:t>98</w:t>
      </w:r>
      <w:r>
        <w:rPr>
          <w:rFonts w:hint="eastAsia" w:ascii="Times New Roman" w:hAnsi="Times New Roman" w:eastAsia="方正仿宋简体" w:cs="Times New Roman"/>
          <w:b/>
          <w:bCs/>
          <w:color w:val="auto"/>
          <w:sz w:val="32"/>
          <w:szCs w:val="32"/>
        </w:rPr>
        <w:t>条，主要涉及行政执法、医疗服务、人事工作、公共卫生公共企事业单位、重点领域等方面。公示人大建议</w:t>
      </w:r>
      <w:r>
        <w:rPr>
          <w:rFonts w:hint="eastAsia" w:ascii="Times New Roman" w:hAnsi="Times New Roman" w:eastAsia="方正仿宋简体" w:cs="Times New Roman"/>
          <w:b/>
          <w:bCs/>
          <w:color w:val="auto"/>
          <w:sz w:val="32"/>
          <w:szCs w:val="32"/>
          <w:lang w:val="en-US" w:eastAsia="zh-CN"/>
        </w:rPr>
        <w:t>8</w:t>
      </w:r>
      <w:r>
        <w:rPr>
          <w:rFonts w:hint="eastAsia" w:ascii="Times New Roman" w:hAnsi="Times New Roman" w:eastAsia="方正仿宋简体" w:cs="Times New Roman"/>
          <w:b/>
          <w:bCs/>
          <w:color w:val="auto"/>
          <w:sz w:val="32"/>
          <w:szCs w:val="32"/>
        </w:rPr>
        <w:t>件、政协提案</w:t>
      </w:r>
      <w:r>
        <w:rPr>
          <w:rFonts w:hint="eastAsia" w:ascii="Times New Roman" w:hAnsi="Times New Roman" w:eastAsia="方正仿宋简体" w:cs="Times New Roman"/>
          <w:b/>
          <w:bCs/>
          <w:color w:val="auto"/>
          <w:sz w:val="32"/>
          <w:szCs w:val="32"/>
          <w:lang w:val="en-US" w:eastAsia="zh-CN"/>
        </w:rPr>
        <w:t>6</w:t>
      </w:r>
      <w:r>
        <w:rPr>
          <w:rFonts w:hint="eastAsia" w:ascii="Times New Roman" w:hAnsi="Times New Roman" w:eastAsia="方正仿宋简体" w:cs="Times New Roman"/>
          <w:b/>
          <w:bCs/>
          <w:color w:val="auto"/>
          <w:sz w:val="32"/>
          <w:szCs w:val="32"/>
        </w:rPr>
        <w:t>件，均已在“泗水县人民政府”门户网站上公布。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firstLine="480" w:firstLineChars="200"/>
        <w:jc w:val="both"/>
        <w:textAlignment w:val="auto"/>
      </w:pPr>
      <w:r>
        <w:drawing>
          <wp:inline distT="0" distB="0" distL="114300" distR="114300">
            <wp:extent cx="4572000" cy="2743200"/>
            <wp:effectExtent l="4445" t="4445" r="10795" b="1079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3" w:firstLineChars="200"/>
        <w:jc w:val="both"/>
        <w:textAlignment w:val="auto"/>
        <w:rPr>
          <w:rFonts w:hint="default" w:ascii="方正楷体简体" w:hAnsi="方正楷体简体" w:eastAsia="方正楷体简体" w:cs="方正楷体简体"/>
          <w:b/>
          <w:bCs/>
          <w:color w:val="auto"/>
          <w:sz w:val="32"/>
          <w:szCs w:val="32"/>
        </w:rPr>
      </w:pPr>
      <w:r>
        <w:rPr>
          <w:rFonts w:hint="eastAsia" w:ascii="方正楷体简体" w:hAnsi="方正楷体简体" w:eastAsia="方正楷体简体" w:cs="方正楷体简体"/>
          <w:b/>
          <w:bCs/>
          <w:color w:val="auto"/>
          <w:sz w:val="32"/>
          <w:szCs w:val="32"/>
        </w:rPr>
        <w:t>（二）依申请公开情况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rPr>
        <w:t>202</w:t>
      </w:r>
      <w:r>
        <w:rPr>
          <w:rFonts w:hint="default" w:ascii="Times New Roman" w:hAnsi="Times New Roman" w:eastAsia="方正仿宋简体" w:cs="Times New Roman"/>
          <w:b/>
          <w:bCs/>
          <w:color w:val="auto"/>
          <w:sz w:val="32"/>
          <w:szCs w:val="32"/>
          <w:lang w:val="en-US" w:eastAsia="zh-CN"/>
        </w:rPr>
        <w:t>5</w:t>
      </w:r>
      <w:r>
        <w:rPr>
          <w:rFonts w:hint="default" w:ascii="Times New Roman" w:hAnsi="Times New Roman" w:eastAsia="方正仿宋简体" w:cs="Times New Roman"/>
          <w:b/>
          <w:bCs/>
          <w:color w:val="auto"/>
          <w:sz w:val="32"/>
          <w:szCs w:val="32"/>
        </w:rPr>
        <w:t>年</w:t>
      </w:r>
      <w:r>
        <w:rPr>
          <w:rFonts w:hint="default"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b/>
          <w:bCs/>
          <w:color w:val="auto"/>
          <w:sz w:val="32"/>
          <w:szCs w:val="32"/>
          <w:lang w:val="en-US" w:eastAsia="zh-CN"/>
        </w:rPr>
        <w:t>泗水县卫生健康</w:t>
      </w:r>
      <w:r>
        <w:rPr>
          <w:rFonts w:hint="default" w:ascii="Times New Roman" w:hAnsi="Times New Roman" w:eastAsia="方正仿宋简体" w:cs="Times New Roman"/>
          <w:b/>
          <w:bCs/>
          <w:color w:val="auto"/>
          <w:sz w:val="32"/>
          <w:szCs w:val="32"/>
          <w:lang w:eastAsia="zh-CN"/>
        </w:rPr>
        <w:t>局共受理依申请公开</w:t>
      </w:r>
      <w:r>
        <w:rPr>
          <w:rFonts w:hint="default" w:ascii="Times New Roman" w:hAnsi="Times New Roman" w:eastAsia="方正仿宋简体" w:cs="Times New Roman"/>
          <w:b/>
          <w:bCs/>
          <w:color w:val="auto"/>
          <w:sz w:val="32"/>
          <w:szCs w:val="32"/>
          <w:lang w:val="en-US" w:eastAsia="zh-CN"/>
        </w:rPr>
        <w:t>信息3</w:t>
      </w:r>
      <w:r>
        <w:rPr>
          <w:rFonts w:hint="default" w:ascii="Times New Roman" w:hAnsi="Times New Roman" w:eastAsia="方正仿宋简体" w:cs="Times New Roman"/>
          <w:b/>
          <w:bCs/>
          <w:color w:val="auto"/>
          <w:sz w:val="32"/>
          <w:szCs w:val="32"/>
          <w:lang w:eastAsia="zh-CN"/>
        </w:rPr>
        <w:t>件，</w:t>
      </w:r>
      <w:r>
        <w:rPr>
          <w:rFonts w:hint="default" w:ascii="Times New Roman" w:hAnsi="Times New Roman" w:eastAsia="方正仿宋简体" w:cs="Times New Roman"/>
          <w:b/>
          <w:bCs/>
          <w:color w:val="auto"/>
          <w:sz w:val="32"/>
          <w:szCs w:val="32"/>
          <w:lang w:val="en-US" w:eastAsia="zh-CN"/>
        </w:rPr>
        <w:t>其中依申请公开被申请行政复议1件</w:t>
      </w:r>
      <w:r>
        <w:rPr>
          <w:rFonts w:hint="default" w:ascii="Times New Roman" w:hAnsi="Times New Roman" w:eastAsia="方正仿宋简体" w:cs="Times New Roman"/>
          <w:b/>
          <w:color w:val="auto"/>
          <w:sz w:val="32"/>
          <w:szCs w:val="32"/>
        </w:rPr>
        <w:t>。均依照</w:t>
      </w:r>
      <w:r>
        <w:rPr>
          <w:rFonts w:hint="default" w:ascii="Times New Roman" w:hAnsi="Times New Roman" w:eastAsia="方正仿宋简体" w:cs="Times New Roman"/>
          <w:b/>
          <w:color w:val="auto"/>
          <w:sz w:val="32"/>
          <w:szCs w:val="32"/>
          <w:lang w:val="en-US" w:eastAsia="zh-CN"/>
        </w:rPr>
        <w:t>法规</w:t>
      </w:r>
      <w:r>
        <w:rPr>
          <w:rFonts w:hint="default" w:ascii="Times New Roman" w:hAnsi="Times New Roman" w:eastAsia="方正仿宋简体" w:cs="Times New Roman"/>
          <w:b/>
          <w:color w:val="auto"/>
          <w:sz w:val="32"/>
          <w:szCs w:val="32"/>
        </w:rPr>
        <w:t>规定在法定期限内予以答复，答复率100%</w:t>
      </w:r>
      <w:r>
        <w:rPr>
          <w:rFonts w:hint="default" w:ascii="Times New Roman" w:hAnsi="Times New Roman" w:eastAsia="方正仿宋简体" w:cs="Times New Roman"/>
          <w:b/>
          <w:color w:val="auto"/>
          <w:sz w:val="32"/>
          <w:szCs w:val="32"/>
          <w:lang w:eastAsia="zh-CN"/>
        </w:rPr>
        <w:t>，</w:t>
      </w:r>
      <w:r>
        <w:rPr>
          <w:rFonts w:hint="default" w:ascii="Times New Roman" w:hAnsi="Times New Roman" w:eastAsia="方正仿宋简体" w:cs="Times New Roman"/>
          <w:b/>
          <w:color w:val="auto"/>
          <w:sz w:val="32"/>
          <w:szCs w:val="32"/>
          <w:lang w:val="en-US" w:eastAsia="zh-CN"/>
        </w:rPr>
        <w:t>未向申请人收取任何费用</w:t>
      </w:r>
      <w:r>
        <w:rPr>
          <w:rFonts w:hint="default" w:ascii="Times New Roman" w:hAnsi="Times New Roman" w:eastAsia="方正仿宋简体" w:cs="Times New Roman"/>
          <w:b/>
          <w:bCs/>
          <w:color w:val="auto"/>
          <w:sz w:val="32"/>
          <w:szCs w:val="32"/>
          <w:lang w:val="en-US"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480" w:firstLineChars="200"/>
        <w:jc w:val="both"/>
        <w:textAlignment w:val="auto"/>
        <w:rPr>
          <w:rFonts w:hint="default" w:ascii="Times New Roman" w:hAnsi="Times New Roman" w:eastAsia="方正仿宋简体" w:cs="Times New Roman"/>
          <w:b/>
          <w:bCs/>
          <w:color w:val="auto"/>
          <w:sz w:val="32"/>
          <w:szCs w:val="32"/>
          <w:lang w:val="en-US" w:eastAsia="zh-CN"/>
        </w:rPr>
      </w:pPr>
      <w:r>
        <w:drawing>
          <wp:anchor distT="0" distB="0" distL="114300" distR="114300" simplePos="0" relativeHeight="251659264" behindDoc="0" locked="0" layoutInCell="1" allowOverlap="1">
            <wp:simplePos x="0" y="0"/>
            <wp:positionH relativeFrom="column">
              <wp:posOffset>354965</wp:posOffset>
            </wp:positionH>
            <wp:positionV relativeFrom="paragraph">
              <wp:posOffset>144145</wp:posOffset>
            </wp:positionV>
            <wp:extent cx="4639945" cy="2743200"/>
            <wp:effectExtent l="4445" t="4445" r="19050" b="10795"/>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3" w:firstLineChars="200"/>
        <w:jc w:val="both"/>
        <w:textAlignment w:val="auto"/>
        <w:rPr>
          <w:rFonts w:hint="eastAsia" w:ascii="方正楷体简体" w:hAnsi="方正楷体简体" w:eastAsia="方正楷体简体" w:cs="方正楷体简体"/>
          <w:b/>
          <w:bCs/>
          <w:color w:val="auto"/>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3" w:firstLineChars="200"/>
        <w:jc w:val="both"/>
        <w:textAlignment w:val="auto"/>
        <w:rPr>
          <w:rFonts w:hint="eastAsia" w:ascii="方正楷体简体" w:hAnsi="方正楷体简体" w:eastAsia="方正楷体简体" w:cs="方正楷体简体"/>
          <w:b/>
          <w:bCs/>
          <w:color w:val="auto"/>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3" w:firstLineChars="200"/>
        <w:jc w:val="both"/>
        <w:textAlignment w:val="auto"/>
        <w:rPr>
          <w:rFonts w:hint="eastAsia" w:ascii="方正楷体简体" w:hAnsi="方正楷体简体" w:eastAsia="方正楷体简体" w:cs="方正楷体简体"/>
          <w:b/>
          <w:bCs/>
          <w:color w:val="auto"/>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3" w:firstLineChars="200"/>
        <w:jc w:val="both"/>
        <w:textAlignment w:val="auto"/>
        <w:rPr>
          <w:rFonts w:hint="eastAsia" w:ascii="方正楷体简体" w:hAnsi="方正楷体简体" w:eastAsia="方正楷体简体" w:cs="方正楷体简体"/>
          <w:b/>
          <w:bCs/>
          <w:color w:val="auto"/>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3" w:firstLineChars="200"/>
        <w:jc w:val="both"/>
        <w:textAlignment w:val="auto"/>
        <w:rPr>
          <w:rFonts w:hint="eastAsia" w:ascii="方正楷体简体" w:hAnsi="方正楷体简体" w:eastAsia="方正楷体简体" w:cs="方正楷体简体"/>
          <w:b/>
          <w:bCs/>
          <w:color w:val="auto"/>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3" w:firstLineChars="200"/>
        <w:jc w:val="both"/>
        <w:textAlignment w:val="auto"/>
        <w:rPr>
          <w:rFonts w:hint="default" w:ascii="方正楷体简体" w:hAnsi="方正楷体简体" w:eastAsia="方正楷体简体" w:cs="方正楷体简体"/>
          <w:b/>
          <w:bCs/>
          <w:color w:val="auto"/>
          <w:sz w:val="32"/>
          <w:szCs w:val="32"/>
        </w:rPr>
      </w:pPr>
      <w:r>
        <w:rPr>
          <w:rFonts w:hint="eastAsia" w:ascii="方正楷体简体" w:hAnsi="方正楷体简体" w:eastAsia="方正楷体简体" w:cs="方正楷体简体"/>
          <w:b/>
          <w:bCs/>
          <w:color w:val="auto"/>
          <w:sz w:val="32"/>
          <w:szCs w:val="32"/>
        </w:rPr>
        <w:t>（三）政府信息管理情况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3" w:firstLineChars="200"/>
        <w:jc w:val="both"/>
        <w:textAlignment w:val="auto"/>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auto"/>
          <w:sz w:val="32"/>
          <w:szCs w:val="32"/>
        </w:rPr>
        <w:t>县卫生健康局按照政府信息公开工作的要求，严格执行信息发布保密审查机制，加强内容安全审查，准确厘清主动公开信息与涉密信息，不公开发布或传播涉密内容，严防泄密情况发生。202</w:t>
      </w:r>
      <w:r>
        <w:rPr>
          <w:rFonts w:hint="default" w:ascii="Times New Roman" w:hAnsi="Times New Roman" w:eastAsia="方正仿宋简体" w:cs="Times New Roman"/>
          <w:b/>
          <w:bCs/>
          <w:color w:val="auto"/>
          <w:sz w:val="32"/>
          <w:szCs w:val="32"/>
          <w:lang w:val="en-US" w:eastAsia="zh-CN"/>
        </w:rPr>
        <w:t>5</w:t>
      </w:r>
      <w:r>
        <w:rPr>
          <w:rFonts w:hint="default" w:ascii="Times New Roman" w:hAnsi="Times New Roman" w:eastAsia="方正仿宋简体" w:cs="Times New Roman"/>
          <w:b/>
          <w:bCs/>
          <w:color w:val="auto"/>
          <w:sz w:val="32"/>
          <w:szCs w:val="32"/>
        </w:rPr>
        <w:t>年全年未发生过信息泄密事故。</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3" w:firstLineChars="200"/>
        <w:jc w:val="both"/>
        <w:textAlignment w:val="auto"/>
        <w:rPr>
          <w:rFonts w:hint="eastAsia" w:ascii="方正楷体简体" w:hAnsi="方正楷体简体" w:eastAsia="方正楷体简体" w:cs="方正楷体简体"/>
          <w:b/>
          <w:bCs/>
          <w:color w:val="auto"/>
          <w:sz w:val="32"/>
          <w:szCs w:val="32"/>
        </w:rPr>
      </w:pPr>
      <w:r>
        <w:rPr>
          <w:rFonts w:hint="eastAsia" w:ascii="方正楷体简体" w:hAnsi="方正楷体简体" w:eastAsia="方正楷体简体" w:cs="方正楷体简体"/>
          <w:b/>
          <w:bCs/>
          <w:color w:val="auto"/>
          <w:sz w:val="32"/>
          <w:szCs w:val="32"/>
        </w:rPr>
        <w:t>（四）政府信息公开平台建设情况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3" w:firstLineChars="200"/>
        <w:jc w:val="both"/>
        <w:textAlignment w:val="auto"/>
        <w:rPr>
          <w:rFonts w:hint="eastAsia" w:ascii="方正仿宋简体" w:hAnsi="方正仿宋简体" w:eastAsia="方正仿宋简体" w:cs="方正仿宋简体"/>
          <w:b/>
          <w:bCs/>
          <w:color w:val="auto"/>
          <w:sz w:val="32"/>
          <w:szCs w:val="32"/>
        </w:rPr>
      </w:pPr>
      <w:r>
        <w:rPr>
          <w:rFonts w:hint="eastAsia" w:ascii="方正仿宋简体" w:hAnsi="方正仿宋简体" w:eastAsia="方正仿宋简体" w:cs="方正仿宋简体"/>
          <w:b/>
          <w:bCs/>
          <w:color w:val="auto"/>
          <w:sz w:val="32"/>
          <w:szCs w:val="32"/>
        </w:rPr>
        <w:t>持续加强门户网站平台建设，优化政务公开栏目设置，提高信息发布质量。扎实做好政务新媒体管理，规范“</w:t>
      </w:r>
      <w:r>
        <w:rPr>
          <w:rFonts w:hint="eastAsia" w:ascii="方正仿宋简体" w:hAnsi="方正仿宋简体" w:eastAsia="方正仿宋简体" w:cs="方正仿宋简体"/>
          <w:b/>
          <w:bCs/>
          <w:color w:val="auto"/>
          <w:sz w:val="32"/>
          <w:szCs w:val="32"/>
          <w:lang w:val="en-US" w:eastAsia="zh-CN"/>
        </w:rPr>
        <w:t>泗水县卫生健康局</w:t>
      </w:r>
      <w:r>
        <w:rPr>
          <w:rFonts w:hint="eastAsia" w:ascii="方正仿宋简体" w:hAnsi="方正仿宋简体" w:eastAsia="方正仿宋简体" w:cs="方正仿宋简体"/>
          <w:b/>
          <w:bCs/>
          <w:color w:val="auto"/>
          <w:sz w:val="32"/>
          <w:szCs w:val="32"/>
        </w:rPr>
        <w:t>”公众号的管理使用，不断提升网络传播力和社会影响力。严格落实信息内容发布审核制度，切实防范网络意识形态风险。</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3" w:firstLineChars="200"/>
        <w:jc w:val="both"/>
        <w:textAlignment w:val="auto"/>
        <w:rPr>
          <w:rFonts w:hint="eastAsia" w:ascii="Times New Roman" w:hAnsi="Times New Roman" w:eastAsia="方正仿宋简体" w:cs="Times New Roman"/>
          <w:b/>
          <w:bCs/>
          <w:color w:val="auto"/>
          <w:sz w:val="32"/>
          <w:szCs w:val="32"/>
        </w:rPr>
      </w:pPr>
      <w:r>
        <w:rPr>
          <w:rFonts w:hint="eastAsia" w:ascii="方正楷体简体" w:hAnsi="方正楷体简体" w:eastAsia="方正楷体简体" w:cs="方正楷体简体"/>
          <w:b/>
          <w:bCs/>
          <w:color w:val="auto"/>
          <w:sz w:val="32"/>
          <w:szCs w:val="32"/>
        </w:rPr>
        <w:t>（五）监督保障情况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60" w:lineRule="exact"/>
        <w:ind w:left="0"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泗水县卫生健康局不断</w:t>
      </w:r>
      <w:r>
        <w:rPr>
          <w:rFonts w:hint="default" w:ascii="Times New Roman" w:hAnsi="Times New Roman" w:eastAsia="方正仿宋简体" w:cs="Times New Roman"/>
          <w:b/>
          <w:bCs/>
          <w:color w:val="auto"/>
          <w:sz w:val="32"/>
          <w:szCs w:val="32"/>
        </w:rPr>
        <w:t>强化政务公开队伍建设，</w:t>
      </w:r>
      <w:r>
        <w:rPr>
          <w:rFonts w:hint="eastAsia" w:ascii="Times New Roman" w:hAnsi="Times New Roman" w:eastAsia="方正仿宋简体" w:cs="Times New Roman"/>
          <w:b/>
          <w:bCs/>
          <w:color w:val="auto"/>
          <w:sz w:val="32"/>
          <w:szCs w:val="32"/>
          <w:lang w:val="en-US" w:eastAsia="zh-CN"/>
        </w:rPr>
        <w:t>明确一名班子成员分管政务公开工作，县卫生健康局政府信息公开工作机构设在局办公室，明确专人负责。</w:t>
      </w:r>
      <w:r>
        <w:rPr>
          <w:rFonts w:hint="default" w:ascii="Times New Roman" w:hAnsi="Times New Roman" w:eastAsia="方正仿宋简体" w:cs="Times New Roman"/>
          <w:b/>
          <w:bCs/>
          <w:color w:val="auto"/>
          <w:sz w:val="32"/>
          <w:szCs w:val="32"/>
          <w:lang w:val="en-US" w:eastAsia="zh-CN"/>
        </w:rPr>
        <w:t>同时</w:t>
      </w:r>
      <w:r>
        <w:rPr>
          <w:rFonts w:hint="default" w:ascii="Times New Roman" w:hAnsi="Times New Roman" w:eastAsia="方正仿宋简体" w:cs="Times New Roman"/>
          <w:b/>
          <w:bCs/>
          <w:color w:val="auto"/>
          <w:sz w:val="32"/>
          <w:szCs w:val="32"/>
        </w:rPr>
        <w:t>组织开展</w:t>
      </w:r>
      <w:r>
        <w:rPr>
          <w:rFonts w:hint="eastAsia" w:ascii="Times New Roman" w:hAnsi="Times New Roman" w:eastAsia="方正仿宋简体" w:cs="Times New Roman"/>
          <w:b/>
          <w:bCs/>
          <w:color w:val="auto"/>
          <w:sz w:val="32"/>
          <w:szCs w:val="32"/>
          <w:lang w:val="en-US" w:eastAsia="zh-CN"/>
        </w:rPr>
        <w:t>系统内</w:t>
      </w:r>
      <w:r>
        <w:rPr>
          <w:rFonts w:hint="default" w:ascii="Times New Roman" w:hAnsi="Times New Roman" w:eastAsia="方正仿宋简体" w:cs="Times New Roman"/>
          <w:b/>
          <w:bCs/>
          <w:color w:val="auto"/>
          <w:sz w:val="32"/>
          <w:szCs w:val="32"/>
        </w:rPr>
        <w:t>政府信息公开业务培训，不断提升信息公开水平。</w:t>
      </w:r>
      <w:r>
        <w:rPr>
          <w:rFonts w:hint="default" w:ascii="Times New Roman" w:hAnsi="Times New Roman" w:eastAsia="方正仿宋简体" w:cs="Times New Roman"/>
          <w:b/>
          <w:bCs/>
          <w:color w:val="auto"/>
          <w:sz w:val="32"/>
          <w:szCs w:val="32"/>
          <w:lang w:val="en-US" w:eastAsia="zh-CN"/>
        </w:rPr>
        <w:t>2025年，未发生政府信息公开工作责任追究结果情况。</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70" w:lineRule="atLeast"/>
        <w:ind w:leftChars="200" w:right="0" w:rightChars="0"/>
        <w:jc w:val="both"/>
        <w:textAlignment w:val="auto"/>
        <w:rPr>
          <w:rFonts w:hint="eastAsia" w:ascii="方正黑体简体" w:hAnsi="方正黑体简体" w:eastAsia="方正黑体简体" w:cs="方正黑体简体"/>
          <w:b/>
          <w:bCs/>
          <w:color w:val="auto"/>
          <w:sz w:val="32"/>
          <w:szCs w:val="32"/>
          <w:lang w:val="en-US" w:eastAsia="zh-CN"/>
        </w:rPr>
      </w:pP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570" w:lineRule="atLeast"/>
        <w:ind w:leftChars="200" w:right="0" w:rightChars="0"/>
        <w:jc w:val="both"/>
        <w:textAlignment w:val="auto"/>
        <w:rPr>
          <w:rFonts w:hint="eastAsia" w:ascii="方正黑体简体" w:hAnsi="方正黑体简体" w:eastAsia="方正黑体简体" w:cs="方正黑体简体"/>
          <w:b/>
          <w:bCs/>
          <w:color w:val="auto"/>
          <w:sz w:val="32"/>
          <w:szCs w:val="32"/>
        </w:rPr>
      </w:pPr>
      <w:r>
        <w:rPr>
          <w:rFonts w:hint="eastAsia" w:ascii="方正黑体简体" w:hAnsi="方正黑体简体" w:eastAsia="方正黑体简体" w:cs="方正黑体简体"/>
          <w:b/>
          <w:bCs/>
          <w:color w:val="auto"/>
          <w:sz w:val="32"/>
          <w:szCs w:val="32"/>
          <w:lang w:val="en-US" w:eastAsia="zh-CN"/>
        </w:rPr>
        <w:t>二、</w:t>
      </w:r>
      <w:r>
        <w:rPr>
          <w:rFonts w:hint="eastAsia" w:ascii="方正黑体简体" w:hAnsi="方正黑体简体" w:eastAsia="方正黑体简体" w:cs="方正黑体简体"/>
          <w:b/>
          <w:bCs/>
          <w:color w:val="auto"/>
          <w:sz w:val="32"/>
          <w:szCs w:val="32"/>
        </w:rPr>
        <w:t>主动公开政府信息情况</w:t>
      </w:r>
    </w:p>
    <w:tbl>
      <w:tblPr>
        <w:tblStyle w:val="3"/>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b/>
                <w:bCs w:val="0"/>
                <w:color w:val="auto"/>
                <w:lang w:val="en-US" w:eastAsia="zh-CN"/>
              </w:rPr>
            </w:pPr>
            <w:r>
              <w:rPr>
                <w:rFonts w:hint="eastAsia"/>
                <w:b/>
                <w:bCs w:val="0"/>
                <w:color w:va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Calibri" w:hAnsi="Calibri" w:eastAsia="宋体" w:cs="Calibri"/>
                <w:b/>
                <w:bCs w:val="0"/>
                <w:color w:val="auto"/>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b/>
                <w:bCs w:val="0"/>
                <w:color w:val="auto"/>
                <w:lang w:val="en-US" w:eastAsia="zh-CN"/>
              </w:rPr>
            </w:pPr>
            <w:r>
              <w:rPr>
                <w:rFonts w:hint="eastAsia"/>
                <w:b/>
                <w:bCs w:val="0"/>
                <w:color w:va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val="0"/>
                <w:color w:val="auto"/>
              </w:rPr>
            </w:pPr>
            <w:r>
              <w:rPr>
                <w:rFonts w:hint="eastAsia" w:ascii="宋体" w:hAnsi="宋体" w:eastAsia="宋体" w:cs="宋体"/>
                <w:b/>
                <w:bCs w:val="0"/>
                <w:color w:val="auto"/>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b/>
                <w:bCs w:val="0"/>
                <w:color w:val="auto"/>
                <w:lang w:val="en-US"/>
              </w:rPr>
            </w:pPr>
            <w:r>
              <w:rPr>
                <w:rFonts w:hint="eastAsia" w:ascii="宋体" w:hAnsi="宋体" w:eastAsia="宋体" w:cs="宋体"/>
                <w:b/>
                <w:bCs w:val="0"/>
                <w:color w:val="auto"/>
                <w:kern w:val="0"/>
                <w:sz w:val="20"/>
                <w:szCs w:val="20"/>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b/>
                <w:bCs w:val="0"/>
                <w:color w:val="auto"/>
                <w:lang w:val="en-US" w:eastAsia="zh-CN"/>
              </w:rPr>
            </w:pPr>
            <w:r>
              <w:rPr>
                <w:rFonts w:hint="eastAsia"/>
                <w:b/>
                <w:bCs w:val="0"/>
                <w:color w:va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val="0"/>
                <w:color w:val="auto"/>
              </w:rPr>
            </w:pPr>
            <w:r>
              <w:rPr>
                <w:rFonts w:hint="eastAsia" w:ascii="宋体" w:hAnsi="宋体" w:eastAsia="宋体" w:cs="宋体"/>
                <w:b/>
                <w:bCs w:val="0"/>
                <w:color w:val="auto"/>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eastAsiaTheme="minorEastAsia"/>
                <w:b/>
                <w:bCs w:val="0"/>
                <w:color w:val="auto"/>
                <w:sz w:val="24"/>
                <w:szCs w:val="24"/>
                <w:lang w:val="en-US" w:eastAsia="zh-CN"/>
              </w:rPr>
            </w:pPr>
            <w:r>
              <w:rPr>
                <w:rFonts w:hint="eastAsia" w:ascii="宋体"/>
                <w:b/>
                <w:bCs w:val="0"/>
                <w:color w:val="auto"/>
                <w:sz w:val="24"/>
                <w:szCs w:val="24"/>
                <w:lang w:val="en-US" w:eastAsia="zh-CN"/>
              </w:rPr>
              <w:t>0</w:t>
            </w:r>
          </w:p>
        </w:tc>
      </w:tr>
    </w:tbl>
    <w:p>
      <w:pPr>
        <w:pStyle w:val="2"/>
        <w:keepNext w:val="0"/>
        <w:keepLines w:val="0"/>
        <w:widowControl/>
        <w:numPr>
          <w:ilvl w:val="0"/>
          <w:numId w:val="0"/>
        </w:numPr>
        <w:suppressLineNumbers w:val="0"/>
        <w:spacing w:after="75" w:afterAutospacing="0" w:line="315" w:lineRule="atLeast"/>
        <w:ind w:right="0" w:rightChars="0" w:firstLine="643" w:firstLineChars="200"/>
        <w:rPr>
          <w:rFonts w:hint="eastAsia" w:ascii="方正黑体简体" w:hAnsi="方正黑体简体" w:eastAsia="方正黑体简体" w:cs="方正黑体简体"/>
          <w:b/>
          <w:bCs/>
          <w:color w:val="auto"/>
          <w:sz w:val="32"/>
          <w:szCs w:val="32"/>
        </w:rPr>
      </w:pPr>
      <w:r>
        <w:rPr>
          <w:rFonts w:hint="eastAsia" w:ascii="方正黑体简体" w:hAnsi="方正黑体简体" w:eastAsia="方正黑体简体" w:cs="方正黑体简体"/>
          <w:b/>
          <w:bCs/>
          <w:color w:val="auto"/>
          <w:kern w:val="0"/>
          <w:sz w:val="32"/>
          <w:szCs w:val="32"/>
          <w:lang w:val="en-US" w:eastAsia="zh-CN" w:bidi="ar"/>
        </w:rPr>
        <w:t>三、</w:t>
      </w:r>
      <w:r>
        <w:rPr>
          <w:rFonts w:hint="eastAsia" w:ascii="方正黑体简体" w:hAnsi="方正黑体简体" w:eastAsia="方正黑体简体" w:cs="方正黑体简体"/>
          <w:b/>
          <w:bCs/>
          <w:color w:val="auto"/>
          <w:sz w:val="32"/>
          <w:szCs w:val="32"/>
        </w:rPr>
        <w:t>收到和处理政府信息公开申请情况</w:t>
      </w:r>
    </w:p>
    <w:tbl>
      <w:tblPr>
        <w:tblStyle w:val="3"/>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b/>
                <w:bCs/>
                <w:color w:val="auto"/>
                <w:kern w:val="0"/>
                <w:szCs w:val="21"/>
              </w:rPr>
            </w:pPr>
            <w:r>
              <w:rPr>
                <w:rFonts w:hint="eastAsia" w:ascii="楷体_GB2312" w:hAnsi="黑体" w:eastAsia="楷体_GB2312"/>
                <w:b/>
                <w:bCs/>
                <w:color w:val="auto"/>
                <w:kern w:val="0"/>
                <w:szCs w:val="21"/>
              </w:rPr>
              <w:t>（本列数据的勾稽关系为：第一项加第二项之和，</w:t>
            </w:r>
          </w:p>
          <w:p>
            <w:pPr>
              <w:widowControl/>
              <w:jc w:val="center"/>
              <w:rPr>
                <w:rFonts w:ascii="仿宋_GB2312" w:hAnsi="Times New Roman" w:eastAsia="仿宋_GB2312"/>
                <w:b/>
                <w:bCs/>
                <w:color w:val="auto"/>
                <w:szCs w:val="21"/>
              </w:rPr>
            </w:pPr>
            <w:r>
              <w:rPr>
                <w:rFonts w:hint="eastAsia" w:ascii="楷体_GB2312" w:hAnsi="黑体" w:eastAsia="楷体_GB2312"/>
                <w:b/>
                <w:bCs/>
                <w:color w:val="auto"/>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b/>
                <w:bCs/>
                <w:color w:val="auto"/>
                <w:szCs w:val="21"/>
              </w:rPr>
            </w:pPr>
            <w:r>
              <w:rPr>
                <w:rFonts w:hint="eastAsia" w:ascii="黑体" w:hAnsi="黑体" w:eastAsia="黑体"/>
                <w:b/>
                <w:bCs/>
                <w:color w:val="auto"/>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b/>
                <w:bCs/>
                <w:color w:val="auto"/>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b/>
                <w:bCs/>
                <w:color w:val="auto"/>
                <w:szCs w:val="21"/>
              </w:rPr>
            </w:pPr>
            <w:r>
              <w:rPr>
                <w:rFonts w:hint="eastAsia" w:ascii="黑体" w:hAnsi="黑体" w:eastAsia="黑体"/>
                <w:b/>
                <w:bCs/>
                <w:color w:val="auto"/>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b/>
                <w:bCs/>
                <w:color w:val="auto"/>
                <w:szCs w:val="21"/>
              </w:rPr>
            </w:pPr>
            <w:r>
              <w:rPr>
                <w:rFonts w:hint="eastAsia" w:ascii="黑体" w:hAnsi="黑体" w:eastAsia="黑体"/>
                <w:b/>
                <w:bCs/>
                <w:color w:val="auto"/>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b/>
                <w:bCs/>
                <w:color w:val="auto"/>
                <w:szCs w:val="21"/>
              </w:rPr>
            </w:pPr>
            <w:r>
              <w:rPr>
                <w:rFonts w:hint="eastAsia" w:ascii="黑体" w:hAnsi="黑体" w:eastAsia="黑体"/>
                <w:b/>
                <w:bCs/>
                <w:color w:val="auto"/>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b/>
                <w:bCs/>
                <w:color w:val="auto"/>
                <w:szCs w:val="21"/>
              </w:rPr>
            </w:pPr>
          </w:p>
        </w:tc>
        <w:tc>
          <w:tcPr>
            <w:tcW w:w="829" w:type="dxa"/>
            <w:vMerge w:val="continue"/>
            <w:shd w:val="clear" w:color="auto" w:fill="auto"/>
            <w:tcMar>
              <w:left w:w="108" w:type="dxa"/>
              <w:right w:w="108" w:type="dxa"/>
            </w:tcMar>
            <w:vAlign w:val="center"/>
          </w:tcPr>
          <w:p>
            <w:pPr>
              <w:jc w:val="center"/>
              <w:rPr>
                <w:rFonts w:ascii="黑体" w:hAnsi="黑体" w:eastAsia="黑体"/>
                <w:b/>
                <w:bCs/>
                <w:color w:val="auto"/>
                <w:szCs w:val="21"/>
              </w:rPr>
            </w:pPr>
          </w:p>
        </w:tc>
        <w:tc>
          <w:tcPr>
            <w:tcW w:w="567"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b/>
                <w:bCs/>
                <w:color w:val="auto"/>
                <w:szCs w:val="21"/>
              </w:rPr>
            </w:pPr>
            <w:r>
              <w:rPr>
                <w:rFonts w:hint="eastAsia" w:ascii="黑体" w:hAnsi="黑体" w:eastAsia="黑体"/>
                <w:b/>
                <w:bCs/>
                <w:color w:val="auto"/>
                <w:kern w:val="0"/>
                <w:szCs w:val="21"/>
              </w:rPr>
              <w:t>商业企业</w:t>
            </w:r>
          </w:p>
        </w:tc>
        <w:tc>
          <w:tcPr>
            <w:tcW w:w="567"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b/>
                <w:bCs/>
                <w:color w:val="auto"/>
                <w:szCs w:val="21"/>
              </w:rPr>
            </w:pPr>
            <w:r>
              <w:rPr>
                <w:rFonts w:hint="eastAsia" w:ascii="黑体" w:hAnsi="黑体" w:eastAsia="黑体"/>
                <w:b/>
                <w:bCs/>
                <w:color w:val="auto"/>
                <w:kern w:val="0"/>
                <w:szCs w:val="21"/>
              </w:rPr>
              <w:t>科研机构</w:t>
            </w:r>
          </w:p>
        </w:tc>
        <w:tc>
          <w:tcPr>
            <w:tcW w:w="731"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b/>
                <w:bCs/>
                <w:color w:val="auto"/>
                <w:szCs w:val="21"/>
              </w:rPr>
            </w:pPr>
            <w:r>
              <w:rPr>
                <w:rFonts w:hint="eastAsia" w:ascii="黑体" w:hAnsi="黑体" w:eastAsia="黑体"/>
                <w:b/>
                <w:bCs/>
                <w:color w:val="auto"/>
                <w:kern w:val="0"/>
                <w:szCs w:val="21"/>
              </w:rPr>
              <w:t>社会公益组织</w:t>
            </w:r>
          </w:p>
        </w:tc>
        <w:tc>
          <w:tcPr>
            <w:tcW w:w="708"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b/>
                <w:bCs/>
                <w:color w:val="auto"/>
                <w:szCs w:val="21"/>
              </w:rPr>
            </w:pPr>
            <w:r>
              <w:rPr>
                <w:rFonts w:hint="eastAsia" w:ascii="黑体" w:hAnsi="黑体" w:eastAsia="黑体"/>
                <w:b/>
                <w:bCs/>
                <w:color w:val="auto"/>
                <w:kern w:val="0"/>
                <w:szCs w:val="21"/>
              </w:rPr>
              <w:t>法律服务机构</w:t>
            </w:r>
          </w:p>
        </w:tc>
        <w:tc>
          <w:tcPr>
            <w:tcW w:w="567"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b/>
                <w:bCs/>
                <w:color w:val="auto"/>
                <w:szCs w:val="21"/>
              </w:rPr>
            </w:pPr>
            <w:r>
              <w:rPr>
                <w:rFonts w:hint="eastAsia" w:ascii="黑体" w:hAnsi="黑体" w:eastAsia="黑体"/>
                <w:b/>
                <w:bCs/>
                <w:color w:val="auto"/>
                <w:kern w:val="0"/>
                <w:szCs w:val="21"/>
              </w:rPr>
              <w:t>其他</w:t>
            </w:r>
          </w:p>
        </w:tc>
        <w:tc>
          <w:tcPr>
            <w:tcW w:w="851" w:type="dxa"/>
            <w:vMerge w:val="continue"/>
            <w:shd w:val="clear" w:color="auto" w:fill="auto"/>
            <w:tcMar>
              <w:left w:w="108" w:type="dxa"/>
              <w:right w:w="108" w:type="dxa"/>
            </w:tcMar>
            <w:vAlign w:val="center"/>
          </w:tcPr>
          <w:p>
            <w:pPr>
              <w:jc w:val="center"/>
              <w:rPr>
                <w:rFonts w:ascii="仿宋_GB2312" w:hAnsi="Times New Roman" w:eastAsia="仿宋_GB2312"/>
                <w:b/>
                <w:bCs/>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b/>
                <w:bCs/>
                <w:color w:val="auto"/>
                <w:szCs w:val="21"/>
              </w:rPr>
            </w:pPr>
            <w:r>
              <w:rPr>
                <w:rFonts w:hint="eastAsia" w:ascii="黑体" w:hAnsi="黑体" w:eastAsia="黑体"/>
                <w:b/>
                <w:bCs/>
                <w:color w:val="auto"/>
                <w:kern w:val="0"/>
                <w:szCs w:val="21"/>
              </w:rPr>
              <w:t>一、</w:t>
            </w:r>
            <w:bookmarkStart w:id="0" w:name="_Hlk66973412"/>
            <w:r>
              <w:rPr>
                <w:rFonts w:hint="eastAsia" w:ascii="黑体" w:hAnsi="黑体" w:eastAsia="黑体"/>
                <w:b/>
                <w:bCs/>
                <w:color w:val="auto"/>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jc w:val="center"/>
              <w:rPr>
                <w:rFonts w:hint="default"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3</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b/>
                <w:bCs/>
                <w:color w:val="auto"/>
                <w:szCs w:val="21"/>
              </w:rPr>
            </w:pPr>
            <w:r>
              <w:rPr>
                <w:rFonts w:hint="eastAsia" w:ascii="黑体" w:hAnsi="黑体" w:eastAsia="黑体"/>
                <w:b/>
                <w:bCs/>
                <w:color w:val="auto"/>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b/>
                <w:bCs/>
                <w:color w:val="auto"/>
                <w:szCs w:val="21"/>
              </w:rPr>
            </w:pPr>
            <w:r>
              <w:rPr>
                <w:rFonts w:hint="eastAsia" w:ascii="黑体" w:hAnsi="黑体" w:eastAsia="黑体"/>
                <w:b/>
                <w:bCs/>
                <w:color w:val="auto"/>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b/>
                <w:bCs/>
                <w:color w:val="auto"/>
                <w:szCs w:val="21"/>
              </w:rPr>
            </w:pPr>
            <w:r>
              <w:rPr>
                <w:rFonts w:hint="eastAsia" w:ascii="黑体" w:hAnsi="黑体" w:eastAsia="黑体"/>
                <w:b/>
                <w:bCs/>
                <w:color w:val="auto"/>
                <w:kern w:val="0"/>
                <w:szCs w:val="21"/>
              </w:rPr>
              <w:t>（一）予以公开</w:t>
            </w:r>
          </w:p>
        </w:tc>
        <w:tc>
          <w:tcPr>
            <w:tcW w:w="829" w:type="dxa"/>
            <w:shd w:val="clear" w:color="auto" w:fill="auto"/>
            <w:tcMar>
              <w:left w:w="108" w:type="dxa"/>
              <w:right w:w="108" w:type="dxa"/>
            </w:tcMar>
            <w:vAlign w:val="center"/>
          </w:tcPr>
          <w:p>
            <w:pPr>
              <w:widowControl/>
              <w:spacing w:after="180"/>
              <w:jc w:val="center"/>
              <w:rPr>
                <w:rFonts w:hint="default"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1</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b/>
                <w:bCs/>
                <w:color w:val="auto"/>
                <w:szCs w:val="21"/>
              </w:rPr>
            </w:pPr>
          </w:p>
        </w:tc>
        <w:tc>
          <w:tcPr>
            <w:tcW w:w="4677" w:type="dxa"/>
            <w:gridSpan w:val="2"/>
            <w:shd w:val="clear" w:color="auto" w:fill="auto"/>
            <w:tcMar>
              <w:left w:w="108" w:type="dxa"/>
              <w:right w:w="108" w:type="dxa"/>
            </w:tcMar>
            <w:vAlign w:val="center"/>
          </w:tcPr>
          <w:p>
            <w:pPr>
              <w:widowControl/>
              <w:rPr>
                <w:rFonts w:ascii="黑体" w:hAnsi="黑体" w:eastAsia="黑体"/>
                <w:b/>
                <w:bCs/>
                <w:color w:val="auto"/>
                <w:szCs w:val="21"/>
              </w:rPr>
            </w:pPr>
            <w:r>
              <w:rPr>
                <w:rFonts w:hint="eastAsia" w:ascii="黑体" w:hAnsi="黑体" w:eastAsia="黑体"/>
                <w:b/>
                <w:bCs/>
                <w:color w:val="auto"/>
                <w:kern w:val="0"/>
                <w:szCs w:val="21"/>
              </w:rPr>
              <w:t>（二）部分公开（</w:t>
            </w:r>
            <w:bookmarkStart w:id="1" w:name="_Hlk66973981"/>
            <w:r>
              <w:rPr>
                <w:rFonts w:hint="eastAsia" w:ascii="黑体" w:hAnsi="黑体" w:eastAsia="黑体"/>
                <w:b/>
                <w:bCs/>
                <w:color w:val="auto"/>
                <w:kern w:val="0"/>
                <w:szCs w:val="21"/>
              </w:rPr>
              <w:t>区分处理的，只计这一情形，不计其他情形</w:t>
            </w:r>
            <w:bookmarkEnd w:id="1"/>
            <w:r>
              <w:rPr>
                <w:rFonts w:hint="eastAsia" w:ascii="黑体" w:hAnsi="黑体" w:eastAsia="黑体"/>
                <w:b/>
                <w:bCs/>
                <w:color w:val="auto"/>
                <w:kern w:val="0"/>
                <w:szCs w:val="21"/>
              </w:rPr>
              <w:t>）</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color w:val="auto"/>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b/>
                <w:bCs/>
                <w:color w:val="auto"/>
                <w:szCs w:val="21"/>
              </w:rPr>
            </w:pPr>
            <w:r>
              <w:rPr>
                <w:rFonts w:hint="eastAsia" w:ascii="黑体" w:hAnsi="黑体" w:eastAsia="黑体"/>
                <w:b/>
                <w:bCs/>
                <w:color w:val="auto"/>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b/>
                <w:bCs/>
                <w:color w:val="auto"/>
                <w:kern w:val="0"/>
                <w:szCs w:val="21"/>
              </w:rPr>
            </w:pPr>
            <w:r>
              <w:rPr>
                <w:rFonts w:hint="eastAsia" w:ascii="仿宋_GB2312" w:hAnsi="黑体" w:eastAsia="仿宋_GB2312"/>
                <w:b/>
                <w:bCs/>
                <w:color w:val="auto"/>
                <w:kern w:val="0"/>
                <w:szCs w:val="21"/>
              </w:rPr>
              <w:t>1.属于国家秘密</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b/>
                <w:bCs/>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b/>
                <w:bCs/>
                <w:color w:val="auto"/>
                <w:kern w:val="0"/>
                <w:szCs w:val="21"/>
              </w:rPr>
            </w:pPr>
            <w:r>
              <w:rPr>
                <w:rFonts w:hint="eastAsia" w:ascii="仿宋_GB2312" w:hAnsi="黑体" w:eastAsia="仿宋_GB2312"/>
                <w:b/>
                <w:bCs/>
                <w:color w:val="auto"/>
                <w:kern w:val="0"/>
                <w:szCs w:val="21"/>
              </w:rPr>
              <w:t>2.</w:t>
            </w:r>
            <w:bookmarkStart w:id="2" w:name="_Hlk66974104"/>
            <w:r>
              <w:rPr>
                <w:rFonts w:hint="eastAsia" w:ascii="仿宋_GB2312" w:hAnsi="黑体" w:eastAsia="仿宋_GB2312"/>
                <w:b/>
                <w:bCs/>
                <w:color w:val="auto"/>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b/>
                <w:bCs/>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b/>
                <w:bCs/>
                <w:color w:val="auto"/>
                <w:kern w:val="0"/>
                <w:szCs w:val="21"/>
              </w:rPr>
            </w:pPr>
            <w:r>
              <w:rPr>
                <w:rFonts w:hint="eastAsia" w:ascii="仿宋_GB2312" w:hAnsi="黑体" w:eastAsia="仿宋_GB2312"/>
                <w:b/>
                <w:bCs/>
                <w:color w:val="auto"/>
                <w:kern w:val="0"/>
                <w:szCs w:val="21"/>
              </w:rPr>
              <w:t>3.危及“三安全一稳定”</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b/>
                <w:bCs/>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b/>
                <w:bCs/>
                <w:color w:val="auto"/>
                <w:kern w:val="0"/>
                <w:szCs w:val="21"/>
              </w:rPr>
            </w:pPr>
            <w:r>
              <w:rPr>
                <w:rFonts w:hint="eastAsia" w:ascii="仿宋_GB2312" w:hAnsi="黑体" w:eastAsia="仿宋_GB2312"/>
                <w:b/>
                <w:bCs/>
                <w:color w:val="auto"/>
                <w:kern w:val="0"/>
                <w:szCs w:val="21"/>
              </w:rPr>
              <w:t>4.</w:t>
            </w:r>
            <w:bookmarkStart w:id="3" w:name="_Hlk66974290"/>
            <w:r>
              <w:rPr>
                <w:rFonts w:hint="eastAsia" w:ascii="仿宋_GB2312" w:hAnsi="黑体" w:eastAsia="仿宋_GB2312"/>
                <w:b/>
                <w:bCs/>
                <w:color w:val="auto"/>
                <w:kern w:val="0"/>
                <w:szCs w:val="21"/>
              </w:rPr>
              <w:t>保护第三方合法权益</w:t>
            </w:r>
            <w:bookmarkEnd w:id="3"/>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b/>
                <w:bCs/>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b/>
                <w:bCs/>
                <w:color w:val="auto"/>
                <w:kern w:val="0"/>
                <w:szCs w:val="21"/>
              </w:rPr>
            </w:pPr>
            <w:r>
              <w:rPr>
                <w:rFonts w:hint="eastAsia" w:ascii="仿宋_GB2312" w:hAnsi="黑体" w:eastAsia="仿宋_GB2312"/>
                <w:b/>
                <w:bCs/>
                <w:color w:val="auto"/>
                <w:kern w:val="0"/>
                <w:szCs w:val="21"/>
              </w:rPr>
              <w:t>5.属于三类内部事务信息</w:t>
            </w:r>
          </w:p>
        </w:tc>
        <w:tc>
          <w:tcPr>
            <w:tcW w:w="829" w:type="dxa"/>
            <w:shd w:val="clear" w:color="auto" w:fill="auto"/>
            <w:tcMar>
              <w:left w:w="108" w:type="dxa"/>
              <w:right w:w="108" w:type="dxa"/>
            </w:tcMar>
            <w:vAlign w:val="center"/>
          </w:tcPr>
          <w:p>
            <w:pPr>
              <w:widowControl/>
              <w:spacing w:after="180" w:line="200" w:lineRule="exact"/>
              <w:jc w:val="center"/>
              <w:rPr>
                <w:rFonts w:hint="default"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1</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b/>
                <w:bCs/>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b/>
                <w:bCs/>
                <w:color w:val="auto"/>
                <w:kern w:val="0"/>
                <w:szCs w:val="21"/>
              </w:rPr>
            </w:pPr>
            <w:r>
              <w:rPr>
                <w:rFonts w:hint="eastAsia" w:ascii="仿宋_GB2312" w:hAnsi="黑体" w:eastAsia="仿宋_GB2312"/>
                <w:b/>
                <w:bCs/>
                <w:color w:val="auto"/>
                <w:kern w:val="0"/>
                <w:szCs w:val="21"/>
              </w:rPr>
              <w:t>6.</w:t>
            </w:r>
            <w:bookmarkStart w:id="4" w:name="_Hlk66974555"/>
            <w:r>
              <w:rPr>
                <w:rFonts w:hint="eastAsia" w:ascii="仿宋_GB2312" w:hAnsi="黑体" w:eastAsia="仿宋_GB2312"/>
                <w:b/>
                <w:bCs/>
                <w:color w:val="auto"/>
                <w:kern w:val="0"/>
                <w:szCs w:val="21"/>
              </w:rPr>
              <w:t>属于四类过程性信息</w:t>
            </w:r>
            <w:bookmarkEnd w:id="4"/>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b/>
                <w:bCs/>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b/>
                <w:bCs/>
                <w:color w:val="auto"/>
                <w:kern w:val="0"/>
                <w:szCs w:val="21"/>
              </w:rPr>
            </w:pPr>
            <w:r>
              <w:rPr>
                <w:rFonts w:hint="eastAsia" w:ascii="仿宋_GB2312" w:hAnsi="黑体" w:eastAsia="仿宋_GB2312"/>
                <w:b/>
                <w:bCs/>
                <w:color w:val="auto"/>
                <w:kern w:val="0"/>
                <w:szCs w:val="21"/>
              </w:rPr>
              <w:t>7.属于行政执法案卷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b/>
                <w:bCs/>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b/>
                <w:bCs/>
                <w:color w:val="auto"/>
                <w:kern w:val="0"/>
                <w:szCs w:val="21"/>
              </w:rPr>
            </w:pPr>
            <w:r>
              <w:rPr>
                <w:rFonts w:hint="eastAsia" w:ascii="仿宋_GB2312" w:hAnsi="黑体" w:eastAsia="仿宋_GB2312"/>
                <w:b/>
                <w:bCs/>
                <w:color w:val="auto"/>
                <w:kern w:val="0"/>
                <w:szCs w:val="21"/>
              </w:rPr>
              <w:t>8.</w:t>
            </w:r>
            <w:bookmarkStart w:id="5" w:name="_Hlk66975211"/>
            <w:r>
              <w:rPr>
                <w:rFonts w:hint="eastAsia" w:ascii="仿宋_GB2312" w:hAnsi="黑体" w:eastAsia="仿宋_GB2312"/>
                <w:b/>
                <w:bCs/>
                <w:color w:val="auto"/>
                <w:kern w:val="0"/>
                <w:szCs w:val="21"/>
              </w:rPr>
              <w:t>属于行政查询事项</w:t>
            </w:r>
            <w:bookmarkEnd w:id="5"/>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color w:val="auto"/>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b/>
                <w:bCs/>
                <w:color w:val="auto"/>
                <w:szCs w:val="21"/>
              </w:rPr>
            </w:pPr>
            <w:r>
              <w:rPr>
                <w:rFonts w:hint="eastAsia" w:ascii="黑体" w:hAnsi="黑体" w:eastAsia="黑体"/>
                <w:b/>
                <w:bCs/>
                <w:color w:val="auto"/>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b/>
                <w:bCs/>
                <w:color w:val="auto"/>
                <w:kern w:val="0"/>
                <w:szCs w:val="21"/>
              </w:rPr>
            </w:pPr>
            <w:r>
              <w:rPr>
                <w:rFonts w:hint="eastAsia" w:ascii="仿宋_GB2312" w:hAnsi="黑体" w:eastAsia="仿宋_GB2312"/>
                <w:b/>
                <w:bCs/>
                <w:color w:val="auto"/>
                <w:kern w:val="0"/>
                <w:szCs w:val="21"/>
              </w:rPr>
              <w:t>1.本机关不掌握相关政府信息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color w:val="auto"/>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b/>
                <w:bCs/>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b/>
                <w:bCs/>
                <w:color w:val="auto"/>
                <w:kern w:val="0"/>
                <w:szCs w:val="21"/>
              </w:rPr>
            </w:pPr>
            <w:r>
              <w:rPr>
                <w:rFonts w:hint="eastAsia" w:ascii="仿宋_GB2312" w:hAnsi="黑体" w:eastAsia="仿宋_GB2312"/>
                <w:b/>
                <w:bCs/>
                <w:color w:val="auto"/>
                <w:kern w:val="0"/>
                <w:szCs w:val="21"/>
              </w:rPr>
              <w:t>2.</w:t>
            </w:r>
            <w:bookmarkStart w:id="6" w:name="_Hlk66975392"/>
            <w:r>
              <w:rPr>
                <w:rFonts w:hint="eastAsia" w:ascii="仿宋_GB2312" w:hAnsi="黑体" w:eastAsia="仿宋_GB2312"/>
                <w:b/>
                <w:bCs/>
                <w:color w:val="auto"/>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color w:val="auto"/>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b/>
                <w:bCs/>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b/>
                <w:bCs/>
                <w:color w:val="auto"/>
                <w:kern w:val="0"/>
                <w:szCs w:val="21"/>
              </w:rPr>
            </w:pPr>
            <w:r>
              <w:rPr>
                <w:rFonts w:hint="eastAsia" w:ascii="仿宋_GB2312" w:hAnsi="黑体" w:eastAsia="仿宋_GB2312"/>
                <w:b/>
                <w:bCs/>
                <w:color w:val="auto"/>
                <w:kern w:val="0"/>
                <w:szCs w:val="21"/>
              </w:rPr>
              <w:t>3.</w:t>
            </w:r>
            <w:bookmarkStart w:id="7" w:name="_Hlk66975466"/>
            <w:r>
              <w:rPr>
                <w:rFonts w:hint="eastAsia" w:ascii="仿宋_GB2312" w:hAnsi="黑体" w:eastAsia="仿宋_GB2312"/>
                <w:b/>
                <w:bCs/>
                <w:color w:val="auto"/>
                <w:kern w:val="0"/>
                <w:szCs w:val="21"/>
              </w:rPr>
              <w:t>补正后申请内容仍不明确</w:t>
            </w:r>
            <w:bookmarkEnd w:id="7"/>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color w:val="auto"/>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b/>
                <w:bCs/>
                <w:color w:val="auto"/>
                <w:szCs w:val="21"/>
              </w:rPr>
            </w:pPr>
            <w:r>
              <w:rPr>
                <w:rFonts w:hint="eastAsia" w:ascii="黑体" w:hAnsi="黑体" w:eastAsia="黑体"/>
                <w:b/>
                <w:bCs/>
                <w:color w:val="auto"/>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b/>
                <w:bCs/>
                <w:color w:val="auto"/>
                <w:kern w:val="0"/>
                <w:szCs w:val="21"/>
              </w:rPr>
            </w:pPr>
            <w:r>
              <w:rPr>
                <w:rFonts w:hint="eastAsia" w:ascii="仿宋_GB2312" w:hAnsi="黑体" w:eastAsia="仿宋_GB2312"/>
                <w:b/>
                <w:bCs/>
                <w:color w:val="auto"/>
                <w:kern w:val="0"/>
                <w:szCs w:val="21"/>
              </w:rPr>
              <w:t>1.</w:t>
            </w:r>
            <w:bookmarkStart w:id="8" w:name="_Hlk66975537"/>
            <w:r>
              <w:rPr>
                <w:rFonts w:hint="eastAsia" w:ascii="仿宋_GB2312" w:hAnsi="黑体" w:eastAsia="仿宋_GB2312"/>
                <w:b/>
                <w:bCs/>
                <w:color w:val="auto"/>
                <w:kern w:val="0"/>
                <w:szCs w:val="21"/>
              </w:rPr>
              <w:t>信访举报投诉类申请</w:t>
            </w:r>
            <w:bookmarkEnd w:id="8"/>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1</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b/>
                <w:bCs/>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b/>
                <w:bCs/>
                <w:color w:val="auto"/>
                <w:kern w:val="0"/>
                <w:szCs w:val="21"/>
              </w:rPr>
            </w:pPr>
            <w:r>
              <w:rPr>
                <w:rFonts w:hint="eastAsia" w:ascii="仿宋_GB2312" w:hAnsi="黑体" w:eastAsia="仿宋_GB2312"/>
                <w:b/>
                <w:bCs/>
                <w:color w:val="auto"/>
                <w:kern w:val="0"/>
                <w:szCs w:val="21"/>
              </w:rPr>
              <w:t>2.重复申请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b/>
                <w:bCs/>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b/>
                <w:bCs/>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b/>
                <w:bCs/>
                <w:color w:val="auto"/>
                <w:szCs w:val="21"/>
              </w:rPr>
            </w:pPr>
            <w:r>
              <w:rPr>
                <w:rFonts w:hint="eastAsia" w:ascii="仿宋_GB2312" w:hAnsi="黑体" w:eastAsia="仿宋_GB2312"/>
                <w:b/>
                <w:bCs/>
                <w:color w:val="auto"/>
                <w:kern w:val="0"/>
                <w:szCs w:val="21"/>
              </w:rPr>
              <w:t>3.要求提供公开出版物</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b/>
                <w:bCs/>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b/>
                <w:bCs/>
                <w:color w:val="auto"/>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b/>
                <w:bCs/>
                <w:color w:val="auto"/>
                <w:szCs w:val="21"/>
              </w:rPr>
            </w:pPr>
            <w:r>
              <w:rPr>
                <w:rFonts w:hint="eastAsia" w:ascii="仿宋_GB2312" w:hAnsi="黑体" w:eastAsia="仿宋_GB2312"/>
                <w:b/>
                <w:bCs/>
                <w:color w:val="auto"/>
                <w:kern w:val="0"/>
                <w:szCs w:val="21"/>
              </w:rPr>
              <w:t>4.无正当理由大量反复申请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b/>
                <w:bCs/>
                <w:color w:val="auto"/>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b/>
                <w:bCs/>
                <w:color w:val="auto"/>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b/>
                <w:bCs/>
                <w:color w:val="auto"/>
                <w:kern w:val="0"/>
                <w:szCs w:val="21"/>
              </w:rPr>
            </w:pPr>
            <w:r>
              <w:rPr>
                <w:rFonts w:hint="eastAsia" w:ascii="仿宋_GB2312" w:hAnsi="黑体" w:eastAsia="仿宋_GB2312"/>
                <w:b/>
                <w:bCs/>
                <w:color w:val="auto"/>
                <w:kern w:val="0"/>
                <w:szCs w:val="21"/>
              </w:rPr>
              <w:t>5.要求行政机关确认或重新</w:t>
            </w:r>
          </w:p>
          <w:p>
            <w:pPr>
              <w:widowControl/>
              <w:spacing w:line="300" w:lineRule="exact"/>
              <w:ind w:firstLine="211" w:firstLineChars="100"/>
              <w:rPr>
                <w:rFonts w:ascii="仿宋_GB2312" w:hAnsi="黑体" w:eastAsia="仿宋_GB2312"/>
                <w:b/>
                <w:bCs/>
                <w:color w:val="auto"/>
                <w:szCs w:val="21"/>
              </w:rPr>
            </w:pPr>
            <w:r>
              <w:rPr>
                <w:rFonts w:hint="eastAsia" w:ascii="仿宋_GB2312" w:hAnsi="黑体" w:eastAsia="仿宋_GB2312"/>
                <w:b/>
                <w:bCs/>
                <w:color w:val="auto"/>
                <w:kern w:val="0"/>
                <w:szCs w:val="21"/>
              </w:rPr>
              <w:t>出具已获取信息</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b/>
                <w:bCs/>
                <w:color w:val="auto"/>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b/>
                <w:bCs/>
                <w:color w:val="auto"/>
                <w:kern w:val="0"/>
                <w:szCs w:val="21"/>
              </w:rPr>
            </w:pPr>
            <w:r>
              <w:rPr>
                <w:rFonts w:hint="eastAsia" w:ascii="黑体" w:hAnsi="黑体" w:eastAsia="黑体"/>
                <w:b/>
                <w:bCs/>
                <w:color w:val="auto"/>
                <w:kern w:val="0"/>
                <w:szCs w:val="21"/>
              </w:rPr>
              <w:t>（六）其他处理</w:t>
            </w:r>
          </w:p>
        </w:tc>
        <w:tc>
          <w:tcPr>
            <w:tcW w:w="2976" w:type="dxa"/>
            <w:shd w:val="clear" w:color="auto" w:fill="auto"/>
            <w:vAlign w:val="center"/>
          </w:tcPr>
          <w:p>
            <w:pPr>
              <w:widowControl/>
              <w:spacing w:line="300" w:lineRule="exact"/>
              <w:rPr>
                <w:rFonts w:ascii="仿宋_GB2312" w:hAnsi="楷体" w:eastAsia="仿宋_GB2312"/>
                <w:b/>
                <w:bCs/>
                <w:color w:val="auto"/>
              </w:rPr>
            </w:pPr>
            <w:r>
              <w:rPr>
                <w:rFonts w:hint="eastAsia" w:ascii="仿宋_GB2312" w:hAnsi="楷体" w:eastAsia="仿宋_GB2312"/>
                <w:b/>
                <w:bCs/>
                <w:color w:val="auto"/>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b/>
                <w:bCs/>
                <w:color w:val="auto"/>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b/>
                <w:bCs/>
                <w:color w:val="auto"/>
                <w:kern w:val="0"/>
                <w:szCs w:val="21"/>
              </w:rPr>
            </w:pPr>
          </w:p>
        </w:tc>
        <w:tc>
          <w:tcPr>
            <w:tcW w:w="2976" w:type="dxa"/>
            <w:shd w:val="clear" w:color="auto" w:fill="auto"/>
            <w:vAlign w:val="center"/>
          </w:tcPr>
          <w:p>
            <w:pPr>
              <w:widowControl/>
              <w:spacing w:line="300" w:lineRule="exact"/>
              <w:rPr>
                <w:rFonts w:ascii="仿宋_GB2312" w:hAnsi="黑体" w:eastAsia="仿宋_GB2312"/>
                <w:b/>
                <w:bCs/>
                <w:color w:val="auto"/>
                <w:kern w:val="0"/>
                <w:szCs w:val="21"/>
              </w:rPr>
            </w:pPr>
            <w:r>
              <w:rPr>
                <w:rFonts w:hint="eastAsia" w:ascii="仿宋_GB2312" w:hAnsi="楷体" w:eastAsia="仿宋_GB2312"/>
                <w:b/>
                <w:bCs/>
                <w:color w:val="auto"/>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b/>
                <w:bCs/>
                <w:color w:val="auto"/>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b/>
                <w:bCs/>
                <w:color w:val="auto"/>
                <w:kern w:val="0"/>
                <w:szCs w:val="21"/>
              </w:rPr>
            </w:pPr>
          </w:p>
        </w:tc>
        <w:tc>
          <w:tcPr>
            <w:tcW w:w="2976" w:type="dxa"/>
            <w:shd w:val="clear" w:color="auto" w:fill="auto"/>
            <w:vAlign w:val="center"/>
          </w:tcPr>
          <w:p>
            <w:pPr>
              <w:widowControl/>
              <w:spacing w:line="300" w:lineRule="exact"/>
              <w:rPr>
                <w:rFonts w:ascii="仿宋_GB2312" w:hAnsi="黑体" w:eastAsia="仿宋_GB2312"/>
                <w:b/>
                <w:bCs/>
                <w:color w:val="auto"/>
                <w:kern w:val="0"/>
                <w:szCs w:val="21"/>
              </w:rPr>
            </w:pPr>
            <w:r>
              <w:rPr>
                <w:rFonts w:hint="eastAsia" w:ascii="仿宋_GB2312" w:hAnsi="楷体" w:eastAsia="仿宋_GB2312"/>
                <w:b/>
                <w:bCs/>
                <w:color w:val="auto"/>
              </w:rPr>
              <w:t>3.其他</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b/>
                <w:bCs/>
                <w:color w:val="auto"/>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b/>
                <w:bCs/>
                <w:color w:val="auto"/>
                <w:kern w:val="0"/>
                <w:szCs w:val="21"/>
              </w:rPr>
            </w:pPr>
            <w:r>
              <w:rPr>
                <w:rFonts w:hint="eastAsia" w:ascii="黑体" w:hAnsi="黑体" w:eastAsia="黑体"/>
                <w:b/>
                <w:bCs/>
                <w:color w:val="auto"/>
                <w:kern w:val="0"/>
                <w:szCs w:val="21"/>
              </w:rPr>
              <w:t>（七）总计</w:t>
            </w:r>
          </w:p>
        </w:tc>
        <w:tc>
          <w:tcPr>
            <w:tcW w:w="829" w:type="dxa"/>
            <w:shd w:val="clear" w:color="auto" w:fill="auto"/>
            <w:tcMar>
              <w:left w:w="108" w:type="dxa"/>
              <w:right w:w="108" w:type="dxa"/>
            </w:tcMar>
            <w:vAlign w:val="center"/>
          </w:tcPr>
          <w:p>
            <w:pPr>
              <w:widowControl/>
              <w:spacing w:after="180" w:line="200" w:lineRule="exact"/>
              <w:jc w:val="center"/>
              <w:rPr>
                <w:rFonts w:hint="default"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3</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b/>
                <w:bCs/>
                <w:color w:val="auto"/>
                <w:kern w:val="0"/>
                <w:szCs w:val="21"/>
              </w:rPr>
            </w:pPr>
            <w:r>
              <w:rPr>
                <w:rFonts w:hint="eastAsia" w:ascii="黑体" w:hAnsi="黑体" w:eastAsia="黑体"/>
                <w:b/>
                <w:bCs/>
                <w:color w:val="auto"/>
                <w:kern w:val="0"/>
                <w:szCs w:val="21"/>
              </w:rPr>
              <w:t>四、结转下年度继续办理</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b/>
                <w:bCs/>
                <w:color w:val="auto"/>
                <w:szCs w:val="21"/>
                <w:lang w:val="en-US" w:eastAsia="zh-CN"/>
              </w:rPr>
            </w:pPr>
            <w:r>
              <w:rPr>
                <w:rFonts w:hint="eastAsia" w:ascii="仿宋_GB2312" w:hAnsi="Times New Roman" w:eastAsia="仿宋_GB2312"/>
                <w:b/>
                <w:bCs/>
                <w:color w:val="auto"/>
                <w:szCs w:val="21"/>
                <w:lang w:val="en-US" w:eastAsia="zh-CN"/>
              </w:rPr>
              <w:t>0</w:t>
            </w:r>
          </w:p>
        </w:tc>
      </w:tr>
    </w:tbl>
    <w:p>
      <w:pPr>
        <w:pStyle w:val="2"/>
        <w:keepNext w:val="0"/>
        <w:keepLines w:val="0"/>
        <w:widowControl/>
        <w:numPr>
          <w:ilvl w:val="0"/>
          <w:numId w:val="0"/>
        </w:numPr>
        <w:suppressLineNumbers w:val="0"/>
        <w:spacing w:after="75" w:afterAutospacing="0" w:line="315" w:lineRule="atLeast"/>
        <w:ind w:left="0" w:leftChars="0" w:right="0" w:rightChars="0" w:firstLine="420" w:firstLineChars="0"/>
        <w:rPr>
          <w:rFonts w:hint="eastAsia" w:ascii="方正黑体简体" w:hAnsi="方正黑体简体" w:eastAsia="方正黑体简体" w:cs="方正黑体简体"/>
          <w:b/>
          <w:bCs/>
          <w:color w:val="auto"/>
          <w:sz w:val="32"/>
          <w:szCs w:val="32"/>
        </w:rPr>
      </w:pPr>
      <w:r>
        <w:rPr>
          <w:rFonts w:hint="eastAsia" w:ascii="方正黑体简体" w:hAnsi="方正黑体简体" w:eastAsia="方正黑体简体" w:cs="方正黑体简体"/>
          <w:b/>
          <w:bCs/>
          <w:color w:val="auto"/>
          <w:kern w:val="0"/>
          <w:sz w:val="32"/>
          <w:szCs w:val="32"/>
          <w:lang w:val="en-US" w:eastAsia="zh-CN" w:bidi="ar"/>
        </w:rPr>
        <w:t>四、</w:t>
      </w:r>
      <w:r>
        <w:rPr>
          <w:rFonts w:hint="eastAsia" w:ascii="方正黑体简体" w:hAnsi="方正黑体简体" w:eastAsia="方正黑体简体" w:cs="方正黑体简体"/>
          <w:b/>
          <w:bCs/>
          <w:color w:val="auto"/>
          <w:sz w:val="32"/>
          <w:szCs w:val="32"/>
        </w:rPr>
        <w:t>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bCs/>
                <w:color w:val="auto"/>
              </w:rPr>
            </w:pPr>
            <w:r>
              <w:rPr>
                <w:rFonts w:ascii="黑体" w:hAnsi="黑体" w:eastAsia="黑体"/>
                <w:b/>
                <w:bCs/>
                <w:color w:val="auto"/>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bCs/>
                <w:color w:val="auto"/>
              </w:rPr>
            </w:pPr>
            <w:r>
              <w:rPr>
                <w:rFonts w:ascii="黑体" w:hAnsi="黑体" w:eastAsia="黑体"/>
                <w:b/>
                <w:bCs/>
                <w:color w:val="auto"/>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黑体" w:hAnsi="黑体" w:eastAsia="黑体"/>
                <w:b/>
                <w:bCs/>
                <w:color w:val="auto"/>
                <w:kern w:val="0"/>
                <w:sz w:val="20"/>
                <w:szCs w:val="20"/>
              </w:rPr>
            </w:pPr>
            <w:r>
              <w:rPr>
                <w:rFonts w:ascii="黑体" w:hAnsi="黑体" w:eastAsia="黑体"/>
                <w:b/>
                <w:bCs/>
                <w:color w:val="auto"/>
                <w:kern w:val="0"/>
                <w:sz w:val="20"/>
                <w:szCs w:val="20"/>
              </w:rPr>
              <w:t>结果</w:t>
            </w:r>
          </w:p>
          <w:p>
            <w:pPr>
              <w:widowControl/>
              <w:ind w:left="-149" w:leftChars="-71" w:right="-170" w:rightChars="-81"/>
              <w:jc w:val="center"/>
              <w:rPr>
                <w:rFonts w:ascii="黑体" w:hAnsi="黑体" w:eastAsia="黑体"/>
                <w:b/>
                <w:bCs/>
                <w:color w:val="auto"/>
              </w:rPr>
            </w:pPr>
            <w:r>
              <w:rPr>
                <w:rFonts w:ascii="黑体" w:hAnsi="黑体" w:eastAsia="黑体"/>
                <w:b/>
                <w:bCs/>
                <w:color w:val="auto"/>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b/>
                <w:bCs/>
                <w:color w:val="auto"/>
              </w:rPr>
            </w:pPr>
            <w:r>
              <w:rPr>
                <w:rFonts w:ascii="黑体" w:hAnsi="黑体" w:eastAsia="黑体"/>
                <w:b/>
                <w:bCs/>
                <w:color w:val="auto"/>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黑体" w:hAnsi="黑体" w:eastAsia="黑体"/>
                <w:b/>
                <w:bCs/>
                <w:color w:val="auto"/>
              </w:rPr>
            </w:pPr>
            <w:r>
              <w:rPr>
                <w:rFonts w:ascii="黑体" w:hAnsi="黑体" w:eastAsia="黑体"/>
                <w:b/>
                <w:bCs/>
                <w:color w:val="auto"/>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黑体" w:hAnsi="黑体" w:eastAsia="黑体"/>
                <w:b/>
                <w:bCs/>
                <w:color w:val="auto"/>
                <w:kern w:val="0"/>
                <w:sz w:val="20"/>
                <w:szCs w:val="20"/>
              </w:rPr>
            </w:pPr>
            <w:r>
              <w:rPr>
                <w:rFonts w:ascii="黑体" w:hAnsi="黑体" w:eastAsia="黑体"/>
                <w:b/>
                <w:bCs/>
                <w:color w:val="auto"/>
                <w:kern w:val="0"/>
                <w:sz w:val="20"/>
                <w:szCs w:val="20"/>
              </w:rPr>
              <w:t>尚未</w:t>
            </w:r>
          </w:p>
          <w:p>
            <w:pPr>
              <w:widowControl/>
              <w:ind w:left="-118" w:leftChars="-56" w:right="-118" w:rightChars="-56"/>
              <w:jc w:val="center"/>
              <w:rPr>
                <w:rFonts w:ascii="黑体" w:hAnsi="黑体" w:eastAsia="黑体"/>
                <w:b/>
                <w:bCs/>
                <w:color w:val="auto"/>
              </w:rPr>
            </w:pPr>
            <w:r>
              <w:rPr>
                <w:rFonts w:ascii="黑体" w:hAnsi="黑体" w:eastAsia="黑体"/>
                <w:b/>
                <w:bCs/>
                <w:color w:val="auto"/>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b/>
                <w:bCs/>
                <w:color w:val="auto"/>
                <w:kern w:val="0"/>
                <w:sz w:val="20"/>
                <w:szCs w:val="20"/>
              </w:rPr>
            </w:pPr>
            <w:r>
              <w:rPr>
                <w:rFonts w:ascii="黑体" w:hAnsi="黑体" w:eastAsia="黑体"/>
                <w:b/>
                <w:bCs/>
                <w:color w:val="auto"/>
                <w:kern w:val="0"/>
                <w:sz w:val="20"/>
                <w:szCs w:val="20"/>
              </w:rPr>
              <w:t>总</w:t>
            </w:r>
          </w:p>
          <w:p>
            <w:pPr>
              <w:widowControl/>
              <w:spacing w:line="320" w:lineRule="exact"/>
              <w:jc w:val="center"/>
              <w:rPr>
                <w:rFonts w:ascii="黑体" w:hAnsi="黑体" w:eastAsia="黑体"/>
                <w:b/>
                <w:bCs/>
                <w:color w:val="auto"/>
              </w:rPr>
            </w:pPr>
            <w:r>
              <w:rPr>
                <w:rFonts w:ascii="黑体" w:hAnsi="黑体" w:eastAsia="黑体"/>
                <w:b/>
                <w:bCs/>
                <w:color w:val="auto"/>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bCs/>
                <w:color w:val="auto"/>
              </w:rPr>
            </w:pPr>
            <w:r>
              <w:rPr>
                <w:rFonts w:ascii="黑体" w:hAnsi="黑体" w:eastAsia="黑体"/>
                <w:b/>
                <w:bCs/>
                <w:color w:val="auto"/>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bCs/>
                <w:color w:val="auto"/>
              </w:rPr>
            </w:pPr>
            <w:bookmarkStart w:id="9" w:name="_Hlk67039688"/>
            <w:r>
              <w:rPr>
                <w:rFonts w:ascii="黑体" w:hAnsi="黑体" w:eastAsia="黑体"/>
                <w:b/>
                <w:bCs/>
                <w:color w:val="auto"/>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b/>
                <w:bCs/>
                <w:color w:val="auto"/>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b/>
                <w:bCs/>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b/>
                <w:bCs/>
                <w:color w:val="auto"/>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b/>
                <w:bCs/>
                <w:color w:val="auto"/>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b/>
                <w:bCs/>
                <w:color w:val="auto"/>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黑体" w:hAnsi="黑体" w:eastAsia="黑体"/>
                <w:b/>
                <w:bCs/>
                <w:color w:val="auto"/>
              </w:rPr>
            </w:pPr>
            <w:r>
              <w:rPr>
                <w:rFonts w:ascii="黑体" w:hAnsi="黑体" w:eastAsia="黑体"/>
                <w:b/>
                <w:bCs/>
                <w:color w:val="auto"/>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ascii="黑体" w:hAnsi="黑体" w:eastAsia="黑体"/>
                <w:b/>
                <w:bCs/>
                <w:color w:val="auto"/>
              </w:rPr>
            </w:pPr>
            <w:r>
              <w:rPr>
                <w:rFonts w:ascii="黑体" w:hAnsi="黑体" w:eastAsia="黑体"/>
                <w:b/>
                <w:bCs/>
                <w:color w:val="auto"/>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黑体" w:eastAsia="黑体"/>
                <w:b/>
                <w:bCs/>
                <w:color w:val="auto"/>
                <w:kern w:val="0"/>
                <w:sz w:val="20"/>
                <w:szCs w:val="20"/>
              </w:rPr>
            </w:pPr>
            <w:r>
              <w:rPr>
                <w:rFonts w:ascii="黑体" w:hAnsi="黑体" w:eastAsia="黑体"/>
                <w:b/>
                <w:bCs/>
                <w:color w:val="auto"/>
                <w:kern w:val="0"/>
                <w:sz w:val="20"/>
                <w:szCs w:val="20"/>
              </w:rPr>
              <w:t>其他</w:t>
            </w:r>
          </w:p>
          <w:p>
            <w:pPr>
              <w:widowControl/>
              <w:ind w:left="-126" w:leftChars="-60" w:right="-136" w:rightChars="-65"/>
              <w:jc w:val="center"/>
              <w:rPr>
                <w:rFonts w:ascii="黑体" w:hAnsi="黑体" w:eastAsia="黑体"/>
                <w:b/>
                <w:bCs/>
                <w:color w:val="auto"/>
              </w:rPr>
            </w:pPr>
            <w:r>
              <w:rPr>
                <w:rFonts w:ascii="黑体" w:hAnsi="黑体" w:eastAsia="黑体"/>
                <w:b/>
                <w:bCs/>
                <w:color w:val="auto"/>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黑体" w:eastAsia="黑体"/>
                <w:b/>
                <w:bCs/>
                <w:color w:val="auto"/>
                <w:kern w:val="0"/>
                <w:sz w:val="20"/>
                <w:szCs w:val="20"/>
              </w:rPr>
            </w:pPr>
            <w:r>
              <w:rPr>
                <w:rFonts w:ascii="黑体" w:hAnsi="黑体" w:eastAsia="黑体"/>
                <w:b/>
                <w:bCs/>
                <w:color w:val="auto"/>
                <w:kern w:val="0"/>
                <w:sz w:val="20"/>
                <w:szCs w:val="20"/>
              </w:rPr>
              <w:t>尚未</w:t>
            </w:r>
          </w:p>
          <w:p>
            <w:pPr>
              <w:widowControl/>
              <w:ind w:left="-164" w:leftChars="-78" w:right="-153" w:rightChars="-73"/>
              <w:jc w:val="center"/>
              <w:rPr>
                <w:rFonts w:ascii="黑体" w:hAnsi="黑体" w:eastAsia="黑体"/>
                <w:b/>
                <w:bCs/>
                <w:color w:val="auto"/>
              </w:rPr>
            </w:pPr>
            <w:r>
              <w:rPr>
                <w:rFonts w:ascii="黑体" w:hAnsi="黑体" w:eastAsia="黑体"/>
                <w:b/>
                <w:bCs/>
                <w:color w:val="auto"/>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bCs/>
                <w:color w:val="auto"/>
              </w:rPr>
            </w:pPr>
            <w:r>
              <w:rPr>
                <w:rFonts w:ascii="黑体" w:hAnsi="黑体" w:eastAsia="黑体"/>
                <w:b/>
                <w:bCs/>
                <w:color w:val="auto"/>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黑体" w:eastAsia="黑体"/>
                <w:b/>
                <w:bCs/>
                <w:color w:val="auto"/>
              </w:rPr>
            </w:pPr>
            <w:r>
              <w:rPr>
                <w:rFonts w:ascii="黑体" w:hAnsi="黑体" w:eastAsia="黑体"/>
                <w:b/>
                <w:bCs/>
                <w:color w:val="auto"/>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黑体" w:eastAsia="黑体"/>
                <w:b/>
                <w:bCs/>
                <w:color w:val="auto"/>
                <w:kern w:val="0"/>
                <w:sz w:val="20"/>
                <w:szCs w:val="20"/>
              </w:rPr>
            </w:pPr>
            <w:r>
              <w:rPr>
                <w:rFonts w:ascii="黑体" w:hAnsi="黑体" w:eastAsia="黑体"/>
                <w:b/>
                <w:bCs/>
                <w:color w:val="auto"/>
                <w:kern w:val="0"/>
                <w:sz w:val="20"/>
                <w:szCs w:val="20"/>
              </w:rPr>
              <w:t>结果</w:t>
            </w:r>
          </w:p>
          <w:p>
            <w:pPr>
              <w:widowControl/>
              <w:ind w:left="-136" w:leftChars="-65" w:right="-124" w:rightChars="-59"/>
              <w:jc w:val="center"/>
              <w:rPr>
                <w:rFonts w:ascii="黑体" w:hAnsi="黑体" w:eastAsia="黑体"/>
                <w:b/>
                <w:bCs/>
                <w:color w:val="auto"/>
              </w:rPr>
            </w:pPr>
            <w:r>
              <w:rPr>
                <w:rFonts w:ascii="黑体" w:hAnsi="黑体" w:eastAsia="黑体"/>
                <w:b/>
                <w:bCs/>
                <w:color w:val="auto"/>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b/>
                <w:bCs/>
                <w:color w:val="auto"/>
                <w:kern w:val="0"/>
                <w:sz w:val="20"/>
                <w:szCs w:val="20"/>
              </w:rPr>
            </w:pPr>
            <w:r>
              <w:rPr>
                <w:rFonts w:ascii="黑体" w:hAnsi="黑体" w:eastAsia="黑体"/>
                <w:b/>
                <w:bCs/>
                <w:color w:val="auto"/>
                <w:kern w:val="0"/>
                <w:sz w:val="20"/>
                <w:szCs w:val="20"/>
              </w:rPr>
              <w:t>其他</w:t>
            </w:r>
          </w:p>
          <w:p>
            <w:pPr>
              <w:widowControl/>
              <w:ind w:left="-173" w:leftChars="-83" w:right="-134" w:rightChars="-64" w:hanging="1"/>
              <w:jc w:val="center"/>
              <w:rPr>
                <w:rFonts w:ascii="黑体" w:hAnsi="黑体" w:eastAsia="黑体"/>
                <w:b/>
                <w:bCs/>
                <w:color w:val="auto"/>
              </w:rPr>
            </w:pPr>
            <w:r>
              <w:rPr>
                <w:rFonts w:ascii="黑体" w:hAnsi="黑体" w:eastAsia="黑体"/>
                <w:b/>
                <w:bCs/>
                <w:color w:val="auto"/>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b/>
                <w:bCs/>
                <w:color w:val="auto"/>
              </w:rPr>
            </w:pPr>
            <w:r>
              <w:rPr>
                <w:rFonts w:ascii="黑体" w:hAnsi="黑体" w:eastAsia="黑体"/>
                <w:b/>
                <w:bCs/>
                <w:color w:val="auto"/>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bCs/>
                <w:color w:val="auto"/>
              </w:rPr>
            </w:pPr>
            <w:r>
              <w:rPr>
                <w:rFonts w:ascii="黑体" w:hAnsi="黑体" w:eastAsia="黑体"/>
                <w:b/>
                <w:bCs/>
                <w:color w:val="auto"/>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Theme="minorEastAsia"/>
                <w:b/>
                <w:bCs/>
                <w:color w:val="auto"/>
                <w:lang w:val="en-US" w:eastAsia="zh-CN"/>
              </w:rPr>
            </w:pPr>
            <w:r>
              <w:rPr>
                <w:rFonts w:hint="eastAsia" w:ascii="Times New Roman" w:hAnsi="Times New Roman"/>
                <w:b/>
                <w:bCs/>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color w:val="auto"/>
                <w:lang w:val="en-US" w:eastAsia="zh-CN"/>
              </w:rPr>
            </w:pPr>
            <w:r>
              <w:rPr>
                <w:rFonts w:hint="eastAsia" w:ascii="Times New Roman" w:hAnsi="Times New Roman"/>
                <w:b/>
                <w:bCs/>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Theme="minorEastAsia"/>
                <w:b/>
                <w:bCs/>
                <w:color w:val="auto"/>
                <w:lang w:val="en-US" w:eastAsia="zh-CN"/>
              </w:rPr>
            </w:pPr>
            <w:r>
              <w:rPr>
                <w:rFonts w:hint="eastAsia" w:ascii="Times New Roman" w:hAnsi="Times New Roman"/>
                <w:b/>
                <w:bCs/>
                <w:color w:val="auto"/>
                <w:lang w:val="en-US" w:eastAsia="zh-CN"/>
              </w:rPr>
              <w:t>1</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color w:val="auto"/>
                <w:lang w:val="en-US" w:eastAsia="zh-CN"/>
              </w:rPr>
            </w:pPr>
            <w:r>
              <w:rPr>
                <w:rFonts w:hint="eastAsia" w:ascii="Times New Roman" w:hAnsi="Times New Roman"/>
                <w:b/>
                <w:bCs/>
                <w:color w:val="auto"/>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Theme="minorEastAsia"/>
                <w:b/>
                <w:bCs/>
                <w:color w:val="auto"/>
                <w:lang w:val="en-US" w:eastAsia="zh-CN"/>
              </w:rPr>
            </w:pPr>
            <w:r>
              <w:rPr>
                <w:rFonts w:hint="eastAsia" w:ascii="Times New Roman" w:hAnsi="Times New Roman"/>
                <w:b/>
                <w:bCs/>
                <w:color w:val="auto"/>
                <w:lang w:val="en-US" w:eastAsia="zh-CN"/>
              </w:rPr>
              <w:t>1</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color w:val="auto"/>
                <w:lang w:val="en-US" w:eastAsia="zh-CN"/>
              </w:rPr>
            </w:pPr>
            <w:r>
              <w:rPr>
                <w:rFonts w:hint="eastAsia" w:ascii="Times New Roman" w:hAnsi="Times New Roman"/>
                <w:b/>
                <w:bCs/>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color w:val="auto"/>
                <w:lang w:val="en-US" w:eastAsia="zh-CN"/>
              </w:rPr>
            </w:pPr>
            <w:r>
              <w:rPr>
                <w:rFonts w:hint="eastAsia" w:ascii="Times New Roman" w:hAnsi="Times New Roman"/>
                <w:b/>
                <w:bCs/>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color w:val="auto"/>
                <w:lang w:val="en-US" w:eastAsia="zh-CN"/>
              </w:rPr>
            </w:pPr>
            <w:r>
              <w:rPr>
                <w:rFonts w:hint="eastAsia" w:ascii="Times New Roman" w:hAnsi="Times New Roman"/>
                <w:b/>
                <w:bCs/>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color w:val="auto"/>
                <w:lang w:val="en-US" w:eastAsia="zh-CN"/>
              </w:rPr>
            </w:pPr>
            <w:r>
              <w:rPr>
                <w:rFonts w:hint="eastAsia" w:ascii="Times New Roman" w:hAnsi="Times New Roman"/>
                <w:b/>
                <w:bCs/>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color w:val="auto"/>
                <w:lang w:val="en-US" w:eastAsia="zh-CN"/>
              </w:rPr>
            </w:pPr>
            <w:r>
              <w:rPr>
                <w:rFonts w:hint="eastAsia" w:ascii="Times New Roman" w:hAnsi="Times New Roman"/>
                <w:b/>
                <w:bCs/>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color w:val="auto"/>
                <w:lang w:val="en-US" w:eastAsia="zh-CN"/>
              </w:rPr>
            </w:pPr>
            <w:r>
              <w:rPr>
                <w:rFonts w:hint="eastAsia" w:ascii="Times New Roman" w:hAnsi="Times New Roman"/>
                <w:b/>
                <w:bCs/>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color w:val="auto"/>
                <w:lang w:val="en-US" w:eastAsia="zh-CN"/>
              </w:rPr>
            </w:pPr>
            <w:r>
              <w:rPr>
                <w:rFonts w:hint="eastAsia" w:ascii="Times New Roman" w:hAnsi="Times New Roman"/>
                <w:b/>
                <w:bCs/>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color w:val="auto"/>
                <w:lang w:val="en-US" w:eastAsia="zh-CN"/>
              </w:rPr>
            </w:pPr>
            <w:r>
              <w:rPr>
                <w:rFonts w:hint="eastAsia" w:ascii="Times New Roman" w:hAnsi="Times New Roman"/>
                <w:b/>
                <w:bCs/>
                <w:color w:val="auto"/>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color w:val="auto"/>
                <w:lang w:val="en-US" w:eastAsia="zh-CN"/>
              </w:rPr>
            </w:pPr>
            <w:r>
              <w:rPr>
                <w:rFonts w:hint="eastAsia" w:ascii="Times New Roman" w:hAnsi="Times New Roman"/>
                <w:b/>
                <w:bCs/>
                <w:color w:val="auto"/>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b/>
                <w:bCs/>
                <w:color w:val="auto"/>
                <w:lang w:val="en-US" w:eastAsia="zh-CN"/>
              </w:rPr>
            </w:pPr>
            <w:r>
              <w:rPr>
                <w:rFonts w:hint="eastAsia" w:ascii="Times New Roman" w:hAnsi="Times New Roman"/>
                <w:b/>
                <w:bCs/>
                <w:color w:val="auto"/>
                <w:lang w:val="en-US" w:eastAsia="zh-CN"/>
              </w:rPr>
              <w:t>0</w:t>
            </w:r>
          </w:p>
        </w:tc>
      </w:tr>
    </w:tbl>
    <w:p>
      <w:pPr>
        <w:pStyle w:val="2"/>
        <w:keepNext w:val="0"/>
        <w:keepLines w:val="0"/>
        <w:widowControl/>
        <w:numPr>
          <w:ilvl w:val="0"/>
          <w:numId w:val="0"/>
        </w:numPr>
        <w:suppressLineNumbers w:val="0"/>
        <w:spacing w:after="75" w:afterAutospacing="0" w:line="315" w:lineRule="atLeast"/>
        <w:ind w:right="0" w:rightChars="0" w:firstLine="643" w:firstLineChars="200"/>
        <w:rPr>
          <w:rFonts w:hint="eastAsia" w:ascii="方正黑体简体" w:hAnsi="方正黑体简体" w:eastAsia="方正黑体简体" w:cs="方正黑体简体"/>
          <w:b/>
          <w:bCs/>
          <w:color w:val="auto"/>
          <w:kern w:val="0"/>
          <w:sz w:val="32"/>
          <w:szCs w:val="32"/>
          <w:lang w:val="en-US" w:eastAsia="zh-CN" w:bidi="ar"/>
        </w:rPr>
      </w:pPr>
      <w:r>
        <w:rPr>
          <w:rFonts w:hint="eastAsia" w:ascii="方正黑体简体" w:hAnsi="方正黑体简体" w:eastAsia="方正黑体简体" w:cs="方正黑体简体"/>
          <w:b/>
          <w:bCs/>
          <w:color w:val="auto"/>
          <w:kern w:val="0"/>
          <w:sz w:val="32"/>
          <w:szCs w:val="32"/>
          <w:lang w:val="en-US" w:eastAsia="zh-CN" w:bidi="ar"/>
        </w:rPr>
        <w:t>五、存在的主要问题及改进情况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firstLine="643"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2025年，我局政务公开工作取得了一些成绩，但离上级要求和群众期待，还存在短板和不足。一是重点领域信息公开还需加强；二是政务新媒体的作用发挥还需提升</w:t>
      </w:r>
      <w:r>
        <w:rPr>
          <w:rFonts w:hint="eastAsia" w:ascii="Times New Roman" w:hAnsi="Times New Roman" w:eastAsia="方正仿宋简体" w:cs="Times New Roman"/>
          <w:b/>
          <w:bCs/>
          <w:color w:val="auto"/>
          <w:sz w:val="32"/>
          <w:szCs w:val="32"/>
          <w:lang w:val="en-US"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firstLine="643" w:firstLineChars="200"/>
        <w:jc w:val="both"/>
        <w:textAlignment w:val="auto"/>
        <w:rPr>
          <w:rFonts w:hint="eastAsia" w:ascii="方正黑体简体" w:hAnsi="方正黑体简体" w:eastAsia="方正黑体简体" w:cs="方正黑体简体"/>
          <w:b/>
          <w:bCs/>
          <w:color w:val="auto"/>
          <w:sz w:val="32"/>
          <w:szCs w:val="32"/>
          <w:lang w:val="en-US" w:eastAsia="zh-CN"/>
        </w:rPr>
      </w:pPr>
      <w:r>
        <w:rPr>
          <w:rFonts w:hint="default" w:ascii="Times New Roman" w:hAnsi="Times New Roman" w:eastAsia="方正仿宋简体" w:cs="Times New Roman"/>
          <w:b/>
          <w:bCs/>
          <w:color w:val="auto"/>
          <w:sz w:val="32"/>
          <w:szCs w:val="32"/>
          <w:lang w:val="en-US" w:eastAsia="zh-CN"/>
        </w:rPr>
        <w:t>下一步，将采取以下措施加以改进：一是推进重点领域信息公开，聚焦民生问题加大公开力度；二是加强公开平台建设，优化栏目设置，规范信息管理</w:t>
      </w:r>
      <w:r>
        <w:rPr>
          <w:rFonts w:hint="eastAsia" w:ascii="Times New Roman" w:hAnsi="Times New Roman" w:eastAsia="方正仿宋简体" w:cs="Times New Roman"/>
          <w:b/>
          <w:bCs/>
          <w:color w:val="auto"/>
          <w:sz w:val="32"/>
          <w:szCs w:val="32"/>
          <w:lang w:val="en-US"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firstLine="643" w:firstLineChars="200"/>
        <w:jc w:val="both"/>
        <w:textAlignment w:val="auto"/>
        <w:rPr>
          <w:rFonts w:hint="eastAsia" w:ascii="方正黑体简体" w:hAnsi="方正黑体简体" w:eastAsia="方正黑体简体" w:cs="方正黑体简体"/>
          <w:b/>
          <w:bCs/>
          <w:color w:val="auto"/>
          <w:sz w:val="32"/>
          <w:szCs w:val="32"/>
          <w:lang w:val="en-US" w:eastAsia="zh-CN"/>
        </w:rPr>
      </w:pPr>
      <w:r>
        <w:rPr>
          <w:rFonts w:hint="eastAsia" w:ascii="方正黑体简体" w:hAnsi="方正黑体简体" w:eastAsia="方正黑体简体" w:cs="方正黑体简体"/>
          <w:b/>
          <w:bCs/>
          <w:color w:val="auto"/>
          <w:sz w:val="32"/>
          <w:szCs w:val="32"/>
          <w:lang w:val="en-US" w:eastAsia="zh-CN"/>
        </w:rPr>
        <w:t>六、其他需要报告的事项</w:t>
      </w:r>
    </w:p>
    <w:p>
      <w:pPr>
        <w:ind w:firstLine="643" w:firstLineChars="200"/>
        <w:rPr>
          <w:rFonts w:hint="eastAsia" w:ascii="Times New Roman" w:hAnsi="Times New Roman" w:eastAsia="方正仿宋简体" w:cs="Times New Roman"/>
          <w:b/>
          <w:bCs/>
          <w:color w:val="auto"/>
          <w:kern w:val="0"/>
          <w:sz w:val="32"/>
          <w:szCs w:val="32"/>
          <w:lang w:val="en-US" w:eastAsia="zh-CN" w:bidi="ar"/>
        </w:rPr>
      </w:pPr>
      <w:r>
        <w:rPr>
          <w:rFonts w:hint="eastAsia" w:ascii="方正楷体简体" w:hAnsi="方正楷体简体" w:eastAsia="方正楷体简体" w:cs="方正楷体简体"/>
          <w:b/>
          <w:bCs/>
          <w:color w:val="auto"/>
          <w:kern w:val="0"/>
          <w:sz w:val="32"/>
          <w:szCs w:val="32"/>
          <w:lang w:val="en-US" w:eastAsia="zh-CN" w:bidi="ar"/>
        </w:rPr>
        <w:t>（一）依申请公开信息处理费收费情况。</w:t>
      </w:r>
      <w:r>
        <w:rPr>
          <w:rFonts w:hint="default" w:ascii="Times New Roman" w:hAnsi="Times New Roman" w:eastAsia="方正仿宋简体" w:cs="Times New Roman"/>
          <w:b/>
          <w:bCs/>
          <w:color w:val="auto"/>
          <w:kern w:val="0"/>
          <w:sz w:val="32"/>
          <w:szCs w:val="32"/>
          <w:lang w:val="en-US" w:eastAsia="zh-CN" w:bidi="ar"/>
        </w:rPr>
        <w:t>泗水县卫生健康局严格落实《国务院办公厅关于印发&lt;政府信息公开信息处理费管理办法&gt;的通知》（国办函〔2020〕109号）和《山东省人民政府办公厅关于做好政府信息公开信息处理费管理工作有关事项的通知》（鲁政办字〔2020〕179号）规定，2025年我局</w:t>
      </w:r>
      <w:r>
        <w:rPr>
          <w:rFonts w:hint="default" w:ascii="Times New Roman" w:hAnsi="Times New Roman" w:eastAsia="方正仿宋简体" w:cs="Times New Roman"/>
          <w:b/>
          <w:color w:val="auto"/>
          <w:sz w:val="32"/>
          <w:szCs w:val="32"/>
        </w:rPr>
        <w:t>未向申请人收取任何费用。</w:t>
      </w:r>
    </w:p>
    <w:p>
      <w:pPr>
        <w:ind w:firstLine="643" w:firstLineChars="200"/>
        <w:rPr>
          <w:rFonts w:hint="eastAsia" w:ascii="方正仿宋简体" w:hAnsi="方正仿宋简体" w:eastAsia="方正仿宋简体" w:cs="方正仿宋简体"/>
          <w:b/>
          <w:bCs/>
          <w:color w:val="auto"/>
          <w:kern w:val="0"/>
          <w:sz w:val="32"/>
          <w:szCs w:val="32"/>
          <w:lang w:val="en-US" w:eastAsia="zh-CN" w:bidi="ar"/>
        </w:rPr>
      </w:pPr>
      <w:r>
        <w:rPr>
          <w:rFonts w:hint="eastAsia" w:ascii="方正楷体简体" w:hAnsi="方正楷体简体" w:eastAsia="方正楷体简体" w:cs="方正楷体简体"/>
          <w:b/>
          <w:bCs/>
          <w:color w:val="auto"/>
          <w:kern w:val="0"/>
          <w:sz w:val="32"/>
          <w:szCs w:val="32"/>
          <w:lang w:val="en-US" w:eastAsia="zh-CN" w:bidi="ar"/>
        </w:rPr>
        <w:t>（二）落实上级年度政务公开工作要点情况。</w:t>
      </w:r>
      <w:r>
        <w:rPr>
          <w:rFonts w:hint="eastAsia" w:ascii="方正仿宋简体" w:hAnsi="方正仿宋简体" w:eastAsia="方正仿宋简体" w:cs="方正仿宋简体"/>
          <w:b/>
          <w:bCs/>
          <w:color w:val="auto"/>
          <w:kern w:val="0"/>
          <w:sz w:val="32"/>
          <w:szCs w:val="32"/>
          <w:lang w:val="en-US" w:eastAsia="zh-CN" w:bidi="ar"/>
        </w:rPr>
        <w:t>在医疗卫生服务方面，围绕群众看病就医需求，通过多种途径对健康科普、重点专科、就医流程、惠民举措、医保宣传等领域信息及时向社会公开，不断提升群众看病就医满意度。卫生健康监督执法方面，按时公示医疗卫生、学校卫生、生活饮用水、职业卫生、公共场所卫生、传染病防治、放射诊疗、餐饮具集中消毒等方面的日常监督检查情况。</w:t>
      </w:r>
    </w:p>
    <w:p>
      <w:pPr>
        <w:ind w:firstLine="643" w:firstLineChars="200"/>
        <w:rPr>
          <w:rFonts w:hint="eastAsia" w:ascii="Times New Roman" w:hAnsi="Times New Roman" w:eastAsia="方正仿宋简体" w:cs="Times New Roman"/>
          <w:b/>
          <w:bCs/>
          <w:color w:val="auto"/>
          <w:kern w:val="0"/>
          <w:sz w:val="32"/>
          <w:szCs w:val="32"/>
          <w:lang w:val="en-US" w:eastAsia="zh-CN" w:bidi="ar"/>
        </w:rPr>
      </w:pPr>
      <w:r>
        <w:rPr>
          <w:rFonts w:hint="eastAsia" w:ascii="方正楷体简体" w:hAnsi="方正楷体简体" w:eastAsia="方正楷体简体" w:cs="方正楷体简体"/>
          <w:b/>
          <w:bCs/>
          <w:color w:val="auto"/>
          <w:kern w:val="0"/>
          <w:sz w:val="32"/>
          <w:szCs w:val="32"/>
          <w:lang w:val="en-US" w:eastAsia="zh-CN" w:bidi="ar"/>
        </w:rPr>
        <w:t>（三）本年度建议、提案办理情况。</w:t>
      </w:r>
      <w:r>
        <w:rPr>
          <w:rFonts w:hint="eastAsia" w:ascii="Times New Roman" w:hAnsi="Times New Roman" w:eastAsia="方正仿宋简体" w:cs="Times New Roman"/>
          <w:b/>
          <w:bCs/>
          <w:color w:val="auto"/>
          <w:kern w:val="0"/>
          <w:sz w:val="32"/>
          <w:szCs w:val="32"/>
          <w:lang w:val="en-US" w:eastAsia="zh-CN" w:bidi="ar"/>
        </w:rPr>
        <w:t>2025年，泗水县卫生健康局共承办人大代表建议8件、政协委员提案6件。建议提案内容涉及青少年心理健康、优化生育政策、残疾儿童康复救助、提升村级急诊急救能力等人民群众关注的热点、难点问题，从不同角度反映了人大代表、政协委员对我县卫生健康事业的密切关注和大力支持，体现了人大代表、政协委员的责任意识和参政议政水平。目前，全部建议提案均已按时办结并回复，满意或基本满意100%。</w:t>
      </w:r>
    </w:p>
    <w:p>
      <w:pPr>
        <w:ind w:firstLine="643" w:firstLineChars="200"/>
        <w:rPr>
          <w:rFonts w:hint="eastAsia" w:ascii="Times New Roman" w:hAnsi="Times New Roman" w:eastAsia="方正仿宋简体" w:cs="Times New Roman"/>
          <w:b/>
          <w:bCs/>
          <w:color w:val="auto"/>
          <w:kern w:val="0"/>
          <w:sz w:val="32"/>
          <w:szCs w:val="32"/>
          <w:lang w:val="en-US" w:eastAsia="zh-CN" w:bidi="ar"/>
        </w:rPr>
      </w:pPr>
      <w:r>
        <w:rPr>
          <w:rFonts w:hint="eastAsia" w:ascii="方正楷体简体" w:hAnsi="方正楷体简体" w:eastAsia="方正楷体简体" w:cs="方正楷体简体"/>
          <w:b/>
          <w:bCs/>
          <w:color w:val="auto"/>
          <w:kern w:val="0"/>
          <w:sz w:val="32"/>
          <w:szCs w:val="32"/>
          <w:lang w:val="en-US" w:eastAsia="zh-CN" w:bidi="ar"/>
        </w:rPr>
        <w:t>（四）政务公开方面创新情况。</w:t>
      </w:r>
      <w:r>
        <w:rPr>
          <w:rFonts w:hint="eastAsia" w:ascii="Times New Roman" w:hAnsi="Times New Roman" w:eastAsia="方正仿宋简体" w:cs="Times New Roman"/>
          <w:b/>
          <w:bCs/>
          <w:color w:val="auto"/>
          <w:kern w:val="0"/>
          <w:sz w:val="32"/>
          <w:szCs w:val="32"/>
          <w:lang w:val="en-US" w:eastAsia="zh-CN" w:bidi="ar"/>
        </w:rPr>
        <w:t>泗水县卫生健康局充分利用微信公众号平台，及时发布健康科普、惠民举措等群众关注的重点领域信息，切实满足群众的各类需求，不断提升群众看病就医获得感。</w:t>
      </w:r>
    </w:p>
    <w:p>
      <w:pPr>
        <w:spacing w:line="590" w:lineRule="exact"/>
        <w:ind w:right="-105" w:rightChars="-50" w:firstLine="643" w:firstLineChars="200"/>
        <w:rPr>
          <w:rFonts w:hint="default" w:ascii="Times New Roman" w:hAnsi="Times New Roman" w:eastAsia="方正仿宋简体" w:cs="Times New Roman"/>
          <w:b/>
          <w:bCs w:val="0"/>
          <w:color w:val="auto"/>
          <w:sz w:val="32"/>
          <w:szCs w:val="32"/>
        </w:rPr>
      </w:pPr>
      <w:r>
        <w:rPr>
          <w:rFonts w:hint="eastAsia" w:ascii="方正楷体简体" w:hAnsi="方正楷体简体" w:eastAsia="方正楷体简体" w:cs="方正楷体简体"/>
          <w:b/>
          <w:bCs w:val="0"/>
          <w:color w:val="auto"/>
          <w:sz w:val="32"/>
          <w:szCs w:val="32"/>
        </w:rPr>
        <w:t>（五）本行政机关政府信息公开工作年度报告数据统计需要说明的事项</w:t>
      </w:r>
      <w:r>
        <w:rPr>
          <w:rFonts w:hint="default" w:ascii="Times New Roman" w:hAnsi="Times New Roman" w:eastAsia="方正仿宋简体" w:cs="Times New Roman"/>
          <w:b/>
          <w:bCs w:val="0"/>
          <w:color w:val="auto"/>
          <w:sz w:val="32"/>
          <w:szCs w:val="32"/>
          <w:lang w:eastAsia="zh-CN"/>
        </w:rPr>
        <w:t>。</w:t>
      </w:r>
      <w:r>
        <w:rPr>
          <w:rFonts w:hint="default" w:ascii="Times New Roman" w:hAnsi="Times New Roman" w:eastAsia="方正仿宋简体" w:cs="Times New Roman"/>
          <w:b/>
          <w:bCs w:val="0"/>
          <w:color w:val="auto"/>
          <w:sz w:val="32"/>
          <w:szCs w:val="32"/>
        </w:rPr>
        <w:t>本年度报告中所列数据统计期限从202</w:t>
      </w:r>
      <w:r>
        <w:rPr>
          <w:rFonts w:hint="eastAsia" w:ascii="Times New Roman" w:hAnsi="Times New Roman" w:eastAsia="方正仿宋简体" w:cs="Times New Roman"/>
          <w:b/>
          <w:bCs w:val="0"/>
          <w:color w:val="auto"/>
          <w:sz w:val="32"/>
          <w:szCs w:val="32"/>
          <w:lang w:val="en-US" w:eastAsia="zh-CN"/>
        </w:rPr>
        <w:t>5</w:t>
      </w:r>
      <w:r>
        <w:rPr>
          <w:rFonts w:hint="default" w:ascii="Times New Roman" w:hAnsi="Times New Roman" w:eastAsia="方正仿宋简体" w:cs="Times New Roman"/>
          <w:b/>
          <w:bCs w:val="0"/>
          <w:color w:val="auto"/>
          <w:sz w:val="32"/>
          <w:szCs w:val="32"/>
        </w:rPr>
        <w:t>年1月1日到12月31日止。</w:t>
      </w:r>
    </w:p>
    <w:p>
      <w:pPr>
        <w:spacing w:line="590" w:lineRule="exact"/>
        <w:ind w:right="-105" w:rightChars="-50" w:firstLine="643" w:firstLineChars="200"/>
        <w:rPr>
          <w:rFonts w:hint="default" w:ascii="Times New Roman" w:hAnsi="Times New Roman" w:eastAsia="方正仿宋简体" w:cs="Times New Roman"/>
          <w:b/>
          <w:bCs w:val="0"/>
          <w:color w:val="auto"/>
          <w:sz w:val="32"/>
          <w:szCs w:val="32"/>
        </w:rPr>
      </w:pPr>
      <w:r>
        <w:rPr>
          <w:rFonts w:hint="eastAsia" w:ascii="方正楷体简体" w:hAnsi="方正楷体简体" w:eastAsia="方正楷体简体" w:cs="方正楷体简体"/>
          <w:b/>
          <w:bCs w:val="0"/>
          <w:color w:val="auto"/>
          <w:sz w:val="32"/>
          <w:szCs w:val="32"/>
        </w:rPr>
        <w:t>（六）本行政机关认为需要报告的其他事项：</w:t>
      </w:r>
      <w:r>
        <w:rPr>
          <w:rFonts w:hint="default" w:ascii="Times New Roman" w:hAnsi="Times New Roman" w:eastAsia="方正仿宋简体" w:cs="Times New Roman"/>
          <w:b/>
          <w:bCs w:val="0"/>
          <w:color w:val="auto"/>
          <w:sz w:val="32"/>
          <w:szCs w:val="32"/>
        </w:rPr>
        <w:t>无。</w:t>
      </w:r>
    </w:p>
    <w:p>
      <w:pPr>
        <w:spacing w:line="590" w:lineRule="exact"/>
        <w:ind w:right="-105" w:rightChars="-50" w:firstLine="643" w:firstLineChars="200"/>
        <w:rPr>
          <w:rFonts w:hint="default" w:ascii="Times New Roman" w:hAnsi="Times New Roman" w:eastAsia="方正仿宋简体" w:cs="Times New Roman"/>
          <w:b/>
          <w:bCs w:val="0"/>
          <w:color w:val="auto"/>
          <w:sz w:val="32"/>
          <w:szCs w:val="32"/>
        </w:rPr>
      </w:pPr>
      <w:r>
        <w:rPr>
          <w:rFonts w:hint="eastAsia" w:ascii="方正楷体简体" w:hAnsi="方正楷体简体" w:eastAsia="方正楷体简体" w:cs="方正楷体简体"/>
          <w:b/>
          <w:bCs w:val="0"/>
          <w:color w:val="auto"/>
          <w:sz w:val="32"/>
          <w:szCs w:val="32"/>
        </w:rPr>
        <w:t>（七）其他有关文件专门要求通过政府信息公开工作年度报告予以报告的事项：</w:t>
      </w:r>
      <w:r>
        <w:rPr>
          <w:rFonts w:hint="default" w:ascii="Times New Roman" w:hAnsi="Times New Roman" w:eastAsia="方正仿宋简体" w:cs="Times New Roman"/>
          <w:b/>
          <w:bCs w:val="0"/>
          <w:color w:val="auto"/>
          <w:sz w:val="32"/>
          <w:szCs w:val="32"/>
        </w:rPr>
        <w:t>无。</w:t>
      </w:r>
    </w:p>
    <w:p>
      <w:pPr>
        <w:ind w:firstLine="643" w:firstLineChars="200"/>
        <w:rPr>
          <w:rFonts w:hint="default" w:ascii="Times New Roman" w:hAnsi="Times New Roman" w:eastAsia="方正仿宋简体" w:cs="Times New Roman"/>
          <w:b/>
          <w:bCs/>
          <w:color w:val="auto"/>
          <w:kern w:val="0"/>
          <w:sz w:val="32"/>
          <w:szCs w:val="32"/>
          <w:lang w:val="en-US" w:eastAsia="zh-CN" w:bidi="ar"/>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firstLine="643" w:firstLineChars="200"/>
        <w:jc w:val="both"/>
        <w:textAlignment w:val="auto"/>
        <w:rPr>
          <w:rFonts w:hint="default" w:ascii="方正仿宋简体" w:hAnsi="方正仿宋简体" w:eastAsia="方正仿宋简体" w:cs="方正仿宋简体"/>
          <w:b/>
          <w:bCs/>
          <w:color w:val="auto"/>
          <w:sz w:val="32"/>
          <w:szCs w:val="32"/>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ind w:left="0" w:firstLine="643" w:firstLineChars="200"/>
        <w:jc w:val="both"/>
        <w:textAlignment w:val="auto"/>
        <w:rPr>
          <w:rFonts w:hint="eastAsia" w:ascii="Times New Roman" w:hAnsi="Times New Roman" w:eastAsia="方正仿宋简体" w:cs="Times New Roman"/>
          <w:b/>
          <w:bCs/>
          <w:color w:val="auto"/>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70" w:lineRule="atLeast"/>
        <w:jc w:val="both"/>
        <w:textAlignment w:val="auto"/>
        <w:rPr>
          <w:rFonts w:hint="default" w:ascii="Times New Roman" w:hAnsi="Times New Roman" w:eastAsia="方正仿宋简体" w:cs="Times New Roman"/>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color w:val="auto"/>
          <w:sz w:val="44"/>
          <w:szCs w:val="44"/>
        </w:rPr>
      </w:pPr>
    </w:p>
    <w:p/>
    <w:sectPr>
      <w:pgSz w:w="11906" w:h="16838"/>
      <w:pgMar w:top="2098" w:right="1531" w:bottom="153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MWNjYzhlODdjMzYzNWIwY2FjMDdiODIxZWU1MDkifQ=="/>
  </w:docVars>
  <w:rsids>
    <w:rsidRoot w:val="00000000"/>
    <w:rsid w:val="055A271A"/>
    <w:rsid w:val="0C0A5241"/>
    <w:rsid w:val="0D1C7E32"/>
    <w:rsid w:val="0D252F51"/>
    <w:rsid w:val="160550C9"/>
    <w:rsid w:val="20BB0667"/>
    <w:rsid w:val="21936EB2"/>
    <w:rsid w:val="233655F0"/>
    <w:rsid w:val="290517DE"/>
    <w:rsid w:val="37186C4F"/>
    <w:rsid w:val="3B065293"/>
    <w:rsid w:val="45C41884"/>
    <w:rsid w:val="466965F4"/>
    <w:rsid w:val="4E2A2946"/>
    <w:rsid w:val="52F73B22"/>
    <w:rsid w:val="534A1D91"/>
    <w:rsid w:val="772C053E"/>
    <w:rsid w:val="77BD3421"/>
    <w:rsid w:val="787B7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6032;&#24314;&#25991;&#20214;&#22841;\&#25919;&#21153;&#20844;&#24320;\&#25919;&#21153;&#20844;&#24320;\25&#24180;12&#26376;&#20221;&#20844;&#31034;\&#25919;&#24220;&#24180;&#24230;&#20844;&#24320;&#25253;&#21578;\&#26032;&#24314;%20XLSX%20&#24037;&#20316;&#34920;.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chartUserShapes" Target="../drawings/drawing1.xml"/><Relationship Id="rId1" Type="http://schemas.openxmlformats.org/officeDocument/2006/relationships/oleObject" Target="file:///C:\Users\Administrator\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Pt>
            <c:idx val="4"/>
            <c:bubble3D val="0"/>
            <c:spPr>
              <a:solidFill>
                <a:schemeClr val="accent5"/>
              </a:solidFill>
              <a:ln>
                <a:noFill/>
              </a:ln>
              <a:effectLst/>
            </c:spPr>
          </c:dPt>
          <c:dPt>
            <c:idx val="5"/>
            <c:bubble3D val="0"/>
            <c:spPr>
              <a:solidFill>
                <a:schemeClr val="accent6"/>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工作表.xlsx]Sheet1'!$A$2:$A$7</c:f>
              <c:strCache>
                <c:ptCount val="6"/>
                <c:pt idx="0">
                  <c:v>行政处罚</c:v>
                </c:pt>
                <c:pt idx="1">
                  <c:v>双随机检查</c:v>
                </c:pt>
                <c:pt idx="2">
                  <c:v>监督检查</c:v>
                </c:pt>
                <c:pt idx="3">
                  <c:v>水质监测</c:v>
                </c:pt>
                <c:pt idx="4">
                  <c:v>公示公告</c:v>
                </c:pt>
                <c:pt idx="5">
                  <c:v>其它</c:v>
                </c:pt>
              </c:strCache>
            </c:strRef>
          </c:cat>
          <c:val>
            <c:numRef>
              <c:f>'[新建 XLSX 工作表.xlsx]Sheet1'!$B$2:$B$7</c:f>
              <c:numCache>
                <c:formatCode>General</c:formatCode>
                <c:ptCount val="6"/>
                <c:pt idx="0">
                  <c:v>21</c:v>
                </c:pt>
                <c:pt idx="1">
                  <c:v>7</c:v>
                </c:pt>
                <c:pt idx="2">
                  <c:v>50</c:v>
                </c:pt>
                <c:pt idx="3">
                  <c:v>4</c:v>
                </c:pt>
                <c:pt idx="4">
                  <c:v>3</c:v>
                </c:pt>
                <c:pt idx="5">
                  <c:v>13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0" normalizeH="0" baseline="0">
                <a:solidFill>
                  <a:schemeClr val="tx1"/>
                </a:solidFill>
                <a:uFill>
                  <a:solidFill>
                    <a:schemeClr val="tx1"/>
                  </a:solidFill>
                </a:uFill>
                <a:latin typeface="+mn-lt"/>
                <a:ea typeface="+mn-ea"/>
                <a:cs typeface="+mn-cs"/>
              </a:defRPr>
            </a:pPr>
            <a:r>
              <a:rPr u="none" strike="noStrike" cap="none" normalizeH="0">
                <a:solidFill>
                  <a:schemeClr val="tx1"/>
                </a:solidFill>
                <a:uFill>
                  <a:solidFill>
                    <a:schemeClr val="tx1"/>
                  </a:solidFill>
                </a:uFill>
              </a:rPr>
              <a:t>泗水县卫生健康局近三年政府信息申请数量</a:t>
            </a:r>
            <a:endParaRPr u="none" strike="noStrike" cap="none" normalizeH="0">
              <a:solidFill>
                <a:schemeClr val="tx1"/>
              </a:solidFill>
              <a:uFill>
                <a:solidFill>
                  <a:schemeClr val="tx1"/>
                </a:solidFill>
              </a:uFill>
            </a:endParaRPr>
          </a:p>
        </c:rich>
      </c:tx>
      <c:layout>
        <c:manualLayout>
          <c:xMode val="edge"/>
          <c:yMode val="edge"/>
          <c:x val="0.121111111111111"/>
          <c:y val="0.0277777777777778"/>
        </c:manualLayout>
      </c:layout>
      <c:overlay val="0"/>
      <c:spPr>
        <a:noFill/>
        <a:ln>
          <a:noFill/>
        </a:ln>
        <a:effectLst/>
      </c:spPr>
    </c:title>
    <c:autoTitleDeleted val="0"/>
    <c:plotArea>
      <c:layout>
        <c:manualLayout>
          <c:layoutTarget val="inner"/>
          <c:xMode val="edge"/>
          <c:yMode val="edge"/>
          <c:x val="0.16825"/>
          <c:y val="0.173611111111111"/>
          <c:w val="0.827583333333333"/>
          <c:h val="0.638796296296296"/>
        </c:manualLayout>
      </c:layout>
      <c:barChart>
        <c:barDir val="col"/>
        <c:grouping val="clustered"/>
        <c:varyColors val="1"/>
        <c:ser>
          <c:idx val="0"/>
          <c:order val="0"/>
          <c:spPr/>
          <c:invertIfNegative val="0"/>
          <c:dPt>
            <c:idx val="0"/>
            <c:invertIfNegative val="0"/>
            <c:bubble3D val="0"/>
            <c:spPr>
              <a:solidFill>
                <a:schemeClr val="accent1"/>
              </a:solidFill>
              <a:ln>
                <a:noFill/>
              </a:ln>
              <a:effectLst/>
            </c:spPr>
          </c:dPt>
          <c:dPt>
            <c:idx val="1"/>
            <c:invertIfNegative val="0"/>
            <c:bubble3D val="0"/>
            <c:spPr>
              <a:solidFill>
                <a:schemeClr val="accent2"/>
              </a:solidFill>
              <a:ln>
                <a:noFill/>
              </a:ln>
              <a:effectLst/>
            </c:spPr>
          </c:dPt>
          <c:dPt>
            <c:idx val="2"/>
            <c:invertIfNegative val="0"/>
            <c:bubble3D val="0"/>
            <c:spPr>
              <a:solidFill>
                <a:schemeClr val="accent3"/>
              </a:solidFill>
              <a:ln>
                <a:noFill/>
              </a:ln>
              <a:effectLst/>
            </c:spPr>
          </c:dPt>
          <c:dLbls>
            <c:delete val="1"/>
          </c:dLbls>
          <c:cat>
            <c:strRef>
              <c:f>'[新建 XLSX 工作表.xlsx]Sheet1'!$A$2:$A$4</c:f>
              <c:strCache>
                <c:ptCount val="3"/>
                <c:pt idx="0">
                  <c:v>2023年</c:v>
                </c:pt>
                <c:pt idx="1">
                  <c:v>2024年</c:v>
                </c:pt>
                <c:pt idx="2">
                  <c:v>2025年</c:v>
                </c:pt>
              </c:strCache>
            </c:strRef>
          </c:cat>
          <c:val>
            <c:numRef>
              <c:f>'[新建 XLSX 工作表.xlsx]Sheet1'!$B$2:$B$4</c:f>
              <c:numCache>
                <c:formatCode>General</c:formatCode>
                <c:ptCount val="3"/>
                <c:pt idx="0">
                  <c:v>4</c:v>
                </c:pt>
                <c:pt idx="1">
                  <c:v>2</c:v>
                </c:pt>
                <c:pt idx="2">
                  <c:v>3</c:v>
                </c:pt>
              </c:numCache>
            </c:numRef>
          </c:val>
        </c:ser>
        <c:dLbls>
          <c:showLegendKey val="0"/>
          <c:showVal val="0"/>
          <c:showCatName val="0"/>
          <c:showSerName val="0"/>
          <c:showPercent val="0"/>
          <c:showBubbleSize val="0"/>
        </c:dLbls>
        <c:gapWidth val="219"/>
        <c:overlap val="-27"/>
        <c:axId val="910232296"/>
        <c:axId val="964851464"/>
      </c:barChart>
      <c:catAx>
        <c:axId val="91023229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solidFill>
                <a:uFill>
                  <a:solidFill>
                    <a:schemeClr val="tx1"/>
                  </a:solidFill>
                </a:uFill>
                <a:latin typeface="+mn-lt"/>
                <a:ea typeface="+mn-ea"/>
                <a:cs typeface="+mn-cs"/>
              </a:defRPr>
            </a:pPr>
          </a:p>
        </c:txPr>
        <c:crossAx val="964851464"/>
        <c:crosses val="autoZero"/>
        <c:auto val="1"/>
        <c:lblAlgn val="ctr"/>
        <c:lblOffset val="100"/>
        <c:noMultiLvlLbl val="0"/>
      </c:catAx>
      <c:valAx>
        <c:axId val="964851464"/>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cap="none" spc="0" normalizeH="0" baseline="0">
                <a:solidFill>
                  <a:schemeClr val="tx1"/>
                </a:solidFill>
                <a:uFill>
                  <a:solidFill>
                    <a:schemeClr val="tx1"/>
                  </a:solidFill>
                </a:uFill>
                <a:latin typeface="+mn-lt"/>
                <a:ea typeface="+mn-ea"/>
                <a:cs typeface="+mn-cs"/>
              </a:defRPr>
            </a:pPr>
          </a:p>
        </c:txPr>
        <c:crossAx val="910232296"/>
        <c:crosses val="autoZero"/>
        <c:crossBetween val="between"/>
      </c:valAx>
      <c:spPr>
        <a:solidFill>
          <a:sysClr val="window" lastClr="FFFFFF"/>
        </a:soli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u="none" strike="noStrike" kern="1200" cap="none" spc="0" normalizeH="0">
          <a:solidFill>
            <a:schemeClr val="tx1"/>
          </a:solidFill>
          <a:uFill>
            <a:solidFill>
              <a:schemeClr val="tx1"/>
            </a:solidFill>
          </a:uFill>
        </a:defRPr>
      </a:pPr>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0.0505555555555556</cdr:x>
      <cdr:y>0.227777777777778</cdr:y>
    </cdr:from>
    <cdr:to>
      <cdr:x>0.153888888888889</cdr:x>
      <cdr:y>0.313657407407407</cdr:y>
    </cdr:to>
    <cdr:sp>
      <cdr:nvSpPr>
        <cdr:cNvPr id="2" name="流程图: 过程 1"/>
        <cdr:cNvSpPr/>
      </cdr:nvSpPr>
      <cdr:spPr xmlns:a="http://schemas.openxmlformats.org/drawingml/2006/main">
        <a:xfrm xmlns:a="http://schemas.openxmlformats.org/drawingml/2006/main">
          <a:off x="231140" y="624840"/>
          <a:ext cx="472440" cy="235585"/>
        </a:xfrm>
        <a:prstGeom xmlns:a="http://schemas.openxmlformats.org/drawingml/2006/main" prst="flowChartProcess">
          <a:avLst/>
        </a:prstGeom>
        <a:ln>
          <a:noFill/>
        </a:ln>
      </cdr:spPr>
      <cdr:style>
        <a:lnRef xmlns:a="http://schemas.openxmlformats.org/drawingml/2006/main" idx="2">
          <a:schemeClr val="dk1"/>
        </a:lnRef>
        <a:fillRef xmlns:a="http://schemas.openxmlformats.org/drawingml/2006/main" idx="1">
          <a:schemeClr val="lt1"/>
        </a:fillRef>
        <a:effectRef xmlns:a="http://schemas.openxmlformats.org/drawingml/2006/main" idx="0">
          <a:schemeClr val="dk1"/>
        </a:effectRef>
        <a:fontRef xmlns:a="http://schemas.openxmlformats.org/drawingml/2006/main" idx="minor">
          <a:schemeClr val="dk1"/>
        </a:fontRef>
      </cdr:style>
      <cdr:txBody xmlns:a="http://schemas.openxmlformats.org/drawingml/2006/main">
        <a:bodyPr vertOverflow="clip" vert="horz" wrap="none" lIns="45720" tIns="45720" rIns="45720" bIns="45720" anchor="t" anchorCtr="0">
          <a:normAutofit/>
        </a:bodyPr>
        <a:p>
          <a:pPr algn="l"/>
          <a:r>
            <a:rPr lang="zh-CN" altLang="en-US" sz="1100"/>
            <a:t>数量</a:t>
          </a:r>
          <a:endParaRPr lang="zh-CN" altLang="en-US" sz="1100"/>
        </a:p>
      </cdr:txBody>
    </cdr:sp>
  </cdr:relSizeAnchor>
  <cdr:relSizeAnchor xmlns:cdr="http://schemas.openxmlformats.org/drawingml/2006/chartDrawing">
    <cdr:from>
      <cdr:x>0.277222222222222</cdr:x>
      <cdr:y>0.283333333333333</cdr:y>
    </cdr:from>
    <cdr:to>
      <cdr:x>0.342083333333333</cdr:x>
      <cdr:y>0.358333333333333</cdr:y>
    </cdr:to>
    <cdr:sp>
      <cdr:nvSpPr>
        <cdr:cNvPr id="3" name="流程图: 过程 2"/>
        <cdr:cNvSpPr/>
      </cdr:nvSpPr>
      <cdr:spPr xmlns:a="http://schemas.openxmlformats.org/drawingml/2006/main">
        <a:xfrm xmlns:a="http://schemas.openxmlformats.org/drawingml/2006/main">
          <a:off x="1267460" y="777240"/>
          <a:ext cx="296545" cy="205740"/>
        </a:xfrm>
        <a:prstGeom xmlns:a="http://schemas.openxmlformats.org/drawingml/2006/main" prst="flowChartProcess">
          <a:avLst/>
        </a:prstGeom>
        <a:l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xmlns:a="http://schemas.openxmlformats.org/drawingml/2006/main">
        <a:bodyPr vertOverflow="clip" vert="horz" wrap="none" lIns="45720" tIns="45720" rIns="45720" bIns="45720" anchor="t" anchorCtr="0">
          <a:normAutofit/>
        </a:bodyPr>
        <a:p>
          <a:pPr algn="l"/>
          <a:r>
            <a:rPr lang="en-US" altLang="zh-CN" sz="1100"/>
            <a:t>4</a:t>
          </a:r>
          <a:endParaRPr lang="en-US" altLang="zh-CN" sz="1100"/>
        </a:p>
      </cdr:txBody>
    </cdr:sp>
  </cdr:relSizeAnchor>
  <cdr:relSizeAnchor xmlns:cdr="http://schemas.openxmlformats.org/drawingml/2006/chartDrawing">
    <cdr:from>
      <cdr:x>0.553956834532374</cdr:x>
      <cdr:y>0.602777777777778</cdr:y>
    </cdr:from>
    <cdr:to>
      <cdr:x>0.591864969562811</cdr:x>
      <cdr:y>0.684027777777778</cdr:y>
    </cdr:to>
    <cdr:sp>
      <cdr:nvSpPr>
        <cdr:cNvPr id="4" name="流程图: 过程 3"/>
        <cdr:cNvSpPr/>
      </cdr:nvSpPr>
      <cdr:spPr xmlns:a="http://schemas.openxmlformats.org/drawingml/2006/main">
        <a:xfrm xmlns:a="http://schemas.openxmlformats.org/drawingml/2006/main">
          <a:off x="2542540" y="1653540"/>
          <a:ext cx="173990" cy="222885"/>
        </a:xfrm>
        <a:prstGeom xmlns:a="http://schemas.openxmlformats.org/drawingml/2006/main" prst="flowChartProcess">
          <a:avLst/>
        </a:prstGeom>
        <a:noFill/>
        <a:l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xmlns:a="http://schemas.openxmlformats.org/drawingml/2006/main">
        <a:bodyPr vertOverflow="clip" vert="horz" wrap="none" lIns="45720" tIns="45720" rIns="45720" bIns="45720" anchor="t" anchorCtr="0">
          <a:normAutofit/>
        </a:bodyPr>
        <a:p>
          <a:pPr algn="l"/>
          <a:r>
            <a:rPr lang="en-US" altLang="zh-CN" sz="1100"/>
            <a:t>2</a:t>
          </a:r>
          <a:endParaRPr lang="en-US" altLang="zh-CN" sz="1100"/>
        </a:p>
      </cdr:txBody>
    </cdr:sp>
  </cdr:relSizeAnchor>
  <cdr:relSizeAnchor xmlns:cdr="http://schemas.openxmlformats.org/drawingml/2006/chartDrawing">
    <cdr:from>
      <cdr:x>0.841034864416159</cdr:x>
      <cdr:y>0.458333333333333</cdr:y>
    </cdr:from>
    <cdr:to>
      <cdr:x>0.865384615384615</cdr:x>
      <cdr:y>0.546990740740741</cdr:y>
    </cdr:to>
    <cdr:sp>
      <cdr:nvSpPr>
        <cdr:cNvPr id="5" name="流程图: 过程 4"/>
        <cdr:cNvSpPr/>
      </cdr:nvSpPr>
      <cdr:spPr xmlns:a="http://schemas.openxmlformats.org/drawingml/2006/main">
        <a:xfrm xmlns:a="http://schemas.openxmlformats.org/drawingml/2006/main">
          <a:off x="3860165" y="1257300"/>
          <a:ext cx="111760" cy="243205"/>
        </a:xfrm>
        <a:prstGeom xmlns:a="http://schemas.openxmlformats.org/drawingml/2006/main" prst="flowChartProcess">
          <a:avLst/>
        </a:prstGeom>
        <a:noFill/>
        <a:l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xmlns:a="http://schemas.openxmlformats.org/drawingml/2006/main">
        <a:bodyPr vertOverflow="clip" vert="horz" wrap="none" lIns="45720" tIns="45720" rIns="45720" bIns="45720" anchor="t" anchorCtr="0">
          <a:normAutofit/>
        </a:bodyPr>
        <a:p>
          <a:pPr algn="l"/>
          <a:r>
            <a:rPr lang="en-US" altLang="zh-CN" sz="1100"/>
            <a:t>3</a:t>
          </a:r>
          <a:endParaRPr lang="en-US" altLang="zh-CN" sz="11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2706</Words>
  <Characters>2808</Characters>
  <Lines>0</Lines>
  <Paragraphs>0</Paragraphs>
  <TotalTime>1</TotalTime>
  <ScaleCrop>false</ScaleCrop>
  <LinksUpToDate>false</LinksUpToDate>
  <CharactersWithSpaces>2808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2023-05-05T07:49:00Z</dcterms:created>
  <dc:creator>Administrator</dc:creator>
  <cp:lastModifiedBy> 斌哥哥</cp:lastModifiedBy>
  <dcterms:modified xsi:type="dcterms:W3CDTF">2026-01-19T06:43:35Z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AB08AC3DF2AD46DBB897E6E6D890F94B_13</vt:lpwstr>
  </property>
</Properties>
</file>