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hint="eastAsia" w:ascii="微软雅黑" w:eastAsia="微软雅黑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  <w:lang w:val="en-US" w:eastAsia="zh-CN"/>
        </w:rPr>
        <w:t>泗水县</w:t>
      </w:r>
      <w:r>
        <w:rPr>
          <w:rFonts w:hint="eastAsia" w:ascii="微软雅黑" w:eastAsia="微软雅黑"/>
          <w:sz w:val="44"/>
          <w:szCs w:val="44"/>
          <w:lang w:eastAsia="zh-CN"/>
        </w:rPr>
        <w:t>畜牧兽医事业发展中心</w:t>
      </w:r>
      <w:r>
        <w:rPr>
          <w:rFonts w:hint="eastAsia" w:ascii="微软雅黑" w:eastAsia="微软雅黑"/>
          <w:sz w:val="44"/>
          <w:szCs w:val="44"/>
        </w:rPr>
        <w:t>主动公开事项目录（202</w:t>
      </w:r>
      <w:r>
        <w:rPr>
          <w:rFonts w:hint="eastAsia" w:ascii="微软雅黑" w:eastAsia="微软雅黑"/>
          <w:sz w:val="44"/>
          <w:szCs w:val="44"/>
          <w:lang w:val="en-US" w:eastAsia="zh-CN"/>
        </w:rPr>
        <w:t>5</w:t>
      </w:r>
      <w:r>
        <w:rPr>
          <w:rFonts w:hint="eastAsia" w:ascii="微软雅黑" w:eastAsia="微软雅黑"/>
          <w:sz w:val="44"/>
          <w:szCs w:val="44"/>
        </w:rPr>
        <w:t>年版）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07"/>
        <w:gridCol w:w="3758"/>
        <w:gridCol w:w="1271"/>
        <w:gridCol w:w="1407"/>
        <w:gridCol w:w="1694"/>
        <w:gridCol w:w="1594"/>
        <w:gridCol w:w="6053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66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94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magent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公开依据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51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公开责任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94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机关简介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机构职能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1.领导信息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：县畜牧兽医事业发展中心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领导的姓名、现任职务职级、性别、民族、出生年月、学历学位、政治面貌、照片等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2.基本信息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：办公地址，办公时间，联系方式。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3.主要职责：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机构编制部门批复的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县畜牧兽医事业发展中心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工作职责以及法律法规或上级机关设定的工作职责；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4.内设机构：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县畜牧兽医事业发展中心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的内设机构、直属单位名称和职能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《政府信息公开条例》第二十条（二）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法规文件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规范性文件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公开规范性文件正式文本、目录备案和清理、合法性审核信息、失效文件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《政府信息公开条例》第二十条（一）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部门公文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公开部门文件、依申请文件目录、履职依据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《政府信息公开条例》第二十条（一）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政策解读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公开政策文件的新闻媒体、数字图文、音频视频等形式的解读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《政府信息公开条例》第二十条（一）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规划计划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通知公告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县畜牧兽医事业发展中心发布的文件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《政府信息公开条例》第二十条（一）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各科室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财政预决算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财政预决算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1.部门收支总体情况：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原则上至少公开3张报表，包括部门收支总体情况表、部门收入总体情况表和部门支出总体情况表。一般公共预算支出情况表公开到功能分类项级科目；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2.财政拨款收支情况：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一般公共预算、政府性基金预算、国有资本经营预算拨款收支情况，原则上至少公开5张报表，包括：财政拨款收支总体情况表、一般公共预算支出情况表、一般公共预算基本支出情况表、一般公共预算“三公”经费支出情况表、政府性基金预算支出情况表。没有数据的表格应当列出空表并说明；</w:t>
            </w: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3.其他：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的职责、机构设置情况、预决算收支增减变化、机关运行经费安排以及政府采购等情况的说明，并对专业性较强的名词进行解释；国有资产占用、重点项目预算的绩效目标和绩效评价结果等情况。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决算公开原则上参照预算公开的范围、体例和内容。其中，“三公”经费决算公开要细化说明因公出国（境）团组数及人数，公务用车购置数及保有量，国内公务接待的批次、人数、经费总额，以及“三公”经费增减变化原因等信息。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泗水县畜牧兽医事业发展中心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《政府信息公开条例》第二十条（七）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《中华人民共和国预算法》第十四条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《中华人民共和国预算法实施条例》第六条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在本级政府财政部门批复后20日内向社会公开；长期公示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财务科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重点领域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涉农补贴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资金申请政策，申请指南，结果信息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疫控中心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评估落实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政府工作报告落实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政府工作报告工作情况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招考录用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其他招考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其他招考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《政府信息公开条例》第二十条（十四）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自该政府信息形成或者变更之日起20个工作日内；法律、法规对政府信息公开的期限另有规定的，从其规定；定期清理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组织管理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政务公开组织领导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公开各部门政务公开分管负责人、承担机构等信息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《政府信息公开条例》第二十条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部门单位政务公开培训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公开各部门年度政务公开工作实施方案及工作推进情况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《政府信息公开条例》第二十条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政务公开工作推进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公开政务公开培训计划、培训开展情况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《政府信息公开条例》第二十条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建议提案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人大代表建议办理情况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人大代表建议办理情况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在答复建议的1个月内；定期清理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 xml:space="preserve"> 政协委员提案办理情况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 xml:space="preserve"> 政协委员提案办理情况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在答复提案提出人的1个月内；定期清理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建议提案办理总体情况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建议提案办理总体情况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31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公共企事业单位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政府信息公开指南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政府信息公开指南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313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政府信息公开年报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政府信息公开工作年度报告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主动公开基本目录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主动公开基本目录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公开各部门主动公开基本目录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自行成或变更之日起20个工作日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3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其他信息公开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重大行政决策</w:t>
            </w:r>
          </w:p>
        </w:tc>
        <w:tc>
          <w:tcPr>
            <w:tcW w:w="94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重大决策目录，重大决策意见征集，重大决策采纳情况</w:t>
            </w:r>
          </w:p>
        </w:tc>
        <w:tc>
          <w:tcPr>
            <w:tcW w:w="3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县畜牧兽医事业发展中心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《政府信息公开条例》第二十条（十五）</w:t>
            </w:r>
          </w:p>
        </w:tc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自形成或者变更之日起5个工作日内；长期公示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政务新媒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实体公开栏</w:t>
            </w:r>
          </w:p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auto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综合科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23811" w:h="16838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36338AB-7C24-4C62-A72E-FF1D244610E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1A3C83-CDE8-4E05-8D39-4DACD946C7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93F99D3B-974F-42DB-92B9-E068E7D7A47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DD204C4A-E560-44F6-A551-75BE19F65CF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C18435B-C821-45F9-81BF-F3A89E173F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D3B8A62A-27EC-4DB0-93F1-7DB997669D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387872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ZjI5MjdiZTliODc5OTMzN2Q5MmViMDMxODFhNGEifQ=="/>
    <w:docVar w:name="KSO_WPS_MARK_KEY" w:val="29ee269c-f706-4d07-bd98-f4238e817af9"/>
  </w:docVars>
  <w:rsids>
    <w:rsidRoot w:val="0098394E"/>
    <w:rsid w:val="0000169A"/>
    <w:rsid w:val="00117150"/>
    <w:rsid w:val="0016125D"/>
    <w:rsid w:val="00193BF5"/>
    <w:rsid w:val="001B4AD7"/>
    <w:rsid w:val="003C02B1"/>
    <w:rsid w:val="004D2779"/>
    <w:rsid w:val="004F2B22"/>
    <w:rsid w:val="005279C0"/>
    <w:rsid w:val="00677BB3"/>
    <w:rsid w:val="00733381"/>
    <w:rsid w:val="00800BAF"/>
    <w:rsid w:val="00837AC5"/>
    <w:rsid w:val="008565E6"/>
    <w:rsid w:val="008837B9"/>
    <w:rsid w:val="00924AEF"/>
    <w:rsid w:val="0098394E"/>
    <w:rsid w:val="00B479BF"/>
    <w:rsid w:val="00BC2822"/>
    <w:rsid w:val="00BF3CC5"/>
    <w:rsid w:val="00C43A2D"/>
    <w:rsid w:val="00E05B2E"/>
    <w:rsid w:val="00E61A79"/>
    <w:rsid w:val="00E64524"/>
    <w:rsid w:val="00E83A5C"/>
    <w:rsid w:val="00EC0FE2"/>
    <w:rsid w:val="00EE4A52"/>
    <w:rsid w:val="00F132D4"/>
    <w:rsid w:val="00F51FB5"/>
    <w:rsid w:val="02267693"/>
    <w:rsid w:val="02E84627"/>
    <w:rsid w:val="041453FF"/>
    <w:rsid w:val="05682F48"/>
    <w:rsid w:val="077A3CEC"/>
    <w:rsid w:val="08BA0844"/>
    <w:rsid w:val="08BE5948"/>
    <w:rsid w:val="08C16272"/>
    <w:rsid w:val="09CD27F9"/>
    <w:rsid w:val="0AD025A1"/>
    <w:rsid w:val="0B071D3B"/>
    <w:rsid w:val="0BE36304"/>
    <w:rsid w:val="0D4C7ED9"/>
    <w:rsid w:val="0DC83A03"/>
    <w:rsid w:val="0E484B44"/>
    <w:rsid w:val="0EA24254"/>
    <w:rsid w:val="0FCD5A91"/>
    <w:rsid w:val="10AF0EAA"/>
    <w:rsid w:val="11366ED6"/>
    <w:rsid w:val="119D51A7"/>
    <w:rsid w:val="120B3EBE"/>
    <w:rsid w:val="12C02EFB"/>
    <w:rsid w:val="14186D67"/>
    <w:rsid w:val="141E6ADB"/>
    <w:rsid w:val="156B0DAB"/>
    <w:rsid w:val="15785D0F"/>
    <w:rsid w:val="15A30E31"/>
    <w:rsid w:val="17991F6C"/>
    <w:rsid w:val="19D44C1D"/>
    <w:rsid w:val="1B141A82"/>
    <w:rsid w:val="1B99253B"/>
    <w:rsid w:val="1C6C5F2C"/>
    <w:rsid w:val="1D1A7363"/>
    <w:rsid w:val="222F59A7"/>
    <w:rsid w:val="24842422"/>
    <w:rsid w:val="281E6063"/>
    <w:rsid w:val="28D32640"/>
    <w:rsid w:val="2B26262F"/>
    <w:rsid w:val="2E156399"/>
    <w:rsid w:val="2E1D75EB"/>
    <w:rsid w:val="2EC1207D"/>
    <w:rsid w:val="2F190180"/>
    <w:rsid w:val="2F285C58"/>
    <w:rsid w:val="2F2B1BEC"/>
    <w:rsid w:val="31B00187"/>
    <w:rsid w:val="322E7A29"/>
    <w:rsid w:val="32C455D6"/>
    <w:rsid w:val="32E14A9C"/>
    <w:rsid w:val="33BC1065"/>
    <w:rsid w:val="3429270D"/>
    <w:rsid w:val="34F72BCA"/>
    <w:rsid w:val="35C10BB4"/>
    <w:rsid w:val="35D82035"/>
    <w:rsid w:val="371A26C2"/>
    <w:rsid w:val="38007BFE"/>
    <w:rsid w:val="39290F4A"/>
    <w:rsid w:val="39AD3929"/>
    <w:rsid w:val="3A0472C2"/>
    <w:rsid w:val="3A324A06"/>
    <w:rsid w:val="3AED3825"/>
    <w:rsid w:val="3F220916"/>
    <w:rsid w:val="40A67324"/>
    <w:rsid w:val="432879E8"/>
    <w:rsid w:val="432B3B11"/>
    <w:rsid w:val="457277E4"/>
    <w:rsid w:val="45BA7E41"/>
    <w:rsid w:val="4621401E"/>
    <w:rsid w:val="463827CD"/>
    <w:rsid w:val="473F7B8B"/>
    <w:rsid w:val="48AE000C"/>
    <w:rsid w:val="496F29A9"/>
    <w:rsid w:val="4A9E1879"/>
    <w:rsid w:val="4ACE0E07"/>
    <w:rsid w:val="4D634CAC"/>
    <w:rsid w:val="4F6C1739"/>
    <w:rsid w:val="4FF01433"/>
    <w:rsid w:val="50F41D56"/>
    <w:rsid w:val="5325057D"/>
    <w:rsid w:val="5453081C"/>
    <w:rsid w:val="54CB5262"/>
    <w:rsid w:val="55525CEC"/>
    <w:rsid w:val="58692CBA"/>
    <w:rsid w:val="58FC6629"/>
    <w:rsid w:val="59164907"/>
    <w:rsid w:val="5A6B2D19"/>
    <w:rsid w:val="5D4D6706"/>
    <w:rsid w:val="5F0C439F"/>
    <w:rsid w:val="60A70AE4"/>
    <w:rsid w:val="6214430D"/>
    <w:rsid w:val="62B334AF"/>
    <w:rsid w:val="62BE3E7A"/>
    <w:rsid w:val="648D66EF"/>
    <w:rsid w:val="64FA7E3F"/>
    <w:rsid w:val="65C36135"/>
    <w:rsid w:val="663743F7"/>
    <w:rsid w:val="66A906B8"/>
    <w:rsid w:val="672500BF"/>
    <w:rsid w:val="675B2367"/>
    <w:rsid w:val="67C24194"/>
    <w:rsid w:val="6BED79F3"/>
    <w:rsid w:val="6DF53038"/>
    <w:rsid w:val="6E9340DE"/>
    <w:rsid w:val="6F6B5112"/>
    <w:rsid w:val="6F7264A0"/>
    <w:rsid w:val="703F45D4"/>
    <w:rsid w:val="70776CBE"/>
    <w:rsid w:val="70E54745"/>
    <w:rsid w:val="715B6749"/>
    <w:rsid w:val="74381A66"/>
    <w:rsid w:val="75F81398"/>
    <w:rsid w:val="770B3462"/>
    <w:rsid w:val="776A1A51"/>
    <w:rsid w:val="77B91110"/>
    <w:rsid w:val="78574485"/>
    <w:rsid w:val="790E7239"/>
    <w:rsid w:val="79C618C2"/>
    <w:rsid w:val="7AF91EB2"/>
    <w:rsid w:val="7B220D7A"/>
    <w:rsid w:val="7E2B43EA"/>
    <w:rsid w:val="7E891110"/>
    <w:rsid w:val="7FE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3739</Words>
  <Characters>3759</Characters>
  <Lines>34</Lines>
  <Paragraphs>9</Paragraphs>
  <TotalTime>3</TotalTime>
  <ScaleCrop>false</ScaleCrop>
  <LinksUpToDate>false</LinksUpToDate>
  <CharactersWithSpaces>4977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2024-09-10T02:20:00Z</dcterms:created>
  <dc:creator>元华 戚</dc:creator>
  <cp:lastModifiedBy>z</cp:lastModifiedBy>
  <cp:lastPrinted>2024-11-28T01:37:00Z</cp:lastPrinted>
  <dcterms:modified xsi:type="dcterms:W3CDTF">2025-11-19T08:24:36Z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20CD184C3D544BB58EEEECC7AD97129C_13</vt:lpwstr>
  </property>
</Properties>
</file>