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泗水县应急管理局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w:t>
      </w:r>
    </w:p>
    <w:p>
      <w:pPr>
        <w:spacing w:line="590" w:lineRule="exact"/>
        <w:ind w:right="-105"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76" w:beforeAutospacing="0" w:after="76" w:afterAutospacing="0" w:line="315" w:lineRule="atLeast"/>
        <w:ind w:right="0"/>
        <w:jc w:val="left"/>
        <w:rPr>
          <w:rFonts w:hint="eastAsia" w:ascii="宋体" w:hAnsi="宋体" w:eastAsia="宋体" w:cs="宋体"/>
          <w:i w:val="0"/>
          <w:caps w:val="0"/>
          <w:color w:val="333333"/>
          <w:spacing w:val="0"/>
          <w:sz w:val="24"/>
          <w:szCs w:val="2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本报告由泗水县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按照《中华人民共和国政府信息公开条例》（以下简称《条例》）和《中华人民共和国政府信息公开工作年度报告格式》（国办公开办函〔2021〕30号）要求编制。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本报告内容包括总体情况、主动公开政府信息情况、收到和处理政府信息公开申请情况、政府信息公开行政复议和行政诉讼情况、存在的主要问题及改进情况、其他需要报告的事项等六部分内容。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本报告所列数据的统计期限自20</w:t>
      </w:r>
      <w:r>
        <w:rPr>
          <w:rFonts w:hint="eastAsia" w:ascii="宋体" w:hAnsi="宋体" w:eastAsia="宋体" w:cs="宋体"/>
          <w:i w:val="0"/>
          <w:caps w:val="0"/>
          <w:color w:val="333333"/>
          <w:spacing w:val="0"/>
          <w:sz w:val="24"/>
          <w:szCs w:val="24"/>
          <w:lang w:val="en-US" w:eastAsia="zh-CN"/>
        </w:rPr>
        <w:t>22</w:t>
      </w:r>
      <w:r>
        <w:rPr>
          <w:rFonts w:hint="eastAsia" w:ascii="宋体" w:hAnsi="宋体" w:eastAsia="宋体" w:cs="宋体"/>
          <w:i w:val="0"/>
          <w:caps w:val="0"/>
          <w:color w:val="333333"/>
          <w:spacing w:val="0"/>
          <w:sz w:val="24"/>
          <w:szCs w:val="24"/>
        </w:rPr>
        <w:t>年1月1日起至20</w:t>
      </w:r>
      <w:r>
        <w:rPr>
          <w:rFonts w:hint="eastAsia" w:ascii="宋体" w:hAnsi="宋体" w:eastAsia="宋体" w:cs="宋体"/>
          <w:i w:val="0"/>
          <w:caps w:val="0"/>
          <w:color w:val="333333"/>
          <w:spacing w:val="0"/>
          <w:sz w:val="24"/>
          <w:szCs w:val="24"/>
          <w:lang w:val="en-US" w:eastAsia="zh-CN"/>
        </w:rPr>
        <w:t>22</w:t>
      </w:r>
      <w:r>
        <w:rPr>
          <w:rFonts w:hint="eastAsia" w:ascii="宋体" w:hAnsi="宋体" w:eastAsia="宋体" w:cs="宋体"/>
          <w:i w:val="0"/>
          <w:caps w:val="0"/>
          <w:color w:val="333333"/>
          <w:spacing w:val="0"/>
          <w:sz w:val="24"/>
          <w:szCs w:val="24"/>
        </w:rPr>
        <w:t>年12月31日止。本报告电子版可在“中国·泗水”政府门户网站（http://www.sishui.gov.cn/）查阅或下载。如对本报告有疑问，请与泗水县</w:t>
      </w:r>
      <w:r>
        <w:rPr>
          <w:rFonts w:hint="eastAsia" w:ascii="宋体" w:hAnsi="宋体" w:eastAsia="宋体" w:cs="宋体"/>
          <w:i w:val="0"/>
          <w:caps w:val="0"/>
          <w:color w:val="333333"/>
          <w:spacing w:val="0"/>
          <w:sz w:val="24"/>
          <w:szCs w:val="24"/>
          <w:lang w:val="en-US" w:eastAsia="zh-CN"/>
        </w:rPr>
        <w:t>应急管理局</w:t>
      </w:r>
      <w:r>
        <w:rPr>
          <w:rFonts w:hint="eastAsia" w:ascii="宋体" w:hAnsi="宋体" w:eastAsia="宋体" w:cs="宋体"/>
          <w:i w:val="0"/>
          <w:caps w:val="0"/>
          <w:color w:val="333333"/>
          <w:spacing w:val="0"/>
          <w:sz w:val="24"/>
          <w:szCs w:val="24"/>
        </w:rPr>
        <w:t>联系（地址：泗水县</w:t>
      </w:r>
      <w:r>
        <w:rPr>
          <w:rFonts w:hint="eastAsia" w:ascii="宋体" w:hAnsi="宋体" w:eastAsia="宋体" w:cs="宋体"/>
          <w:i w:val="0"/>
          <w:caps w:val="0"/>
          <w:color w:val="333333"/>
          <w:spacing w:val="0"/>
          <w:sz w:val="24"/>
          <w:szCs w:val="24"/>
          <w:lang w:val="en-US" w:eastAsia="zh-CN"/>
        </w:rPr>
        <w:t>泉鑫路5</w:t>
      </w:r>
      <w:r>
        <w:rPr>
          <w:rFonts w:hint="eastAsia" w:ascii="宋体" w:hAnsi="宋体" w:eastAsia="宋体" w:cs="宋体"/>
          <w:i w:val="0"/>
          <w:caps w:val="0"/>
          <w:color w:val="333333"/>
          <w:spacing w:val="0"/>
          <w:sz w:val="24"/>
          <w:szCs w:val="24"/>
        </w:rPr>
        <w:t>号，联系电话：0537-</w:t>
      </w:r>
      <w:r>
        <w:rPr>
          <w:rFonts w:hint="eastAsia" w:ascii="宋体" w:hAnsi="宋体" w:eastAsia="宋体" w:cs="宋体"/>
          <w:i w:val="0"/>
          <w:caps w:val="0"/>
          <w:color w:val="333333"/>
          <w:spacing w:val="0"/>
          <w:sz w:val="24"/>
          <w:szCs w:val="24"/>
          <w:lang w:val="en-US" w:eastAsia="zh-CN"/>
        </w:rPr>
        <w:t>4366578</w:t>
      </w:r>
      <w:r>
        <w:rPr>
          <w:rFonts w:hint="eastAsia" w:ascii="宋体" w:hAnsi="宋体" w:eastAsia="宋体" w:cs="宋体"/>
          <w:i w:val="0"/>
          <w:caps w:val="0"/>
          <w:color w:val="333333"/>
          <w:spacing w:val="0"/>
          <w:sz w:val="24"/>
          <w:szCs w:val="24"/>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今年以来，泗水县</w:t>
      </w:r>
      <w:r>
        <w:rPr>
          <w:rFonts w:hint="eastAsia" w:ascii="宋体" w:hAnsi="宋体" w:eastAsia="宋体" w:cs="宋体"/>
          <w:i w:val="0"/>
          <w:caps w:val="0"/>
          <w:color w:val="333333"/>
          <w:spacing w:val="0"/>
          <w:sz w:val="24"/>
          <w:szCs w:val="24"/>
          <w:lang w:val="en-US" w:eastAsia="zh-CN"/>
        </w:rPr>
        <w:t>应急管理</w:t>
      </w:r>
      <w:r>
        <w:rPr>
          <w:rFonts w:hint="eastAsia" w:ascii="宋体" w:hAnsi="宋体" w:eastAsia="宋体" w:cs="宋体"/>
          <w:i w:val="0"/>
          <w:caps w:val="0"/>
          <w:color w:val="333333"/>
          <w:spacing w:val="0"/>
          <w:sz w:val="24"/>
          <w:szCs w:val="24"/>
        </w:rPr>
        <w:t>局</w:t>
      </w:r>
      <w:r>
        <w:rPr>
          <w:rFonts w:hint="eastAsia" w:ascii="宋体" w:hAnsi="宋体" w:eastAsia="宋体" w:cs="宋体"/>
          <w:i w:val="0"/>
          <w:caps w:val="0"/>
          <w:color w:val="333333"/>
          <w:spacing w:val="0"/>
          <w:sz w:val="24"/>
          <w:szCs w:val="24"/>
          <w:lang w:val="en-US" w:eastAsia="zh-CN"/>
        </w:rPr>
        <w:t>认真贯彻落实</w:t>
      </w:r>
      <w:r>
        <w:rPr>
          <w:rFonts w:ascii="sans-serif" w:hAnsi="sans-serif" w:eastAsia="sans-serif" w:cs="sans-serif"/>
          <w:i w:val="0"/>
          <w:iCs w:val="0"/>
          <w:caps w:val="0"/>
          <w:color w:val="000000"/>
          <w:spacing w:val="0"/>
          <w:sz w:val="24"/>
          <w:szCs w:val="24"/>
        </w:rPr>
        <w:t>《中华人民共和国政府信息公开条例》以及省市县关于政府信息公开工作的相关文件要求</w:t>
      </w:r>
      <w:r>
        <w:rPr>
          <w:rFonts w:hint="eastAsia" w:ascii="宋体" w:hAnsi="宋体" w:eastAsia="宋体" w:cs="宋体"/>
          <w:i w:val="0"/>
          <w:caps w:val="0"/>
          <w:color w:val="333333"/>
          <w:spacing w:val="0"/>
          <w:sz w:val="24"/>
          <w:szCs w:val="24"/>
          <w:lang w:val="en-US" w:eastAsia="zh-CN"/>
        </w:rPr>
        <w:t>，结合我局工作实际，细化政务公开工作任务，加大公开力度，不断增强公开实效，扎实有序地推进政府信息公开工作建设。</w:t>
      </w: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（一）主动公开情况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default" w:ascii="宋体" w:hAnsi="宋体" w:eastAsia="宋体" w:cs="宋体"/>
          <w:i w:val="0"/>
          <w:caps w:val="0"/>
          <w:color w:val="333333"/>
          <w:spacing w:val="0"/>
          <w:sz w:val="24"/>
          <w:szCs w:val="24"/>
          <w:lang w:val="en-US" w:eastAsia="zh-CN"/>
        </w:rPr>
        <w:t>202</w:t>
      </w:r>
      <w:r>
        <w:rPr>
          <w:rFonts w:hint="eastAsia" w:ascii="宋体" w:hAnsi="宋体" w:eastAsia="宋体" w:cs="宋体"/>
          <w:i w:val="0"/>
          <w:caps w:val="0"/>
          <w:color w:val="333333"/>
          <w:spacing w:val="0"/>
          <w:sz w:val="24"/>
          <w:szCs w:val="24"/>
          <w:lang w:val="en-US" w:eastAsia="zh-CN"/>
        </w:rPr>
        <w:t>2</w:t>
      </w:r>
      <w:r>
        <w:rPr>
          <w:rFonts w:hint="default" w:ascii="宋体" w:hAnsi="宋体" w:eastAsia="宋体" w:cs="宋体"/>
          <w:i w:val="0"/>
          <w:caps w:val="0"/>
          <w:color w:val="333333"/>
          <w:spacing w:val="0"/>
          <w:sz w:val="24"/>
          <w:szCs w:val="24"/>
        </w:rPr>
        <w:t>年通过政府门户网站共发布信息</w:t>
      </w:r>
      <w:r>
        <w:rPr>
          <w:rFonts w:hint="eastAsia" w:ascii="宋体" w:hAnsi="宋体" w:eastAsia="宋体" w:cs="宋体"/>
          <w:i w:val="0"/>
          <w:caps w:val="0"/>
          <w:color w:val="333333"/>
          <w:spacing w:val="0"/>
          <w:sz w:val="24"/>
          <w:szCs w:val="24"/>
          <w:lang w:val="en-US" w:eastAsia="zh-CN"/>
        </w:rPr>
        <w:t>188</w:t>
      </w:r>
      <w:r>
        <w:rPr>
          <w:rFonts w:hint="default" w:ascii="宋体" w:hAnsi="宋体" w:eastAsia="宋体" w:cs="宋体"/>
          <w:i w:val="0"/>
          <w:caps w:val="0"/>
          <w:color w:val="333333"/>
          <w:spacing w:val="0"/>
          <w:sz w:val="24"/>
          <w:szCs w:val="24"/>
        </w:rPr>
        <w:t>条，其中</w:t>
      </w:r>
      <w:r>
        <w:rPr>
          <w:rFonts w:hint="default" w:ascii="宋体" w:hAnsi="宋体" w:eastAsia="宋体" w:cs="宋体"/>
          <w:i w:val="0"/>
          <w:caps w:val="0"/>
          <w:color w:val="333333"/>
          <w:spacing w:val="0"/>
          <w:sz w:val="24"/>
          <w:szCs w:val="24"/>
          <w:lang w:val="en-US" w:eastAsia="zh-CN"/>
        </w:rPr>
        <w:t>履职依据14条，镇街部门文件6</w:t>
      </w:r>
      <w:r>
        <w:rPr>
          <w:rFonts w:hint="default" w:ascii="宋体" w:hAnsi="宋体" w:eastAsia="宋体" w:cs="宋体"/>
          <w:i w:val="0"/>
          <w:caps w:val="0"/>
          <w:color w:val="333333"/>
          <w:spacing w:val="0"/>
          <w:sz w:val="24"/>
          <w:szCs w:val="24"/>
        </w:rPr>
        <w:t>条，</w:t>
      </w:r>
      <w:r>
        <w:rPr>
          <w:rFonts w:hint="default" w:ascii="宋体" w:hAnsi="宋体" w:eastAsia="宋体" w:cs="宋体"/>
          <w:i w:val="0"/>
          <w:caps w:val="0"/>
          <w:color w:val="333333"/>
          <w:spacing w:val="0"/>
          <w:sz w:val="24"/>
          <w:szCs w:val="24"/>
          <w:lang w:val="en-US" w:eastAsia="zh-CN"/>
        </w:rPr>
        <w:t>主要负责人解读</w:t>
      </w:r>
      <w:r>
        <w:rPr>
          <w:rFonts w:hint="eastAsia" w:ascii="宋体" w:hAnsi="宋体" w:eastAsia="宋体" w:cs="宋体"/>
          <w:i w:val="0"/>
          <w:caps w:val="0"/>
          <w:color w:val="333333"/>
          <w:spacing w:val="0"/>
          <w:sz w:val="24"/>
          <w:szCs w:val="24"/>
          <w:lang w:val="en-US" w:eastAsia="zh-CN"/>
        </w:rPr>
        <w:t>2</w:t>
      </w:r>
      <w:r>
        <w:rPr>
          <w:rFonts w:hint="default" w:ascii="宋体" w:hAnsi="宋体" w:eastAsia="宋体" w:cs="宋体"/>
          <w:i w:val="0"/>
          <w:caps w:val="0"/>
          <w:color w:val="333333"/>
          <w:spacing w:val="0"/>
          <w:sz w:val="24"/>
          <w:szCs w:val="24"/>
          <w:lang w:val="en-US" w:eastAsia="zh-CN"/>
        </w:rPr>
        <w:t>条，音频视频图文解读4条，机构职能</w:t>
      </w:r>
      <w:r>
        <w:rPr>
          <w:rFonts w:hint="eastAsia" w:ascii="宋体" w:hAnsi="宋体" w:eastAsia="宋体" w:cs="宋体"/>
          <w:i w:val="0"/>
          <w:caps w:val="0"/>
          <w:color w:val="333333"/>
          <w:spacing w:val="0"/>
          <w:sz w:val="24"/>
          <w:szCs w:val="24"/>
          <w:lang w:val="en-US" w:eastAsia="zh-CN"/>
        </w:rPr>
        <w:t>3</w:t>
      </w:r>
      <w:r>
        <w:rPr>
          <w:rFonts w:hint="default" w:ascii="宋体" w:hAnsi="宋体" w:eastAsia="宋体" w:cs="宋体"/>
          <w:i w:val="0"/>
          <w:caps w:val="0"/>
          <w:color w:val="333333"/>
          <w:spacing w:val="0"/>
          <w:sz w:val="24"/>
          <w:szCs w:val="24"/>
          <w:lang w:val="en-US" w:eastAsia="zh-CN"/>
        </w:rPr>
        <w:t>条，公告公示</w:t>
      </w:r>
      <w:r>
        <w:rPr>
          <w:rFonts w:hint="eastAsia" w:ascii="宋体" w:hAnsi="宋体" w:eastAsia="宋体" w:cs="宋体"/>
          <w:i w:val="0"/>
          <w:caps w:val="0"/>
          <w:color w:val="333333"/>
          <w:spacing w:val="0"/>
          <w:sz w:val="24"/>
          <w:szCs w:val="24"/>
          <w:lang w:val="en-US" w:eastAsia="zh-CN"/>
        </w:rPr>
        <w:t>47</w:t>
      </w:r>
      <w:r>
        <w:rPr>
          <w:rFonts w:hint="default" w:ascii="宋体" w:hAnsi="宋体" w:eastAsia="宋体" w:cs="宋体"/>
          <w:i w:val="0"/>
          <w:caps w:val="0"/>
          <w:color w:val="333333"/>
          <w:spacing w:val="0"/>
          <w:sz w:val="24"/>
          <w:szCs w:val="24"/>
          <w:lang w:val="en-US" w:eastAsia="zh-CN"/>
        </w:rPr>
        <w:t>条，重点领域暨行政处罚信息</w:t>
      </w:r>
      <w:r>
        <w:rPr>
          <w:rFonts w:hint="eastAsia" w:ascii="宋体" w:hAnsi="宋体" w:eastAsia="宋体" w:cs="宋体"/>
          <w:i w:val="0"/>
          <w:caps w:val="0"/>
          <w:color w:val="333333"/>
          <w:spacing w:val="0"/>
          <w:sz w:val="24"/>
          <w:szCs w:val="24"/>
          <w:lang w:val="en-US" w:eastAsia="zh-CN"/>
        </w:rPr>
        <w:t>74</w:t>
      </w:r>
      <w:r>
        <w:rPr>
          <w:rFonts w:hint="default" w:ascii="宋体" w:hAnsi="宋体" w:eastAsia="宋体" w:cs="宋体"/>
          <w:i w:val="0"/>
          <w:caps w:val="0"/>
          <w:color w:val="333333"/>
          <w:spacing w:val="0"/>
          <w:sz w:val="24"/>
          <w:szCs w:val="24"/>
          <w:lang w:val="en-US" w:eastAsia="zh-CN"/>
        </w:rPr>
        <w:t>条，评估落实</w:t>
      </w:r>
      <w:r>
        <w:rPr>
          <w:rFonts w:hint="eastAsia" w:ascii="宋体" w:hAnsi="宋体" w:eastAsia="宋体" w:cs="宋体"/>
          <w:i w:val="0"/>
          <w:caps w:val="0"/>
          <w:color w:val="333333"/>
          <w:spacing w:val="0"/>
          <w:sz w:val="24"/>
          <w:szCs w:val="24"/>
          <w:lang w:val="en-US" w:eastAsia="zh-CN"/>
        </w:rPr>
        <w:t>3</w:t>
      </w:r>
      <w:r>
        <w:rPr>
          <w:rFonts w:hint="default" w:ascii="宋体" w:hAnsi="宋体" w:eastAsia="宋体" w:cs="宋体"/>
          <w:i w:val="0"/>
          <w:caps w:val="0"/>
          <w:color w:val="333333"/>
          <w:spacing w:val="0"/>
          <w:sz w:val="24"/>
          <w:szCs w:val="24"/>
          <w:lang w:val="en-US" w:eastAsia="zh-CN"/>
        </w:rPr>
        <w:t>条，公共监管</w:t>
      </w:r>
      <w:r>
        <w:rPr>
          <w:rFonts w:hint="eastAsia" w:ascii="宋体" w:hAnsi="宋体" w:eastAsia="宋体" w:cs="宋体"/>
          <w:i w:val="0"/>
          <w:caps w:val="0"/>
          <w:color w:val="333333"/>
          <w:spacing w:val="0"/>
          <w:sz w:val="24"/>
          <w:szCs w:val="24"/>
          <w:lang w:val="en-US" w:eastAsia="zh-CN"/>
        </w:rPr>
        <w:t>13</w:t>
      </w:r>
      <w:r>
        <w:rPr>
          <w:rFonts w:hint="default" w:ascii="宋体" w:hAnsi="宋体" w:eastAsia="宋体" w:cs="宋体"/>
          <w:i w:val="0"/>
          <w:caps w:val="0"/>
          <w:color w:val="333333"/>
          <w:spacing w:val="0"/>
          <w:sz w:val="24"/>
          <w:szCs w:val="24"/>
          <w:lang w:val="en-US" w:eastAsia="zh-CN"/>
        </w:rPr>
        <w:t>条，组织管理5条，政府开放日2条</w:t>
      </w:r>
      <w:r>
        <w:rPr>
          <w:rFonts w:hint="eastAsia" w:ascii="宋体" w:hAnsi="宋体" w:eastAsia="宋体" w:cs="宋体"/>
          <w:i w:val="0"/>
          <w:caps w:val="0"/>
          <w:color w:val="333333"/>
          <w:spacing w:val="0"/>
          <w:sz w:val="24"/>
          <w:szCs w:val="24"/>
          <w:lang w:val="en-US" w:eastAsia="zh-CN"/>
        </w:rPr>
        <w:t>，行政执法信息公示3条，建议提案4条，部门会议8条。全年未发生因政府信息公开审查不当或保密审查人员未履行保密审查职责而引起的失泄密情况。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（二）依申请公开情况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rPr>
        <w:t>202</w:t>
      </w:r>
      <w:r>
        <w:rPr>
          <w:rFonts w:hint="eastAsia" w:ascii="宋体" w:hAnsi="宋体" w:eastAsia="宋体" w:cs="宋体"/>
          <w:i w:val="0"/>
          <w:caps w:val="0"/>
          <w:color w:val="333333"/>
          <w:spacing w:val="0"/>
          <w:sz w:val="24"/>
          <w:szCs w:val="24"/>
          <w:lang w:val="en-US" w:eastAsia="zh-CN"/>
        </w:rPr>
        <w:t>2</w:t>
      </w:r>
      <w:r>
        <w:rPr>
          <w:rFonts w:hint="eastAsia" w:ascii="宋体" w:hAnsi="宋体" w:eastAsia="宋体" w:cs="宋体"/>
          <w:i w:val="0"/>
          <w:caps w:val="0"/>
          <w:color w:val="333333"/>
          <w:spacing w:val="0"/>
          <w:sz w:val="24"/>
          <w:szCs w:val="24"/>
        </w:rPr>
        <w:t>年，泗水县</w:t>
      </w:r>
      <w:r>
        <w:rPr>
          <w:rFonts w:hint="eastAsia" w:ascii="宋体" w:hAnsi="宋体" w:eastAsia="宋体" w:cs="宋体"/>
          <w:i w:val="0"/>
          <w:caps w:val="0"/>
          <w:color w:val="333333"/>
          <w:spacing w:val="0"/>
          <w:sz w:val="24"/>
          <w:szCs w:val="24"/>
          <w:lang w:val="en-US" w:eastAsia="zh-CN"/>
        </w:rPr>
        <w:t>应急管理局收到</w:t>
      </w:r>
      <w:r>
        <w:rPr>
          <w:rFonts w:hint="eastAsia" w:ascii="宋体" w:hAnsi="宋体" w:eastAsia="宋体" w:cs="宋体"/>
          <w:i w:val="0"/>
          <w:caps w:val="0"/>
          <w:color w:val="333333"/>
          <w:spacing w:val="0"/>
          <w:sz w:val="24"/>
          <w:szCs w:val="24"/>
        </w:rPr>
        <w:t>依申请公开</w:t>
      </w:r>
      <w:r>
        <w:rPr>
          <w:rFonts w:hint="eastAsia" w:ascii="宋体" w:hAnsi="宋体" w:eastAsia="宋体" w:cs="宋体"/>
          <w:i w:val="0"/>
          <w:caps w:val="0"/>
          <w:color w:val="333333"/>
          <w:spacing w:val="0"/>
          <w:sz w:val="24"/>
          <w:szCs w:val="24"/>
          <w:lang w:val="en-US" w:eastAsia="zh-CN"/>
        </w:rPr>
        <w:t>1条</w:t>
      </w:r>
      <w:r>
        <w:rPr>
          <w:rFonts w:hint="eastAsia" w:ascii="宋体" w:hAnsi="宋体" w:eastAsia="宋体" w:cs="宋体"/>
          <w:i w:val="0"/>
          <w:caps w:val="0"/>
          <w:color w:val="333333"/>
          <w:spacing w:val="0"/>
          <w:sz w:val="24"/>
          <w:szCs w:val="24"/>
        </w:rPr>
        <w:t>，</w:t>
      </w:r>
      <w:r>
        <w:rPr>
          <w:rFonts w:hint="eastAsia" w:ascii="宋体" w:hAnsi="宋体" w:eastAsia="宋体" w:cs="宋体"/>
          <w:i w:val="0"/>
          <w:caps w:val="0"/>
          <w:color w:val="333333"/>
          <w:spacing w:val="0"/>
          <w:sz w:val="24"/>
          <w:szCs w:val="24"/>
          <w:lang w:val="en-US" w:eastAsia="zh-CN"/>
        </w:rPr>
        <w:t>已在规定时间内规范回复。政府信息公开申请未向申请人收取任何费用。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（三）政府信息管理情况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建立政府信息公开工作全流程管理机制，实行四重审核把关机制，严格信息公开管理流程。按照“先审查、后公开”的原则，严格做好政府信息公开保密审查。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（四）政府信息公开平台建设情况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eastAsia="zh-CN"/>
        </w:rPr>
      </w:pPr>
      <w:r>
        <w:rPr>
          <w:rFonts w:hint="eastAsia" w:ascii="宋体" w:hAnsi="宋体" w:eastAsia="宋体" w:cs="宋体"/>
          <w:i w:val="0"/>
          <w:caps w:val="0"/>
          <w:color w:val="333333"/>
          <w:spacing w:val="0"/>
          <w:sz w:val="24"/>
          <w:szCs w:val="24"/>
          <w:lang w:val="en-US" w:eastAsia="zh-CN"/>
        </w:rPr>
        <w:t>泗水县应急管理局高度重视信息公开工作，通过泗水县人民政府网站、“泗水县应急管理局”微信公众号对外及时发布相关信息。微信公众号在运行过程中保证每周1到2次的更新频率，更新信息及时、内容发布准确、美观，措辞大方、得体，2022年共在微信公众号发布工作动态112条，</w:t>
      </w:r>
      <w:r>
        <w:rPr>
          <w:rFonts w:hint="default" w:ascii="宋体" w:hAnsi="宋体" w:eastAsia="宋体" w:cs="宋体"/>
          <w:i w:val="0"/>
          <w:caps w:val="0"/>
          <w:color w:val="333333"/>
          <w:spacing w:val="0"/>
          <w:sz w:val="24"/>
          <w:szCs w:val="24"/>
        </w:rPr>
        <w:t>政府门户网站共发布信息</w:t>
      </w:r>
      <w:r>
        <w:rPr>
          <w:rFonts w:hint="eastAsia" w:ascii="宋体" w:hAnsi="宋体" w:eastAsia="宋体" w:cs="宋体"/>
          <w:i w:val="0"/>
          <w:caps w:val="0"/>
          <w:color w:val="333333"/>
          <w:spacing w:val="0"/>
          <w:sz w:val="24"/>
          <w:szCs w:val="24"/>
          <w:lang w:val="en-US" w:eastAsia="zh-CN"/>
        </w:rPr>
        <w:t>188</w:t>
      </w:r>
      <w:r>
        <w:rPr>
          <w:rFonts w:hint="default" w:ascii="宋体" w:hAnsi="宋体" w:eastAsia="宋体" w:cs="宋体"/>
          <w:i w:val="0"/>
          <w:caps w:val="0"/>
          <w:color w:val="333333"/>
          <w:spacing w:val="0"/>
          <w:sz w:val="24"/>
          <w:szCs w:val="24"/>
        </w:rPr>
        <w:t>条</w:t>
      </w:r>
      <w:r>
        <w:rPr>
          <w:rFonts w:hint="eastAsia" w:ascii="宋体" w:hAnsi="宋体" w:eastAsia="宋体" w:cs="宋体"/>
          <w:i w:val="0"/>
          <w:caps w:val="0"/>
          <w:color w:val="333333"/>
          <w:spacing w:val="0"/>
          <w:sz w:val="24"/>
          <w:szCs w:val="24"/>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（五）监督保障情况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将政府信息公开相关规定纳入机关常态化学习内容，加大内部培训力度，持续提升对政府信息公开工作的认识水平和工作能力。进一步理顺各科室、单位职责，细化分工，明确主动公开的范围、平台和程序等，规范办理流程，强化制度保障。2022年度，我局政务公开工作未发生责任追究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二、主动公开政府信息情况</w:t>
      </w:r>
    </w:p>
    <w:tbl>
      <w:tblPr>
        <w:tblStyle w:val="6"/>
        <w:tblW w:w="8456"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428"/>
        <w:gridCol w:w="2128"/>
        <w:gridCol w:w="2218"/>
        <w:gridCol w:w="16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8456" w:type="dxa"/>
            <w:gridSpan w:val="4"/>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2128"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本年制发件数</w:t>
            </w:r>
          </w:p>
        </w:tc>
        <w:tc>
          <w:tcPr>
            <w:tcW w:w="2218"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本年废止件数</w:t>
            </w:r>
          </w:p>
        </w:tc>
        <w:tc>
          <w:tcPr>
            <w:tcW w:w="1682" w:type="dxa"/>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规章</w:t>
            </w:r>
          </w:p>
        </w:tc>
        <w:tc>
          <w:tcPr>
            <w:tcW w:w="21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221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1682"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行政规范性文件</w:t>
            </w:r>
          </w:p>
        </w:tc>
        <w:tc>
          <w:tcPr>
            <w:tcW w:w="21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221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0</w:t>
            </w:r>
          </w:p>
        </w:tc>
        <w:tc>
          <w:tcPr>
            <w:tcW w:w="1682"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行政许可</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70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行政处罚</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126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ascii="宋体" w:hAnsi="宋体" w:eastAsia="宋体" w:cs="宋体"/>
                <w:color w:val="333333"/>
                <w:sz w:val="24"/>
                <w:szCs w:val="24"/>
              </w:rPr>
            </w:pPr>
            <w:r>
              <w:rPr>
                <w:rFonts w:hint="eastAsia" w:ascii="宋体" w:hAnsi="宋体" w:eastAsia="宋体" w:cs="宋体"/>
                <w:color w:val="333333"/>
                <w:sz w:val="24"/>
                <w:szCs w:val="24"/>
              </w:rPr>
              <w:t>行政强制</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jc w:val="center"/>
        </w:trPr>
        <w:tc>
          <w:tcPr>
            <w:tcW w:w="8456"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信息内容</w:t>
            </w:r>
          </w:p>
        </w:tc>
        <w:tc>
          <w:tcPr>
            <w:tcW w:w="6028" w:type="dxa"/>
            <w:gridSpan w:val="3"/>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2428"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行政事业性收费</w:t>
            </w:r>
          </w:p>
        </w:tc>
        <w:tc>
          <w:tcPr>
            <w:tcW w:w="6028" w:type="dxa"/>
            <w:gridSpan w:val="3"/>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三、收到和处理政府信息公开申请情况</w:t>
      </w:r>
    </w:p>
    <w:tbl>
      <w:tblPr>
        <w:tblStyle w:val="6"/>
        <w:tblW w:w="8501"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58"/>
        <w:gridCol w:w="941"/>
        <w:gridCol w:w="2763"/>
        <w:gridCol w:w="774"/>
        <w:gridCol w:w="589"/>
        <w:gridCol w:w="575"/>
        <w:gridCol w:w="589"/>
        <w:gridCol w:w="561"/>
        <w:gridCol w:w="546"/>
        <w:gridCol w:w="40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462"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（本列数据的勾稽关系为：第一项加第二项之和，等于第三项加第四项之和）</w:t>
            </w:r>
          </w:p>
        </w:tc>
        <w:tc>
          <w:tcPr>
            <w:tcW w:w="4039" w:type="dxa"/>
            <w:gridSpan w:val="7"/>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462"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74"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自然人</w:t>
            </w:r>
          </w:p>
        </w:tc>
        <w:tc>
          <w:tcPr>
            <w:tcW w:w="2860" w:type="dxa"/>
            <w:gridSpan w:val="5"/>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法人或其他组织</w:t>
            </w:r>
          </w:p>
        </w:tc>
        <w:tc>
          <w:tcPr>
            <w:tcW w:w="405" w:type="dxa"/>
            <w:vMerge w:val="restart"/>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462"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774"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商业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企业</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科研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机构</w:t>
            </w:r>
          </w:p>
        </w:tc>
        <w:tc>
          <w:tcPr>
            <w:tcW w:w="589"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社会公益组织</w:t>
            </w:r>
          </w:p>
        </w:tc>
        <w:tc>
          <w:tcPr>
            <w:tcW w:w="561"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法律服务机构</w:t>
            </w:r>
          </w:p>
        </w:tc>
        <w:tc>
          <w:tcPr>
            <w:tcW w:w="546"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w:t>
            </w:r>
          </w:p>
        </w:tc>
        <w:tc>
          <w:tcPr>
            <w:tcW w:w="405" w:type="dxa"/>
            <w:vMerge w:val="continue"/>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一、本年新收政府信息公开申请数量</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1</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val="en-US" w:eastAsia="zh-CN"/>
              </w:rPr>
            </w:pPr>
            <w:r>
              <w:rPr>
                <w:rFonts w:hint="eastAsia" w:ascii="宋体" w:hAnsi="宋体" w:eastAsia="宋体" w:cs="宋体"/>
                <w:color w:val="333333"/>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二、上年结转政府信息公开申请数量</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三、本年度办理结果</w:t>
            </w: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（一）予以公开</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1</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rFonts w:hint="eastAsia" w:eastAsiaTheme="minorEastAsia"/>
                <w:color w:val="333333"/>
                <w:sz w:val="21"/>
                <w:szCs w:val="21"/>
                <w:lang w:eastAsia="zh-CN"/>
              </w:rPr>
            </w:pPr>
            <w:r>
              <w:rPr>
                <w:rFonts w:hint="eastAsia" w:ascii="宋体" w:hAnsi="宋体" w:eastAsia="宋体" w:cs="宋体"/>
                <w:color w:val="333333"/>
                <w:sz w:val="24"/>
                <w:szCs w:val="24"/>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（二）部分公开（区分处理的，只计这一情形，不计其他情形）</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（三）不予公开</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1.属于国家秘密</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2.其他法律行政法规禁止公开</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3.危及“三安全一稳定”</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4.保护第三方合法权益</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5.属于三类内部事务信息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6.属于四类过程性信息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7.属于行政执法案卷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8.属于行政查询事项</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（四）无法提供</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1.本机关不掌握相关政府信息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2.没有现成信息需要另行制作</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3.补正后申请内容仍不明确</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（五）不予处理</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1.信访举报投诉类申请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2.重复申请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3.要求提供公开出版物</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top"/>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4.无正当理由大量反复申请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80" w:hRule="atLeast"/>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5.要求行政机关确认或重新出具已获取信息</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（六）其他处理</w:t>
            </w: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1.申请人无正当理由逾期不补正、行政机关不再处理其政府信息公开申请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2.申请人逾期未按收费通知要求缴纳费用、行政机关不再处理其政府信息公开申请</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941"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2763"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3.其他</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758"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3704" w:type="dxa"/>
            <w:gridSpan w:val="2"/>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（七）总计</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4462"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rPr>
                <w:color w:val="333333"/>
                <w:sz w:val="21"/>
                <w:szCs w:val="21"/>
              </w:rPr>
            </w:pPr>
            <w:r>
              <w:rPr>
                <w:rFonts w:hint="eastAsia" w:ascii="宋体" w:hAnsi="宋体" w:eastAsia="宋体" w:cs="宋体"/>
                <w:color w:val="333333"/>
                <w:sz w:val="24"/>
                <w:szCs w:val="24"/>
              </w:rPr>
              <w:t>四、结转下年度继续办理</w:t>
            </w:r>
          </w:p>
        </w:tc>
        <w:tc>
          <w:tcPr>
            <w:tcW w:w="774"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9"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1"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46"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color w:val="333333"/>
          <w:sz w:val="21"/>
          <w:szCs w:val="21"/>
        </w:rPr>
      </w:pPr>
      <w:r>
        <w:rPr>
          <w:rFonts w:hint="eastAsia" w:ascii="宋体" w:hAnsi="宋体" w:eastAsia="宋体" w:cs="宋体"/>
          <w:i w:val="0"/>
          <w:caps w:val="0"/>
          <w:color w:val="333333"/>
          <w:spacing w:val="0"/>
          <w:sz w:val="24"/>
          <w:szCs w:val="24"/>
        </w:rPr>
        <w:t>四、政府信息公开行政复议、行政诉讼情况</w:t>
      </w:r>
    </w:p>
    <w:tbl>
      <w:tblPr>
        <w:tblStyle w:val="6"/>
        <w:tblW w:w="8546"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91"/>
        <w:gridCol w:w="588"/>
        <w:gridCol w:w="576"/>
        <w:gridCol w:w="564"/>
        <w:gridCol w:w="477"/>
        <w:gridCol w:w="613"/>
        <w:gridCol w:w="613"/>
        <w:gridCol w:w="613"/>
        <w:gridCol w:w="601"/>
        <w:gridCol w:w="465"/>
        <w:gridCol w:w="613"/>
        <w:gridCol w:w="613"/>
        <w:gridCol w:w="613"/>
        <w:gridCol w:w="539"/>
        <w:gridCol w:w="4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2796"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行政复议</w:t>
            </w:r>
          </w:p>
        </w:tc>
        <w:tc>
          <w:tcPr>
            <w:tcW w:w="5750"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591"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588"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纠正</w:t>
            </w:r>
          </w:p>
        </w:tc>
        <w:tc>
          <w:tcPr>
            <w:tcW w:w="576"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564"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77" w:type="dxa"/>
            <w:vMerge w:val="restar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c>
          <w:tcPr>
            <w:tcW w:w="290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未经复议直接起诉</w:t>
            </w:r>
          </w:p>
        </w:tc>
        <w:tc>
          <w:tcPr>
            <w:tcW w:w="2845" w:type="dxa"/>
            <w:gridSpan w:val="5"/>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591"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88"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76"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564"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77" w:type="dxa"/>
            <w:vMerge w:val="continue"/>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结果纠正</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601"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6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结果维持</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结果纠正</w:t>
            </w:r>
          </w:p>
        </w:tc>
        <w:tc>
          <w:tcPr>
            <w:tcW w:w="61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其他结果</w:t>
            </w:r>
          </w:p>
        </w:tc>
        <w:tc>
          <w:tcPr>
            <w:tcW w:w="539"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尚未审结</w:t>
            </w:r>
          </w:p>
        </w:tc>
        <w:tc>
          <w:tcPr>
            <w:tcW w:w="46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75" w:hRule="atLeast"/>
          <w:tblCellSpacing w:w="0" w:type="dxa"/>
          <w:jc w:val="center"/>
        </w:trPr>
        <w:tc>
          <w:tcPr>
            <w:tcW w:w="591"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88"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76"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6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7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01"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61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539"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c>
          <w:tcPr>
            <w:tcW w:w="46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jc w:val="center"/>
              <w:rPr>
                <w:color w:val="333333"/>
                <w:sz w:val="21"/>
                <w:szCs w:val="21"/>
              </w:rPr>
            </w:pPr>
            <w:r>
              <w:rPr>
                <w:rFonts w:hint="eastAsia" w:ascii="宋体" w:hAnsi="宋体" w:eastAsia="宋体" w:cs="宋体"/>
                <w:color w:val="333333"/>
                <w:sz w:val="24"/>
                <w:szCs w:val="24"/>
              </w:rPr>
              <w:t>0</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五、存在的主要问题及改进情况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2022年我局政府信息公开工作虽然取得了一些成绩，但仍存在一些问题，主要表现在：一是政府信息公开内容的时效性需进一步加强；二是政府信息公开工作的质量需持续强化；三是政府信息公开发布的渠道需进一步拓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针对存在的问题，在今后的政府信息公开工作中主要采取以下改进措施：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一）进一步增强信息公开时效性。坚持“以公开为常态、不公开为例外”的原则，加强对全员信息公开工作的培训，严格按照规定，第一时间公开信息，确保政府信息公开的完整性、全面性和时效性，做到应公开尽公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（二）进一步强化信息公开质量。严格落实《中华人民共和国政府信息公开条例》《山东省政府信息公开办法》等相关法规文件要求，加强对信息公开专题研究，群策群力，不断提高信息公开的含金量。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lang w:val="en-US" w:eastAsia="zh-CN"/>
        </w:rPr>
        <w:t>（三）进一步拓展信息发布渠道。充分发挥网站、微信公众号等信息发布作用，及时发布相关信息，同时进一步拓展信息发布渠道，加强与新闻媒体密切合作，切实保障广大人民群众的知情权、参与权和监督权。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rPr>
        <w:t>六、</w:t>
      </w:r>
      <w:r>
        <w:rPr>
          <w:rFonts w:hint="eastAsia" w:ascii="宋体" w:hAnsi="宋体" w:eastAsia="宋体" w:cs="宋体"/>
          <w:i w:val="0"/>
          <w:caps w:val="0"/>
          <w:color w:val="333333"/>
          <w:spacing w:val="0"/>
          <w:sz w:val="24"/>
          <w:szCs w:val="24"/>
          <w:lang w:val="en-US" w:eastAsia="zh-CN"/>
        </w:rPr>
        <w:t>其他需要</w:t>
      </w:r>
      <w:r>
        <w:rPr>
          <w:rFonts w:hint="eastAsia" w:ascii="宋体" w:hAnsi="宋体" w:eastAsia="宋体" w:cs="宋体"/>
          <w:i w:val="0"/>
          <w:caps w:val="0"/>
          <w:color w:val="333333"/>
          <w:spacing w:val="0"/>
          <w:sz w:val="24"/>
          <w:szCs w:val="24"/>
        </w:rPr>
        <w:t>报告的事项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（一）依据《政府信息公开信息处理费管理办法》收取信息处理费的情况。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2022年内，泗水县应急管理局在开展政务公开工作中，未收取任何信息处理费。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（二）落实上级年度政务公开工作要点情况。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县应急局根据县政府2022年度政务公开工作任务分解表的安排，立足自身实际，由办公室牵头，局科室及局属各单位共同参与，进一步严格了责任分工，明确了措施要求，切实把政务公开工作当成一项重要任务来抓。工作中，积极畅通公开渠道，丰富公开形式，及时通过县政府门户网站和政务新媒体等平台发布了各类应急管理信息，圆满完成工作任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（三）人大代表建议和政协提案办理结果公开情况。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泗水县应急管理局共办理政协提案3件，3件议案建议和提案围绕小区规划和建设小区车棚和电动车充电桩、农村危房改造和抗震改造、县内企业安全互动学习，涉及消防安全、农村房屋安全、企业互助提升，所有建议提案均按时办理答复完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（四）年度政务公开工作创新情况。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76" w:beforeAutospacing="0" w:after="76" w:afterAutospacing="0" w:line="315" w:lineRule="atLeast"/>
        <w:ind w:left="0" w:right="0" w:firstLine="480" w:firstLineChars="200"/>
        <w:jc w:val="left"/>
        <w:textAlignment w:val="auto"/>
        <w:rPr>
          <w:rFonts w:hint="eastAsia" w:ascii="宋体" w:hAnsi="宋体" w:eastAsia="宋体" w:cs="宋体"/>
          <w:i w:val="0"/>
          <w:caps w:val="0"/>
          <w:color w:val="333333"/>
          <w:spacing w:val="0"/>
          <w:sz w:val="24"/>
          <w:szCs w:val="24"/>
          <w:lang w:val="en-US" w:eastAsia="zh-CN"/>
        </w:rPr>
      </w:pPr>
      <w:r>
        <w:rPr>
          <w:rFonts w:hint="eastAsia" w:ascii="宋体" w:hAnsi="宋体" w:eastAsia="宋体" w:cs="宋体"/>
          <w:i w:val="0"/>
          <w:caps w:val="0"/>
          <w:color w:val="333333"/>
          <w:spacing w:val="0"/>
          <w:sz w:val="24"/>
          <w:szCs w:val="24"/>
          <w:lang w:val="en-US" w:eastAsia="zh-CN"/>
        </w:rPr>
        <w:t>一是突出政策解读权威性，重点围绕十四五”相关规划等重点工作措施，全面、精准、同步解读相关政策措施。二是突出政策解读精准性。全面提升解读质量，着重解读好政策出台背景目的、措施举措、重点内容和事实依据，对专业性较强的政策，充分发挥行业专业作用，提高解读权威性、针对性、准确性，让群众不仅能够“读懂政策”，还能“使用政策”。三是结合业务工作，深化公众参与。以今年6月份全国“安全生产月”为契机，6月16日，在泗水县文化广场举行泗水县安全生产月“宣传咨询日”活动，组织开展安全技能培训及应急安全体验互动、安全知识咨询、安全生产展板宣传、应急救援装备展示等环节。</w:t>
      </w:r>
      <w:r>
        <w:rPr>
          <w:rFonts w:hint="default" w:ascii="宋体" w:hAnsi="宋体" w:eastAsia="宋体" w:cs="宋体"/>
          <w:i w:val="0"/>
          <w:caps w:val="0"/>
          <w:color w:val="333333"/>
          <w:spacing w:val="0"/>
          <w:sz w:val="24"/>
          <w:szCs w:val="24"/>
          <w:lang w:val="en-US" w:eastAsia="zh-CN"/>
        </w:rPr>
        <w:t>县应急、</w:t>
      </w:r>
      <w:r>
        <w:rPr>
          <w:rFonts w:hint="eastAsia" w:ascii="宋体" w:hAnsi="宋体" w:eastAsia="宋体" w:cs="宋体"/>
          <w:i w:val="0"/>
          <w:caps w:val="0"/>
          <w:color w:val="333333"/>
          <w:spacing w:val="0"/>
          <w:sz w:val="24"/>
          <w:szCs w:val="24"/>
          <w:lang w:val="en-US" w:eastAsia="zh-CN"/>
        </w:rPr>
        <w:t>发改、</w:t>
      </w:r>
      <w:r>
        <w:rPr>
          <w:rFonts w:hint="default" w:ascii="宋体" w:hAnsi="宋体" w:eastAsia="宋体" w:cs="宋体"/>
          <w:i w:val="0"/>
          <w:caps w:val="0"/>
          <w:color w:val="333333"/>
          <w:spacing w:val="0"/>
          <w:sz w:val="24"/>
          <w:szCs w:val="24"/>
          <w:lang w:val="en-US" w:eastAsia="zh-CN"/>
        </w:rPr>
        <w:t>工信、公安、</w:t>
      </w:r>
      <w:r>
        <w:rPr>
          <w:rFonts w:hint="eastAsia" w:ascii="宋体" w:hAnsi="宋体" w:eastAsia="宋体" w:cs="宋体"/>
          <w:i w:val="0"/>
          <w:caps w:val="0"/>
          <w:color w:val="333333"/>
          <w:spacing w:val="0"/>
          <w:sz w:val="24"/>
          <w:szCs w:val="24"/>
          <w:lang w:val="en-US" w:eastAsia="zh-CN"/>
        </w:rPr>
        <w:t>市场监管、</w:t>
      </w:r>
      <w:r>
        <w:rPr>
          <w:rFonts w:hint="default" w:ascii="宋体" w:hAnsi="宋体" w:eastAsia="宋体" w:cs="宋体"/>
          <w:i w:val="0"/>
          <w:caps w:val="0"/>
          <w:color w:val="333333"/>
          <w:spacing w:val="0"/>
          <w:sz w:val="24"/>
          <w:szCs w:val="24"/>
          <w:lang w:val="en-US" w:eastAsia="zh-CN"/>
        </w:rPr>
        <w:t>民政、自然资源、消防大队、福地燃气等</w:t>
      </w:r>
      <w:r>
        <w:rPr>
          <w:rFonts w:hint="eastAsia" w:ascii="宋体" w:hAnsi="宋体" w:eastAsia="宋体" w:cs="宋体"/>
          <w:i w:val="0"/>
          <w:caps w:val="0"/>
          <w:color w:val="333333"/>
          <w:spacing w:val="0"/>
          <w:sz w:val="24"/>
          <w:szCs w:val="24"/>
          <w:lang w:val="en-US" w:eastAsia="zh-CN"/>
        </w:rPr>
        <w:t>27个</w:t>
      </w:r>
      <w:r>
        <w:rPr>
          <w:rFonts w:hint="default" w:ascii="宋体" w:hAnsi="宋体" w:eastAsia="宋体" w:cs="宋体"/>
          <w:i w:val="0"/>
          <w:caps w:val="0"/>
          <w:color w:val="333333"/>
          <w:spacing w:val="0"/>
          <w:sz w:val="24"/>
          <w:szCs w:val="24"/>
          <w:lang w:val="en-US" w:eastAsia="zh-CN"/>
        </w:rPr>
        <w:t>安委会成员单位分别设立了宣传咨询台，现场摆放本行业内的教育展板、安全生产知识图版，并悬挂横幅、张贴标语，广泛向社会公众集中宣传安全生产相关方针政策、法律法规及居民出行安全、用电用气安全、建筑施工安全、电梯使用安全注意事项和职业健康知识，宣讲应急逃生、自救互救方法，解答社会公众关心的安全生产问题</w:t>
      </w:r>
      <w:r>
        <w:rPr>
          <w:rFonts w:hint="eastAsia" w:ascii="宋体" w:hAnsi="宋体" w:eastAsia="宋体" w:cs="宋体"/>
          <w:i w:val="0"/>
          <w:caps w:val="0"/>
          <w:color w:val="333333"/>
          <w:spacing w:val="0"/>
          <w:sz w:val="24"/>
          <w:szCs w:val="24"/>
          <w:lang w:val="en-US" w:eastAsia="zh-CN"/>
        </w:rPr>
        <w:t>，达到了良好的宣传效果。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MTIwNWI1OWFiMWNkMmFlNWZjYTc0Y2E1YjE1ZmQifQ=="/>
  </w:docVars>
  <w:rsids>
    <w:rsidRoot w:val="4C5878FD"/>
    <w:rsid w:val="02807A9D"/>
    <w:rsid w:val="07A563C1"/>
    <w:rsid w:val="14055F24"/>
    <w:rsid w:val="17144640"/>
    <w:rsid w:val="32A73F96"/>
    <w:rsid w:val="32F76EBD"/>
    <w:rsid w:val="34675A51"/>
    <w:rsid w:val="34E11EAB"/>
    <w:rsid w:val="3B953CA3"/>
    <w:rsid w:val="4C5878FD"/>
    <w:rsid w:val="52DF6568"/>
    <w:rsid w:val="53A71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99"/>
    <w:pPr>
      <w:ind w:firstLine="42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年泗水县应急管理局政府网站信息公开情况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履职依据</c:v>
                </c:pt>
              </c:strCache>
            </c:strRef>
          </c:tx>
          <c:spPr>
            <a:solidFill>
              <a:schemeClr val="accent1"/>
            </a:solidFill>
            <a:ln>
              <a:noFill/>
            </a:ln>
            <a:effectLst/>
          </c:spPr>
          <c:invertIfNegative val="0"/>
          <c:dLbls>
            <c:delete val="1"/>
          </c:dLbls>
          <c:cat>
            <c:strRef>
              <c:f>Sheet1!$B$1</c:f>
              <c:strCache>
                <c:ptCount val="1"/>
                <c:pt idx="0">
                  <c:v>条数</c:v>
                </c:pt>
              </c:strCache>
            </c:strRef>
          </c:cat>
          <c:val>
            <c:numRef>
              <c:f>Sheet1!$B$2</c:f>
              <c:numCache>
                <c:formatCode>General</c:formatCode>
                <c:ptCount val="1"/>
                <c:pt idx="0">
                  <c:v>14</c:v>
                </c:pt>
              </c:numCache>
            </c:numRef>
          </c:val>
        </c:ser>
        <c:ser>
          <c:idx val="1"/>
          <c:order val="1"/>
          <c:tx>
            <c:strRef>
              <c:f>Sheet1!$A$3</c:f>
              <c:strCache>
                <c:ptCount val="1"/>
                <c:pt idx="0">
                  <c:v>镇街部门文件</c:v>
                </c:pt>
              </c:strCache>
            </c:strRef>
          </c:tx>
          <c:spPr>
            <a:solidFill>
              <a:schemeClr val="accent2"/>
            </a:solidFill>
            <a:ln>
              <a:noFill/>
            </a:ln>
            <a:effectLst/>
          </c:spPr>
          <c:invertIfNegative val="0"/>
          <c:dLbls>
            <c:delete val="1"/>
          </c:dLbls>
          <c:cat>
            <c:strRef>
              <c:f>Sheet1!$B$1</c:f>
              <c:strCache>
                <c:ptCount val="1"/>
                <c:pt idx="0">
                  <c:v>条数</c:v>
                </c:pt>
              </c:strCache>
            </c:strRef>
          </c:cat>
          <c:val>
            <c:numRef>
              <c:f>Sheet1!$B$3</c:f>
              <c:numCache>
                <c:formatCode>General</c:formatCode>
                <c:ptCount val="1"/>
                <c:pt idx="0">
                  <c:v>6</c:v>
                </c:pt>
              </c:numCache>
            </c:numRef>
          </c:val>
        </c:ser>
        <c:ser>
          <c:idx val="2"/>
          <c:order val="2"/>
          <c:tx>
            <c:strRef>
              <c:f>Sheet1!$A$4</c:f>
              <c:strCache>
                <c:ptCount val="1"/>
                <c:pt idx="0">
                  <c:v>主要负责人解读</c:v>
                </c:pt>
              </c:strCache>
            </c:strRef>
          </c:tx>
          <c:spPr>
            <a:solidFill>
              <a:schemeClr val="accent3"/>
            </a:solidFill>
            <a:ln>
              <a:noFill/>
            </a:ln>
            <a:effectLst/>
          </c:spPr>
          <c:invertIfNegative val="0"/>
          <c:dLbls>
            <c:delete val="1"/>
          </c:dLbls>
          <c:cat>
            <c:strRef>
              <c:f>Sheet1!$B$1</c:f>
              <c:strCache>
                <c:ptCount val="1"/>
                <c:pt idx="0">
                  <c:v>条数</c:v>
                </c:pt>
              </c:strCache>
            </c:strRef>
          </c:cat>
          <c:val>
            <c:numRef>
              <c:f>Sheet1!$B$4</c:f>
              <c:numCache>
                <c:formatCode>General</c:formatCode>
                <c:ptCount val="1"/>
                <c:pt idx="0">
                  <c:v>2</c:v>
                </c:pt>
              </c:numCache>
            </c:numRef>
          </c:val>
        </c:ser>
        <c:ser>
          <c:idx val="3"/>
          <c:order val="3"/>
          <c:tx>
            <c:strRef>
              <c:f>Sheet1!$A$5</c:f>
              <c:strCache>
                <c:ptCount val="1"/>
                <c:pt idx="0">
                  <c:v>音频视频图文解读</c:v>
                </c:pt>
              </c:strCache>
            </c:strRef>
          </c:tx>
          <c:spPr>
            <a:solidFill>
              <a:schemeClr val="accent4"/>
            </a:solidFill>
            <a:ln>
              <a:noFill/>
            </a:ln>
            <a:effectLst/>
          </c:spPr>
          <c:invertIfNegative val="0"/>
          <c:dLbls>
            <c:delete val="1"/>
          </c:dLbls>
          <c:cat>
            <c:strRef>
              <c:f>Sheet1!$B$1</c:f>
              <c:strCache>
                <c:ptCount val="1"/>
                <c:pt idx="0">
                  <c:v>条数</c:v>
                </c:pt>
              </c:strCache>
            </c:strRef>
          </c:cat>
          <c:val>
            <c:numRef>
              <c:f>Sheet1!$B$5</c:f>
              <c:numCache>
                <c:formatCode>General</c:formatCode>
                <c:ptCount val="1"/>
                <c:pt idx="0">
                  <c:v>4</c:v>
                </c:pt>
              </c:numCache>
            </c:numRef>
          </c:val>
        </c:ser>
        <c:ser>
          <c:idx val="4"/>
          <c:order val="4"/>
          <c:tx>
            <c:strRef>
              <c:f>Sheet1!$A$6</c:f>
              <c:strCache>
                <c:ptCount val="1"/>
                <c:pt idx="0">
                  <c:v>机构职能</c:v>
                </c:pt>
              </c:strCache>
            </c:strRef>
          </c:tx>
          <c:spPr>
            <a:solidFill>
              <a:schemeClr val="accent5"/>
            </a:solidFill>
            <a:ln>
              <a:noFill/>
            </a:ln>
            <a:effectLst/>
          </c:spPr>
          <c:invertIfNegative val="0"/>
          <c:dLbls>
            <c:delete val="1"/>
          </c:dLbls>
          <c:cat>
            <c:strRef>
              <c:f>Sheet1!$B$1</c:f>
              <c:strCache>
                <c:ptCount val="1"/>
                <c:pt idx="0">
                  <c:v>条数</c:v>
                </c:pt>
              </c:strCache>
            </c:strRef>
          </c:cat>
          <c:val>
            <c:numRef>
              <c:f>Sheet1!$B$6</c:f>
              <c:numCache>
                <c:formatCode>General</c:formatCode>
                <c:ptCount val="1"/>
                <c:pt idx="0">
                  <c:v>3</c:v>
                </c:pt>
              </c:numCache>
            </c:numRef>
          </c:val>
        </c:ser>
        <c:ser>
          <c:idx val="5"/>
          <c:order val="5"/>
          <c:tx>
            <c:strRef>
              <c:f>Sheet1!$A$7</c:f>
              <c:strCache>
                <c:ptCount val="1"/>
                <c:pt idx="0">
                  <c:v>公告公示</c:v>
                </c:pt>
              </c:strCache>
            </c:strRef>
          </c:tx>
          <c:spPr>
            <a:solidFill>
              <a:schemeClr val="accent6"/>
            </a:solidFill>
            <a:ln>
              <a:noFill/>
            </a:ln>
            <a:effectLst/>
          </c:spPr>
          <c:invertIfNegative val="0"/>
          <c:dLbls>
            <c:delete val="1"/>
          </c:dLbls>
          <c:cat>
            <c:strRef>
              <c:f>Sheet1!$B$1</c:f>
              <c:strCache>
                <c:ptCount val="1"/>
                <c:pt idx="0">
                  <c:v>条数</c:v>
                </c:pt>
              </c:strCache>
            </c:strRef>
          </c:cat>
          <c:val>
            <c:numRef>
              <c:f>Sheet1!$B$7</c:f>
              <c:numCache>
                <c:formatCode>General</c:formatCode>
                <c:ptCount val="1"/>
                <c:pt idx="0">
                  <c:v>47</c:v>
                </c:pt>
              </c:numCache>
            </c:numRef>
          </c:val>
        </c:ser>
        <c:ser>
          <c:idx val="6"/>
          <c:order val="6"/>
          <c:tx>
            <c:strRef>
              <c:f>Sheet1!$A$8</c:f>
              <c:strCache>
                <c:ptCount val="1"/>
                <c:pt idx="0">
                  <c:v>重点领域暨行政处罚信息</c:v>
                </c:pt>
              </c:strCache>
            </c:strRef>
          </c:tx>
          <c:spPr>
            <a:solidFill>
              <a:schemeClr val="accent1">
                <a:lumMod val="60000"/>
              </a:schemeClr>
            </a:solidFill>
            <a:ln>
              <a:noFill/>
            </a:ln>
            <a:effectLst/>
          </c:spPr>
          <c:invertIfNegative val="0"/>
          <c:dLbls>
            <c:delete val="1"/>
          </c:dLbls>
          <c:cat>
            <c:strRef>
              <c:f>Sheet1!$B$1</c:f>
              <c:strCache>
                <c:ptCount val="1"/>
                <c:pt idx="0">
                  <c:v>条数</c:v>
                </c:pt>
              </c:strCache>
            </c:strRef>
          </c:cat>
          <c:val>
            <c:numRef>
              <c:f>Sheet1!$B$8</c:f>
              <c:numCache>
                <c:formatCode>General</c:formatCode>
                <c:ptCount val="1"/>
                <c:pt idx="0">
                  <c:v>74</c:v>
                </c:pt>
              </c:numCache>
            </c:numRef>
          </c:val>
        </c:ser>
        <c:ser>
          <c:idx val="7"/>
          <c:order val="7"/>
          <c:tx>
            <c:strRef>
              <c:f>Sheet1!$A$9</c:f>
              <c:strCache>
                <c:ptCount val="1"/>
                <c:pt idx="0">
                  <c:v>评估落实</c:v>
                </c:pt>
              </c:strCache>
            </c:strRef>
          </c:tx>
          <c:spPr>
            <a:solidFill>
              <a:schemeClr val="accent2">
                <a:lumMod val="60000"/>
              </a:schemeClr>
            </a:solidFill>
            <a:ln>
              <a:noFill/>
            </a:ln>
            <a:effectLst/>
          </c:spPr>
          <c:invertIfNegative val="0"/>
          <c:dLbls>
            <c:delete val="1"/>
          </c:dLbls>
          <c:cat>
            <c:strRef>
              <c:f>Sheet1!$B$1</c:f>
              <c:strCache>
                <c:ptCount val="1"/>
                <c:pt idx="0">
                  <c:v>条数</c:v>
                </c:pt>
              </c:strCache>
            </c:strRef>
          </c:cat>
          <c:val>
            <c:numRef>
              <c:f>Sheet1!$B$9</c:f>
              <c:numCache>
                <c:formatCode>General</c:formatCode>
                <c:ptCount val="1"/>
                <c:pt idx="0">
                  <c:v>3</c:v>
                </c:pt>
              </c:numCache>
            </c:numRef>
          </c:val>
        </c:ser>
        <c:ser>
          <c:idx val="8"/>
          <c:order val="8"/>
          <c:tx>
            <c:strRef>
              <c:f>Sheet1!$A$10</c:f>
              <c:strCache>
                <c:ptCount val="1"/>
                <c:pt idx="0">
                  <c:v>公共监管</c:v>
                </c:pt>
              </c:strCache>
            </c:strRef>
          </c:tx>
          <c:spPr>
            <a:solidFill>
              <a:schemeClr val="accent3">
                <a:lumMod val="60000"/>
              </a:schemeClr>
            </a:solidFill>
            <a:ln>
              <a:noFill/>
            </a:ln>
            <a:effectLst/>
          </c:spPr>
          <c:invertIfNegative val="0"/>
          <c:dLbls>
            <c:delete val="1"/>
          </c:dLbls>
          <c:cat>
            <c:strRef>
              <c:f>Sheet1!$B$1</c:f>
              <c:strCache>
                <c:ptCount val="1"/>
                <c:pt idx="0">
                  <c:v>条数</c:v>
                </c:pt>
              </c:strCache>
            </c:strRef>
          </c:cat>
          <c:val>
            <c:numRef>
              <c:f>Sheet1!$B$10</c:f>
              <c:numCache>
                <c:formatCode>General</c:formatCode>
                <c:ptCount val="1"/>
                <c:pt idx="0">
                  <c:v>13</c:v>
                </c:pt>
              </c:numCache>
            </c:numRef>
          </c:val>
        </c:ser>
        <c:ser>
          <c:idx val="9"/>
          <c:order val="9"/>
          <c:tx>
            <c:strRef>
              <c:f>Sheet1!$A$11</c:f>
              <c:strCache>
                <c:ptCount val="1"/>
                <c:pt idx="0">
                  <c:v>组织管理</c:v>
                </c:pt>
              </c:strCache>
            </c:strRef>
          </c:tx>
          <c:spPr>
            <a:solidFill>
              <a:schemeClr val="accent4">
                <a:lumMod val="60000"/>
              </a:schemeClr>
            </a:solidFill>
            <a:ln>
              <a:noFill/>
            </a:ln>
            <a:effectLst/>
          </c:spPr>
          <c:invertIfNegative val="0"/>
          <c:dLbls>
            <c:delete val="1"/>
          </c:dLbls>
          <c:cat>
            <c:strRef>
              <c:f>Sheet1!$B$1</c:f>
              <c:strCache>
                <c:ptCount val="1"/>
                <c:pt idx="0">
                  <c:v>条数</c:v>
                </c:pt>
              </c:strCache>
            </c:strRef>
          </c:cat>
          <c:val>
            <c:numRef>
              <c:f>Sheet1!$B$11</c:f>
              <c:numCache>
                <c:formatCode>General</c:formatCode>
                <c:ptCount val="1"/>
                <c:pt idx="0">
                  <c:v>5</c:v>
                </c:pt>
              </c:numCache>
            </c:numRef>
          </c:val>
        </c:ser>
        <c:ser>
          <c:idx val="10"/>
          <c:order val="10"/>
          <c:tx>
            <c:strRef>
              <c:f>Sheet1!$A$12</c:f>
              <c:strCache>
                <c:ptCount val="1"/>
                <c:pt idx="0">
                  <c:v>政府开放日</c:v>
                </c:pt>
              </c:strCache>
            </c:strRef>
          </c:tx>
          <c:spPr>
            <a:solidFill>
              <a:schemeClr val="accent5">
                <a:lumMod val="60000"/>
              </a:schemeClr>
            </a:solidFill>
            <a:ln>
              <a:noFill/>
            </a:ln>
            <a:effectLst/>
          </c:spPr>
          <c:invertIfNegative val="0"/>
          <c:dLbls>
            <c:delete val="1"/>
          </c:dLbls>
          <c:cat>
            <c:strRef>
              <c:f>Sheet1!$B$1</c:f>
              <c:strCache>
                <c:ptCount val="1"/>
                <c:pt idx="0">
                  <c:v>条数</c:v>
                </c:pt>
              </c:strCache>
            </c:strRef>
          </c:cat>
          <c:val>
            <c:numRef>
              <c:f>Sheet1!$B$12</c:f>
              <c:numCache>
                <c:formatCode>General</c:formatCode>
                <c:ptCount val="1"/>
                <c:pt idx="0">
                  <c:v>2</c:v>
                </c:pt>
              </c:numCache>
            </c:numRef>
          </c:val>
        </c:ser>
        <c:ser>
          <c:idx val="11"/>
          <c:order val="11"/>
          <c:tx>
            <c:strRef>
              <c:f>Sheet1!$A$13</c:f>
              <c:strCache>
                <c:ptCount val="1"/>
                <c:pt idx="0">
                  <c:v>行政执法信息公示</c:v>
                </c:pt>
              </c:strCache>
            </c:strRef>
          </c:tx>
          <c:spPr>
            <a:solidFill>
              <a:schemeClr val="accent6">
                <a:lumMod val="60000"/>
              </a:schemeClr>
            </a:solidFill>
            <a:ln>
              <a:noFill/>
            </a:ln>
            <a:effectLst/>
          </c:spPr>
          <c:invertIfNegative val="0"/>
          <c:dLbls>
            <c:delete val="1"/>
          </c:dLbls>
          <c:cat>
            <c:strRef>
              <c:f>Sheet1!$B$1</c:f>
              <c:strCache>
                <c:ptCount val="1"/>
                <c:pt idx="0">
                  <c:v>条数</c:v>
                </c:pt>
              </c:strCache>
            </c:strRef>
          </c:cat>
          <c:val>
            <c:numRef>
              <c:f>Sheet1!$B$13</c:f>
              <c:numCache>
                <c:formatCode>General</c:formatCode>
                <c:ptCount val="1"/>
                <c:pt idx="0">
                  <c:v>3</c:v>
                </c:pt>
              </c:numCache>
            </c:numRef>
          </c:val>
        </c:ser>
        <c:ser>
          <c:idx val="12"/>
          <c:order val="12"/>
          <c:tx>
            <c:strRef>
              <c:f>Sheet1!$A$14</c:f>
              <c:strCache>
                <c:ptCount val="1"/>
                <c:pt idx="0">
                  <c:v>建议提案</c:v>
                </c:pt>
              </c:strCache>
            </c:strRef>
          </c:tx>
          <c:spPr>
            <a:solidFill>
              <a:schemeClr val="accent1">
                <a:lumMod val="80000"/>
                <a:lumOff val="20000"/>
              </a:schemeClr>
            </a:solidFill>
            <a:ln>
              <a:noFill/>
            </a:ln>
            <a:effectLst/>
          </c:spPr>
          <c:invertIfNegative val="0"/>
          <c:dLbls>
            <c:delete val="1"/>
          </c:dLbls>
          <c:cat>
            <c:strRef>
              <c:f>Sheet1!$B$1</c:f>
              <c:strCache>
                <c:ptCount val="1"/>
                <c:pt idx="0">
                  <c:v>条数</c:v>
                </c:pt>
              </c:strCache>
            </c:strRef>
          </c:cat>
          <c:val>
            <c:numRef>
              <c:f>Sheet1!$B$14</c:f>
              <c:numCache>
                <c:formatCode>General</c:formatCode>
                <c:ptCount val="1"/>
                <c:pt idx="0">
                  <c:v>4</c:v>
                </c:pt>
              </c:numCache>
            </c:numRef>
          </c:val>
        </c:ser>
        <c:ser>
          <c:idx val="13"/>
          <c:order val="13"/>
          <c:tx>
            <c:strRef>
              <c:f>Sheet1!$A$15</c:f>
              <c:strCache>
                <c:ptCount val="1"/>
                <c:pt idx="0">
                  <c:v>部门会议</c:v>
                </c:pt>
              </c:strCache>
            </c:strRef>
          </c:tx>
          <c:spPr>
            <a:solidFill>
              <a:schemeClr val="accent2">
                <a:lumMod val="80000"/>
                <a:lumOff val="20000"/>
              </a:schemeClr>
            </a:solidFill>
            <a:ln>
              <a:noFill/>
            </a:ln>
            <a:effectLst/>
          </c:spPr>
          <c:invertIfNegative val="0"/>
          <c:dLbls>
            <c:delete val="1"/>
          </c:dLbls>
          <c:cat>
            <c:strRef>
              <c:f>Sheet1!$B$1</c:f>
              <c:strCache>
                <c:ptCount val="1"/>
                <c:pt idx="0">
                  <c:v>条数</c:v>
                </c:pt>
              </c:strCache>
            </c:strRef>
          </c:cat>
          <c:val>
            <c:numRef>
              <c:f>Sheet1!$B$15</c:f>
              <c:numCache>
                <c:formatCode>General</c:formatCode>
                <c:ptCount val="1"/>
                <c:pt idx="0">
                  <c:v>8</c:v>
                </c:pt>
              </c:numCache>
            </c:numRef>
          </c:val>
        </c:ser>
        <c:dLbls>
          <c:showLegendKey val="0"/>
          <c:showVal val="0"/>
          <c:showCatName val="0"/>
          <c:showSerName val="0"/>
          <c:showPercent val="0"/>
          <c:showBubbleSize val="0"/>
        </c:dLbls>
        <c:gapWidth val="219"/>
        <c:overlap val="-27"/>
        <c:axId val="248475252"/>
        <c:axId val="215676114"/>
      </c:barChart>
      <c:catAx>
        <c:axId val="2484752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5676114"/>
        <c:crosses val="autoZero"/>
        <c:auto val="1"/>
        <c:lblAlgn val="ctr"/>
        <c:lblOffset val="100"/>
        <c:noMultiLvlLbl val="0"/>
      </c:catAx>
      <c:valAx>
        <c:axId val="21567611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847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2022</a:t>
            </a:r>
            <a:r>
              <a:rPr altLang="en-US"/>
              <a:t>年泗水县应急管理局信息公开情况</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政府网站公开</c:v>
                </c:pt>
                <c:pt idx="1">
                  <c:v>微信公众号公开</c:v>
                </c:pt>
              </c:strCache>
            </c:strRef>
          </c:cat>
          <c:val>
            <c:numRef>
              <c:f>Sheet1!$B$2:$B$3</c:f>
              <c:numCache>
                <c:formatCode>General</c:formatCode>
                <c:ptCount val="2"/>
                <c:pt idx="0">
                  <c:v>188</c:v>
                </c:pt>
                <c:pt idx="1">
                  <c:v>112</c:v>
                </c:pt>
              </c:numCache>
            </c:numRef>
          </c:val>
        </c:ser>
        <c:dLbls>
          <c:showLegendKey val="0"/>
          <c:showVal val="0"/>
          <c:showCatName val="0"/>
          <c:showSerName val="0"/>
          <c:showPercent val="0"/>
          <c:showBubbleSize val="0"/>
        </c:dLbls>
        <c:gapWidth val="219"/>
        <c:overlap val="-27"/>
        <c:axId val="258400460"/>
        <c:axId val="565967671"/>
      </c:barChart>
      <c:catAx>
        <c:axId val="2584004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7671"/>
        <c:crosses val="autoZero"/>
        <c:auto val="1"/>
        <c:lblAlgn val="ctr"/>
        <c:lblOffset val="100"/>
        <c:noMultiLvlLbl val="0"/>
      </c:catAx>
      <c:valAx>
        <c:axId val="565967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84004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3232</Words>
  <Characters>3337</Characters>
  <Lines>0</Lines>
  <Paragraphs>0</Paragraphs>
  <TotalTime>22</TotalTime>
  <ScaleCrop>false</ScaleCrop>
  <LinksUpToDate>false</LinksUpToDate>
  <CharactersWithSpaces>3337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2023-01-09T01:57:00Z</dcterms:created>
  <dc:creator>老柴</dc:creator>
  <cp:lastModifiedBy>WPS_1675407650</cp:lastModifiedBy>
  <dcterms:modified xsi:type="dcterms:W3CDTF">2023-02-10T01:26:48Z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04480DC637A64B34BF343CAF784F4F69</vt:lpwstr>
  </property>
</Properties>
</file>