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泗水</w:t>
      </w:r>
      <w:r>
        <w:rPr>
          <w:rFonts w:hint="eastAsia" w:ascii="方正小标宋简体" w:hAnsi="方正小标宋简体" w:eastAsia="方正小标宋简体" w:cs="方正小标宋简体"/>
          <w:sz w:val="44"/>
          <w:szCs w:val="44"/>
        </w:rPr>
        <w:t>县</w:t>
      </w:r>
      <w:r>
        <w:rPr>
          <w:rFonts w:hint="eastAsia" w:ascii="方正小标宋简体" w:hAnsi="方正小标宋简体" w:eastAsia="方正小标宋简体" w:cs="方正小标宋简体"/>
          <w:sz w:val="44"/>
          <w:szCs w:val="44"/>
          <w:lang w:val="en-US" w:eastAsia="zh-CN"/>
        </w:rPr>
        <w:t>机关事务服务中心</w:t>
      </w: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lang w:eastAsia="zh-CN"/>
        </w:rPr>
        <w:t>年</w:t>
      </w:r>
      <w:r>
        <w:rPr>
          <w:rFonts w:hint="eastAsia" w:ascii="方正小标宋简体" w:hAnsi="方正小标宋简体" w:eastAsia="方正小标宋简体" w:cs="方正小标宋简体"/>
          <w:sz w:val="44"/>
          <w:szCs w:val="44"/>
        </w:rPr>
        <w:t>度政府信息公开工作年度报告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本报告由泗水县</w:t>
      </w:r>
      <w:r>
        <w:rPr>
          <w:rFonts w:hint="eastAsia" w:ascii="仿宋_GB2312" w:hAnsi="仿宋_GB2312" w:eastAsia="仿宋_GB2312" w:cs="仿宋_GB2312"/>
          <w:sz w:val="32"/>
          <w:szCs w:val="32"/>
          <w:lang w:val="en-US" w:eastAsia="zh-CN"/>
        </w:rPr>
        <w:t>机关事务服务中心</w:t>
      </w:r>
      <w:r>
        <w:rPr>
          <w:rFonts w:hint="eastAsia" w:ascii="仿宋_GB2312" w:hAnsi="仿宋_GB2312" w:eastAsia="仿宋_GB2312" w:cs="仿宋_GB2312"/>
          <w:sz w:val="32"/>
          <w:szCs w:val="32"/>
        </w:rPr>
        <w:t>依据新修订的《中华人民共和国政府信息公开条例》（以下简称《条例》）要求</w:t>
      </w:r>
      <w:r>
        <w:rPr>
          <w:rFonts w:hint="eastAsia" w:ascii="仿宋_GB2312" w:hAnsi="仿宋_GB2312" w:eastAsia="仿宋_GB2312" w:cs="仿宋_GB2312"/>
          <w:sz w:val="32"/>
          <w:szCs w:val="32"/>
          <w:lang w:eastAsia="zh-CN"/>
        </w:rPr>
        <w:t>和《中华人民共和国政府信息公开工作年度报告格式》（国办公开办函〔202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30号</w:t>
      </w:r>
      <w:r>
        <w:rPr>
          <w:rFonts w:hint="eastAsia" w:ascii="仿宋_GB2312" w:hAnsi="仿宋_GB2312" w:eastAsia="仿宋_GB2312" w:cs="仿宋_GB2312"/>
          <w:sz w:val="32"/>
          <w:szCs w:val="32"/>
          <w:lang w:eastAsia="zh-CN"/>
        </w:rPr>
        <w:t>）要求编制。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报告中所列数据的统计期限自202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年12月31日止。本报告的电子版可在“中国·泗水党政门户网站（www.sishui.gov.cn）”下载。如对本报告有任何疑问，请与泗水县</w:t>
      </w:r>
      <w:r>
        <w:rPr>
          <w:rFonts w:hint="eastAsia" w:ascii="仿宋_GB2312" w:hAnsi="仿宋_GB2312" w:eastAsia="仿宋_GB2312" w:cs="仿宋_GB2312"/>
          <w:sz w:val="32"/>
          <w:szCs w:val="32"/>
          <w:lang w:val="en-US" w:eastAsia="zh-CN"/>
        </w:rPr>
        <w:t>机关事务服务中心</w:t>
      </w:r>
      <w:r>
        <w:rPr>
          <w:rFonts w:hint="eastAsia" w:ascii="仿宋_GB2312" w:hAnsi="仿宋_GB2312" w:eastAsia="仿宋_GB2312" w:cs="仿宋_GB2312"/>
          <w:sz w:val="32"/>
          <w:szCs w:val="32"/>
        </w:rPr>
        <w:t>办公室联系；邮编：273200；电话：0537-4</w:t>
      </w:r>
      <w:r>
        <w:rPr>
          <w:rFonts w:hint="eastAsia" w:ascii="仿宋_GB2312" w:hAnsi="仿宋_GB2312" w:eastAsia="仿宋_GB2312" w:cs="仿宋_GB2312"/>
          <w:sz w:val="32"/>
          <w:szCs w:val="32"/>
          <w:lang w:val="en-US" w:eastAsia="zh-CN"/>
        </w:rPr>
        <w:t>363466</w:t>
      </w:r>
      <w:r>
        <w:rPr>
          <w:rFonts w:hint="eastAsia" w:ascii="仿宋_GB2312" w:hAnsi="仿宋_GB2312" w:eastAsia="仿宋_GB2312" w:cs="仿宋_GB2312"/>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泗水县机关事务服务中心2023年度政务公开工作认真贯彻落实《中华人民共和国政府信息公开条例》《山东省政府信息公开办法》以及县政府关于政府信息公开工作的相关文件要求，召开专题党组会议，安排、部署、推进政府信息公开工作，根据年度公开重点任务，结合中心工作实际，严格按照公开、公正、规范、高效、便民的基本要求，坚持“以民为本、为民解困、为民服务”核心理念抓好政务公开工作落实，最大限度满足公众知情权、参与权、监督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rPr>
        <w:t>（一）主动公开</w:t>
      </w:r>
      <w:r>
        <w:rPr>
          <w:rFonts w:hint="eastAsia" w:ascii="方正楷体简体" w:hAnsi="方正楷体简体" w:eastAsia="方正楷体简体" w:cs="方正楷体简体"/>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机关事务服务中心通过中国·泗水党政门户网站共主动向社会公布各类政府信息12条。其中，部门文件4条，组织管理4条，机构职能1条，主动公开基本目录1条，政府信息公开年度报告1条，法治政府建设年度报告1条，充分保障群众对政府信息的知情权、收悉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方正楷体简体" w:hAnsi="方正楷体简体" w:eastAsia="方正楷体简体" w:cs="方正楷体简体"/>
          <w:sz w:val="32"/>
          <w:szCs w:val="32"/>
          <w:lang w:val="en-US" w:eastAsia="zh-CN"/>
        </w:rPr>
        <w:t>（二）依申请公开政府信息情况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2023年，县机关事务服务中心未收到依申请公开信息。中心严格按照政务信息公开有关要求，不断优化依申请公开的工作流程，坚持以满足群众的合理信息诉求为出发点和落脚点，加强主动沟通、靠前服务。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领导小组，强化责任落实。成立机关事务服务中心政务信息公开领导小组，定期研究部署、统筹推进信息公开工作。严格把控内部办公系统发文程序，在文件起草阶段即明确是否公开，对信息分类管理，按流程逐级审核，最终经主要领导把关后及时发布。日常工作行文选择性公开，重大决策决定或工作推进计划适时公开，政府信息公开工作科学化、制度化、规范化水平不断提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机关事务服务中心充分发挥政府门户网站主阵地作用，把政府网站作为政务公开第一平台，将党和国家相关的政策、方针及时传达给群众。同时，加强信息公开的制度建设。深入研究国内外相关法律法规，制定并完善了一系列信息公开相关的规章制度，明确了信息公开的范围、流程和权限，为平台的运行提供了制度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rPr>
        <w:t>（五）监督保障</w:t>
      </w:r>
      <w:r>
        <w:rPr>
          <w:rFonts w:hint="eastAsia" w:ascii="方正楷体简体" w:hAnsi="方正楷体简体" w:eastAsia="方正楷体简体" w:cs="方正楷体简体"/>
          <w:sz w:val="32"/>
          <w:szCs w:val="32"/>
          <w:lang w:eastAsia="zh-CN"/>
        </w:rPr>
        <w:t>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根据人员分工，及时调整</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政府信息公开工作领导小组，强化政府信息公开工作的推进、指导、协调、监督。按照“一把手亲自抓、分管领导具体抓、责任到科室、落实到人头”的工作机制，细化责任目标，强化工作任务落实。接受第三方评估考核，根据评估结果及时整改。接受社会公众对本单位政府信息公开工作的总体评价。本年度</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两次专题政务</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培训。专题学习了政务公开各项规定和保密制度规定，切实让政务公开业务人员熟练掌握操作流程和保密要求，进一步提高了政务公开水平。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3"/>
        <w:tblW w:w="0" w:type="auto"/>
        <w:jc w:val="center"/>
        <w:tblLayout w:type="fixed"/>
        <w:tblCellMar>
          <w:top w:w="15" w:type="dxa"/>
          <w:left w:w="15" w:type="dxa"/>
          <w:bottom w:w="15" w:type="dxa"/>
          <w:right w:w="15" w:type="dxa"/>
        </w:tblCellMar>
      </w:tblPr>
      <w:tblGrid>
        <w:gridCol w:w="3120"/>
        <w:gridCol w:w="1875"/>
        <w:gridCol w:w="1275"/>
        <w:gridCol w:w="1875"/>
      </w:tblGrid>
      <w:tr>
        <w:tblPrEx>
          <w:tblCellMar>
            <w:top w:w="15" w:type="dxa"/>
            <w:left w:w="15" w:type="dxa"/>
            <w:bottom w:w="15" w:type="dxa"/>
            <w:right w:w="15"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tblPrEx>
          <w:tblCellMar>
            <w:top w:w="15" w:type="dxa"/>
            <w:left w:w="15" w:type="dxa"/>
            <w:bottom w:w="15" w:type="dxa"/>
            <w:right w:w="15"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本年新制作数量</w:t>
            </w:r>
          </w:p>
        </w:tc>
        <w:tc>
          <w:tcPr>
            <w:tcW w:w="12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本年新公开数量</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对外公开总数量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2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CellMar>
            <w:top w:w="15" w:type="dxa"/>
            <w:left w:w="15" w:type="dxa"/>
            <w:bottom w:w="15" w:type="dxa"/>
            <w:right w:w="15"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其他对外管理服务事项</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tblPrEx>
          <w:tblCellMar>
            <w:top w:w="15" w:type="dxa"/>
            <w:left w:w="15" w:type="dxa"/>
            <w:bottom w:w="15" w:type="dxa"/>
            <w:right w:w="15"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27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CellMar>
            <w:top w:w="15" w:type="dxa"/>
            <w:left w:w="15" w:type="dxa"/>
            <w:bottom w:w="15" w:type="dxa"/>
            <w:right w:w="15" w:type="dxa"/>
          </w:tblCellMar>
        </w:tblPrEx>
        <w:trPr>
          <w:trHeight w:val="43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40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2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tblPrEx>
          <w:tblCellMar>
            <w:top w:w="15" w:type="dxa"/>
            <w:left w:w="15" w:type="dxa"/>
            <w:bottom w:w="15" w:type="dxa"/>
            <w:right w:w="15" w:type="dxa"/>
          </w:tblCellMar>
        </w:tblPrEx>
        <w:trPr>
          <w:trHeight w:val="270"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3150" w:type="dxa"/>
            <w:gridSpan w:val="2"/>
            <w:tcBorders>
              <w:top w:val="single" w:color="auto" w:sz="6" w:space="0"/>
              <w:left w:val="nil"/>
              <w:bottom w:val="single" w:color="auto" w:sz="6" w:space="0"/>
              <w:right w:val="single" w:color="000000"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r>
      <w:tr>
        <w:tblPrEx>
          <w:tblCellMar>
            <w:top w:w="15" w:type="dxa"/>
            <w:left w:w="15" w:type="dxa"/>
            <w:bottom w:w="15" w:type="dxa"/>
            <w:right w:w="15"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150" w:type="dxa"/>
            <w:gridSpan w:val="2"/>
            <w:tcBorders>
              <w:top w:val="nil"/>
              <w:left w:val="nil"/>
              <w:bottom w:val="single" w:color="auto" w:sz="6" w:space="0"/>
              <w:right w:val="single" w:color="000000"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CellMar>
            <w:top w:w="15" w:type="dxa"/>
            <w:left w:w="15" w:type="dxa"/>
            <w:bottom w:w="15" w:type="dxa"/>
            <w:right w:w="15"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第二十条第（九）项</w:t>
            </w:r>
          </w:p>
        </w:tc>
      </w:tr>
      <w:tr>
        <w:tblPrEx>
          <w:tblCellMar>
            <w:top w:w="15" w:type="dxa"/>
            <w:left w:w="15" w:type="dxa"/>
            <w:bottom w:w="15" w:type="dxa"/>
            <w:right w:w="15" w:type="dxa"/>
          </w:tblCellMar>
        </w:tblPrEx>
        <w:trPr>
          <w:trHeight w:val="585"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采购项目数量</w:t>
            </w:r>
          </w:p>
        </w:tc>
        <w:tc>
          <w:tcPr>
            <w:tcW w:w="3150" w:type="dxa"/>
            <w:gridSpan w:val="2"/>
            <w:tcBorders>
              <w:top w:val="single" w:color="auto" w:sz="6" w:space="0"/>
              <w:left w:val="nil"/>
              <w:bottom w:val="single" w:color="auto" w:sz="6" w:space="0"/>
              <w:right w:val="single" w:color="000000"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采购总金额</w:t>
            </w:r>
          </w:p>
        </w:tc>
      </w:tr>
      <w:tr>
        <w:tblPrEx>
          <w:tblCellMar>
            <w:top w:w="15" w:type="dxa"/>
            <w:left w:w="15" w:type="dxa"/>
            <w:bottom w:w="15" w:type="dxa"/>
            <w:right w:w="15" w:type="dxa"/>
          </w:tblCellMar>
        </w:tblPrEx>
        <w:trPr>
          <w:trHeight w:val="540" w:hRule="atLeast"/>
          <w:jc w:val="center"/>
        </w:trPr>
        <w:tc>
          <w:tcPr>
            <w:tcW w:w="312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w:t>
            </w:r>
          </w:p>
        </w:tc>
        <w:tc>
          <w:tcPr>
            <w:tcW w:w="18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150" w:type="dxa"/>
            <w:gridSpan w:val="2"/>
            <w:tcBorders>
              <w:top w:val="nil"/>
              <w:left w:val="nil"/>
              <w:bottom w:val="single" w:color="auto" w:sz="6" w:space="0"/>
              <w:right w:val="single" w:color="000000"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三、收到和处理政府信息公开申请情况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0"/>
        <w:gridCol w:w="1170"/>
        <w:gridCol w:w="1857"/>
        <w:gridCol w:w="758"/>
        <w:gridCol w:w="709"/>
        <w:gridCol w:w="709"/>
        <w:gridCol w:w="758"/>
        <w:gridCol w:w="893"/>
        <w:gridCol w:w="685"/>
        <w:gridCol w:w="68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vMerge w:val="restar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5198" w:type="dxa"/>
            <w:gridSpan w:val="7"/>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758"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3754"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686"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vMerge w:val="continue"/>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758"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75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89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68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686"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027"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8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3027"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17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185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3027"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85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3027" w:type="dxa"/>
            <w:gridSpan w:val="2"/>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877" w:type="dxa"/>
            <w:gridSpan w:val="3"/>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0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75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89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86"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3"/>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6000" w:type="dxa"/>
            <w:gridSpan w:val="10"/>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vMerge w:val="restart"/>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75" w:type="dxa"/>
            <w:vMerge w:val="restart"/>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970"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3030" w:type="dxa"/>
            <w:gridSpan w:val="5"/>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600" w:type="dxa"/>
            <w:vMerge w:val="continue"/>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600"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600"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675" w:type="dxa"/>
            <w:vMerge w:val="continue"/>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p>
        </w:tc>
        <w:tc>
          <w:tcPr>
            <w:tcW w:w="5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1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60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7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0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0</w:t>
            </w:r>
          </w:p>
        </w:tc>
        <w:tc>
          <w:tcPr>
            <w:tcW w:w="63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sz w:val="32"/>
          <w:szCs w:val="32"/>
          <w:lang w:val="en-US" w:eastAsia="zh-CN"/>
        </w:rPr>
        <w:t>随着中心信息公开工作有序开展，信息公开工作集约化程度不断提升，促进了法治政府的建设。但也存在一些问题，主要表现在：政府信息主动公开的深度还有到进一步拓展，公开渠道有待进一步探索创新。2024年，县机关事务服务中心将重点抓好以下工作：一是加大培训力度。进一步提升政府信息公开工作人员的思想认识和业务水平。通过不定期的组织研讨、业务培训、学习借鉴兄弟单位先进经验做法等方式，提高信息公开工作人员的工作能力，确保政府信息公开工作落实到位。二是创新公开形式。加强内容建设，发挥好网站平台的作用，扩大信息公开的覆盖面和影响力。下步，中心将严格按照要求加强信息保障和公开力度，采取切实有效地措施，保证政府信息公开工作的质量，推进政府信息公开工作逐步走上制度化、规范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（一）依据《政府信息公开信息处理费管理办法》收取信息处理费情况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机关事务服务中心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（二）落实上级年度政务公开工作要点情况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机关事务服务中心按照国家、省、市、县政府要求，全面贯彻落实政务公开工作，一是深化政务公开标准化规范化工作。二是深化政务公开基础工作,规范开展政府信息公开工作,加强公开平台建设。三是强化政务公开保障措施，完善政务公开制度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（三）人大代表建议和政协提案办理结果公开情况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2023年，县</w:t>
      </w:r>
      <w:bookmarkStart w:id="0" w:name="_GoBack"/>
      <w:bookmarkEnd w:id="0"/>
      <w:r>
        <w:rPr>
          <w:rFonts w:hint="eastAsia" w:ascii="仿宋_GB2312" w:hAnsi="仿宋_GB2312" w:eastAsia="仿宋_GB2312" w:cs="仿宋_GB2312"/>
          <w:sz w:val="32"/>
          <w:szCs w:val="32"/>
          <w:lang w:val="en-US" w:eastAsia="zh-CN"/>
        </w:rPr>
        <w:t>机关事务服务中心共未收到人大代表建议和政协提案。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（四）年度政务公开工作创新情况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年，县</w:t>
      </w:r>
      <w:r>
        <w:rPr>
          <w:rFonts w:hint="eastAsia" w:ascii="仿宋_GB2312" w:hAnsi="仿宋_GB2312" w:eastAsia="仿宋_GB2312" w:cs="仿宋_GB2312"/>
          <w:sz w:val="32"/>
          <w:szCs w:val="32"/>
          <w:lang w:val="en-US" w:eastAsia="zh-CN"/>
        </w:rPr>
        <w:t>机关事务</w:t>
      </w:r>
      <w:r>
        <w:rPr>
          <w:rFonts w:hint="eastAsia" w:ascii="仿宋_GB2312" w:hAnsi="仿宋_GB2312" w:eastAsia="仿宋_GB2312" w:cs="仿宋_GB2312"/>
          <w:sz w:val="32"/>
          <w:szCs w:val="32"/>
          <w:lang w:eastAsia="zh-CN"/>
        </w:rPr>
        <w:t>服务中心进一步规范了政务公开工作，完善了政务公开工作制度，丰富解读的形式，方便群众了解新政策和文件。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仿宋_GB2312" w:eastAsia="仿宋_GB2312" w:cs="仿宋_GB2312"/>
          <w:sz w:val="32"/>
          <w:szCs w:val="32"/>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泗水县</w:t>
      </w:r>
      <w:r>
        <w:rPr>
          <w:rFonts w:hint="eastAsia" w:ascii="仿宋_GB2312" w:hAnsi="仿宋_GB2312" w:eastAsia="仿宋_GB2312" w:cs="仿宋_GB2312"/>
          <w:sz w:val="32"/>
          <w:szCs w:val="32"/>
          <w:lang w:val="en-US" w:eastAsia="zh-CN"/>
        </w:rPr>
        <w:t>机关事务服务中心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MTFmNTA2YjcwMDE0OTYxOTE1ZTVmMGIyODdkMWEifQ=="/>
  </w:docVars>
  <w:rsids>
    <w:rsidRoot w:val="565F1422"/>
    <w:rsid w:val="12C9467E"/>
    <w:rsid w:val="565F1422"/>
    <w:rsid w:val="6A90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autoRedefine/>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2024-01-26T03:16:00Z</dcterms:created>
  <dc:creator>pamela</dc:creator>
  <cp:lastModifiedBy>pamela</cp:lastModifiedBy>
  <dcterms:modified xsi:type="dcterms:W3CDTF">2024-01-29T06:34:21Z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571183A65E254A3DBC30026BF135F347_13</vt:lpwstr>
  </property>
</Properties>
</file>