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hAnsi="Times New Roman" w:eastAsia="方正小标宋简体" w:cs="Times New Roman"/>
          <w:b/>
          <w:color w:val="000000" w:themeColor="text1"/>
          <w:kern w:val="0"/>
          <w:sz w:val="44"/>
          <w:szCs w:val="44"/>
          <w14:textFill>
            <w14:solidFill>
              <w14:schemeClr w14:val="tx1"/>
            </w14:solidFill>
          </w14:textFill>
        </w:rPr>
      </w:pPr>
      <w:bookmarkStart w:id="0" w:name="OLE_LINK1"/>
      <w:r>
        <w:rPr>
          <w:rFonts w:hint="eastAsia" w:ascii="Times New Roman" w:hAnsi="Times New Roman" w:eastAsia="方正小标宋简体" w:cs="Times New Roman"/>
          <w:b/>
          <w:color w:val="000000" w:themeColor="text1"/>
          <w:kern w:val="0"/>
          <w:sz w:val="44"/>
          <w:szCs w:val="44"/>
          <w:lang w:val="en-US" w:eastAsia="zh-CN"/>
          <w14:textFill>
            <w14:solidFill>
              <w14:schemeClr w14:val="tx1"/>
            </w14:solidFill>
          </w14:textFill>
        </w:rPr>
        <w:t>泗水县</w:t>
      </w:r>
      <w:r>
        <w:rPr>
          <w:rFonts w:hint="eastAsia" w:ascii="Times New Roman" w:hAnsi="Times New Roman" w:eastAsia="方正小标宋简体" w:cs="Times New Roman"/>
          <w:b/>
          <w:color w:val="000000" w:themeColor="text1"/>
          <w:kern w:val="0"/>
          <w:sz w:val="44"/>
          <w:szCs w:val="44"/>
          <w:lang w:eastAsia="zh-CN"/>
          <w14:textFill>
            <w14:solidFill>
              <w14:schemeClr w14:val="tx1"/>
            </w14:solidFill>
          </w14:textFill>
        </w:rPr>
        <w:t>水务局</w:t>
      </w:r>
      <w:r>
        <w:rPr>
          <w:rFonts w:hint="eastAsia" w:ascii="Times New Roman" w:hAnsi="Times New Roman" w:eastAsia="方正小标宋简体" w:cs="Times New Roman"/>
          <w:b/>
          <w:color w:val="000000" w:themeColor="text1"/>
          <w:kern w:val="0"/>
          <w:sz w:val="44"/>
          <w:szCs w:val="44"/>
          <w14:textFill>
            <w14:solidFill>
              <w14:schemeClr w14:val="tx1"/>
            </w14:solidFill>
          </w14:textFill>
        </w:rPr>
        <w:t>202</w:t>
      </w:r>
      <w:r>
        <w:rPr>
          <w:rFonts w:hint="eastAsia" w:ascii="Times New Roman" w:hAnsi="Times New Roman" w:eastAsia="方正小标宋简体" w:cs="Times New Roman"/>
          <w:b/>
          <w:color w:val="000000" w:themeColor="text1"/>
          <w:kern w:val="0"/>
          <w:sz w:val="44"/>
          <w:szCs w:val="44"/>
          <w:lang w:val="en-US" w:eastAsia="zh-CN"/>
          <w14:textFill>
            <w14:solidFill>
              <w14:schemeClr w14:val="tx1"/>
            </w14:solidFill>
          </w14:textFill>
        </w:rPr>
        <w:t>5</w:t>
      </w:r>
      <w:r>
        <w:rPr>
          <w:rFonts w:hint="eastAsia" w:ascii="方正小标宋简体" w:hAnsi="Times New Roman" w:eastAsia="方正小标宋简体" w:cs="Times New Roman"/>
          <w:b/>
          <w:color w:val="000000" w:themeColor="text1"/>
          <w:kern w:val="0"/>
          <w:sz w:val="44"/>
          <w:szCs w:val="44"/>
          <w14:textFill>
            <w14:solidFill>
              <w14:schemeClr w14:val="tx1"/>
            </w14:solidFill>
          </w14:textFill>
        </w:rPr>
        <w:t>年政府信息公开工作</w:t>
      </w:r>
    </w:p>
    <w:p>
      <w:pPr>
        <w:spacing w:line="590" w:lineRule="exact"/>
        <w:ind w:right="-105" w:rightChars="-50"/>
        <w:jc w:val="center"/>
        <w:rPr>
          <w:rFonts w:ascii="方正小标宋简体" w:hAnsi="Times New Roman" w:eastAsia="方正小标宋简体" w:cs="Times New Roman"/>
          <w:b/>
          <w:color w:val="000000" w:themeColor="text1"/>
          <w:kern w:val="0"/>
          <w:sz w:val="44"/>
          <w:szCs w:val="44"/>
          <w14:textFill>
            <w14:solidFill>
              <w14:schemeClr w14:val="tx1"/>
            </w14:solidFill>
          </w14:textFill>
        </w:rPr>
      </w:pPr>
      <w:r>
        <w:rPr>
          <w:rFonts w:hint="eastAsia" w:ascii="方正小标宋简体" w:hAnsi="Times New Roman" w:eastAsia="方正小标宋简体" w:cs="Times New Roman"/>
          <w:b/>
          <w:color w:val="000000" w:themeColor="text1"/>
          <w:kern w:val="0"/>
          <w:sz w:val="44"/>
          <w:szCs w:val="44"/>
          <w14:textFill>
            <w14:solidFill>
              <w14:schemeClr w14:val="tx1"/>
            </w14:solidFill>
          </w14:textFill>
        </w:rPr>
        <w:t>年度报告</w:t>
      </w:r>
    </w:p>
    <w:bookmarkEnd w:id="0"/>
    <w:p>
      <w:pPr>
        <w:spacing w:line="590" w:lineRule="exact"/>
        <w:ind w:right="-105" w:rightChars="-50" w:firstLine="643" w:firstLineChars="200"/>
        <w:rPr>
          <w:rFonts w:ascii="方正仿宋简体" w:hAnsi="Times New Roman" w:eastAsia="方正仿宋简体" w:cs="Times New Roman"/>
          <w:b/>
          <w:color w:val="000000" w:themeColor="text1"/>
          <w:kern w:val="0"/>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ascii="方正仿宋简体" w:hAnsi="Times New Roman" w:eastAsia="方正仿宋简体" w:cs="Times New Roman"/>
          <w:b/>
          <w:color w:val="000000" w:themeColor="text1"/>
          <w:kern w:val="0"/>
          <w:sz w:val="32"/>
          <w:szCs w:val="32"/>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本报告由</w:t>
      </w:r>
      <w:r>
        <w:rPr>
          <w:rFonts w:hint="eastAsia" w:ascii="方正仿宋简体" w:hAnsi="Times New Roman" w:eastAsia="方正仿宋简体" w:cs="Times New Roman"/>
          <w:b/>
          <w:color w:val="000000" w:themeColor="text1"/>
          <w:kern w:val="0"/>
          <w:sz w:val="32"/>
          <w:szCs w:val="32"/>
          <w:lang w:val="en-US" w:eastAsia="zh-CN"/>
          <w14:textFill>
            <w14:solidFill>
              <w14:schemeClr w14:val="tx1"/>
            </w14:solidFill>
          </w14:textFill>
        </w:rPr>
        <w:t>泗水县</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水务局</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按照《中华人民共和国政府信息公开条例》（以下简称《条例》）和</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lang w:val="en-US" w:eastAsia="zh-CN"/>
          <w14:textFill>
            <w14:solidFill>
              <w14:schemeClr w14:val="tx1"/>
            </w14:solidFill>
          </w14:textFill>
        </w:rPr>
        <w:t>国务院办公厅政府信息与政务公开办公室关于印发&lt;</w:t>
      </w:r>
      <w:bookmarkStart w:id="1" w:name="OLE_LINK2"/>
      <w:r>
        <w:rPr>
          <w:rFonts w:hint="eastAsia" w:ascii="方正仿宋简体" w:hAnsi="Times New Roman" w:eastAsia="方正仿宋简体" w:cs="Times New Roman"/>
          <w:b/>
          <w:color w:val="000000" w:themeColor="text1"/>
          <w:kern w:val="0"/>
          <w:sz w:val="32"/>
          <w:szCs w:val="32"/>
          <w14:textFill>
            <w14:solidFill>
              <w14:schemeClr w14:val="tx1"/>
            </w14:solidFill>
          </w14:textFill>
        </w:rPr>
        <w:t>中华人民共和国政府信息公开工作年度报告格式</w:t>
      </w:r>
      <w:bookmarkEnd w:id="1"/>
      <w:r>
        <w:rPr>
          <w:rFonts w:hint="eastAsia" w:ascii="方正仿宋简体" w:hAnsi="Times New Roman" w:eastAsia="方正仿宋简体" w:cs="Times New Roman"/>
          <w:b/>
          <w:color w:val="000000" w:themeColor="text1"/>
          <w:kern w:val="0"/>
          <w:sz w:val="32"/>
          <w:szCs w:val="32"/>
          <w:lang w:val="en-US" w:eastAsia="zh-CN"/>
          <w14:textFill>
            <w14:solidFill>
              <w14:schemeClr w14:val="tx1"/>
            </w14:solidFill>
          </w14:textFill>
        </w:rPr>
        <w:t>&gt;的通知</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（国办公开办函〔</w:t>
      </w:r>
      <w:r>
        <w:rPr>
          <w:rFonts w:hint="eastAsia" w:ascii="Times New Roman" w:hAnsi="Times New Roman" w:eastAsia="方正仿宋简体" w:cs="Times New Roman"/>
          <w:b/>
          <w:color w:val="000000" w:themeColor="text1"/>
          <w:kern w:val="0"/>
          <w:sz w:val="32"/>
          <w:szCs w:val="32"/>
          <w14:textFill>
            <w14:solidFill>
              <w14:schemeClr w14:val="tx1"/>
            </w14:solidFill>
          </w14:textFill>
        </w:rPr>
        <w:t>2021</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w:t>
      </w:r>
      <w:r>
        <w:rPr>
          <w:rFonts w:hint="eastAsia" w:ascii="Times New Roman" w:hAnsi="Times New Roman" w:eastAsia="方正仿宋简体" w:cs="Times New Roman"/>
          <w:b/>
          <w:color w:val="000000" w:themeColor="text1"/>
          <w:kern w:val="0"/>
          <w:sz w:val="32"/>
          <w:szCs w:val="32"/>
          <w14:textFill>
            <w14:solidFill>
              <w14:schemeClr w14:val="tx1"/>
            </w14:solidFill>
          </w14:textFill>
        </w:rPr>
        <w:t>30</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号）要求编制。</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方正仿宋简体" w:hAnsi="Times New Roman" w:eastAsia="方正仿宋简体" w:cs="Times New Roman"/>
          <w:b/>
          <w:color w:val="000000" w:themeColor="text1"/>
          <w:kern w:val="0"/>
          <w:sz w:val="32"/>
          <w:szCs w:val="32"/>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本报告内容包括总体情况</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主动公开政府信息情况</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收到和处理政府信息公开申请情况</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政府信息公开行政复议</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行政诉讼情况</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存在的主要问题及改进情况</w:t>
      </w:r>
      <w:r>
        <w:rPr>
          <w:rFonts w:hint="eastAsia" w:ascii="方正仿宋简体" w:hAnsi="Times New Roman" w:eastAsia="方正仿宋简体" w:cs="Times New Roman"/>
          <w:b/>
          <w:color w:val="000000" w:themeColor="text1"/>
          <w:kern w:val="0"/>
          <w:sz w:val="32"/>
          <w:szCs w:val="32"/>
          <w:lang w:eastAsia="zh-CN"/>
          <w14:textFill>
            <w14:solidFill>
              <w14:schemeClr w14:val="tx1"/>
            </w14:solidFill>
          </w14:textFill>
        </w:rPr>
        <w:t>，</w:t>
      </w:r>
      <w:r>
        <w:rPr>
          <w:rFonts w:hint="eastAsia" w:ascii="方正仿宋简体" w:hAnsi="Times New Roman" w:eastAsia="方正仿宋简体" w:cs="Times New Roman"/>
          <w:b/>
          <w:color w:val="000000" w:themeColor="text1"/>
          <w:kern w:val="0"/>
          <w:sz w:val="32"/>
          <w:szCs w:val="32"/>
          <w14:textFill>
            <w14:solidFill>
              <w14:schemeClr w14:val="tx1"/>
            </w14:solidFill>
          </w14:textFill>
        </w:rPr>
        <w:t>其他需要报告的事项等六部分内容。</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kern w:val="0"/>
          <w:sz w:val="32"/>
          <w:szCs w:val="32"/>
          <w14:textFill>
            <w14:solidFill>
              <w14:schemeClr w14:val="tx1"/>
            </w14:solidFill>
          </w14:textFill>
        </w:rPr>
        <w:t>本报告所列数据的统计期限自202</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5</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年1月1日起至202</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5</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年12月31日止。本报告电子版可在</w:t>
      </w:r>
      <w:r>
        <w:rPr>
          <w:rFonts w:hint="eastAsia" w:ascii="Times New Roman" w:hAnsi="Times New Roman" w:eastAsia="方正仿宋简体" w:cs="Times New Roman"/>
          <w:b/>
          <w:color w:val="000000" w:themeColor="text1"/>
          <w:kern w:val="0"/>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中国·泗水</w:t>
      </w:r>
      <w:r>
        <w:rPr>
          <w:rFonts w:hint="eastAsia" w:ascii="Times New Roman" w:hAnsi="Times New Roman" w:eastAsia="方正仿宋简体" w:cs="Times New Roman"/>
          <w:b/>
          <w:color w:val="000000" w:themeColor="text1"/>
          <w:kern w:val="0"/>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政府门户网站（www.sishui.gov.cn）查阅或下载。如对本报告有疑问，请与</w:t>
      </w:r>
      <w:r>
        <w:rPr>
          <w:rFonts w:hint="eastAsia" w:ascii="Times New Roman" w:hAnsi="Times New Roman" w:eastAsia="方正仿宋简体" w:cs="Times New Roman"/>
          <w:b/>
          <w:color w:val="000000" w:themeColor="text1"/>
          <w:kern w:val="0"/>
          <w:sz w:val="32"/>
          <w:szCs w:val="32"/>
          <w:lang w:eastAsia="zh-CN"/>
          <w14:textFill>
            <w14:solidFill>
              <w14:schemeClr w14:val="tx1"/>
            </w14:solidFill>
          </w14:textFill>
        </w:rPr>
        <w:t>泗水县</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水务局办公室联系（地址：</w:t>
      </w:r>
      <w:r>
        <w:rPr>
          <w:rFonts w:hint="eastAsia" w:ascii="Times New Roman" w:hAnsi="Times New Roman" w:eastAsia="方正仿宋简体" w:cs="Times New Roman"/>
          <w:b/>
          <w:color w:val="000000" w:themeColor="text1"/>
          <w:kern w:val="0"/>
          <w:sz w:val="32"/>
          <w:szCs w:val="32"/>
          <w:lang w:eastAsia="zh-CN"/>
          <w14:textFill>
            <w14:solidFill>
              <w14:schemeClr w14:val="tx1"/>
            </w14:solidFill>
          </w14:textFill>
        </w:rPr>
        <w:t>泗水县</w:t>
      </w:r>
      <w:r>
        <w:rPr>
          <w:rFonts w:hint="default" w:ascii="Times New Roman" w:hAnsi="Times New Roman" w:eastAsia="方正仿宋简体" w:cs="Times New Roman"/>
          <w:b/>
          <w:color w:val="000000" w:themeColor="text1"/>
          <w:kern w:val="0"/>
          <w:sz w:val="32"/>
          <w:szCs w:val="32"/>
          <w14:textFill>
            <w14:solidFill>
              <w14:schemeClr w14:val="tx1"/>
            </w14:solidFill>
          </w14:textFill>
        </w:rPr>
        <w:t>泉兴路5号；联系电话：0537-4221943）</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default"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color w:val="000000" w:themeColor="text1"/>
          <w:kern w:val="0"/>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kern w:val="0"/>
          <w:sz w:val="32"/>
          <w:szCs w:val="32"/>
          <w:lang w:val="en-US" w:eastAsia="zh-CN"/>
          <w14:textFill>
            <w14:solidFill>
              <w14:schemeClr w14:val="tx1"/>
            </w14:solidFill>
          </w14:textFill>
        </w:rPr>
        <w:t>2025年，在县委、县政府的坚强领导和县政务公开办公室的精心指导下，</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泗水县</w:t>
      </w:r>
      <w:r>
        <w:rPr>
          <w:rFonts w:hint="default" w:ascii="Times New Roman" w:hAnsi="Times New Roman" w:eastAsia="方正仿宋简体" w:cs="Times New Roman"/>
          <w:b/>
          <w:color w:val="000000" w:themeColor="text1"/>
          <w:kern w:val="0"/>
          <w:sz w:val="32"/>
          <w:szCs w:val="32"/>
          <w:lang w:val="en-US" w:eastAsia="zh-CN"/>
          <w14:textFill>
            <w14:solidFill>
              <w14:schemeClr w14:val="tx1"/>
            </w14:solidFill>
          </w14:textFill>
        </w:rPr>
        <w:t>水</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务</w:t>
      </w:r>
      <w:r>
        <w:rPr>
          <w:rFonts w:hint="default" w:ascii="Times New Roman" w:hAnsi="Times New Roman" w:eastAsia="方正仿宋简体" w:cs="Times New Roman"/>
          <w:b/>
          <w:color w:val="000000" w:themeColor="text1"/>
          <w:kern w:val="0"/>
          <w:sz w:val="32"/>
          <w:szCs w:val="32"/>
          <w:lang w:val="en-US" w:eastAsia="zh-CN"/>
          <w14:textFill>
            <w14:solidFill>
              <w14:schemeClr w14:val="tx1"/>
            </w14:solidFill>
          </w14:textFill>
        </w:rPr>
        <w:t>局深入</w:t>
      </w:r>
      <w:r>
        <w:rPr>
          <w:rFonts w:hint="eastAsia" w:ascii="Times New Roman" w:hAnsi="Times New Roman" w:eastAsia="方正仿宋简体" w:cs="Times New Roman"/>
          <w:b/>
          <w:color w:val="000000" w:themeColor="text1"/>
          <w:kern w:val="0"/>
          <w:sz w:val="32"/>
          <w:szCs w:val="32"/>
          <w:lang w:val="en-US" w:eastAsia="zh-CN"/>
          <w14:textFill>
            <w14:solidFill>
              <w14:schemeClr w14:val="tx1"/>
            </w14:solidFill>
          </w14:textFill>
        </w:rPr>
        <w:t>学习</w:t>
      </w:r>
      <w:r>
        <w:rPr>
          <w:rFonts w:hint="default" w:ascii="Times New Roman" w:hAnsi="Times New Roman" w:eastAsia="方正仿宋简体" w:cs="Times New Roman"/>
          <w:b/>
          <w:color w:val="000000" w:themeColor="text1"/>
          <w:kern w:val="0"/>
          <w:sz w:val="32"/>
          <w:szCs w:val="32"/>
          <w:lang w:val="en-US" w:eastAsia="zh-CN"/>
          <w14:textFill>
            <w14:solidFill>
              <w14:schemeClr w14:val="tx1"/>
            </w14:solidFill>
          </w14:textFill>
        </w:rPr>
        <w:t>贯彻《条例》，紧密围绕全县水利工作，将政府信息公开作为提升治理能力、优化政务服务的重要抓手，持续推动公开工作的标准化、规范化建设，全力服务年度重点任务落实。现将我局2025年度政务公开工作情况总结如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主动公开方面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0000FF"/>
          <w:sz w:val="32"/>
          <w:szCs w:val="32"/>
          <w:lang w:val="en-US" w:eastAsia="zh-CN"/>
        </w:rPr>
      </w:pPr>
      <w:r>
        <w:rPr>
          <w:rFonts w:hint="default" w:ascii="Times New Roman" w:hAnsi="Times New Roman" w:eastAsia="方正仿宋简体" w:cs="Times New Roman"/>
          <w:b/>
          <w:bCs/>
          <w:sz w:val="32"/>
          <w:szCs w:val="32"/>
          <w:lang w:val="en-US" w:eastAsia="zh-CN"/>
        </w:rPr>
        <w:t>年内，我局严格遵循《条例》要求，围绕2025年重点任务及民生热点领域，切实履行公开职责，通过县政府门户网站主动公开各类信息</w:t>
      </w:r>
      <w:r>
        <w:rPr>
          <w:rFonts w:hint="eastAsia" w:ascii="Times New Roman" w:hAnsi="Times New Roman" w:eastAsia="方正仿宋简体" w:cs="Times New Roman"/>
          <w:b/>
          <w:bCs/>
          <w:sz w:val="32"/>
          <w:szCs w:val="32"/>
          <w:lang w:val="en-US" w:eastAsia="zh-CN"/>
        </w:rPr>
        <w:t>42</w:t>
      </w:r>
      <w:r>
        <w:rPr>
          <w:rFonts w:hint="default" w:ascii="Times New Roman" w:hAnsi="Times New Roman" w:eastAsia="方正仿宋简体" w:cs="Times New Roman"/>
          <w:b/>
          <w:bCs/>
          <w:sz w:val="32"/>
          <w:szCs w:val="32"/>
          <w:lang w:val="en-US" w:eastAsia="zh-CN"/>
        </w:rPr>
        <w:t>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内容涵盖要闻资讯</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1条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法规文件</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1条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通知公告</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10条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财政预算决算</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3条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价格与收费</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2条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建议提案</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11条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双随机、一公开</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监管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2条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优化营商环境政策执行</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4条</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行政执法公示</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6条</w:t>
      </w:r>
      <w:r>
        <w:rPr>
          <w:rFonts w:hint="eastAsia" w:ascii="Times New Roman" w:hAnsi="Times New Roman" w:eastAsia="方正仿宋简体" w:cs="Times New Roman"/>
          <w:b/>
          <w:bCs/>
          <w:sz w:val="32"/>
          <w:szCs w:val="32"/>
          <w:lang w:val="en-US" w:eastAsia="zh-CN"/>
        </w:rPr>
        <w:t>）及</w:t>
      </w:r>
      <w:r>
        <w:rPr>
          <w:rFonts w:hint="default" w:ascii="Times New Roman" w:hAnsi="Times New Roman" w:eastAsia="方正仿宋简体" w:cs="Times New Roman"/>
          <w:b/>
          <w:bCs/>
          <w:sz w:val="32"/>
          <w:szCs w:val="32"/>
          <w:lang w:val="en-US" w:eastAsia="zh-CN"/>
        </w:rPr>
        <w:t>年报</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）等方面</w:t>
      </w:r>
      <w:r>
        <w:rPr>
          <w:rFonts w:hint="default" w:ascii="Times New Roman" w:hAnsi="Times New Roman" w:eastAsia="方正仿宋简体"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drawing>
          <wp:inline distT="0" distB="0" distL="114300" distR="114300">
            <wp:extent cx="5273675" cy="3024505"/>
            <wp:effectExtent l="4445" t="4445" r="17780" b="1905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line="560" w:lineRule="exact"/>
        <w:ind w:firstLine="643" w:firstLineChars="200"/>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（二）依申请公开情况</w:t>
      </w:r>
    </w:p>
    <w:p>
      <w:pPr>
        <w:keepNext w:val="0"/>
        <w:keepLines w:val="0"/>
        <w:pageBreakBefore w:val="0"/>
        <w:widowControl/>
        <w:kinsoku/>
        <w:wordWrap/>
        <w:overflowPunct/>
        <w:topLinePunct w:val="0"/>
        <w:autoSpaceDE/>
        <w:autoSpaceDN/>
        <w:bidi w:val="0"/>
        <w:adjustRightInd/>
        <w:snapToGrid/>
        <w:spacing w:line="560" w:lineRule="exact"/>
        <w:ind w:firstLine="58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2025年，我局共收到通过政府网站申请政府信息公开1件，根据《条例》，已及时回复告知申请人不作为政府信息公开申请处理并告知其通过相应渠道提出，未向申请人收取任何费用。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楷体简体" w:hAnsi="方正楷体简体" w:eastAsia="方正楷体简体" w:cs="方正楷体简体"/>
          <w:b/>
          <w:bCs/>
          <w:sz w:val="32"/>
          <w:szCs w:val="32"/>
          <w:lang w:val="en-US" w:eastAsia="zh-CN"/>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我局在持续推进政府信息公开工作的基础上，进一步强化信息管理责任与规范。严格落实“谁公开、谁审查，谁审查、谁负责”的要求，坚持“先审查、后公开”的原则，不断完善并严格执行政府信息公开保密审查机制。通过健全制度、细化流程、加强监督，全年未发生政府信息公开泄密事件，有效保障了信息公开工作的安全有序开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县水务局将政府信息公开平台建设与维护摆在突出位置，以“公开为常态、不公开为例外”为原则，对政府门户网站及相关栏目进行了整体升级与结构重组，着力构建标准统一、功能完善、运行高效的政务公开体系。严格按照上级部门工作部署，坚持以内容建设为核心，持续提升信息发布的全面性、规范性与时效性，围绕水务重点工作、民生关注热点，系统解读政策文件，主动回应社会关切，切实提升水务领域政府信息公开的质量和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楷体简体" w:hAnsi="方正楷体简体" w:eastAsia="方正楷体简体" w:cs="方正楷体简体"/>
          <w:b/>
          <w:bCs/>
          <w:sz w:val="32"/>
          <w:szCs w:val="32"/>
          <w:lang w:val="en-US" w:eastAsia="zh-CN"/>
        </w:rPr>
      </w:pPr>
      <w:r>
        <w:rPr>
          <w:rFonts w:hint="default" w:ascii="方正楷体简体" w:hAnsi="方正楷体简体" w:eastAsia="方正楷体简体" w:cs="方正楷体简体"/>
          <w:b/>
          <w:bCs/>
          <w:sz w:val="32"/>
          <w:szCs w:val="32"/>
          <w:lang w:val="en-US" w:eastAsia="zh-CN"/>
        </w:rPr>
        <w:t>（</w:t>
      </w:r>
      <w:r>
        <w:rPr>
          <w:rFonts w:hint="eastAsia" w:ascii="方正楷体简体" w:hAnsi="方正楷体简体" w:eastAsia="方正楷体简体" w:cs="方正楷体简体"/>
          <w:b/>
          <w:bCs/>
          <w:sz w:val="32"/>
          <w:szCs w:val="32"/>
          <w:lang w:val="en-US" w:eastAsia="zh-CN"/>
        </w:rPr>
        <w:t>五</w:t>
      </w:r>
      <w:r>
        <w:rPr>
          <w:rFonts w:hint="default" w:ascii="方正楷体简体" w:hAnsi="方正楷体简体" w:eastAsia="方正楷体简体" w:cs="方正楷体简体"/>
          <w:b/>
          <w:bCs/>
          <w:sz w:val="32"/>
          <w:szCs w:val="32"/>
          <w:lang w:val="en-US" w:eastAsia="zh-CN"/>
        </w:rPr>
        <w:t>）</w:t>
      </w:r>
      <w:r>
        <w:rPr>
          <w:rFonts w:hint="eastAsia" w:ascii="方正楷体简体" w:hAnsi="方正楷体简体" w:eastAsia="方正楷体简体" w:cs="方正楷体简体"/>
          <w:b/>
          <w:bCs/>
          <w:sz w:val="32"/>
          <w:szCs w:val="32"/>
          <w:lang w:val="en-US" w:eastAsia="zh-CN"/>
        </w:rPr>
        <w:t>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bCs/>
          <w:i w:val="0"/>
          <w:caps w:val="0"/>
          <w:color w:val="auto"/>
          <w:spacing w:val="0"/>
          <w:kern w:val="0"/>
          <w:sz w:val="32"/>
          <w:szCs w:val="32"/>
          <w:lang w:val="en-US" w:eastAsia="zh-CN" w:bidi="ar"/>
        </w:rPr>
      </w:pPr>
      <w:r>
        <w:rPr>
          <w:rFonts w:hint="default" w:ascii="Times New Roman" w:hAnsi="Times New Roman" w:eastAsia="方正仿宋简体" w:cs="Times New Roman"/>
          <w:b/>
          <w:bCs/>
          <w:i w:val="0"/>
          <w:caps w:val="0"/>
          <w:color w:val="auto"/>
          <w:spacing w:val="0"/>
          <w:kern w:val="0"/>
          <w:sz w:val="32"/>
          <w:szCs w:val="32"/>
          <w:lang w:val="en-US" w:eastAsia="zh-CN" w:bidi="ar"/>
        </w:rPr>
        <w:t>强化组织领导，及时优化调整政务公开领导小组成员构成，明确各</w:t>
      </w:r>
      <w:r>
        <w:rPr>
          <w:rFonts w:hint="eastAsia" w:ascii="Times New Roman" w:hAnsi="Times New Roman" w:eastAsia="方正仿宋简体" w:cs="Times New Roman"/>
          <w:b/>
          <w:bCs/>
          <w:i w:val="0"/>
          <w:caps w:val="0"/>
          <w:color w:val="auto"/>
          <w:spacing w:val="0"/>
          <w:kern w:val="0"/>
          <w:sz w:val="32"/>
          <w:szCs w:val="32"/>
          <w:lang w:val="en-US" w:eastAsia="zh-CN" w:bidi="ar"/>
        </w:rPr>
        <w:t>科室</w:t>
      </w:r>
      <w:r>
        <w:rPr>
          <w:rFonts w:hint="default" w:ascii="Times New Roman" w:hAnsi="Times New Roman" w:eastAsia="方正仿宋简体" w:cs="Times New Roman"/>
          <w:b/>
          <w:bCs/>
          <w:i w:val="0"/>
          <w:caps w:val="0"/>
          <w:color w:val="auto"/>
          <w:spacing w:val="0"/>
          <w:kern w:val="0"/>
          <w:sz w:val="32"/>
          <w:szCs w:val="32"/>
          <w:lang w:val="en-US" w:eastAsia="zh-CN" w:bidi="ar"/>
        </w:rPr>
        <w:t>、单位职责分工，将任务分解至各环节、各岗位，确保工作横向覆盖全面、纵向落实到位。加强日常统筹与培训学习，持续提升政务公开队伍的专业能力和综合素质。同时，进一步拓宽公众参与渠道，健全重要政策意见征集、吸纳与反馈机制，推动政务公开与公众互动良性发展。</w:t>
      </w:r>
    </w:p>
    <w:p>
      <w:pPr>
        <w:keepNext w:val="0"/>
        <w:keepLines w:val="0"/>
        <w:pageBreakBefore w:val="0"/>
        <w:widowControl/>
        <w:kinsoku/>
        <w:wordWrap/>
        <w:overflowPunct/>
        <w:topLinePunct w:val="0"/>
        <w:autoSpaceDE/>
        <w:autoSpaceDN/>
        <w:bidi w:val="0"/>
        <w:adjustRightInd/>
        <w:snapToGrid/>
        <w:spacing w:after="313" w:afterLines="100" w:line="560" w:lineRule="exact"/>
        <w:ind w:firstLine="646"/>
        <w:jc w:val="left"/>
        <w:textAlignment w:val="auto"/>
        <w:rPr>
          <w:rFonts w:hint="eastAsia"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二、主动公开政府信息情况</w:t>
      </w:r>
    </w:p>
    <w:tbl>
      <w:tblPr>
        <w:tblStyle w:val="5"/>
        <w:tblW w:w="7616" w:type="dxa"/>
        <w:jc w:val="center"/>
        <w:tblLayout w:type="fixed"/>
        <w:tblCellMar>
          <w:top w:w="0" w:type="dxa"/>
          <w:left w:w="0" w:type="dxa"/>
          <w:bottom w:w="0" w:type="dxa"/>
          <w:right w:w="0" w:type="dxa"/>
        </w:tblCellMar>
      </w:tblPr>
      <w:tblGrid>
        <w:gridCol w:w="2528"/>
        <w:gridCol w:w="1692"/>
        <w:gridCol w:w="1692"/>
        <w:gridCol w:w="1704"/>
      </w:tblGrid>
      <w:tr>
        <w:tblPrEx>
          <w:tblCellMar>
            <w:top w:w="0" w:type="dxa"/>
            <w:left w:w="0" w:type="dxa"/>
            <w:bottom w:w="0" w:type="dxa"/>
            <w:right w:w="0" w:type="dxa"/>
          </w:tblCellMar>
        </w:tblPrEx>
        <w:trPr>
          <w:trHeight w:val="504" w:hRule="atLeast"/>
          <w:jc w:val="center"/>
        </w:trPr>
        <w:tc>
          <w:tcPr>
            <w:tcW w:w="7616" w:type="dxa"/>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第二十条第（一）项</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信息内容</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本年制发件数</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本年废止件数</w:t>
            </w:r>
          </w:p>
        </w:tc>
        <w:tc>
          <w:tcPr>
            <w:tcW w:w="1704"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现行有效件数</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规章</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c>
          <w:tcPr>
            <w:tcW w:w="1704"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行政规范性文件</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c>
          <w:tcPr>
            <w:tcW w:w="1692"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c>
          <w:tcPr>
            <w:tcW w:w="1704"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r>
      <w:tr>
        <w:tblPrEx>
          <w:tblCellMar>
            <w:top w:w="0" w:type="dxa"/>
            <w:left w:w="0" w:type="dxa"/>
            <w:bottom w:w="0" w:type="dxa"/>
            <w:right w:w="0" w:type="dxa"/>
          </w:tblCellMar>
        </w:tblPrEx>
        <w:trPr>
          <w:trHeight w:val="283" w:hRule="atLeast"/>
          <w:jc w:val="center"/>
        </w:trPr>
        <w:tc>
          <w:tcPr>
            <w:tcW w:w="7616"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第二十条第（五）项</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信息内容</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本年处理决定数量</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行政许可</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333333"/>
                <w:kern w:val="0"/>
                <w:sz w:val="24"/>
                <w:szCs w:val="24"/>
              </w:rPr>
              <w:t>0</w:t>
            </w:r>
          </w:p>
        </w:tc>
      </w:tr>
      <w:tr>
        <w:tblPrEx>
          <w:tblCellMar>
            <w:top w:w="0" w:type="dxa"/>
            <w:left w:w="0" w:type="dxa"/>
            <w:bottom w:w="0" w:type="dxa"/>
            <w:right w:w="0" w:type="dxa"/>
          </w:tblCellMar>
        </w:tblPrEx>
        <w:trPr>
          <w:trHeight w:val="283" w:hRule="atLeast"/>
          <w:jc w:val="center"/>
        </w:trPr>
        <w:tc>
          <w:tcPr>
            <w:tcW w:w="7616"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第二十条第（六）项</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信息内容</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本年处理决定数量</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行政处罚</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lang w:val="en-US" w:eastAsia="zh-CN"/>
              </w:rPr>
            </w:pPr>
            <w:r>
              <w:rPr>
                <w:rFonts w:hint="default" w:ascii="Times New Roman" w:hAnsi="Times New Roman" w:eastAsia="方正仿宋简体" w:cs="Times New Roman"/>
                <w:b/>
                <w:bCs/>
                <w:color w:val="333333"/>
                <w:kern w:val="0"/>
                <w:sz w:val="24"/>
                <w:szCs w:val="24"/>
                <w:lang w:val="en-US" w:eastAsia="zh-CN"/>
              </w:rPr>
              <w:t>3</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auto"/>
                <w:kern w:val="0"/>
                <w:sz w:val="24"/>
                <w:szCs w:val="24"/>
              </w:rPr>
            </w:pPr>
            <w:r>
              <w:rPr>
                <w:rFonts w:hint="default" w:ascii="Times New Roman" w:hAnsi="Times New Roman" w:eastAsia="方正仿宋简体" w:cs="Times New Roman"/>
                <w:b/>
                <w:bCs/>
                <w:color w:val="auto"/>
                <w:kern w:val="0"/>
                <w:sz w:val="24"/>
                <w:szCs w:val="24"/>
              </w:rPr>
              <w:t>行政强制</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auto"/>
                <w:kern w:val="0"/>
                <w:sz w:val="24"/>
                <w:szCs w:val="24"/>
                <w:lang w:val="en-US" w:eastAsia="zh-CN"/>
              </w:rPr>
            </w:pPr>
            <w:r>
              <w:rPr>
                <w:rFonts w:hint="default" w:ascii="Times New Roman" w:hAnsi="Times New Roman" w:eastAsia="方正仿宋简体" w:cs="Times New Roman"/>
                <w:b/>
                <w:bCs/>
                <w:color w:val="auto"/>
                <w:kern w:val="0"/>
                <w:sz w:val="24"/>
                <w:szCs w:val="24"/>
                <w:lang w:val="en-US" w:eastAsia="zh-CN"/>
              </w:rPr>
              <w:t>1</w:t>
            </w:r>
          </w:p>
        </w:tc>
      </w:tr>
      <w:tr>
        <w:tblPrEx>
          <w:tblCellMar>
            <w:top w:w="0" w:type="dxa"/>
            <w:left w:w="0" w:type="dxa"/>
            <w:bottom w:w="0" w:type="dxa"/>
            <w:right w:w="0" w:type="dxa"/>
          </w:tblCellMar>
        </w:tblPrEx>
        <w:trPr>
          <w:trHeight w:val="283" w:hRule="atLeast"/>
          <w:jc w:val="center"/>
        </w:trPr>
        <w:tc>
          <w:tcPr>
            <w:tcW w:w="7616" w:type="dxa"/>
            <w:gridSpan w:val="4"/>
            <w:tcBorders>
              <w:top w:val="nil"/>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第二十条第（八）项</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信息内容</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本年收费金额（单位：万元）</w:t>
            </w:r>
          </w:p>
        </w:tc>
      </w:tr>
      <w:tr>
        <w:tblPrEx>
          <w:tblCellMar>
            <w:top w:w="0" w:type="dxa"/>
            <w:left w:w="0" w:type="dxa"/>
            <w:bottom w:w="0" w:type="dxa"/>
            <w:right w:w="0" w:type="dxa"/>
          </w:tblCellMar>
        </w:tblPrEx>
        <w:trPr>
          <w:trHeight w:val="283" w:hRule="atLeast"/>
          <w:jc w:val="center"/>
        </w:trPr>
        <w:tc>
          <w:tcPr>
            <w:tcW w:w="2528"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行政事业性收费</w:t>
            </w:r>
          </w:p>
        </w:tc>
        <w:tc>
          <w:tcPr>
            <w:tcW w:w="5088" w:type="dxa"/>
            <w:gridSpan w:val="3"/>
            <w:tcBorders>
              <w:top w:val="nil"/>
              <w:left w:val="nil"/>
              <w:bottom w:val="single" w:color="auto" w:sz="6" w:space="0"/>
              <w:right w:val="single" w:color="000000" w:sz="6" w:space="0"/>
            </w:tcBorders>
            <w:tcMar>
              <w:top w:w="0" w:type="dxa"/>
              <w:left w:w="105" w:type="dxa"/>
              <w:bottom w:w="0" w:type="dxa"/>
              <w:right w:w="105" w:type="dxa"/>
            </w:tcMar>
            <w:vAlign w:val="center"/>
          </w:tcPr>
          <w:p>
            <w:pPr>
              <w:widowControl/>
              <w:spacing w:line="450" w:lineRule="atLeast"/>
              <w:jc w:val="center"/>
              <w:rPr>
                <w:rFonts w:hint="default" w:ascii="Times New Roman" w:hAnsi="Times New Roman" w:eastAsia="方正仿宋简体" w:cs="Times New Roman"/>
                <w:b/>
                <w:bCs/>
                <w:color w:val="333333"/>
                <w:kern w:val="0"/>
                <w:sz w:val="24"/>
                <w:szCs w:val="24"/>
              </w:rPr>
            </w:pPr>
            <w:r>
              <w:rPr>
                <w:rFonts w:hint="default" w:ascii="Times New Roman" w:hAnsi="Times New Roman" w:eastAsia="方正仿宋简体" w:cs="Times New Roman"/>
                <w:b/>
                <w:bCs/>
                <w:color w:val="000000"/>
                <w:kern w:val="0"/>
                <w:sz w:val="24"/>
                <w:szCs w:val="24"/>
              </w:rPr>
              <w:t>0</w:t>
            </w:r>
          </w:p>
        </w:tc>
      </w:tr>
    </w:tbl>
    <w:p>
      <w:pPr>
        <w:keepNext w:val="0"/>
        <w:keepLines w:val="0"/>
        <w:pageBreakBefore w:val="0"/>
        <w:widowControl w:val="0"/>
        <w:kinsoku/>
        <w:wordWrap/>
        <w:overflowPunct/>
        <w:topLinePunct w:val="0"/>
        <w:autoSpaceDE/>
        <w:autoSpaceDN/>
        <w:bidi w:val="0"/>
        <w:adjustRightInd/>
        <w:snapToGrid/>
        <w:spacing w:before="313" w:beforeLines="100" w:line="560" w:lineRule="exact"/>
        <w:ind w:firstLine="643" w:firstLineChars="200"/>
        <w:jc w:val="both"/>
        <w:textAlignment w:val="auto"/>
        <w:rPr>
          <w:rFonts w:hint="eastAsia"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三、收到和处理政府信息公开申请情况</w:t>
      </w:r>
    </w:p>
    <w:tbl>
      <w:tblPr>
        <w:tblStyle w:val="5"/>
        <w:tblW w:w="7604" w:type="dxa"/>
        <w:jc w:val="center"/>
        <w:tblLayout w:type="fixed"/>
        <w:tblCellMar>
          <w:top w:w="0" w:type="dxa"/>
          <w:left w:w="0" w:type="dxa"/>
          <w:bottom w:w="0" w:type="dxa"/>
          <w:right w:w="0" w:type="dxa"/>
        </w:tblCellMar>
      </w:tblPr>
      <w:tblGrid>
        <w:gridCol w:w="510"/>
        <w:gridCol w:w="855"/>
        <w:gridCol w:w="3069"/>
        <w:gridCol w:w="469"/>
        <w:gridCol w:w="469"/>
        <w:gridCol w:w="458"/>
        <w:gridCol w:w="469"/>
        <w:gridCol w:w="446"/>
        <w:gridCol w:w="435"/>
        <w:gridCol w:w="424"/>
      </w:tblGrid>
      <w:tr>
        <w:tblPrEx>
          <w:tblCellMar>
            <w:top w:w="0" w:type="dxa"/>
            <w:left w:w="0" w:type="dxa"/>
            <w:bottom w:w="0" w:type="dxa"/>
            <w:right w:w="0" w:type="dxa"/>
          </w:tblCellMar>
        </w:tblPrEx>
        <w:trPr>
          <w:trHeight w:val="537" w:hRule="atLeast"/>
          <w:jc w:val="center"/>
        </w:trPr>
        <w:tc>
          <w:tcPr>
            <w:tcW w:w="4434" w:type="dxa"/>
            <w:gridSpan w:val="3"/>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（本列数据的勾稽关系为：第一项加第二项之和，等于第三项加第四项之和）</w:t>
            </w:r>
          </w:p>
        </w:tc>
        <w:tc>
          <w:tcPr>
            <w:tcW w:w="3170" w:type="dxa"/>
            <w:gridSpan w:val="7"/>
            <w:tcBorders>
              <w:top w:val="single" w:color="auto" w:sz="6" w:space="0"/>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申请人情况</w:t>
            </w:r>
          </w:p>
        </w:tc>
      </w:tr>
      <w:tr>
        <w:tblPrEx>
          <w:tblCellMar>
            <w:top w:w="0" w:type="dxa"/>
            <w:left w:w="0" w:type="dxa"/>
            <w:bottom w:w="0" w:type="dxa"/>
            <w:right w:w="0" w:type="dxa"/>
          </w:tblCellMar>
        </w:tblPrEx>
        <w:trPr>
          <w:trHeight w:val="522" w:hRule="atLeast"/>
          <w:jc w:val="center"/>
        </w:trPr>
        <w:tc>
          <w:tcPr>
            <w:tcW w:w="4434" w:type="dxa"/>
            <w:gridSpan w:val="3"/>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hint="eastAsia" w:ascii="方正仿宋简体" w:hAnsi="方正仿宋简体" w:eastAsia="方正仿宋简体" w:cs="方正仿宋简体"/>
                <w:b/>
                <w:bCs/>
                <w:color w:val="333333"/>
                <w:kern w:val="0"/>
                <w:szCs w:val="21"/>
              </w:rPr>
            </w:pPr>
          </w:p>
        </w:tc>
        <w:tc>
          <w:tcPr>
            <w:tcW w:w="469"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自然人</w:t>
            </w:r>
          </w:p>
        </w:tc>
        <w:tc>
          <w:tcPr>
            <w:tcW w:w="2277" w:type="dxa"/>
            <w:gridSpan w:val="5"/>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法人或其他组织</w:t>
            </w:r>
          </w:p>
        </w:tc>
        <w:tc>
          <w:tcPr>
            <w:tcW w:w="424"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总计</w:t>
            </w:r>
          </w:p>
        </w:tc>
      </w:tr>
      <w:tr>
        <w:tblPrEx>
          <w:tblCellMar>
            <w:top w:w="0" w:type="dxa"/>
            <w:left w:w="0" w:type="dxa"/>
            <w:bottom w:w="0" w:type="dxa"/>
            <w:right w:w="0" w:type="dxa"/>
          </w:tblCellMar>
        </w:tblPrEx>
        <w:trPr>
          <w:trHeight w:val="2112" w:hRule="atLeast"/>
          <w:jc w:val="center"/>
        </w:trPr>
        <w:tc>
          <w:tcPr>
            <w:tcW w:w="4434" w:type="dxa"/>
            <w:gridSpan w:val="3"/>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469" w:type="dxa"/>
            <w:vMerge w:val="continue"/>
            <w:tcBorders>
              <w:top w:val="nil"/>
              <w:left w:val="nil"/>
              <w:bottom w:val="single" w:color="auto" w:sz="6" w:space="0"/>
              <w:right w:val="single" w:color="auto" w:sz="6" w:space="0"/>
            </w:tcBorders>
            <w:vAlign w:val="center"/>
          </w:tcPr>
          <w:p>
            <w:pPr>
              <w:widowControl/>
              <w:jc w:val="left"/>
              <w:rPr>
                <w:rFonts w:hint="eastAsia" w:ascii="方正仿宋简体" w:hAnsi="方正仿宋简体" w:eastAsia="方正仿宋简体" w:cs="方正仿宋简体"/>
                <w:b/>
                <w:bCs/>
                <w:color w:val="333333"/>
                <w:kern w:val="0"/>
                <w:szCs w:val="21"/>
              </w:rPr>
            </w:pP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商业企业</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科研机构</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社会公益组织</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法律服务机构</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仿宋简体" w:hAnsi="方正仿宋简体" w:eastAsia="方正仿宋简体" w:cs="方正仿宋简体"/>
                <w:b/>
                <w:bCs/>
                <w:color w:val="333333"/>
                <w:kern w:val="0"/>
                <w:szCs w:val="21"/>
              </w:rPr>
            </w:pPr>
            <w:r>
              <w:rPr>
                <w:rFonts w:hint="eastAsia" w:ascii="方正仿宋简体" w:hAnsi="方正仿宋简体" w:eastAsia="方正仿宋简体" w:cs="方正仿宋简体"/>
                <w:b/>
                <w:bCs/>
                <w:color w:val="333333"/>
                <w:kern w:val="0"/>
                <w:szCs w:val="21"/>
              </w:rPr>
              <w:t>其他</w:t>
            </w:r>
          </w:p>
        </w:tc>
        <w:tc>
          <w:tcPr>
            <w:tcW w:w="424" w:type="dxa"/>
            <w:vMerge w:val="continue"/>
            <w:tcBorders>
              <w:top w:val="nil"/>
              <w:left w:val="nil"/>
              <w:bottom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r>
      <w:tr>
        <w:tblPrEx>
          <w:tblCellMar>
            <w:top w:w="0" w:type="dxa"/>
            <w:left w:w="0" w:type="dxa"/>
            <w:bottom w:w="0" w:type="dxa"/>
            <w:right w:w="0" w:type="dxa"/>
          </w:tblCellMar>
        </w:tblPrEx>
        <w:trPr>
          <w:trHeight w:val="336" w:hRule="atLeast"/>
          <w:jc w:val="center"/>
        </w:trPr>
        <w:tc>
          <w:tcPr>
            <w:tcW w:w="4434"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ascii="宋体" w:hAnsi="宋体" w:eastAsia="宋体" w:cs="宋体"/>
                <w:b/>
                <w:bCs/>
                <w:color w:val="333333"/>
                <w:kern w:val="0"/>
                <w:szCs w:val="21"/>
              </w:rPr>
            </w:pPr>
            <w:r>
              <w:rPr>
                <w:rFonts w:hint="eastAsia" w:ascii="方正黑体简体" w:hAnsi="方正黑体简体" w:eastAsia="方正黑体简体" w:cs="方正黑体简体"/>
                <w:b/>
                <w:bCs/>
                <w:color w:val="333333"/>
                <w:kern w:val="0"/>
                <w:szCs w:val="21"/>
              </w:rPr>
              <w:t>一、本年新收政府信息公开申请数量</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val="en-US" w:eastAsia="zh-CN"/>
              </w:rPr>
            </w:pPr>
            <w:r>
              <w:rPr>
                <w:rFonts w:hint="default" w:ascii="Times New Roman" w:hAnsi="Times New Roman" w:eastAsia="宋体" w:cs="Times New Roman"/>
                <w:b/>
                <w:bCs/>
                <w:color w:val="333333"/>
                <w:kern w:val="0"/>
                <w:szCs w:val="21"/>
                <w:highlight w:val="none"/>
                <w:lang w:val="en-US" w:eastAsia="zh-CN"/>
              </w:rPr>
              <w:t>1</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val="en-US" w:eastAsia="zh-CN"/>
              </w:rPr>
            </w:pPr>
            <w:r>
              <w:rPr>
                <w:rFonts w:hint="default" w:ascii="Times New Roman" w:hAnsi="Times New Roman" w:eastAsia="宋体" w:cs="Times New Roman"/>
                <w:b/>
                <w:bCs/>
                <w:color w:val="333333"/>
                <w:kern w:val="0"/>
                <w:szCs w:val="21"/>
                <w:highlight w:val="none"/>
                <w:lang w:val="en-US" w:eastAsia="zh-CN"/>
              </w:rPr>
              <w:t>1</w:t>
            </w:r>
          </w:p>
        </w:tc>
      </w:tr>
      <w:tr>
        <w:tblPrEx>
          <w:tblCellMar>
            <w:top w:w="0" w:type="dxa"/>
            <w:left w:w="0" w:type="dxa"/>
            <w:bottom w:w="0" w:type="dxa"/>
            <w:right w:w="0" w:type="dxa"/>
          </w:tblCellMar>
        </w:tblPrEx>
        <w:trPr>
          <w:trHeight w:val="312" w:hRule="atLeast"/>
          <w:jc w:val="center"/>
        </w:trPr>
        <w:tc>
          <w:tcPr>
            <w:tcW w:w="4434"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ascii="宋体" w:hAnsi="宋体" w:eastAsia="宋体" w:cs="宋体"/>
                <w:b/>
                <w:bCs/>
                <w:color w:val="333333"/>
                <w:kern w:val="0"/>
                <w:szCs w:val="21"/>
              </w:rPr>
            </w:pPr>
            <w:r>
              <w:rPr>
                <w:rFonts w:hint="eastAsia" w:ascii="方正黑体简体" w:hAnsi="方正黑体简体" w:eastAsia="方正黑体简体" w:cs="方正黑体简体"/>
                <w:b/>
                <w:bCs/>
                <w:color w:val="333333"/>
                <w:kern w:val="0"/>
                <w:szCs w:val="21"/>
              </w:rPr>
              <w:t>二、上年结转政府信息公开申请数量</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300" w:hRule="atLeast"/>
          <w:jc w:val="center"/>
        </w:trPr>
        <w:tc>
          <w:tcPr>
            <w:tcW w:w="510" w:type="dxa"/>
            <w:vMerge w:val="restart"/>
            <w:tcBorders>
              <w:top w:val="nil"/>
              <w:left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eastAsia" w:ascii="方正黑体简体" w:hAnsi="方正黑体简体" w:eastAsia="方正黑体简体" w:cs="方正黑体简体"/>
                <w:b/>
                <w:bCs/>
                <w:color w:val="333333"/>
                <w:kern w:val="0"/>
                <w:szCs w:val="21"/>
              </w:rPr>
            </w:pPr>
          </w:p>
          <w:p>
            <w:pPr>
              <w:widowControl/>
              <w:spacing w:line="300" w:lineRule="atLeast"/>
              <w:jc w:val="center"/>
              <w:rPr>
                <w:rFonts w:hint="eastAsia" w:ascii="方正黑体简体" w:hAnsi="方正黑体简体" w:eastAsia="方正黑体简体" w:cs="方正黑体简体"/>
                <w:b/>
                <w:bCs/>
                <w:color w:val="333333"/>
                <w:kern w:val="0"/>
                <w:szCs w:val="21"/>
              </w:rPr>
            </w:pPr>
          </w:p>
          <w:p>
            <w:pPr>
              <w:widowControl/>
              <w:spacing w:line="300" w:lineRule="atLeast"/>
              <w:jc w:val="center"/>
              <w:rPr>
                <w:rFonts w:hint="eastAsia" w:ascii="方正黑体简体" w:hAnsi="方正黑体简体" w:eastAsia="方正黑体简体" w:cs="方正黑体简体"/>
                <w:b/>
                <w:bCs/>
                <w:color w:val="333333"/>
                <w:kern w:val="0"/>
                <w:szCs w:val="21"/>
              </w:rPr>
            </w:pPr>
          </w:p>
          <w:p>
            <w:pPr>
              <w:widowControl/>
              <w:spacing w:line="300" w:lineRule="atLeast"/>
              <w:jc w:val="center"/>
              <w:rPr>
                <w:rFonts w:hint="eastAsia" w:ascii="方正黑体简体" w:hAnsi="方正黑体简体" w:eastAsia="方正黑体简体" w:cs="方正黑体简体"/>
                <w:b/>
                <w:bCs/>
                <w:color w:val="333333"/>
                <w:kern w:val="0"/>
                <w:szCs w:val="21"/>
              </w:rPr>
            </w:pPr>
          </w:p>
          <w:p>
            <w:pPr>
              <w:widowControl/>
              <w:spacing w:line="300" w:lineRule="atLeast"/>
              <w:jc w:val="center"/>
              <w:rPr>
                <w:rFonts w:hint="eastAsia" w:ascii="方正黑体简体" w:hAnsi="方正黑体简体" w:eastAsia="方正黑体简体" w:cs="方正黑体简体"/>
                <w:b/>
                <w:bCs/>
                <w:color w:val="333333"/>
                <w:kern w:val="0"/>
                <w:szCs w:val="21"/>
              </w:rPr>
            </w:pP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三</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本</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年</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度</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办</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理</w:t>
            </w:r>
          </w:p>
          <w:p>
            <w:pPr>
              <w:widowControl/>
              <w:spacing w:line="300" w:lineRule="atLeast"/>
              <w:jc w:val="center"/>
              <w:rPr>
                <w:rFonts w:hint="eastAsia" w:ascii="方正黑体简体" w:hAnsi="方正黑体简体" w:eastAsia="方正黑体简体" w:cs="方正黑体简体"/>
                <w:b/>
                <w:bCs/>
                <w:color w:val="333333"/>
                <w:kern w:val="0"/>
                <w:szCs w:val="21"/>
              </w:rPr>
            </w:pPr>
            <w:r>
              <w:rPr>
                <w:rFonts w:hint="eastAsia" w:ascii="方正黑体简体" w:hAnsi="方正黑体简体" w:eastAsia="方正黑体简体" w:cs="方正黑体简体"/>
                <w:b/>
                <w:bCs/>
                <w:color w:val="333333"/>
                <w:kern w:val="0"/>
                <w:szCs w:val="21"/>
              </w:rPr>
              <w:t>结</w:t>
            </w:r>
          </w:p>
          <w:p>
            <w:pPr>
              <w:widowControl/>
              <w:spacing w:line="300" w:lineRule="atLeast"/>
              <w:jc w:val="center"/>
              <w:rPr>
                <w:rFonts w:ascii="宋体" w:hAnsi="宋体" w:eastAsia="宋体" w:cs="宋体"/>
                <w:b/>
                <w:bCs/>
                <w:color w:val="333333"/>
                <w:kern w:val="0"/>
                <w:szCs w:val="21"/>
              </w:rPr>
            </w:pPr>
            <w:r>
              <w:rPr>
                <w:rFonts w:hint="eastAsia" w:ascii="方正黑体简体" w:hAnsi="方正黑体简体" w:eastAsia="方正黑体简体" w:cs="方正黑体简体"/>
                <w:b/>
                <w:bCs/>
                <w:color w:val="333333"/>
                <w:kern w:val="0"/>
                <w:szCs w:val="21"/>
              </w:rPr>
              <w:t>果</w:t>
            </w:r>
          </w:p>
        </w:tc>
        <w:tc>
          <w:tcPr>
            <w:tcW w:w="3924" w:type="dxa"/>
            <w:gridSpan w:val="2"/>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（一）予以公开</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val="en-US" w:eastAsia="zh-CN"/>
              </w:rPr>
            </w:pPr>
            <w:r>
              <w:rPr>
                <w:rFonts w:hint="default" w:ascii="Times New Roman" w:hAnsi="Times New Roman" w:eastAsia="宋体" w:cs="Times New Roman"/>
                <w:b/>
                <w:bCs/>
                <w:color w:val="333333"/>
                <w:kern w:val="0"/>
                <w:szCs w:val="21"/>
                <w:highlight w:val="none"/>
                <w:lang w:val="en-US" w:eastAsia="zh-CN"/>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val="en-US" w:eastAsia="zh-CN"/>
              </w:rPr>
            </w:pPr>
            <w:r>
              <w:rPr>
                <w:rFonts w:hint="default" w:ascii="Times New Roman" w:hAnsi="Times New Roman" w:eastAsia="宋体" w:cs="Times New Roman"/>
                <w:b/>
                <w:bCs/>
                <w:color w:val="333333"/>
                <w:kern w:val="0"/>
                <w:szCs w:val="21"/>
                <w:highlight w:val="none"/>
                <w:lang w:val="en-US" w:eastAsia="zh-CN"/>
              </w:rPr>
              <w:t>0</w:t>
            </w:r>
          </w:p>
        </w:tc>
      </w:tr>
      <w:tr>
        <w:tblPrEx>
          <w:tblCellMar>
            <w:top w:w="0" w:type="dxa"/>
            <w:left w:w="0" w:type="dxa"/>
            <w:bottom w:w="0" w:type="dxa"/>
            <w:right w:w="0" w:type="dxa"/>
          </w:tblCellMar>
        </w:tblPrEx>
        <w:trPr>
          <w:trHeight w:val="564"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3924" w:type="dxa"/>
            <w:gridSpan w:val="2"/>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（二）部分公开（区分处理的，只计这一情形，不计其他情形）</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（三）不予公开</w:t>
            </w: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1.属于国家秘密</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2.其他法律行政法规禁止公开</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3.危及“三安全一稳定”</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4.保护第三方合法权益</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5.属于三类内部事务信息</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6.属于四类过程性信息</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7.属于行政执法案卷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8.属于行政查询事项</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64"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（四）无法提供</w:t>
            </w: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1.本机关不掌握相关政府信息</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2.没有现成信息需要另行制作</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276"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color w:val="333333"/>
                <w:kern w:val="0"/>
                <w:szCs w:val="21"/>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3.补正后申请内容仍不明确</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tcMar>
              <w:top w:w="0" w:type="dxa"/>
              <w:left w:w="60" w:type="dxa"/>
              <w:bottom w:w="0" w:type="dxa"/>
              <w:right w:w="60" w:type="dxa"/>
            </w:tcMar>
            <w:vAlign w:val="center"/>
          </w:tcPr>
          <w:p>
            <w:pPr>
              <w:widowControl/>
              <w:jc w:val="left"/>
              <w:rPr>
                <w:rFonts w:ascii="宋体" w:hAnsi="宋体" w:eastAsia="宋体" w:cs="宋体"/>
                <w:b/>
                <w:bCs/>
                <w:kern w:val="0"/>
                <w:sz w:val="24"/>
                <w:szCs w:val="24"/>
              </w:rPr>
            </w:pPr>
          </w:p>
        </w:tc>
        <w:tc>
          <w:tcPr>
            <w:tcW w:w="855"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（五）不予处理</w:t>
            </w: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1.信访举报投诉类申请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lang w:eastAsia="zh-CN"/>
              </w:rPr>
            </w:pPr>
            <w:r>
              <w:rPr>
                <w:rFonts w:hint="default" w:ascii="Times New Roman" w:hAnsi="Times New Roman" w:eastAsia="仿宋_GB2312" w:cs="Times New Roman"/>
                <w:b/>
                <w:bCs/>
                <w:color w:val="333333"/>
                <w:kern w:val="0"/>
                <w:szCs w:val="21"/>
                <w:lang w:val="en-US" w:eastAsia="zh-CN"/>
              </w:rPr>
              <w:t>1</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lang w:val="en-US" w:eastAsia="zh-CN"/>
              </w:rPr>
            </w:pPr>
            <w:r>
              <w:rPr>
                <w:rFonts w:hint="default" w:ascii="Times New Roman" w:hAnsi="Times New Roman" w:eastAsia="仿宋_GB2312" w:cs="Times New Roman"/>
                <w:b/>
                <w:bCs/>
                <w:color w:val="333333"/>
                <w:kern w:val="0"/>
                <w:szCs w:val="21"/>
                <w:lang w:val="en-US" w:eastAsia="zh-CN"/>
              </w:rPr>
              <w:t>1</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2.重复申请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3.要求提供公开出版物</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4.无正当理由大量反复申请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trHeight w:val="624" w:hRule="atLeast"/>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5.要求行政机关确认或重新出具已获取信息</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restart"/>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（六）其他处理</w:t>
            </w:r>
          </w:p>
        </w:tc>
        <w:tc>
          <w:tcPr>
            <w:tcW w:w="30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1.申请人无正当理由逾期不补正、行政机关不再处理其政府信息公开申请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both"/>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2.申请人逾期未按收费通知要求缴纳费用、行政机关不再处理其政府信息公开申请</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855"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Cs w:val="21"/>
              </w:rPr>
            </w:pPr>
          </w:p>
        </w:tc>
        <w:tc>
          <w:tcPr>
            <w:tcW w:w="30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3.其他</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r>
        <w:tblPrEx>
          <w:tblCellMar>
            <w:top w:w="0" w:type="dxa"/>
            <w:left w:w="0" w:type="dxa"/>
            <w:bottom w:w="0" w:type="dxa"/>
            <w:right w:w="0" w:type="dxa"/>
          </w:tblCellMar>
        </w:tblPrEx>
        <w:trPr>
          <w:jc w:val="center"/>
        </w:trPr>
        <w:tc>
          <w:tcPr>
            <w:tcW w:w="510" w:type="dxa"/>
            <w:vMerge w:val="continue"/>
            <w:tcBorders>
              <w:left w:val="single" w:color="auto" w:sz="6" w:space="0"/>
              <w:bottom w:val="single" w:color="auto" w:sz="6" w:space="0"/>
              <w:right w:val="single" w:color="auto" w:sz="6" w:space="0"/>
            </w:tcBorders>
            <w:vAlign w:val="center"/>
          </w:tcPr>
          <w:p>
            <w:pPr>
              <w:widowControl/>
              <w:jc w:val="left"/>
              <w:rPr>
                <w:rFonts w:ascii="宋体" w:hAnsi="宋体" w:eastAsia="宋体" w:cs="宋体"/>
                <w:b/>
                <w:bCs/>
                <w:kern w:val="0"/>
                <w:sz w:val="24"/>
                <w:szCs w:val="24"/>
              </w:rPr>
            </w:pPr>
          </w:p>
        </w:tc>
        <w:tc>
          <w:tcPr>
            <w:tcW w:w="3924" w:type="dxa"/>
            <w:gridSpan w:val="2"/>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hint="default" w:ascii="Times New Roman" w:hAnsi="Times New Roman" w:eastAsia="方正仿宋简体" w:cs="Times New Roman"/>
                <w:b/>
                <w:bCs/>
                <w:color w:val="333333"/>
                <w:kern w:val="0"/>
                <w:szCs w:val="21"/>
              </w:rPr>
            </w:pPr>
            <w:r>
              <w:rPr>
                <w:rFonts w:hint="default" w:ascii="Times New Roman" w:hAnsi="Times New Roman" w:eastAsia="方正仿宋简体" w:cs="Times New Roman"/>
                <w:b/>
                <w:bCs/>
                <w:color w:val="333333"/>
                <w:kern w:val="0"/>
                <w:szCs w:val="21"/>
              </w:rPr>
              <w:t>（七）总计</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eastAsia="zh-CN"/>
              </w:rPr>
            </w:pPr>
            <w:r>
              <w:rPr>
                <w:rFonts w:hint="default" w:ascii="Times New Roman" w:hAnsi="Times New Roman" w:eastAsia="仿宋_GB2312" w:cs="Times New Roman"/>
                <w:b/>
                <w:bCs/>
                <w:color w:val="333333"/>
                <w:kern w:val="0"/>
                <w:szCs w:val="21"/>
                <w:highlight w:val="none"/>
                <w:lang w:val="en-US" w:eastAsia="zh-CN"/>
              </w:rPr>
              <w:t>1</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rPr>
            </w:pPr>
            <w:r>
              <w:rPr>
                <w:rFonts w:hint="default" w:ascii="Times New Roman" w:hAnsi="Times New Roman" w:eastAsia="仿宋_GB2312" w:cs="Times New Roman"/>
                <w:b/>
                <w:bCs/>
                <w:color w:val="333333"/>
                <w:kern w:val="0"/>
                <w:szCs w:val="21"/>
                <w:highlight w:val="none"/>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highlight w:val="none"/>
                <w:lang w:eastAsia="zh-CN"/>
              </w:rPr>
            </w:pPr>
            <w:r>
              <w:rPr>
                <w:rFonts w:hint="default" w:ascii="Times New Roman" w:hAnsi="Times New Roman" w:eastAsia="仿宋_GB2312" w:cs="Times New Roman"/>
                <w:b/>
                <w:bCs/>
                <w:color w:val="333333"/>
                <w:kern w:val="0"/>
                <w:szCs w:val="21"/>
                <w:highlight w:val="none"/>
                <w:lang w:val="en-US" w:eastAsia="zh-CN"/>
              </w:rPr>
              <w:t>1</w:t>
            </w:r>
          </w:p>
        </w:tc>
      </w:tr>
      <w:tr>
        <w:tblPrEx>
          <w:tblCellMar>
            <w:top w:w="0" w:type="dxa"/>
            <w:left w:w="0" w:type="dxa"/>
            <w:bottom w:w="0" w:type="dxa"/>
            <w:right w:w="0" w:type="dxa"/>
          </w:tblCellMar>
        </w:tblPrEx>
        <w:trPr>
          <w:jc w:val="center"/>
        </w:trPr>
        <w:tc>
          <w:tcPr>
            <w:tcW w:w="4434"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left"/>
              <w:rPr>
                <w:rFonts w:ascii="宋体" w:hAnsi="宋体" w:eastAsia="宋体" w:cs="宋体"/>
                <w:b/>
                <w:bCs/>
                <w:color w:val="333333"/>
                <w:kern w:val="0"/>
                <w:szCs w:val="21"/>
              </w:rPr>
            </w:pPr>
            <w:r>
              <w:rPr>
                <w:rFonts w:hint="eastAsia" w:ascii="方正黑体简体" w:hAnsi="方正黑体简体" w:eastAsia="方正黑体简体" w:cs="方正黑体简体"/>
                <w:b/>
                <w:bCs/>
                <w:color w:val="333333"/>
                <w:kern w:val="0"/>
                <w:szCs w:val="21"/>
              </w:rPr>
              <w:t>四、结转下年度继续办理</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58"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69"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46"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35"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c>
          <w:tcPr>
            <w:tcW w:w="424" w:type="dxa"/>
            <w:tcBorders>
              <w:top w:val="nil"/>
              <w:left w:val="nil"/>
              <w:bottom w:val="single" w:color="auto" w:sz="6" w:space="0"/>
              <w:right w:val="single" w:color="auto" w:sz="6" w:space="0"/>
            </w:tcBorders>
            <w:tcMar>
              <w:top w:w="0" w:type="dxa"/>
              <w:left w:w="60" w:type="dxa"/>
              <w:bottom w:w="0" w:type="dxa"/>
              <w:right w:w="60" w:type="dxa"/>
            </w:tcMar>
            <w:vAlign w:val="center"/>
          </w:tcPr>
          <w:p>
            <w:pPr>
              <w:widowControl/>
              <w:spacing w:line="300" w:lineRule="atLeast"/>
              <w:jc w:val="center"/>
              <w:rPr>
                <w:rFonts w:hint="default" w:ascii="Times New Roman" w:hAnsi="Times New Roman" w:eastAsia="宋体" w:cs="Times New Roman"/>
                <w:b/>
                <w:bCs/>
                <w:color w:val="333333"/>
                <w:kern w:val="0"/>
                <w:szCs w:val="21"/>
              </w:rPr>
            </w:pPr>
            <w:r>
              <w:rPr>
                <w:rFonts w:hint="default" w:ascii="Times New Roman" w:hAnsi="Times New Roman" w:eastAsia="仿宋_GB2312" w:cs="Times New Roman"/>
                <w:b/>
                <w:bCs/>
                <w:color w:val="333333"/>
                <w:kern w:val="0"/>
                <w:szCs w:val="21"/>
              </w:rPr>
              <w:t>0</w:t>
            </w:r>
          </w:p>
        </w:tc>
      </w:tr>
    </w:tbl>
    <w:p>
      <w:pPr>
        <w:keepNext w:val="0"/>
        <w:keepLines w:val="0"/>
        <w:pageBreakBefore w:val="0"/>
        <w:widowControl/>
        <w:kinsoku/>
        <w:wordWrap/>
        <w:overflowPunct/>
        <w:topLinePunct w:val="0"/>
        <w:autoSpaceDE/>
        <w:autoSpaceDN/>
        <w:bidi w:val="0"/>
        <w:adjustRightInd/>
        <w:snapToGrid/>
        <w:spacing w:before="157" w:beforeLines="50" w:line="555" w:lineRule="atLeast"/>
        <w:ind w:firstLine="646"/>
        <w:jc w:val="left"/>
        <w:textAlignment w:val="auto"/>
        <w:rPr>
          <w:rFonts w:hint="eastAsia"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四、政府信息公开行政复议、行政诉讼情况</w:t>
      </w:r>
    </w:p>
    <w:tbl>
      <w:tblPr>
        <w:tblStyle w:val="5"/>
        <w:tblW w:w="7624" w:type="dxa"/>
        <w:jc w:val="center"/>
        <w:tblLayout w:type="fixed"/>
        <w:tblCellMar>
          <w:top w:w="0" w:type="dxa"/>
          <w:left w:w="0" w:type="dxa"/>
          <w:bottom w:w="0" w:type="dxa"/>
          <w:right w:w="0" w:type="dxa"/>
        </w:tblCellMar>
      </w:tblPr>
      <w:tblGrid>
        <w:gridCol w:w="510"/>
        <w:gridCol w:w="510"/>
        <w:gridCol w:w="510"/>
        <w:gridCol w:w="510"/>
        <w:gridCol w:w="510"/>
        <w:gridCol w:w="510"/>
        <w:gridCol w:w="510"/>
        <w:gridCol w:w="510"/>
        <w:gridCol w:w="510"/>
        <w:gridCol w:w="510"/>
        <w:gridCol w:w="510"/>
        <w:gridCol w:w="510"/>
        <w:gridCol w:w="510"/>
        <w:gridCol w:w="510"/>
        <w:gridCol w:w="484"/>
      </w:tblGrid>
      <w:tr>
        <w:tblPrEx>
          <w:tblCellMar>
            <w:top w:w="0" w:type="dxa"/>
            <w:left w:w="0" w:type="dxa"/>
            <w:bottom w:w="0" w:type="dxa"/>
            <w:right w:w="0" w:type="dxa"/>
          </w:tblCellMar>
        </w:tblPrEx>
        <w:trPr>
          <w:trHeight w:val="360" w:hRule="atLeast"/>
          <w:jc w:val="center"/>
        </w:trPr>
        <w:tc>
          <w:tcPr>
            <w:tcW w:w="2550"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行政复议</w:t>
            </w:r>
          </w:p>
        </w:tc>
        <w:tc>
          <w:tcPr>
            <w:tcW w:w="5074" w:type="dxa"/>
            <w:gridSpan w:val="10"/>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行政诉讼</w:t>
            </w:r>
          </w:p>
        </w:tc>
      </w:tr>
      <w:tr>
        <w:tblPrEx>
          <w:tblCellMar>
            <w:top w:w="0" w:type="dxa"/>
            <w:left w:w="0" w:type="dxa"/>
            <w:bottom w:w="0" w:type="dxa"/>
            <w:right w:w="0" w:type="dxa"/>
          </w:tblCellMar>
        </w:tblPrEx>
        <w:trPr>
          <w:jc w:val="center"/>
        </w:trPr>
        <w:tc>
          <w:tcPr>
            <w:tcW w:w="510"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结果维持</w:t>
            </w:r>
          </w:p>
        </w:tc>
        <w:tc>
          <w:tcPr>
            <w:tcW w:w="510"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结果纠正</w:t>
            </w:r>
          </w:p>
        </w:tc>
        <w:tc>
          <w:tcPr>
            <w:tcW w:w="510"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其他</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结果</w:t>
            </w:r>
          </w:p>
        </w:tc>
        <w:tc>
          <w:tcPr>
            <w:tcW w:w="510"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尚未</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审结</w:t>
            </w:r>
          </w:p>
        </w:tc>
        <w:tc>
          <w:tcPr>
            <w:tcW w:w="510"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总计</w:t>
            </w:r>
          </w:p>
        </w:tc>
        <w:tc>
          <w:tcPr>
            <w:tcW w:w="2550" w:type="dxa"/>
            <w:gridSpan w:val="5"/>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未经复议直接起诉</w:t>
            </w:r>
          </w:p>
        </w:tc>
        <w:tc>
          <w:tcPr>
            <w:tcW w:w="2524" w:type="dxa"/>
            <w:gridSpan w:val="5"/>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复议后起诉</w:t>
            </w:r>
          </w:p>
        </w:tc>
      </w:tr>
      <w:tr>
        <w:tblPrEx>
          <w:tblCellMar>
            <w:top w:w="0" w:type="dxa"/>
            <w:left w:w="0" w:type="dxa"/>
            <w:bottom w:w="0" w:type="dxa"/>
            <w:right w:w="0" w:type="dxa"/>
          </w:tblCellMar>
        </w:tblPrEx>
        <w:trPr>
          <w:jc w:val="center"/>
        </w:trPr>
        <w:tc>
          <w:tcPr>
            <w:tcW w:w="510" w:type="dxa"/>
            <w:vMerge w:val="continue"/>
            <w:tcBorders>
              <w:top w:val="nil"/>
              <w:left w:val="single" w:color="auto" w:sz="6" w:space="0"/>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 w:val="21"/>
                <w:szCs w:val="21"/>
              </w:rPr>
            </w:pPr>
          </w:p>
        </w:tc>
        <w:tc>
          <w:tcPr>
            <w:tcW w:w="510"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 w:val="21"/>
                <w:szCs w:val="21"/>
              </w:rPr>
            </w:pPr>
          </w:p>
        </w:tc>
        <w:tc>
          <w:tcPr>
            <w:tcW w:w="510"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 w:val="21"/>
                <w:szCs w:val="21"/>
              </w:rPr>
            </w:pPr>
          </w:p>
        </w:tc>
        <w:tc>
          <w:tcPr>
            <w:tcW w:w="510"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 w:val="21"/>
                <w:szCs w:val="21"/>
              </w:rPr>
            </w:pPr>
          </w:p>
        </w:tc>
        <w:tc>
          <w:tcPr>
            <w:tcW w:w="510" w:type="dxa"/>
            <w:vMerge w:val="continue"/>
            <w:tcBorders>
              <w:top w:val="nil"/>
              <w:left w:val="nil"/>
              <w:bottom w:val="single" w:color="auto" w:sz="6" w:space="0"/>
              <w:right w:val="single" w:color="auto" w:sz="6" w:space="0"/>
            </w:tcBorders>
            <w:vAlign w:val="center"/>
          </w:tcPr>
          <w:p>
            <w:pPr>
              <w:widowControl/>
              <w:jc w:val="left"/>
              <w:rPr>
                <w:rFonts w:hint="default" w:ascii="Times New Roman" w:hAnsi="Times New Roman" w:eastAsia="方正仿宋简体" w:cs="Times New Roman"/>
                <w:b/>
                <w:bCs/>
                <w:color w:val="333333"/>
                <w:kern w:val="0"/>
                <w:sz w:val="21"/>
                <w:szCs w:val="21"/>
              </w:rPr>
            </w:pP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维持</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纠正</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其他</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结果</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尚未</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审结</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总计</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结果维持</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结果</w:t>
            </w:r>
            <w:r>
              <w:rPr>
                <w:rFonts w:hint="default" w:ascii="Times New Roman" w:hAnsi="Times New Roman" w:eastAsia="方正仿宋简体" w:cs="Times New Roman"/>
                <w:b/>
                <w:bCs/>
                <w:color w:val="333333"/>
                <w:kern w:val="0"/>
                <w:sz w:val="21"/>
                <w:szCs w:val="21"/>
              </w:rPr>
              <w:br w:type="textWrapping"/>
            </w:r>
            <w:r>
              <w:rPr>
                <w:rFonts w:hint="default" w:ascii="Times New Roman" w:hAnsi="Times New Roman" w:eastAsia="方正仿宋简体" w:cs="Times New Roman"/>
                <w:b/>
                <w:bCs/>
                <w:color w:val="333333"/>
                <w:kern w:val="0"/>
                <w:sz w:val="21"/>
                <w:szCs w:val="21"/>
              </w:rPr>
              <w:t>纠正</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其他结果</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尚未审结</w:t>
            </w:r>
          </w:p>
        </w:tc>
        <w:tc>
          <w:tcPr>
            <w:tcW w:w="484"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总计</w:t>
            </w:r>
            <w:bookmarkStart w:id="2" w:name="_GoBack"/>
            <w:bookmarkEnd w:id="2"/>
          </w:p>
        </w:tc>
      </w:tr>
      <w:tr>
        <w:tblPrEx>
          <w:tblCellMar>
            <w:top w:w="0" w:type="dxa"/>
            <w:left w:w="0" w:type="dxa"/>
            <w:bottom w:w="0" w:type="dxa"/>
            <w:right w:w="0" w:type="dxa"/>
          </w:tblCellMar>
        </w:tblPrEx>
        <w:trPr>
          <w:trHeight w:val="420" w:hRule="atLeast"/>
          <w:jc w:val="center"/>
        </w:trPr>
        <w:tc>
          <w:tcPr>
            <w:tcW w:w="5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51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rPr>
            </w:pPr>
            <w:r>
              <w:rPr>
                <w:rFonts w:hint="default" w:ascii="Times New Roman" w:hAnsi="Times New Roman" w:eastAsia="方正仿宋简体" w:cs="Times New Roman"/>
                <w:b/>
                <w:bCs/>
                <w:color w:val="333333"/>
                <w:kern w:val="0"/>
                <w:sz w:val="21"/>
                <w:szCs w:val="21"/>
              </w:rPr>
              <w:t>0</w:t>
            </w:r>
          </w:p>
        </w:tc>
        <w:tc>
          <w:tcPr>
            <w:tcW w:w="484"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45" w:lineRule="atLeast"/>
              <w:jc w:val="center"/>
              <w:rPr>
                <w:rFonts w:hint="default" w:ascii="Times New Roman" w:hAnsi="Times New Roman" w:eastAsia="方正仿宋简体" w:cs="Times New Roman"/>
                <w:b/>
                <w:bCs/>
                <w:color w:val="333333"/>
                <w:kern w:val="0"/>
                <w:sz w:val="21"/>
                <w:szCs w:val="21"/>
                <w:lang w:eastAsia="zh-CN"/>
              </w:rPr>
            </w:pPr>
            <w:r>
              <w:rPr>
                <w:rFonts w:hint="default" w:ascii="Times New Roman" w:hAnsi="Times New Roman" w:eastAsia="方正仿宋简体" w:cs="Times New Roman"/>
                <w:b/>
                <w:bCs/>
                <w:color w:val="333333"/>
                <w:kern w:val="0"/>
                <w:sz w:val="21"/>
                <w:szCs w:val="21"/>
                <w:lang w:val="en-US" w:eastAsia="zh-CN"/>
              </w:rPr>
              <w:t>0</w:t>
            </w:r>
          </w:p>
        </w:tc>
      </w:tr>
    </w:tbl>
    <w:p>
      <w:pPr>
        <w:keepNext w:val="0"/>
        <w:keepLines w:val="0"/>
        <w:pageBreakBefore w:val="0"/>
        <w:widowControl/>
        <w:kinsoku/>
        <w:wordWrap/>
        <w:overflowPunct/>
        <w:topLinePunct w:val="0"/>
        <w:autoSpaceDE/>
        <w:autoSpaceDN/>
        <w:bidi w:val="0"/>
        <w:adjustRightInd/>
        <w:snapToGrid/>
        <w:spacing w:before="313" w:beforeLines="100" w:line="560" w:lineRule="exact"/>
        <w:ind w:firstLine="646"/>
        <w:jc w:val="left"/>
        <w:textAlignment w:val="auto"/>
        <w:rPr>
          <w:rFonts w:hint="eastAsia"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2025年，我局在政府信息公开工作取得一定进展的同时，也认识到仍存在一些不足，并积极采取措施加以改进：</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（一）存在的主要问题</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队伍建设与能力需持续加强。面对新形势、新要求，部分工作人员对信息公开相关法规政策的理解和运用能力，以及处理复杂信息申请的专业素养，仍需通过系统培训和实践锻炼予以提升。</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信息平台更新维护的时效性需持续加强。部分栏目信息存在未能完全做到第一时间更新的情况，信息发布的及时性和动态管理的精细化水平尚有提升空间。</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（二）改进情况</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针对上述问题，我局已着手落实改进，并将持续推进：</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强化队伍培训与能力建设。已将政府信息公开业务知识纳入年度干部教育培训计划，并组织开展了专题培训，重点提升工作人员的法律素养、舆情意识和沟通能力。今后将建立常态化培训机制，并鼓励业务骨干参与培训。</w:t>
      </w:r>
    </w:p>
    <w:p>
      <w:pPr>
        <w:keepNext w:val="0"/>
        <w:keepLines w:val="0"/>
        <w:pageBreakBefore w:val="0"/>
        <w:widowControl w:val="0"/>
        <w:kinsoku/>
        <w:wordWrap/>
        <w:overflowPunct/>
        <w:topLinePunct w:val="0"/>
        <w:autoSpaceDE/>
        <w:autoSpaceDN/>
        <w:bidi w:val="0"/>
        <w:adjustRightInd/>
        <w:snapToGrid/>
        <w:spacing w:line="560" w:lineRule="exact"/>
        <w:ind w:firstLine="646"/>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健全日常监测与提醒机制。进一步明确了各栏目信息更新的责任分工与时限要求，并建立了定期巡查与提示机制。通过加强内部督促，努力确保各类应公开信息能够更加及时、准确地通过平台向社会发布。</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下一步，我局将继续坚持问题导向，以提升公开质量、优化服务体验、保障公众权益为核心，不断健全工作机制，创新公开方式，强化监督保障，推动我局政府信息公开工作再上新台阶。</w:t>
      </w:r>
    </w:p>
    <w:p>
      <w:pPr>
        <w:keepNext w:val="0"/>
        <w:keepLines w:val="0"/>
        <w:pageBreakBefore w:val="0"/>
        <w:widowControl/>
        <w:kinsoku/>
        <w:wordWrap/>
        <w:overflowPunct/>
        <w:topLinePunct w:val="0"/>
        <w:autoSpaceDE/>
        <w:autoSpaceDN/>
        <w:bidi w:val="0"/>
        <w:adjustRightInd/>
        <w:snapToGrid/>
        <w:spacing w:line="560" w:lineRule="exact"/>
        <w:ind w:firstLine="480"/>
        <w:jc w:val="left"/>
        <w:textAlignment w:val="auto"/>
        <w:rPr>
          <w:rFonts w:hint="eastAsia" w:ascii="方正黑体简体" w:hAnsi="方正黑体简体" w:eastAsia="方正黑体简体" w:cs="方正黑体简体"/>
          <w:b/>
          <w:bCs/>
          <w:i w:val="0"/>
          <w:caps w:val="0"/>
          <w:color w:val="auto"/>
          <w:spacing w:val="0"/>
          <w:kern w:val="0"/>
          <w:sz w:val="32"/>
          <w:szCs w:val="32"/>
          <w:lang w:val="en-US" w:eastAsia="zh-CN" w:bidi="ar"/>
        </w:rPr>
      </w:pPr>
      <w:r>
        <w:rPr>
          <w:rFonts w:hint="eastAsia" w:ascii="方正黑体简体" w:hAnsi="方正黑体简体" w:eastAsia="方正黑体简体" w:cs="方正黑体简体"/>
          <w:b/>
          <w:bCs/>
          <w:i w:val="0"/>
          <w:caps w:val="0"/>
          <w:color w:val="auto"/>
          <w:spacing w:val="0"/>
          <w:kern w:val="0"/>
          <w:sz w:val="32"/>
          <w:szCs w:val="32"/>
          <w:lang w:val="en-US" w:eastAsia="zh-CN" w:bidi="ar"/>
        </w:rPr>
        <w:t>六、其他需要报告的事项</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（一）政府信息公开收费情况</w:t>
      </w:r>
    </w:p>
    <w:p>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泗水县水务局认真执行《国务院办公厅关于印发〈政府信息公开信息处理费管理办法〉的通知》（国办函〔2020〕109号）及《山东省人民政府办公厅关于做好政府信息公开信息处理费管理工作有关事项的通知》（鲁政办字〔2020〕179号）相关规定，全年未对任何政府信息公开申请收取费用。</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（二）人大代表建议、政协委员提案办理情况</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2025年，泗水县水务局共承办人大代表建议10件、政协委员提案1件。所有建议、提案均按要求与代表、委员进行了面对面沟通，实现答复率100%，满意率100%并在县政府网站“建议提案办理”专栏公开。</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（三）落实上级年度政务公开工作要点情况</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2025年，我局严格对照上级部门印发的年度政务公开工作要点，结合本局工作实际，制定了具体的落实方案与任务分工。持续深化政策发布与解读，加强社会关切事项回应，规范依申请公开办理。通过完善信息发布审核机制、组织开展专项培训，确保各项要点任务分解到位、责任到人、落实有效，切实提升了政务公开的标准化、规范化水平。</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方正楷体简体" w:hAnsi="方正楷体简体" w:eastAsia="方正楷体简体" w:cs="方正楷体简体"/>
          <w:b/>
          <w:bCs/>
          <w:i w:val="0"/>
          <w:caps w:val="0"/>
          <w:color w:val="auto"/>
          <w:spacing w:val="0"/>
          <w:kern w:val="0"/>
          <w:sz w:val="32"/>
          <w:szCs w:val="32"/>
          <w:lang w:val="en-US" w:eastAsia="zh-CN" w:bidi="ar"/>
        </w:rPr>
      </w:pPr>
      <w:r>
        <w:rPr>
          <w:rFonts w:hint="eastAsia" w:ascii="方正楷体简体" w:hAnsi="方正楷体简体" w:eastAsia="方正楷体简体" w:cs="方正楷体简体"/>
          <w:b/>
          <w:bCs/>
          <w:i w:val="0"/>
          <w:caps w:val="0"/>
          <w:color w:val="auto"/>
          <w:spacing w:val="0"/>
          <w:kern w:val="0"/>
          <w:sz w:val="32"/>
          <w:szCs w:val="32"/>
          <w:lang w:val="en-US" w:eastAsia="zh-CN" w:bidi="ar"/>
        </w:rPr>
        <w:t>（四）其他有关文件专门要求通过报告予以报告的事项</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无。</w:t>
      </w:r>
    </w:p>
    <w:p>
      <w:pPr>
        <w:widowControl/>
        <w:spacing w:line="555" w:lineRule="atLeast"/>
        <w:jc w:val="left"/>
        <w:rPr>
          <w:rFonts w:hint="default" w:ascii="Times New Roman" w:hAnsi="Times New Roman" w:eastAsia="方正仿宋简体" w:cs="Times New Roman"/>
          <w:b/>
          <w:bCs/>
          <w:i w:val="0"/>
          <w:caps w:val="0"/>
          <w:color w:val="auto"/>
          <w:spacing w:val="0"/>
          <w:kern w:val="0"/>
          <w:sz w:val="32"/>
          <w:szCs w:val="32"/>
          <w:lang w:val="en-US" w:eastAsia="zh-CN" w:bidi="ar"/>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F393D"/>
    <w:rsid w:val="04AB7216"/>
    <w:rsid w:val="131E2A69"/>
    <w:rsid w:val="1A2E4EFF"/>
    <w:rsid w:val="206A6BC0"/>
    <w:rsid w:val="20C63258"/>
    <w:rsid w:val="211048EB"/>
    <w:rsid w:val="22037BD1"/>
    <w:rsid w:val="2273626F"/>
    <w:rsid w:val="29527B1F"/>
    <w:rsid w:val="33EE47F3"/>
    <w:rsid w:val="36624C9B"/>
    <w:rsid w:val="399864AC"/>
    <w:rsid w:val="39D2517B"/>
    <w:rsid w:val="3B6D5A53"/>
    <w:rsid w:val="444B5F2B"/>
    <w:rsid w:val="471B793A"/>
    <w:rsid w:val="4810398E"/>
    <w:rsid w:val="48EE0A4E"/>
    <w:rsid w:val="49F52DD7"/>
    <w:rsid w:val="518811C8"/>
    <w:rsid w:val="51892CB4"/>
    <w:rsid w:val="53A46D04"/>
    <w:rsid w:val="547A426D"/>
    <w:rsid w:val="54F73CD8"/>
    <w:rsid w:val="58A12408"/>
    <w:rsid w:val="5A3F244E"/>
    <w:rsid w:val="5BA060E5"/>
    <w:rsid w:val="5CFC3522"/>
    <w:rsid w:val="5D33111E"/>
    <w:rsid w:val="608712E3"/>
    <w:rsid w:val="61A566FE"/>
    <w:rsid w:val="67316871"/>
    <w:rsid w:val="6AF31D2C"/>
    <w:rsid w:val="6C6E49D0"/>
    <w:rsid w:val="6E99071D"/>
    <w:rsid w:val="7013242B"/>
    <w:rsid w:val="701636E0"/>
    <w:rsid w:val="7517560E"/>
    <w:rsid w:val="79D07B0F"/>
    <w:rsid w:val="7BE20AD4"/>
    <w:rsid w:val="7C1F2AC9"/>
    <w:rsid w:val="7D582ED1"/>
    <w:rsid w:val="7D7A0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4180;&#25253;&#29992;&#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4180;&#25253;&#299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r>
              <a:rPr sz="1200">
                <a:latin typeface="Times New Roman" panose="02020603050405020304" charset="0"/>
                <a:cs typeface="Times New Roman" panose="02020603050405020304" charset="0"/>
              </a:rPr>
              <a:t>2025</a:t>
            </a:r>
            <a:r>
              <a:rPr sz="1200"/>
              <a:t>年泗水县水务局政府信息公开数量比例分布</a:t>
            </a:r>
            <a:endParaRPr sz="1200"/>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0" tIns="0" rIns="0" bIns="0" anchor="ctr" anchorCtr="1"/>
              <a:lstStyle/>
              <a:p>
                <a:pPr>
                  <a:defRPr lang="zh-CN" sz="900" b="1" i="0" u="none" strike="noStrike" kern="1200" baseline="0">
                    <a:solidFill>
                      <a:srgbClr val="C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[年报用图.xlsx]Sheet1!$A$2:$A$11</c:f>
              <c:strCache>
                <c:ptCount val="10"/>
                <c:pt idx="0">
                  <c:v>要闻资讯</c:v>
                </c:pt>
                <c:pt idx="1">
                  <c:v>法规文件</c:v>
                </c:pt>
                <c:pt idx="2">
                  <c:v>通知公告</c:v>
                </c:pt>
                <c:pt idx="3">
                  <c:v>财政预算决算</c:v>
                </c:pt>
                <c:pt idx="4">
                  <c:v>价格与收费</c:v>
                </c:pt>
                <c:pt idx="5">
                  <c:v>建议提案</c:v>
                </c:pt>
                <c:pt idx="6">
                  <c:v>“双随机、一公开”监管</c:v>
                </c:pt>
                <c:pt idx="7">
                  <c:v>优化营商环境政策执行</c:v>
                </c:pt>
                <c:pt idx="8">
                  <c:v>行政执法公示</c:v>
                </c:pt>
                <c:pt idx="9">
                  <c:v>政府年报</c:v>
                </c:pt>
              </c:strCache>
            </c:strRef>
          </c:cat>
          <c:val>
            <c:numRef>
              <c:f>[年报用图.xlsx]Sheet1!$B$2:$B$11</c:f>
              <c:numCache>
                <c:formatCode>General</c:formatCode>
                <c:ptCount val="10"/>
                <c:pt idx="0">
                  <c:v>1</c:v>
                </c:pt>
                <c:pt idx="1">
                  <c:v>1</c:v>
                </c:pt>
                <c:pt idx="2">
                  <c:v>10</c:v>
                </c:pt>
                <c:pt idx="3">
                  <c:v>3</c:v>
                </c:pt>
                <c:pt idx="4">
                  <c:v>2</c:v>
                </c:pt>
                <c:pt idx="5">
                  <c:v>11</c:v>
                </c:pt>
                <c:pt idx="6">
                  <c:v>2</c:v>
                </c:pt>
                <c:pt idx="7">
                  <c:v>4</c:v>
                </c:pt>
                <c:pt idx="8">
                  <c:v>6</c:v>
                </c:pt>
                <c:pt idx="9">
                  <c:v>2</c:v>
                </c:pt>
              </c:numCache>
            </c:numRef>
          </c:val>
        </c:ser>
        <c:dLbls>
          <c:showLegendKey val="0"/>
          <c:showVal val="0"/>
          <c:showCatName val="0"/>
          <c:showSerName val="0"/>
          <c:showPercent val="0"/>
          <c:showBubbleSize val="0"/>
        </c:dLbls>
        <c:gapWidth val="70"/>
        <c:overlap val="0"/>
        <c:axId val="100925548"/>
        <c:axId val="299839553"/>
      </c:barChart>
      <c:barChart>
        <c:barDir val="bar"/>
        <c:grouping val="clustered"/>
        <c:varyColors val="0"/>
        <c:ser>
          <c:idx val="1"/>
          <c:order val="1"/>
          <c:spPr>
            <a:solidFill>
              <a:schemeClr val="accent2"/>
            </a:solidFill>
            <a:ln>
              <a:noFill/>
            </a:ln>
            <a:effectLst/>
          </c:spPr>
          <c:invertIfNegative val="0"/>
          <c:dLbls>
            <c:spPr>
              <a:solidFill>
                <a:schemeClr val="bg1"/>
              </a:solidFill>
              <a:ln>
                <a:noFill/>
              </a:ln>
              <a:effectLst/>
            </c:spPr>
            <c:txPr>
              <a:bodyPr rot="0" spcFirstLastPara="0" vertOverflow="ellipsis" vert="horz" wrap="square" lIns="38100" tIns="19050" rIns="38100" bIns="19050" anchor="ctr" anchorCtr="1"/>
              <a:lstStyle/>
              <a:p>
                <a:pPr>
                  <a:defRPr lang="zh-CN" sz="800" b="1" i="0" u="none" strike="noStrike" kern="1200"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[年报用图.xlsx]Sheet1!$A$2:$A$11</c:f>
              <c:strCache>
                <c:ptCount val="10"/>
                <c:pt idx="0">
                  <c:v>要闻资讯</c:v>
                </c:pt>
                <c:pt idx="1">
                  <c:v>法规文件</c:v>
                </c:pt>
                <c:pt idx="2">
                  <c:v>通知公告</c:v>
                </c:pt>
                <c:pt idx="3">
                  <c:v>财政预算决算</c:v>
                </c:pt>
                <c:pt idx="4">
                  <c:v>价格与收费</c:v>
                </c:pt>
                <c:pt idx="5">
                  <c:v>建议提案</c:v>
                </c:pt>
                <c:pt idx="6">
                  <c:v>“双随机、一公开”监管</c:v>
                </c:pt>
                <c:pt idx="7">
                  <c:v>优化营商环境政策执行</c:v>
                </c:pt>
                <c:pt idx="8">
                  <c:v>行政执法公示</c:v>
                </c:pt>
                <c:pt idx="9">
                  <c:v>政府年报</c:v>
                </c:pt>
              </c:strCache>
            </c:strRef>
          </c:cat>
          <c:val>
            <c:numRef>
              <c:f>[年报用图.xlsx]Sheet1!$C$2:$C$11</c:f>
              <c:numCache>
                <c:formatCode>0.00%</c:formatCode>
                <c:ptCount val="10"/>
                <c:pt idx="0">
                  <c:v>0.0238</c:v>
                </c:pt>
                <c:pt idx="1">
                  <c:v>0.0238</c:v>
                </c:pt>
                <c:pt idx="2">
                  <c:v>0.2381</c:v>
                </c:pt>
                <c:pt idx="3">
                  <c:v>0.0714</c:v>
                </c:pt>
                <c:pt idx="4">
                  <c:v>0.0476</c:v>
                </c:pt>
                <c:pt idx="5">
                  <c:v>0.2619</c:v>
                </c:pt>
                <c:pt idx="6">
                  <c:v>0.0476</c:v>
                </c:pt>
                <c:pt idx="7">
                  <c:v>0.0952</c:v>
                </c:pt>
                <c:pt idx="8">
                  <c:v>0.1429</c:v>
                </c:pt>
                <c:pt idx="9">
                  <c:v>0.0476</c:v>
                </c:pt>
              </c:numCache>
            </c:numRef>
          </c:val>
        </c:ser>
        <c:dLbls>
          <c:showLegendKey val="0"/>
          <c:showVal val="1"/>
          <c:showCatName val="0"/>
          <c:showSerName val="0"/>
          <c:showPercent val="0"/>
          <c:showBubbleSize val="0"/>
        </c:dLbls>
        <c:gapWidth val="219"/>
        <c:overlap val="-27"/>
        <c:axId val="46921608"/>
        <c:axId val="43407350"/>
      </c:barChart>
      <c:catAx>
        <c:axId val="10092554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crossAx val="299839553"/>
        <c:crosses val="autoZero"/>
        <c:auto val="1"/>
        <c:lblAlgn val="ctr"/>
        <c:lblOffset val="100"/>
        <c:noMultiLvlLbl val="0"/>
      </c:catAx>
      <c:valAx>
        <c:axId val="299839553"/>
        <c:scaling>
          <c:orientation val="minMax"/>
          <c:max val="12.5"/>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00925548"/>
        <c:crosses val="autoZero"/>
        <c:crossBetween val="between"/>
      </c:valAx>
      <c:valAx>
        <c:axId val="43407350"/>
        <c:scaling>
          <c:orientation val="minMax"/>
          <c:max val="0"/>
          <c:min val="-0.1"/>
        </c:scaling>
        <c:delete val="0"/>
        <c:axPos val="t"/>
        <c:numFmt formatCode="0.00%" sourceLinked="1"/>
        <c:majorTickMark val="none"/>
        <c:minorTickMark val="none"/>
        <c:tickLblPos val="none"/>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crossAx val="46921608"/>
        <c:crosses val="max"/>
        <c:crossBetween val="between"/>
      </c:valAx>
      <c:catAx>
        <c:axId val="46921608"/>
        <c:scaling>
          <c:orientation val="minMax"/>
        </c:scaling>
        <c:delete val="1"/>
        <c:axPos val="l"/>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crossAx val="4340735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r>
              <a:rPr sz="1400" b="1">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rPr>
              <a:t>泗水县水务局近三年政府信息公开申请数量</a:t>
            </a:r>
            <a:endParaRPr sz="1400" b="1">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endParaRPr>
          </a:p>
        </c:rich>
      </c:tx>
      <c:layout/>
      <c:overlay val="0"/>
      <c:spPr>
        <a:noFill/>
        <a:ln>
          <a:noFill/>
        </a:ln>
        <a:effectLst/>
      </c:spPr>
    </c:title>
    <c:autoTitleDeleted val="0"/>
    <c:plotArea>
      <c:layout/>
      <c:barChart>
        <c:barDir val="col"/>
        <c:grouping val="clustered"/>
        <c:varyColors val="0"/>
        <c:ser>
          <c:idx val="0"/>
          <c:order val="0"/>
          <c:tx>
            <c:strRef>
              <c:f>"数量"</c:f>
              <c:strCache>
                <c:ptCount val="1"/>
                <c:pt idx="0">
                  <c:v>数量</c:v>
                </c:pt>
              </c:strCache>
            </c:strRef>
          </c:tx>
          <c:spPr>
            <a:solidFill>
              <a:schemeClr val="accent2">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accent2"/>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[年报用图.xlsx]Sheet1!$A$28:$A$30</c:f>
              <c:strCache>
                <c:ptCount val="3"/>
                <c:pt idx="0">
                  <c:v>2023年</c:v>
                </c:pt>
                <c:pt idx="1">
                  <c:v>2024年</c:v>
                </c:pt>
                <c:pt idx="2">
                  <c:v>2025年</c:v>
                </c:pt>
              </c:strCache>
            </c:strRef>
          </c:cat>
          <c:val>
            <c:numRef>
              <c:f>[年报用图.xlsx]Sheet1!$B$28:$B$30</c:f>
              <c:numCache>
                <c:formatCode>General</c:formatCode>
                <c:ptCount val="3"/>
                <c:pt idx="0">
                  <c:v>1</c:v>
                </c:pt>
                <c:pt idx="1">
                  <c:v>2</c:v>
                </c:pt>
                <c:pt idx="2">
                  <c:v>1</c:v>
                </c:pt>
              </c:numCache>
            </c:numRef>
          </c:val>
        </c:ser>
        <c:dLbls>
          <c:showLegendKey val="0"/>
          <c:showVal val="1"/>
          <c:showCatName val="0"/>
          <c:showSerName val="0"/>
          <c:showPercent val="0"/>
          <c:showBubbleSize val="0"/>
        </c:dLbls>
        <c:gapWidth val="219"/>
        <c:overlap val="-27"/>
        <c:axId val="724240648"/>
        <c:axId val="565325047"/>
      </c:barChart>
      <c:catAx>
        <c:axId val="724240648"/>
        <c:scaling>
          <c:orientation val="minMax"/>
        </c:scaling>
        <c:delete val="0"/>
        <c:axPos val="b"/>
        <c:majorTickMark val="in"/>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65325047"/>
        <c:crosses val="autoZero"/>
        <c:auto val="1"/>
        <c:lblAlgn val="ctr"/>
        <c:lblOffset val="100"/>
        <c:noMultiLvlLbl val="0"/>
      </c:catAx>
      <c:valAx>
        <c:axId val="565325047"/>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24240648"/>
        <c:crosses val="autoZero"/>
        <c:crossBetween val="between"/>
        <c:majorUnit val="1"/>
        <c:minorUnit val="1"/>
      </c:valAx>
      <c:spPr>
        <a:noFill/>
        <a:ln>
          <a:noFill/>
        </a:ln>
        <a:effectLst/>
      </c:spPr>
    </c:plotArea>
    <c:legend>
      <c:legendPos val="r"/>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196</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2026-01-05T03:18:00Z</dcterms:created>
  <dc:creator>Administrator</dc:creator>
  <cp:lastModifiedBy>Administrator</cp:lastModifiedBy>
  <dcterms:modified xsi:type="dcterms:W3CDTF">2026-01-16T08:40:56Z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