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96" w:lineRule="exact"/>
        <w:jc w:val="center"/>
        <w:rPr>
          <w:rFonts w:ascii="Times New Roman" w:hAnsi="Times New Roman" w:eastAsia="方正小标宋简体" w:cs="Times New Roman"/>
          <w:b/>
          <w:bCs/>
          <w:kern w:val="0"/>
          <w:sz w:val="44"/>
          <w:szCs w:val="44"/>
        </w:rPr>
      </w:pPr>
      <w:r>
        <w:rPr>
          <w:rFonts w:ascii="Times New Roman" w:hAnsi="Times New Roman" w:eastAsia="方正小标宋简体" w:cs="Times New Roman"/>
          <w:b/>
          <w:bCs/>
          <w:kern w:val="0"/>
          <w:sz w:val="44"/>
          <w:szCs w:val="44"/>
        </w:rPr>
        <w:t>泗水县乡村振兴局2021年政府信息公开</w:t>
      </w:r>
    </w:p>
    <w:p>
      <w:pPr>
        <w:widowControl/>
        <w:wordWrap w:val="0"/>
        <w:spacing w:line="596"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kern w:val="0"/>
          <w:sz w:val="44"/>
          <w:szCs w:val="44"/>
        </w:rPr>
        <w:t>工作年度报告</w:t>
      </w:r>
    </w:p>
    <w:p>
      <w:pPr>
        <w:pStyle w:val="4"/>
        <w:widowControl/>
        <w:wordWrap w:val="0"/>
        <w:spacing w:beforeAutospacing="0" w:afterAutospacing="0" w:line="588" w:lineRule="exact"/>
        <w:ind w:firstLine="602" w:firstLineChars="200"/>
        <w:jc w:val="both"/>
        <w:rPr>
          <w:rFonts w:ascii="Times New Roman" w:hAnsi="Times New Roman" w:eastAsia="方正仿宋简体"/>
          <w:b/>
          <w:sz w:val="30"/>
          <w:szCs w:val="30"/>
        </w:rPr>
      </w:pP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本报告由泗水县乡村振兴局按照《中华人民共和国政府信息公开条例》（以下简称《条例》）和《中华人民共和国政府信息公开工作年度报告格式》（国办公开办函〔2021〕30号）要求编制。</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本报告中所列数据的统计期限自2021年1月1日起至2021年12月31日止。本报告的电子版可在“中国·泗水”政府门户网站（www.sishui. gov.cn）”查阅或下载。如对本报告有任何疑问，请与泗水县乡村振兴局办公室联系；</w:t>
      </w:r>
      <w:r>
        <w:rPr>
          <w:rFonts w:hint="eastAsia" w:ascii="Times New Roman" w:hAnsi="Times New Roman" w:eastAsia="方正仿宋简体"/>
          <w:b/>
          <w:sz w:val="32"/>
          <w:szCs w:val="32"/>
          <w:lang w:eastAsia="zh-CN"/>
        </w:rPr>
        <w:t>地址：泗水县现代农业发展服务中心</w:t>
      </w:r>
      <w:r>
        <w:rPr>
          <w:rFonts w:hint="eastAsia" w:ascii="Times New Roman" w:hAnsi="Times New Roman" w:eastAsia="方正仿宋简体"/>
          <w:b/>
          <w:sz w:val="32"/>
          <w:szCs w:val="32"/>
          <w:lang w:val="en-US" w:eastAsia="zh-CN"/>
        </w:rPr>
        <w:t>405室；</w:t>
      </w:r>
      <w:r>
        <w:rPr>
          <w:rFonts w:ascii="Times New Roman" w:hAnsi="Times New Roman" w:eastAsia="方正仿宋简体"/>
          <w:b/>
          <w:sz w:val="32"/>
          <w:szCs w:val="32"/>
        </w:rPr>
        <w:t>邮编：273200；电话：0537-4360287；电子邮箱：ssfpb60287@126.com。</w:t>
      </w:r>
    </w:p>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一、总体情况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2021年度政务公开工作严格贯彻落实《中华人民共和国政府信息公开条例》（以下简称《条例》）精神，通过进行政务公开培训、专题学习《条例》精神等形式，进一步提高思想认识，强化服务意识，坚持“以民为本、为民解困、为民服务”核心理念抓好政务公开工作落实。同时，进一步加强组织领导、健全工作制度，成立政务公开领导小组，切实做好政策解读和舆情回应工作，确保政务公开工作透明度和公正度。</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（一）主动公开情况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自2020年1月1日起至2020年12月31日止，泗水县乡村振兴局通过泗水政府网站、微信公众号主动公开政府信息76条。其中工作动态18条，规范性文件3条，机构职能1条，领导信息1条，重要政策7条，政策解读5条，工作进展7条，资金分配21条，项目安排8条，公示公告1条，组织领导1条，业务培训1条，政府信息公开指南1条，政府信息公开年报1条。</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（二）依申请公开情况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2021年，泗水县乡村振兴局无依申请公开情况。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（三）因政府信息公开申请行政复议，提起行政诉讼情况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2021年，泗水县乡村振兴局未出现因政府信息公开引起的行政复议、行政诉讼的情况。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（四）政府信息管理情况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我单位按照《中华人民共和国政府信息公开条例》精神，严格落实政务公开责任制，进一步完善信息公开制度，细化信息公开内容，做到任务到人，责任到岗，严格做到“谁主管、谁审核、谁发布、谁负责”的原则，推动公开工作有序开展,明确专职人员进行信息公开报送，进一步明确政务公开责任追究办法，完善保密审查等程序，完善配套制度，确保政务信息公开工作取得实效。</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（五）保密审查及监督检查情况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泗水县乡村振兴局认真完善政务公开制度，健全公开机制，加强组织领导和部门机构协调，成立了政务公开领导小组，按照“主要领导亲自抓，分管领导具体抓，专人负责工作落实”总体要求，推进政府信息公开工作全面落实。加强对信息公开工作实施和保密情况进行监督检查，确保公开内容真实有效。2021年度，我局政务公开工作未发生责任追究情况。</w:t>
      </w:r>
    </w:p>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二、主动公开政府信息情况</w:t>
      </w:r>
    </w:p>
    <w:tbl>
      <w:tblPr>
        <w:tblStyle w:val="5"/>
        <w:tblW w:w="5000" w:type="pct"/>
        <w:jc w:val="center"/>
        <w:tblCellSpacing w:w="0" w:type="dxa"/>
        <w:tblLayout w:type="autofit"/>
        <w:tblCellMar>
          <w:top w:w="15" w:type="dxa"/>
          <w:left w:w="15" w:type="dxa"/>
          <w:bottom w:w="15" w:type="dxa"/>
          <w:right w:w="15" w:type="dxa"/>
        </w:tblCellMar>
      </w:tblPr>
      <w:tblGrid>
        <w:gridCol w:w="2245"/>
        <w:gridCol w:w="2245"/>
        <w:gridCol w:w="2245"/>
        <w:gridCol w:w="2260"/>
      </w:tblGrid>
      <w:tr>
        <w:tblPrEx>
          <w:tblCellMar>
            <w:top w:w="15" w:type="dxa"/>
            <w:left w:w="15" w:type="dxa"/>
            <w:bottom w:w="15" w:type="dxa"/>
            <w:right w:w="15" w:type="dxa"/>
          </w:tblCellMar>
        </w:tblPrEx>
        <w:trPr>
          <w:trHeight w:val="567" w:hRule="atLeast"/>
          <w:tblCellSpacing w:w="0" w:type="dxa"/>
          <w:jc w:val="center"/>
        </w:trPr>
        <w:tc>
          <w:tcPr>
            <w:tcW w:w="5000" w:type="pct"/>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第二十条第（一）项</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信息内容</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本年制发件数</w:t>
            </w:r>
          </w:p>
        </w:tc>
        <w:tc>
          <w:tcPr>
            <w:tcW w:w="1248"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本年废止件数</w:t>
            </w:r>
          </w:p>
        </w:tc>
        <w:tc>
          <w:tcPr>
            <w:tcW w:w="1256" w:type="pc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现行有效件数</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规章</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行政规范性文件</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1248"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1256" w:type="pc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CellMar>
            <w:top w:w="15" w:type="dxa"/>
            <w:left w:w="15" w:type="dxa"/>
            <w:bottom w:w="15" w:type="dxa"/>
            <w:right w:w="15" w:type="dxa"/>
          </w:tblCellMar>
        </w:tblPrEx>
        <w:trPr>
          <w:trHeight w:val="567"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第二十条第（五）项</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本年处理决定数量</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行政许可</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CellMar>
            <w:top w:w="15" w:type="dxa"/>
            <w:left w:w="15" w:type="dxa"/>
            <w:bottom w:w="15" w:type="dxa"/>
            <w:right w:w="15" w:type="dxa"/>
          </w:tblCellMar>
        </w:tblPrEx>
        <w:trPr>
          <w:trHeight w:val="567"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第二十条第（六）项</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信息内容</w:t>
            </w:r>
          </w:p>
        </w:tc>
        <w:tc>
          <w:tcPr>
            <w:tcW w:w="3752" w:type="pct"/>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本年处理决定数量</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行政处罚</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行政强制</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CellMar>
            <w:top w:w="15" w:type="dxa"/>
            <w:left w:w="15" w:type="dxa"/>
            <w:bottom w:w="15" w:type="dxa"/>
            <w:right w:w="15" w:type="dxa"/>
          </w:tblCellMar>
        </w:tblPrEx>
        <w:trPr>
          <w:trHeight w:val="567" w:hRule="atLeast"/>
          <w:tblCellSpacing w:w="0"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第二十条第（八）项</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信息内容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本年收费金额（单位：万元）</w:t>
            </w:r>
          </w:p>
        </w:tc>
      </w:tr>
      <w:tr>
        <w:tblPrEx>
          <w:tblCellMar>
            <w:top w:w="15" w:type="dxa"/>
            <w:left w:w="15" w:type="dxa"/>
            <w:bottom w:w="15" w:type="dxa"/>
            <w:right w:w="15" w:type="dxa"/>
          </w:tblCellMar>
        </w:tblPrEx>
        <w:trPr>
          <w:trHeight w:val="567" w:hRule="atLeast"/>
          <w:tblCellSpacing w:w="0" w:type="dxa"/>
          <w:jc w:val="center"/>
        </w:trPr>
        <w:tc>
          <w:tcPr>
            <w:tcW w:w="1248" w:type="pc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行政事业性收费</w:t>
            </w:r>
          </w:p>
        </w:tc>
        <w:tc>
          <w:tcPr>
            <w:tcW w:w="3752" w:type="pct"/>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bl>
    <w:p>
      <w:pPr>
        <w:pStyle w:val="4"/>
        <w:widowControl/>
        <w:wordWrap w:val="0"/>
        <w:spacing w:beforeAutospacing="0" w:afterAutospacing="0" w:line="588" w:lineRule="exact"/>
        <w:jc w:val="both"/>
        <w:rPr>
          <w:rFonts w:hint="eastAsia" w:ascii="Times New Roman" w:hAnsi="Times New Roman" w:eastAsia="方正黑体简体"/>
          <w:b/>
          <w:sz w:val="32"/>
          <w:szCs w:val="32"/>
        </w:rPr>
      </w:pPr>
      <w:bookmarkStart w:id="0" w:name="_GoBack"/>
      <w:bookmarkEnd w:id="0"/>
    </w:p>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三、收到和处理政府信息公开申请情况</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6"/>
        <w:gridCol w:w="869"/>
        <w:gridCol w:w="2926"/>
        <w:gridCol w:w="647"/>
        <w:gridCol w:w="647"/>
        <w:gridCol w:w="636"/>
        <w:gridCol w:w="636"/>
        <w:gridCol w:w="647"/>
        <w:gridCol w:w="651"/>
        <w:gridCol w:w="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vMerge w:val="restart"/>
            <w:shd w:val="clear" w:color="auto" w:fill="auto"/>
            <w:tcMar>
              <w:top w:w="0" w:type="dxa"/>
              <w:left w:w="105" w:type="dxa"/>
              <w:bottom w:w="0" w:type="dxa"/>
              <w:right w:w="105"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（本列数据的勾稽关系为：第一项加第二项之和，等于第三项加第四项之和）</w:t>
            </w:r>
          </w:p>
        </w:tc>
        <w:tc>
          <w:tcPr>
            <w:tcW w:w="2502" w:type="pct"/>
            <w:gridSpan w:val="7"/>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申请人情况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vMerge w:val="continue"/>
            <w:shd w:val="clear" w:color="auto" w:fill="auto"/>
            <w:tcMar>
              <w:top w:w="0" w:type="dxa"/>
              <w:left w:w="105" w:type="dxa"/>
              <w:bottom w:w="0" w:type="dxa"/>
              <w:right w:w="105" w:type="dxa"/>
            </w:tcMar>
            <w:vAlign w:val="center"/>
          </w:tcPr>
          <w:p>
            <w:pPr>
              <w:spacing w:line="240" w:lineRule="exact"/>
              <w:jc w:val="center"/>
              <w:rPr>
                <w:rFonts w:ascii="Times New Roman" w:hAnsi="Times New Roman" w:cs="Times New Roman"/>
                <w:b/>
                <w:szCs w:val="21"/>
              </w:rPr>
            </w:pPr>
          </w:p>
        </w:tc>
        <w:tc>
          <w:tcPr>
            <w:tcW w:w="359"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自然人</w:t>
            </w:r>
          </w:p>
        </w:tc>
        <w:tc>
          <w:tcPr>
            <w:tcW w:w="1785" w:type="pct"/>
            <w:gridSpan w:val="5"/>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法人或其他组织</w:t>
            </w:r>
          </w:p>
        </w:tc>
        <w:tc>
          <w:tcPr>
            <w:tcW w:w="358"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总计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vMerge w:val="continue"/>
            <w:shd w:val="clear" w:color="auto" w:fill="auto"/>
            <w:tcMar>
              <w:top w:w="0" w:type="dxa"/>
              <w:left w:w="105" w:type="dxa"/>
              <w:bottom w:w="0" w:type="dxa"/>
              <w:right w:w="105" w:type="dxa"/>
            </w:tcMar>
            <w:vAlign w:val="center"/>
          </w:tcPr>
          <w:p>
            <w:pPr>
              <w:spacing w:line="240" w:lineRule="exact"/>
              <w:jc w:val="center"/>
              <w:rPr>
                <w:rFonts w:ascii="Times New Roman" w:hAnsi="Times New Roman" w:cs="Times New Roman"/>
                <w:b/>
                <w:szCs w:val="21"/>
              </w:rPr>
            </w:pPr>
          </w:p>
        </w:tc>
        <w:tc>
          <w:tcPr>
            <w:tcW w:w="359"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商业</w:t>
            </w:r>
          </w:p>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企业</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科研</w:t>
            </w:r>
          </w:p>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机构</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社会公益组织</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法律服务机构</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其他</w:t>
            </w:r>
          </w:p>
        </w:tc>
        <w:tc>
          <w:tcPr>
            <w:tcW w:w="358"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一、本年新收政府信息公开申请数量</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二、上年结转政府信息公开申请数量</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三、本年度办理结果</w:t>
            </w:r>
          </w:p>
        </w:tc>
        <w:tc>
          <w:tcPr>
            <w:tcW w:w="2106" w:type="pct"/>
            <w:gridSpan w:val="2"/>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（一）予以公开</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2106" w:type="pct"/>
            <w:gridSpan w:val="2"/>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（二）部分公开（区分处理的，只计这一情形，不计其他情形）</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（三）不予公开</w:t>
            </w: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1.</w:t>
            </w:r>
            <w:r>
              <w:rPr>
                <w:rFonts w:ascii="Times New Roman" w:hAnsi="宋体" w:eastAsia="宋体"/>
                <w:b/>
                <w:sz w:val="21"/>
                <w:szCs w:val="21"/>
              </w:rPr>
              <w:t>属于国家秘密</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2.</w:t>
            </w:r>
            <w:r>
              <w:rPr>
                <w:rFonts w:ascii="Times New Roman" w:hAnsi="宋体" w:eastAsia="宋体"/>
                <w:b/>
                <w:sz w:val="21"/>
                <w:szCs w:val="21"/>
              </w:rPr>
              <w:t>其他法律行政法规禁止公开</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3.</w:t>
            </w:r>
            <w:r>
              <w:rPr>
                <w:rFonts w:ascii="Times New Roman" w:hAnsi="宋体" w:eastAsia="宋体"/>
                <w:b/>
                <w:sz w:val="21"/>
                <w:szCs w:val="21"/>
              </w:rPr>
              <w:t>危及</w:t>
            </w:r>
            <w:r>
              <w:rPr>
                <w:rFonts w:ascii="Times New Roman" w:hAnsi="Times New Roman" w:eastAsia="宋体"/>
                <w:b/>
                <w:sz w:val="21"/>
                <w:szCs w:val="21"/>
              </w:rPr>
              <w:t>“</w:t>
            </w:r>
            <w:r>
              <w:rPr>
                <w:rFonts w:ascii="Times New Roman" w:hAnsi="宋体" w:eastAsia="宋体"/>
                <w:b/>
                <w:sz w:val="21"/>
                <w:szCs w:val="21"/>
              </w:rPr>
              <w:t>三安全一稳定</w:t>
            </w:r>
            <w:r>
              <w:rPr>
                <w:rFonts w:ascii="Times New Roman" w:hAnsi="Times New Roman" w:eastAsia="宋体"/>
                <w:b/>
                <w:sz w:val="21"/>
                <w:szCs w:val="21"/>
              </w:rPr>
              <w:t>”</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4.</w:t>
            </w:r>
            <w:r>
              <w:rPr>
                <w:rFonts w:ascii="Times New Roman" w:hAnsi="宋体" w:eastAsia="宋体"/>
                <w:b/>
                <w:sz w:val="21"/>
                <w:szCs w:val="21"/>
              </w:rPr>
              <w:t>保护第三方合法权益</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5.</w:t>
            </w:r>
            <w:r>
              <w:rPr>
                <w:rFonts w:ascii="Times New Roman" w:hAnsi="宋体" w:eastAsia="宋体"/>
                <w:b/>
                <w:sz w:val="21"/>
                <w:szCs w:val="21"/>
              </w:rPr>
              <w:t>属于三类内部事务信息</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6.</w:t>
            </w:r>
            <w:r>
              <w:rPr>
                <w:rFonts w:ascii="Times New Roman" w:hAnsi="宋体" w:eastAsia="宋体"/>
                <w:b/>
                <w:sz w:val="21"/>
                <w:szCs w:val="21"/>
              </w:rPr>
              <w:t>属于四类过程性信息</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7.</w:t>
            </w:r>
            <w:r>
              <w:rPr>
                <w:rFonts w:ascii="Times New Roman" w:hAnsi="宋体" w:eastAsia="宋体"/>
                <w:b/>
                <w:sz w:val="21"/>
                <w:szCs w:val="21"/>
              </w:rPr>
              <w:t>属于行政执法案卷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8.</w:t>
            </w:r>
            <w:r>
              <w:rPr>
                <w:rFonts w:ascii="Times New Roman" w:hAnsi="宋体" w:eastAsia="宋体"/>
                <w:b/>
                <w:sz w:val="21"/>
                <w:szCs w:val="21"/>
              </w:rPr>
              <w:t>属于行政查询事项</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（四）无法提供</w:t>
            </w: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1.</w:t>
            </w:r>
            <w:r>
              <w:rPr>
                <w:rFonts w:ascii="Times New Roman" w:hAnsi="宋体" w:eastAsia="宋体"/>
                <w:b/>
                <w:sz w:val="21"/>
                <w:szCs w:val="21"/>
              </w:rPr>
              <w:t>本机关不掌握相关政府信息</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2.</w:t>
            </w:r>
            <w:r>
              <w:rPr>
                <w:rFonts w:ascii="Times New Roman" w:hAnsi="宋体" w:eastAsia="宋体"/>
                <w:b/>
                <w:sz w:val="21"/>
                <w:szCs w:val="21"/>
              </w:rPr>
              <w:t>没有现成信息需要另行制作</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3.</w:t>
            </w:r>
            <w:r>
              <w:rPr>
                <w:rFonts w:ascii="Times New Roman" w:hAnsi="宋体" w:eastAsia="宋体"/>
                <w:b/>
                <w:sz w:val="21"/>
                <w:szCs w:val="21"/>
              </w:rPr>
              <w:t>补正后申请内容仍不明确</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（五）不予处理</w:t>
            </w: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1.</w:t>
            </w:r>
            <w:r>
              <w:rPr>
                <w:rFonts w:ascii="Times New Roman" w:hAnsi="宋体" w:eastAsia="宋体"/>
                <w:b/>
                <w:sz w:val="21"/>
                <w:szCs w:val="21"/>
              </w:rPr>
              <w:t>信访举报投诉类申请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2.</w:t>
            </w:r>
            <w:r>
              <w:rPr>
                <w:rFonts w:ascii="Times New Roman" w:hAnsi="宋体" w:eastAsia="宋体"/>
                <w:b/>
                <w:sz w:val="21"/>
                <w:szCs w:val="21"/>
              </w:rPr>
              <w:t>重复申请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3.</w:t>
            </w:r>
            <w:r>
              <w:rPr>
                <w:rFonts w:ascii="Times New Roman" w:hAnsi="宋体" w:eastAsia="宋体"/>
                <w:b/>
                <w:sz w:val="21"/>
                <w:szCs w:val="21"/>
              </w:rPr>
              <w:t>要求提供公开出版物</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4.</w:t>
            </w:r>
            <w:r>
              <w:rPr>
                <w:rFonts w:ascii="Times New Roman" w:hAnsi="宋体" w:eastAsia="宋体"/>
                <w:b/>
                <w:sz w:val="21"/>
                <w:szCs w:val="21"/>
              </w:rPr>
              <w:t>无正当理由大量反复申请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5.</w:t>
            </w:r>
            <w:r>
              <w:rPr>
                <w:rFonts w:ascii="Times New Roman" w:hAnsi="宋体" w:eastAsia="宋体"/>
                <w:b/>
                <w:sz w:val="21"/>
                <w:szCs w:val="21"/>
              </w:rPr>
              <w:t>要求行政机关确认或重新出具已获取信息</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restar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（六）其他处理</w:t>
            </w: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1.</w:t>
            </w:r>
            <w:r>
              <w:rPr>
                <w:rFonts w:ascii="Times New Roman" w:hAnsi="宋体" w:eastAsia="宋体"/>
                <w:b/>
                <w:sz w:val="21"/>
                <w:szCs w:val="21"/>
              </w:rPr>
              <w:t>申请人无正当理由逾期不补正、行政机关不再处理其政府信息公开申请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2.</w:t>
            </w:r>
            <w:r>
              <w:rPr>
                <w:rFonts w:ascii="Times New Roman" w:hAnsi="宋体" w:eastAsia="宋体"/>
                <w:b/>
                <w:sz w:val="21"/>
                <w:szCs w:val="21"/>
              </w:rPr>
              <w:t>申请人逾期未按收费通知要求缴纳费用、行政机关不再处理其政府信息公开申请</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48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1624"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3.</w:t>
            </w:r>
            <w:r>
              <w:rPr>
                <w:rFonts w:ascii="Times New Roman" w:hAnsi="宋体" w:eastAsia="宋体"/>
                <w:b/>
                <w:sz w:val="21"/>
                <w:szCs w:val="21"/>
              </w:rPr>
              <w:t>其他</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392" w:type="pct"/>
            <w:vMerge w:val="continue"/>
            <w:shd w:val="clear" w:color="auto" w:fill="auto"/>
            <w:tcMar>
              <w:top w:w="0" w:type="dxa"/>
              <w:left w:w="60" w:type="dxa"/>
              <w:bottom w:w="0" w:type="dxa"/>
              <w:right w:w="60" w:type="dxa"/>
            </w:tcMar>
            <w:vAlign w:val="center"/>
          </w:tcPr>
          <w:p>
            <w:pPr>
              <w:spacing w:line="240" w:lineRule="exact"/>
              <w:jc w:val="center"/>
              <w:rPr>
                <w:rFonts w:ascii="Times New Roman" w:hAnsi="Times New Roman" w:cs="Times New Roman"/>
                <w:b/>
                <w:szCs w:val="21"/>
              </w:rPr>
            </w:pPr>
          </w:p>
        </w:tc>
        <w:tc>
          <w:tcPr>
            <w:tcW w:w="2106" w:type="pct"/>
            <w:gridSpan w:val="2"/>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（七）总计</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rPr>
        <w:tc>
          <w:tcPr>
            <w:tcW w:w="2498" w:type="pct"/>
            <w:gridSpan w:val="3"/>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宋体" w:eastAsia="宋体"/>
                <w:b/>
                <w:sz w:val="21"/>
                <w:szCs w:val="21"/>
              </w:rPr>
              <w:t>四、结转下年度继续办理</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3"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9"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61"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c>
          <w:tcPr>
            <w:tcW w:w="358" w:type="pct"/>
            <w:shd w:val="clear" w:color="auto" w:fill="auto"/>
            <w:tcMar>
              <w:top w:w="0" w:type="dxa"/>
              <w:left w:w="60" w:type="dxa"/>
              <w:bottom w:w="0" w:type="dxa"/>
              <w:right w:w="60" w:type="dxa"/>
            </w:tcMar>
            <w:vAlign w:val="center"/>
          </w:tcPr>
          <w:p>
            <w:pPr>
              <w:pStyle w:val="4"/>
              <w:widowControl/>
              <w:spacing w:beforeAutospacing="0" w:afterAutospacing="0" w:line="240" w:lineRule="exact"/>
              <w:jc w:val="center"/>
              <w:rPr>
                <w:rFonts w:ascii="Times New Roman" w:hAnsi="Times New Roman"/>
                <w:b/>
                <w:sz w:val="21"/>
                <w:szCs w:val="21"/>
              </w:rPr>
            </w:pPr>
            <w:r>
              <w:rPr>
                <w:rFonts w:ascii="Times New Roman" w:hAnsi="Times New Roman" w:eastAsia="宋体"/>
                <w:b/>
                <w:sz w:val="21"/>
                <w:szCs w:val="21"/>
              </w:rPr>
              <w:t>0</w:t>
            </w:r>
          </w:p>
        </w:tc>
      </w:tr>
    </w:tbl>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四、政府信息公开行政复议、行政诉讼情况</w:t>
      </w:r>
    </w:p>
    <w:tbl>
      <w:tblPr>
        <w:tblStyle w:val="5"/>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603"/>
        <w:gridCol w:w="603"/>
        <w:gridCol w:w="603"/>
        <w:gridCol w:w="607"/>
        <w:gridCol w:w="603"/>
        <w:gridCol w:w="603"/>
        <w:gridCol w:w="603"/>
        <w:gridCol w:w="603"/>
        <w:gridCol w:w="607"/>
        <w:gridCol w:w="603"/>
        <w:gridCol w:w="603"/>
        <w:gridCol w:w="603"/>
        <w:gridCol w:w="603"/>
        <w:gridCol w:w="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67" w:type="pct"/>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行政复议</w:t>
            </w:r>
          </w:p>
        </w:tc>
        <w:tc>
          <w:tcPr>
            <w:tcW w:w="3333" w:type="pct"/>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3" w:type="pct"/>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结果维持</w:t>
            </w:r>
          </w:p>
        </w:tc>
        <w:tc>
          <w:tcPr>
            <w:tcW w:w="333" w:type="pct"/>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w:t>
            </w:r>
            <w:r>
              <w:rPr>
                <w:rFonts w:ascii="Times New Roman" w:hAnsi="Times New Roman" w:eastAsia="宋体"/>
                <w:b/>
              </w:rPr>
              <w:br w:type="textWrapping"/>
            </w:r>
            <w:r>
              <w:rPr>
                <w:rFonts w:ascii="Times New Roman" w:hAnsi="宋体" w:eastAsia="宋体"/>
                <w:b/>
              </w:rPr>
              <w:t>纠正</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其他</w:t>
            </w:r>
            <w:r>
              <w:rPr>
                <w:rFonts w:ascii="Times New Roman" w:hAnsi="Times New Roman" w:eastAsia="宋体"/>
                <w:b/>
              </w:rPr>
              <w:br w:type="textWrapping"/>
            </w:r>
            <w:r>
              <w:rPr>
                <w:rFonts w:ascii="Times New Roman" w:hAnsi="宋体" w:eastAsia="宋体"/>
                <w:b/>
              </w:rPr>
              <w:t>结果</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尚未</w:t>
            </w:r>
            <w:r>
              <w:rPr>
                <w:rFonts w:ascii="Times New Roman" w:hAnsi="Times New Roman" w:eastAsia="宋体"/>
                <w:b/>
              </w:rPr>
              <w:br w:type="textWrapping"/>
            </w:r>
            <w:r>
              <w:rPr>
                <w:rFonts w:ascii="Times New Roman" w:hAnsi="宋体" w:eastAsia="宋体"/>
                <w:b/>
              </w:rPr>
              <w:t>审结</w:t>
            </w:r>
          </w:p>
        </w:tc>
        <w:tc>
          <w:tcPr>
            <w:tcW w:w="333" w:type="pct"/>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总计</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未经复议直接起诉</w:t>
            </w:r>
          </w:p>
        </w:tc>
        <w:tc>
          <w:tcPr>
            <w:tcW w:w="1667" w:type="pct"/>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3" w:type="pct"/>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Times New Roman" w:hAnsi="Times New Roman" w:cs="Times New Roman"/>
                <w:b/>
                <w:sz w:val="24"/>
              </w:rPr>
            </w:pPr>
          </w:p>
        </w:tc>
        <w:tc>
          <w:tcPr>
            <w:tcW w:w="333" w:type="pct"/>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Times New Roman" w:hAnsi="Times New Roman" w:cs="Times New Roman"/>
                <w:b/>
                <w:sz w:val="24"/>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Times New Roman" w:hAnsi="Times New Roman" w:cs="Times New Roman"/>
                <w:b/>
                <w:sz w:val="24"/>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Times New Roman" w:hAnsi="Times New Roman" w:cs="Times New Roman"/>
                <w:b/>
                <w:sz w:val="24"/>
              </w:rPr>
            </w:pPr>
          </w:p>
        </w:tc>
        <w:tc>
          <w:tcPr>
            <w:tcW w:w="333" w:type="pct"/>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Times New Roman" w:hAnsi="Times New Roman" w:cs="Times New Roman"/>
                <w:b/>
                <w:sz w:val="24"/>
              </w:rPr>
            </w:pP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w:t>
            </w:r>
            <w:r>
              <w:rPr>
                <w:rFonts w:ascii="Times New Roman" w:hAnsi="Times New Roman" w:eastAsia="宋体"/>
                <w:b/>
              </w:rPr>
              <w:br w:type="textWrapping"/>
            </w:r>
            <w:r>
              <w:rPr>
                <w:rFonts w:ascii="Times New Roman" w:hAnsi="宋体" w:eastAsia="宋体"/>
                <w:b/>
              </w:rPr>
              <w:t>维持</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w:t>
            </w:r>
            <w:r>
              <w:rPr>
                <w:rFonts w:ascii="Times New Roman" w:hAnsi="Times New Roman" w:eastAsia="宋体"/>
                <w:b/>
              </w:rPr>
              <w:br w:type="textWrapping"/>
            </w:r>
            <w:r>
              <w:rPr>
                <w:rFonts w:ascii="Times New Roman" w:hAnsi="宋体" w:eastAsia="宋体"/>
                <w:b/>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其他</w:t>
            </w:r>
            <w:r>
              <w:rPr>
                <w:rFonts w:ascii="Times New Roman" w:hAnsi="Times New Roman" w:eastAsia="宋体"/>
                <w:b/>
              </w:rPr>
              <w:br w:type="textWrapping"/>
            </w:r>
            <w:r>
              <w:rPr>
                <w:rFonts w:ascii="Times New Roman" w:hAnsi="宋体" w:eastAsia="宋体"/>
                <w:b/>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尚未</w:t>
            </w:r>
            <w:r>
              <w:rPr>
                <w:rFonts w:ascii="Times New Roman" w:hAnsi="Times New Roman" w:eastAsia="宋体"/>
                <w:b/>
              </w:rPr>
              <w:br w:type="textWrapping"/>
            </w:r>
            <w:r>
              <w:rPr>
                <w:rFonts w:ascii="Times New Roman" w:hAnsi="宋体" w:eastAsia="宋体"/>
                <w:b/>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总计</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w:t>
            </w:r>
            <w:r>
              <w:rPr>
                <w:rFonts w:ascii="Times New Roman" w:hAnsi="Times New Roman" w:eastAsia="宋体"/>
                <w:b/>
              </w:rPr>
              <w:br w:type="textWrapping"/>
            </w:r>
            <w:r>
              <w:rPr>
                <w:rFonts w:ascii="Times New Roman" w:hAnsi="宋体" w:eastAsia="宋体"/>
                <w:b/>
              </w:rPr>
              <w:t>维持</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结果</w:t>
            </w:r>
            <w:r>
              <w:rPr>
                <w:rFonts w:ascii="Times New Roman" w:hAnsi="Times New Roman" w:eastAsia="宋体"/>
                <w:b/>
              </w:rPr>
              <w:br w:type="textWrapping"/>
            </w:r>
            <w:r>
              <w:rPr>
                <w:rFonts w:ascii="Times New Roman" w:hAnsi="宋体" w:eastAsia="宋体"/>
                <w:b/>
              </w:rPr>
              <w:t>纠正</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其他</w:t>
            </w:r>
            <w:r>
              <w:rPr>
                <w:rFonts w:ascii="Times New Roman" w:hAnsi="Times New Roman" w:eastAsia="宋体"/>
                <w:b/>
              </w:rPr>
              <w:br w:type="textWrapping"/>
            </w:r>
            <w:r>
              <w:rPr>
                <w:rFonts w:ascii="Times New Roman" w:hAnsi="宋体" w:eastAsia="宋体"/>
                <w:b/>
              </w:rPr>
              <w:t>结果</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尚未</w:t>
            </w:r>
            <w:r>
              <w:rPr>
                <w:rFonts w:ascii="Times New Roman" w:hAnsi="Times New Roman" w:eastAsia="宋体"/>
                <w:b/>
              </w:rPr>
              <w:br w:type="textWrapping"/>
            </w:r>
            <w:r>
              <w:rPr>
                <w:rFonts w:ascii="Times New Roman" w:hAnsi="宋体" w:eastAsia="宋体"/>
                <w:b/>
              </w:rPr>
              <w:t>审结</w:t>
            </w:r>
          </w:p>
        </w:tc>
        <w:tc>
          <w:tcPr>
            <w:tcW w:w="333" w:type="pc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宋体" w:eastAsia="宋体"/>
                <w:b/>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333"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c>
          <w:tcPr>
            <w:tcW w:w="333"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before="75" w:beforeAutospacing="0" w:after="75" w:afterAutospacing="0" w:line="315" w:lineRule="atLeast"/>
              <w:rPr>
                <w:rFonts w:ascii="Times New Roman" w:hAnsi="Times New Roman"/>
                <w:b/>
              </w:rPr>
            </w:pPr>
            <w:r>
              <w:rPr>
                <w:rFonts w:ascii="Times New Roman" w:hAnsi="Times New Roman" w:eastAsia="宋体"/>
                <w:b/>
              </w:rPr>
              <w:t>0</w:t>
            </w:r>
          </w:p>
        </w:tc>
      </w:tr>
    </w:tbl>
    <w:p>
      <w:pPr>
        <w:pStyle w:val="4"/>
        <w:widowControl/>
        <w:wordWrap w:val="0"/>
        <w:spacing w:beforeAutospacing="0" w:afterAutospacing="0" w:line="315" w:lineRule="atLeast"/>
        <w:ind w:firstLine="420"/>
        <w:rPr>
          <w:rFonts w:ascii="Times New Roman" w:hAnsi="Times New Roman" w:eastAsia="宋体"/>
          <w:b/>
        </w:rPr>
      </w:pPr>
    </w:p>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五、存在的主要问题及改进情况</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今年以来，县乡村振兴局严格按照《中华人民共和国政府信息公开条例》进行政务公开，取得了积极的工作进展，但同时也存在一些不足，主要表现在：一是政策解读数量、质量及解读形式等方面还有待进一步提升；二是在新建板块的公示内容、及时性等方面需要进一步加强。</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改进措施：一是细化政策解读工作，按照单位职能加大政策宣传解读信息的公布以及重大工作部署及民生事项全面公开，提高政策解读质量，丰富解读形式。二是加强新建板块的政策性文件的公示力度，及时公布、细化解读，强化政务公开管理制度，确保政务公开工作持续健康发展。</w:t>
      </w:r>
    </w:p>
    <w:p>
      <w:pPr>
        <w:pStyle w:val="4"/>
        <w:widowControl/>
        <w:wordWrap w:val="0"/>
        <w:spacing w:beforeAutospacing="0" w:afterAutospacing="0" w:line="588"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六、其他需要报告的事项</w:t>
      </w:r>
    </w:p>
    <w:p>
      <w:pPr>
        <w:pStyle w:val="4"/>
        <w:widowControl/>
        <w:wordWrap w:val="0"/>
        <w:spacing w:beforeAutospacing="0" w:afterAutospacing="0" w:line="588" w:lineRule="exact"/>
        <w:ind w:firstLine="643" w:firstLineChars="200"/>
        <w:jc w:val="both"/>
        <w:rPr>
          <w:rFonts w:ascii="Times New Roman" w:hAnsi="Times New Roman" w:eastAsia="方正仿宋简体"/>
          <w:b/>
          <w:sz w:val="32"/>
          <w:szCs w:val="32"/>
        </w:rPr>
      </w:pPr>
      <w:r>
        <w:rPr>
          <w:rFonts w:ascii="Times New Roman" w:hAnsi="Times New Roman" w:eastAsia="方正仿宋简体"/>
          <w:b/>
          <w:sz w:val="32"/>
          <w:szCs w:val="32"/>
        </w:rPr>
        <w:t>依据《政府信息公开信息处理费管理办法》，本单位未收取信息处理费。</w:t>
      </w:r>
    </w:p>
    <w:sectPr>
      <w:pgSz w:w="11907" w:h="16840"/>
      <w:pgMar w:top="1871"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30348"/>
    <w:rsid w:val="00010491"/>
    <w:rsid w:val="00037E68"/>
    <w:rsid w:val="003474FD"/>
    <w:rsid w:val="003C3244"/>
    <w:rsid w:val="005875AF"/>
    <w:rsid w:val="00802E0A"/>
    <w:rsid w:val="008948CC"/>
    <w:rsid w:val="009A502B"/>
    <w:rsid w:val="00A16B36"/>
    <w:rsid w:val="00B30348"/>
    <w:rsid w:val="00B734EB"/>
    <w:rsid w:val="00C316F9"/>
    <w:rsid w:val="00E23D23"/>
    <w:rsid w:val="05B1415B"/>
    <w:rsid w:val="0888038D"/>
    <w:rsid w:val="115B3EC9"/>
    <w:rsid w:val="2A2B41EB"/>
    <w:rsid w:val="3A7C4A39"/>
    <w:rsid w:val="3CE274BF"/>
    <w:rsid w:val="3E7A6E6D"/>
    <w:rsid w:val="3EED5823"/>
    <w:rsid w:val="4CC50D08"/>
    <w:rsid w:val="4F9E7ABD"/>
    <w:rsid w:val="5BA3612A"/>
    <w:rsid w:val="5E7D36E3"/>
    <w:rsid w:val="618D1130"/>
    <w:rsid w:val="64A11498"/>
    <w:rsid w:val="7277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420</Words>
  <Characters>2394</Characters>
  <Lines>19</Lines>
  <Paragraphs>5</Paragraphs>
  <TotalTime>5</TotalTime>
  <ScaleCrop>false</ScaleCrop>
  <LinksUpToDate>false</LinksUpToDate>
  <CharactersWithSpaces>2809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2022-01-17T08:49:00Z</dcterms:created>
  <dc:creator>Administrator</dc:creator>
  <cp:lastModifiedBy>Administrator</cp:lastModifiedBy>
  <cp:lastPrinted>2022-01-17T08:48:00Z</cp:lastPrinted>
  <dcterms:modified xsi:type="dcterms:W3CDTF">2022-01-20T03:04:52Z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EBCEDBA66DA2455A9D790C83198B240B</vt:lpwstr>
  </property>
</Properties>
</file>