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jc w:val="center"/>
        <w:rPr>
          <w:rFonts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0"/>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rPr>
          <w:rFonts w:eastAsia="仿宋"/>
          <w:sz w:val="44"/>
          <w:szCs w:val="44"/>
        </w:rPr>
      </w:pPr>
    </w:p>
    <w:p>
      <w:pPr>
        <w:adjustRightInd w:val="0"/>
        <w:spacing w:line="360" w:lineRule="auto"/>
        <w:ind w:left="2883" w:leftChars="608" w:hanging="1606" w:hangingChars="500"/>
        <w:jc w:val="left"/>
        <w:rPr>
          <w:rFonts w:ascii="仿宋_GB2312" w:eastAsia="仿宋_GB2312"/>
          <w:b/>
          <w:bCs/>
          <w:sz w:val="32"/>
          <w:szCs w:val="32"/>
          <w:u w:val="single"/>
        </w:rPr>
      </w:pPr>
      <w:r>
        <w:rPr>
          <w:rFonts w:hint="eastAsia" w:ascii="仿宋_GB2312" w:eastAsia="仿宋_GB2312"/>
          <w:b/>
          <w:bCs/>
          <w:sz w:val="32"/>
          <w:szCs w:val="32"/>
        </w:rPr>
        <w:t>项目名称：</w:t>
      </w:r>
      <w:r>
        <w:rPr>
          <w:rFonts w:hint="eastAsia" w:ascii="仿宋_GB2312" w:eastAsia="仿宋_GB2312"/>
          <w:b/>
          <w:bCs/>
          <w:sz w:val="32"/>
          <w:szCs w:val="32"/>
          <w:u w:val="single"/>
        </w:rPr>
        <w:t>新建膨润土加工项目</w:t>
      </w:r>
    </w:p>
    <w:p>
      <w:pPr>
        <w:adjustRightInd w:val="0"/>
        <w:spacing w:line="360" w:lineRule="auto"/>
        <w:ind w:firstLine="1285" w:firstLineChars="400"/>
        <w:rPr>
          <w:rFonts w:ascii="仿宋_GB2312" w:eastAsia="仿宋_GB2312"/>
          <w:b/>
          <w:bCs/>
          <w:sz w:val="32"/>
          <w:szCs w:val="32"/>
          <w:u w:val="single"/>
        </w:rPr>
      </w:pPr>
      <w:r>
        <w:rPr>
          <w:rFonts w:hint="eastAsia" w:ascii="仿宋_GB2312" w:eastAsia="仿宋_GB2312"/>
          <w:b/>
          <w:bCs/>
          <w:sz w:val="32"/>
          <w:szCs w:val="32"/>
        </w:rPr>
        <w:t>建设单位：</w:t>
      </w:r>
      <w:r>
        <w:rPr>
          <w:rFonts w:hint="eastAsia" w:ascii="仿宋_GB2312" w:eastAsia="仿宋_GB2312"/>
          <w:b/>
          <w:bCs/>
          <w:sz w:val="32"/>
          <w:szCs w:val="32"/>
          <w:u w:val="single"/>
        </w:rPr>
        <w:t xml:space="preserve">泗水县睿成膨润土厂(盖章)  </w:t>
      </w:r>
    </w:p>
    <w:p>
      <w:pPr>
        <w:adjustRightInd w:val="0"/>
        <w:spacing w:line="360" w:lineRule="auto"/>
        <w:ind w:firstLine="1285" w:firstLineChars="400"/>
        <w:jc w:val="left"/>
        <w:rPr>
          <w:rFonts w:ascii="仿宋_GB2312" w:eastAsia="仿宋_GB2312"/>
          <w:b/>
          <w:bCs/>
          <w:sz w:val="32"/>
          <w:szCs w:val="32"/>
          <w:u w:val="single"/>
        </w:rPr>
      </w:pPr>
      <w:r>
        <w:rPr>
          <w:rFonts w:hint="eastAsia" w:ascii="仿宋_GB2312" w:eastAsia="仿宋_GB2312"/>
          <w:b/>
          <w:bCs/>
          <w:sz w:val="32"/>
          <w:szCs w:val="32"/>
        </w:rPr>
        <w:t>编制日期：</w:t>
      </w:r>
      <w:r>
        <w:rPr>
          <w:rFonts w:hint="eastAsia" w:eastAsia="仿宋_GB2312"/>
          <w:b/>
          <w:bCs/>
          <w:sz w:val="32"/>
          <w:szCs w:val="32"/>
          <w:u w:val="single"/>
        </w:rPr>
        <w:t xml:space="preserve">          2</w:t>
      </w:r>
      <w:r>
        <w:rPr>
          <w:rFonts w:eastAsia="仿宋_GB2312"/>
          <w:b/>
          <w:bCs/>
          <w:sz w:val="32"/>
          <w:szCs w:val="32"/>
          <w:u w:val="single"/>
        </w:rPr>
        <w:t>02</w:t>
      </w:r>
      <w:r>
        <w:rPr>
          <w:rFonts w:hint="eastAsia" w:eastAsia="仿宋_GB2312"/>
          <w:b/>
          <w:bCs/>
          <w:sz w:val="32"/>
          <w:szCs w:val="32"/>
          <w:u w:val="single"/>
        </w:rPr>
        <w:t xml:space="preserve">3年8月         </w:t>
      </w:r>
    </w:p>
    <w:p>
      <w:pPr>
        <w:adjustRightInd w:val="0"/>
        <w:snapToGrid w:val="0"/>
        <w:spacing w:line="288" w:lineRule="auto"/>
        <w:ind w:firstLine="1040"/>
        <w:rPr>
          <w:rFonts w:ascii="仿宋_GB2312" w:eastAsia="仿宋_GB2312"/>
          <w:sz w:val="36"/>
          <w:szCs w:val="36"/>
          <w:u w:val="single"/>
        </w:rPr>
      </w:pPr>
      <w:bookmarkStart w:id="0" w:name="_Hlk57884087"/>
    </w:p>
    <w:p>
      <w:pPr>
        <w:adjustRightInd w:val="0"/>
        <w:snapToGrid w:val="0"/>
        <w:spacing w:line="288" w:lineRule="auto"/>
        <w:ind w:firstLine="1040"/>
        <w:rPr>
          <w:rFonts w:ascii="仿宋_GB2312" w:eastAsia="仿宋_GB2312"/>
          <w:sz w:val="36"/>
          <w:szCs w:val="36"/>
        </w:rPr>
      </w:pPr>
    </w:p>
    <w:bookmarkEnd w:id="0"/>
    <w:p>
      <w:pPr>
        <w:adjustRightInd w:val="0"/>
        <w:snapToGrid w:val="0"/>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440" w:right="1440" w:bottom="1440" w:left="1440" w:header="851" w:footer="1077" w:gutter="0"/>
          <w:cols w:space="720" w:num="1"/>
          <w:docGrid w:type="lines" w:linePitch="312" w:charSpace="0"/>
        </w:sectPr>
      </w:pPr>
    </w:p>
    <w:p>
      <w:pPr>
        <w:pStyle w:val="32"/>
        <w:spacing w:before="0" w:beforeAutospacing="0" w:after="0" w:afterAutospacing="0"/>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35"/>
        <w:tblW w:w="9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8"/>
        <w:gridCol w:w="2899"/>
        <w:gridCol w:w="2295"/>
        <w:gridCol w:w="3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8" w:type="dxa"/>
            <w:tcBorders>
              <w:tl2br w:val="nil"/>
              <w:tr2bl w:val="nil"/>
            </w:tcBorders>
            <w:tcMar>
              <w:top w:w="16" w:type="dxa"/>
              <w:left w:w="16" w:type="dxa"/>
              <w:right w:w="16" w:type="dxa"/>
            </w:tcMar>
            <w:vAlign w:val="center"/>
          </w:tcPr>
          <w:p>
            <w:pPr>
              <w:adjustRightInd w:val="0"/>
              <w:snapToGrid w:val="0"/>
              <w:jc w:val="center"/>
              <w:rPr>
                <w:szCs w:val="21"/>
              </w:rPr>
            </w:pPr>
            <w:r>
              <w:rPr>
                <w:szCs w:val="21"/>
              </w:rPr>
              <w:t>建设项目名称</w:t>
            </w:r>
          </w:p>
        </w:tc>
        <w:tc>
          <w:tcPr>
            <w:tcW w:w="8944" w:type="dxa"/>
            <w:gridSpan w:val="3"/>
            <w:tcBorders>
              <w:tl2br w:val="nil"/>
              <w:tr2bl w:val="nil"/>
            </w:tcBorders>
            <w:vAlign w:val="center"/>
          </w:tcPr>
          <w:p>
            <w:pPr>
              <w:adjustRightInd w:val="0"/>
              <w:snapToGrid w:val="0"/>
              <w:jc w:val="center"/>
              <w:rPr>
                <w:szCs w:val="21"/>
              </w:rPr>
            </w:pPr>
            <w:r>
              <w:rPr>
                <w:rFonts w:hint="eastAsia"/>
                <w:szCs w:val="21"/>
              </w:rPr>
              <w:t>新建膨润土加工项目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8" w:type="dxa"/>
            <w:tcBorders>
              <w:tl2br w:val="nil"/>
              <w:tr2bl w:val="nil"/>
            </w:tcBorders>
            <w:tcMar>
              <w:top w:w="16" w:type="dxa"/>
              <w:left w:w="16" w:type="dxa"/>
              <w:right w:w="16" w:type="dxa"/>
            </w:tcMar>
            <w:vAlign w:val="center"/>
          </w:tcPr>
          <w:p>
            <w:pPr>
              <w:adjustRightInd w:val="0"/>
              <w:snapToGrid w:val="0"/>
              <w:jc w:val="center"/>
              <w:rPr>
                <w:szCs w:val="21"/>
              </w:rPr>
            </w:pPr>
            <w:r>
              <w:rPr>
                <w:szCs w:val="21"/>
              </w:rPr>
              <w:t>项目</w:t>
            </w:r>
          </w:p>
          <w:p>
            <w:pPr>
              <w:adjustRightInd w:val="0"/>
              <w:snapToGrid w:val="0"/>
              <w:jc w:val="center"/>
              <w:rPr>
                <w:szCs w:val="21"/>
              </w:rPr>
            </w:pPr>
            <w:r>
              <w:rPr>
                <w:szCs w:val="21"/>
              </w:rPr>
              <w:t>代码</w:t>
            </w:r>
          </w:p>
        </w:tc>
        <w:tc>
          <w:tcPr>
            <w:tcW w:w="8944" w:type="dxa"/>
            <w:gridSpan w:val="3"/>
            <w:tcBorders>
              <w:tl2br w:val="nil"/>
              <w:tr2bl w:val="nil"/>
            </w:tcBorders>
            <w:vAlign w:val="center"/>
          </w:tcPr>
          <w:p>
            <w:pPr>
              <w:adjustRightInd w:val="0"/>
              <w:snapToGrid w:val="0"/>
              <w:jc w:val="center"/>
              <w:rPr>
                <w:szCs w:val="21"/>
              </w:rPr>
            </w:pPr>
            <w:r>
              <w:rPr>
                <w:rFonts w:hint="eastAsia"/>
                <w:szCs w:val="21"/>
              </w:rPr>
              <w:t>2308-370831-04-01-201291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8" w:type="dxa"/>
            <w:tcBorders>
              <w:tl2br w:val="nil"/>
              <w:tr2bl w:val="nil"/>
            </w:tcBorders>
            <w:tcMar>
              <w:top w:w="16" w:type="dxa"/>
              <w:left w:w="16" w:type="dxa"/>
              <w:right w:w="16" w:type="dxa"/>
            </w:tcMar>
            <w:vAlign w:val="center"/>
          </w:tcPr>
          <w:p>
            <w:pPr>
              <w:adjustRightInd w:val="0"/>
              <w:snapToGrid w:val="0"/>
              <w:jc w:val="center"/>
              <w:rPr>
                <w:szCs w:val="21"/>
              </w:rPr>
            </w:pPr>
            <w:r>
              <w:rPr>
                <w:szCs w:val="21"/>
              </w:rPr>
              <w:t>建设单位联系人</w:t>
            </w:r>
          </w:p>
        </w:tc>
        <w:tc>
          <w:tcPr>
            <w:tcW w:w="2899" w:type="dxa"/>
            <w:tcBorders>
              <w:tl2br w:val="nil"/>
              <w:tr2bl w:val="nil"/>
            </w:tcBorders>
            <w:vAlign w:val="center"/>
          </w:tcPr>
          <w:p>
            <w:pPr>
              <w:adjustRightInd w:val="0"/>
              <w:snapToGrid w:val="0"/>
              <w:jc w:val="center"/>
              <w:rPr>
                <w:szCs w:val="21"/>
              </w:rPr>
            </w:pPr>
            <w:r>
              <w:rPr>
                <w:rFonts w:hint="eastAsia"/>
                <w:szCs w:val="21"/>
              </w:rPr>
              <w:t>杨玉申</w:t>
            </w:r>
          </w:p>
        </w:tc>
        <w:tc>
          <w:tcPr>
            <w:tcW w:w="2295" w:type="dxa"/>
            <w:tcBorders>
              <w:tl2br w:val="nil"/>
              <w:tr2bl w:val="nil"/>
            </w:tcBorders>
            <w:vAlign w:val="center"/>
          </w:tcPr>
          <w:p>
            <w:pPr>
              <w:adjustRightInd w:val="0"/>
              <w:snapToGrid w:val="0"/>
              <w:jc w:val="center"/>
              <w:rPr>
                <w:szCs w:val="21"/>
              </w:rPr>
            </w:pPr>
            <w:r>
              <w:rPr>
                <w:szCs w:val="21"/>
              </w:rPr>
              <w:t>联系方式</w:t>
            </w:r>
          </w:p>
        </w:tc>
        <w:tc>
          <w:tcPr>
            <w:tcW w:w="3750" w:type="dxa"/>
            <w:tcBorders>
              <w:tl2br w:val="nil"/>
              <w:tr2bl w:val="nil"/>
            </w:tcBorders>
            <w:vAlign w:val="center"/>
          </w:tcPr>
          <w:p>
            <w:pPr>
              <w:adjustRightInd w:val="0"/>
              <w:snapToGrid w:val="0"/>
              <w:jc w:val="center"/>
              <w:rPr>
                <w:szCs w:val="21"/>
              </w:rPr>
            </w:pPr>
            <w:r>
              <w:rPr>
                <w:rFonts w:hint="eastAsia"/>
                <w:szCs w:val="21"/>
              </w:rPr>
              <w:t>18660705239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8" w:type="dxa"/>
            <w:tcBorders>
              <w:tl2br w:val="nil"/>
              <w:tr2bl w:val="nil"/>
            </w:tcBorders>
            <w:tcMar>
              <w:top w:w="16" w:type="dxa"/>
              <w:left w:w="16" w:type="dxa"/>
              <w:right w:w="16" w:type="dxa"/>
            </w:tcMar>
            <w:vAlign w:val="center"/>
          </w:tcPr>
          <w:p>
            <w:pPr>
              <w:adjustRightInd w:val="0"/>
              <w:snapToGrid w:val="0"/>
              <w:jc w:val="center"/>
              <w:rPr>
                <w:szCs w:val="21"/>
              </w:rPr>
            </w:pPr>
            <w:r>
              <w:rPr>
                <w:szCs w:val="21"/>
              </w:rPr>
              <w:t>建设</w:t>
            </w:r>
          </w:p>
          <w:p>
            <w:pPr>
              <w:adjustRightInd w:val="0"/>
              <w:snapToGrid w:val="0"/>
              <w:jc w:val="center"/>
              <w:rPr>
                <w:szCs w:val="21"/>
              </w:rPr>
            </w:pPr>
            <w:r>
              <w:rPr>
                <w:szCs w:val="21"/>
              </w:rPr>
              <w:t>地点</w:t>
            </w:r>
          </w:p>
        </w:tc>
        <w:tc>
          <w:tcPr>
            <w:tcW w:w="8944" w:type="dxa"/>
            <w:gridSpan w:val="3"/>
            <w:tcBorders>
              <w:tl2br w:val="nil"/>
              <w:tr2bl w:val="nil"/>
            </w:tcBorders>
            <w:vAlign w:val="center"/>
          </w:tcPr>
          <w:p>
            <w:pPr>
              <w:adjustRightInd w:val="0"/>
              <w:snapToGrid w:val="0"/>
              <w:jc w:val="center"/>
              <w:rPr>
                <w:szCs w:val="21"/>
              </w:rPr>
            </w:pPr>
            <w:r>
              <w:rPr>
                <w:rFonts w:hint="eastAsia"/>
                <w:szCs w:val="21"/>
              </w:rPr>
              <w:t>山东省济宁市泗水县柘沟镇西大厂村东100米圣峰石材院内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8" w:type="dxa"/>
            <w:tcBorders>
              <w:tl2br w:val="nil"/>
              <w:tr2bl w:val="nil"/>
            </w:tcBorders>
            <w:tcMar>
              <w:top w:w="16" w:type="dxa"/>
              <w:left w:w="16" w:type="dxa"/>
              <w:right w:w="16" w:type="dxa"/>
            </w:tcMar>
            <w:vAlign w:val="center"/>
          </w:tcPr>
          <w:p>
            <w:pPr>
              <w:adjustRightInd w:val="0"/>
              <w:snapToGrid w:val="0"/>
              <w:jc w:val="center"/>
              <w:rPr>
                <w:szCs w:val="21"/>
              </w:rPr>
            </w:pPr>
            <w:r>
              <w:rPr>
                <w:szCs w:val="21"/>
              </w:rPr>
              <w:t>地理</w:t>
            </w:r>
          </w:p>
          <w:p>
            <w:pPr>
              <w:adjustRightInd w:val="0"/>
              <w:snapToGrid w:val="0"/>
              <w:jc w:val="center"/>
              <w:rPr>
                <w:szCs w:val="21"/>
              </w:rPr>
            </w:pPr>
            <w:r>
              <w:rPr>
                <w:szCs w:val="21"/>
              </w:rPr>
              <w:t>坐标</w:t>
            </w:r>
          </w:p>
        </w:tc>
        <w:tc>
          <w:tcPr>
            <w:tcW w:w="8944" w:type="dxa"/>
            <w:gridSpan w:val="3"/>
            <w:tcBorders>
              <w:tl2br w:val="nil"/>
              <w:tr2bl w:val="nil"/>
            </w:tcBorders>
            <w:vAlign w:val="center"/>
          </w:tcPr>
          <w:p>
            <w:pPr>
              <w:jc w:val="center"/>
              <w:rPr>
                <w:szCs w:val="21"/>
              </w:rPr>
            </w:pPr>
            <w:r>
              <w:rPr>
                <w:szCs w:val="21"/>
              </w:rPr>
              <w:t>（经度：117度</w:t>
            </w:r>
            <w:r>
              <w:rPr>
                <w:rFonts w:hint="eastAsia"/>
                <w:szCs w:val="21"/>
              </w:rPr>
              <w:t>8</w:t>
            </w:r>
            <w:r>
              <w:rPr>
                <w:szCs w:val="21"/>
              </w:rPr>
              <w:t>分</w:t>
            </w:r>
            <w:r>
              <w:rPr>
                <w:rFonts w:hint="eastAsia"/>
                <w:szCs w:val="21"/>
              </w:rPr>
              <w:t>11.152</w:t>
            </w:r>
            <w:r>
              <w:rPr>
                <w:szCs w:val="21"/>
              </w:rPr>
              <w:t>秒，纬度：35度</w:t>
            </w:r>
            <w:r>
              <w:rPr>
                <w:rFonts w:hint="eastAsia"/>
                <w:szCs w:val="21"/>
              </w:rPr>
              <w:t>43</w:t>
            </w:r>
            <w:r>
              <w:rPr>
                <w:szCs w:val="21"/>
              </w:rPr>
              <w:t>分</w:t>
            </w:r>
            <w:r>
              <w:rPr>
                <w:rFonts w:hint="eastAsia"/>
                <w:szCs w:val="21"/>
              </w:rPr>
              <w:t>44.526</w:t>
            </w:r>
            <w:r>
              <w:rPr>
                <w:szCs w:val="21"/>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8" w:type="dxa"/>
            <w:tcBorders>
              <w:tl2br w:val="nil"/>
              <w:tr2bl w:val="nil"/>
            </w:tcBorders>
            <w:tcMar>
              <w:top w:w="16" w:type="dxa"/>
              <w:left w:w="16" w:type="dxa"/>
              <w:right w:w="16" w:type="dxa"/>
            </w:tcMar>
            <w:vAlign w:val="center"/>
          </w:tcPr>
          <w:p>
            <w:pPr>
              <w:adjustRightInd w:val="0"/>
              <w:snapToGrid w:val="0"/>
              <w:jc w:val="center"/>
              <w:rPr>
                <w:szCs w:val="21"/>
              </w:rPr>
            </w:pPr>
            <w:r>
              <w:rPr>
                <w:szCs w:val="21"/>
              </w:rPr>
              <w:t>国民经济行业类别</w:t>
            </w:r>
          </w:p>
        </w:tc>
        <w:tc>
          <w:tcPr>
            <w:tcW w:w="2899" w:type="dxa"/>
            <w:tcBorders>
              <w:tl2br w:val="nil"/>
              <w:tr2bl w:val="nil"/>
            </w:tcBorders>
            <w:vAlign w:val="center"/>
          </w:tcPr>
          <w:p>
            <w:pPr>
              <w:jc w:val="center"/>
              <w:rPr>
                <w:szCs w:val="21"/>
              </w:rPr>
            </w:pPr>
            <w:r>
              <w:rPr>
                <w:rFonts w:hint="eastAsia"/>
                <w:szCs w:val="21"/>
              </w:rPr>
              <w:t xml:space="preserve">C3099 其他非金属矿物制品制造 </w:t>
            </w:r>
          </w:p>
        </w:tc>
        <w:tc>
          <w:tcPr>
            <w:tcW w:w="2295" w:type="dxa"/>
            <w:tcBorders>
              <w:tl2br w:val="nil"/>
              <w:tr2bl w:val="nil"/>
            </w:tcBorders>
            <w:vAlign w:val="center"/>
          </w:tcPr>
          <w:p>
            <w:pPr>
              <w:adjustRightInd w:val="0"/>
              <w:snapToGrid w:val="0"/>
              <w:jc w:val="center"/>
              <w:rPr>
                <w:szCs w:val="21"/>
              </w:rPr>
            </w:pPr>
            <w:bookmarkStart w:id="1" w:name="_Hlk49843745"/>
            <w:r>
              <w:rPr>
                <w:szCs w:val="21"/>
              </w:rPr>
              <w:t>建设项目</w:t>
            </w:r>
          </w:p>
          <w:p>
            <w:pPr>
              <w:adjustRightInd w:val="0"/>
              <w:snapToGrid w:val="0"/>
              <w:jc w:val="center"/>
              <w:rPr>
                <w:szCs w:val="21"/>
              </w:rPr>
            </w:pPr>
            <w:r>
              <w:rPr>
                <w:szCs w:val="21"/>
              </w:rPr>
              <w:t>行业类别</w:t>
            </w:r>
            <w:bookmarkEnd w:id="1"/>
          </w:p>
        </w:tc>
        <w:tc>
          <w:tcPr>
            <w:tcW w:w="3750" w:type="dxa"/>
            <w:tcBorders>
              <w:tl2br w:val="nil"/>
              <w:tr2bl w:val="nil"/>
            </w:tcBorders>
            <w:vAlign w:val="center"/>
          </w:tcPr>
          <w:p>
            <w:pPr>
              <w:widowControl/>
              <w:jc w:val="left"/>
              <w:rPr>
                <w:szCs w:val="21"/>
              </w:rPr>
            </w:pPr>
            <w:r>
              <w:rPr>
                <w:rFonts w:hint="eastAsia"/>
                <w:szCs w:val="21"/>
              </w:rPr>
              <w:t>二十七、非金属矿物制品制造30</w:t>
            </w:r>
            <w:r>
              <w:rPr>
                <w:szCs w:val="21"/>
              </w:rPr>
              <w:t>；</w:t>
            </w:r>
            <w:r>
              <w:rPr>
                <w:rFonts w:hint="eastAsia"/>
                <w:szCs w:val="21"/>
              </w:rPr>
              <w:t>60、石墨及其他非金属矿物制品制造309</w:t>
            </w:r>
            <w:r>
              <w:rPr>
                <w:rFonts w:hint="eastAsia"/>
                <w:spacing w:val="-2"/>
                <w:szCs w:val="21"/>
              </w:rPr>
              <w:t>*</w:t>
            </w:r>
            <w:r>
              <w:rPr>
                <w:szCs w:val="21"/>
              </w:rPr>
              <w:t>；</w:t>
            </w:r>
            <w:r>
              <w:rPr>
                <w:rFonts w:hint="eastAsia"/>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8" w:type="dxa"/>
            <w:tcBorders>
              <w:tl2br w:val="nil"/>
              <w:tr2bl w:val="nil"/>
            </w:tcBorders>
            <w:tcMar>
              <w:top w:w="16" w:type="dxa"/>
              <w:left w:w="16" w:type="dxa"/>
              <w:right w:w="16" w:type="dxa"/>
            </w:tcMar>
            <w:vAlign w:val="center"/>
          </w:tcPr>
          <w:p>
            <w:pPr>
              <w:adjustRightInd w:val="0"/>
              <w:snapToGrid w:val="0"/>
              <w:jc w:val="center"/>
              <w:rPr>
                <w:szCs w:val="21"/>
              </w:rPr>
            </w:pPr>
            <w:r>
              <w:rPr>
                <w:szCs w:val="21"/>
              </w:rPr>
              <w:t>建设</w:t>
            </w:r>
          </w:p>
          <w:p>
            <w:pPr>
              <w:adjustRightInd w:val="0"/>
              <w:snapToGrid w:val="0"/>
              <w:jc w:val="center"/>
              <w:rPr>
                <w:szCs w:val="21"/>
              </w:rPr>
            </w:pPr>
            <w:r>
              <w:rPr>
                <w:szCs w:val="21"/>
              </w:rPr>
              <w:t>性质</w:t>
            </w:r>
          </w:p>
        </w:tc>
        <w:tc>
          <w:tcPr>
            <w:tcW w:w="2899" w:type="dxa"/>
            <w:tcBorders>
              <w:tl2br w:val="nil"/>
              <w:tr2bl w:val="nil"/>
            </w:tcBorders>
            <w:vAlign w:val="center"/>
          </w:tcPr>
          <w:p>
            <w:pPr>
              <w:jc w:val="left"/>
              <w:rPr>
                <w:szCs w:val="21"/>
              </w:rPr>
            </w:pPr>
            <w:r>
              <w:rPr>
                <w:rFonts w:hint="eastAsia"/>
                <w:color w:val="000000"/>
                <w:sz w:val="24"/>
              </w:rPr>
              <w:t>☑</w:t>
            </w:r>
            <w:r>
              <w:rPr>
                <w:rFonts w:hint="eastAsia"/>
                <w:szCs w:val="21"/>
              </w:rPr>
              <w:t>新建（</w:t>
            </w:r>
            <w:r>
              <w:rPr>
                <w:szCs w:val="21"/>
              </w:rPr>
              <w:t>迁建</w:t>
            </w:r>
            <w:r>
              <w:rPr>
                <w:rFonts w:hint="eastAsia"/>
                <w:szCs w:val="21"/>
              </w:rPr>
              <w:t>）</w:t>
            </w:r>
          </w:p>
          <w:p>
            <w:pPr>
              <w:jc w:val="left"/>
              <w:rPr>
                <w:szCs w:val="21"/>
              </w:rPr>
            </w:pPr>
            <w:r>
              <w:rPr>
                <w:color w:val="000000"/>
                <w:sz w:val="24"/>
              </w:rPr>
              <w:t>□</w:t>
            </w:r>
            <w:r>
              <w:rPr>
                <w:szCs w:val="21"/>
              </w:rPr>
              <w:t>改建</w:t>
            </w:r>
          </w:p>
          <w:p>
            <w:pPr>
              <w:jc w:val="left"/>
              <w:rPr>
                <w:szCs w:val="21"/>
              </w:rPr>
            </w:pPr>
            <w:r>
              <w:rPr>
                <w:color w:val="000000"/>
                <w:sz w:val="24"/>
              </w:rPr>
              <w:t>□</w:t>
            </w:r>
            <w:r>
              <w:rPr>
                <w:rFonts w:hint="eastAsia"/>
                <w:szCs w:val="21"/>
              </w:rPr>
              <w:t>扩建</w:t>
            </w:r>
          </w:p>
          <w:p>
            <w:pPr>
              <w:jc w:val="left"/>
              <w:rPr>
                <w:szCs w:val="21"/>
              </w:rPr>
            </w:pPr>
            <w:r>
              <w:rPr>
                <w:color w:val="000000"/>
                <w:sz w:val="24"/>
              </w:rPr>
              <w:t>□</w:t>
            </w:r>
            <w:r>
              <w:rPr>
                <w:szCs w:val="21"/>
              </w:rPr>
              <w:t>技术改造</w:t>
            </w:r>
          </w:p>
        </w:tc>
        <w:tc>
          <w:tcPr>
            <w:tcW w:w="2295" w:type="dxa"/>
            <w:tcBorders>
              <w:tl2br w:val="nil"/>
              <w:tr2bl w:val="nil"/>
            </w:tcBorders>
            <w:vAlign w:val="center"/>
          </w:tcPr>
          <w:p>
            <w:pPr>
              <w:adjustRightInd w:val="0"/>
              <w:snapToGrid w:val="0"/>
              <w:jc w:val="center"/>
              <w:rPr>
                <w:szCs w:val="21"/>
              </w:rPr>
            </w:pPr>
            <w:r>
              <w:rPr>
                <w:szCs w:val="21"/>
              </w:rPr>
              <w:t>建设项目</w:t>
            </w:r>
          </w:p>
          <w:p>
            <w:pPr>
              <w:adjustRightInd w:val="0"/>
              <w:snapToGrid w:val="0"/>
              <w:jc w:val="center"/>
              <w:rPr>
                <w:szCs w:val="21"/>
              </w:rPr>
            </w:pPr>
            <w:r>
              <w:rPr>
                <w:szCs w:val="21"/>
              </w:rPr>
              <w:t>申报情形</w:t>
            </w:r>
          </w:p>
        </w:tc>
        <w:tc>
          <w:tcPr>
            <w:tcW w:w="3750" w:type="dxa"/>
            <w:tcBorders>
              <w:tl2br w:val="nil"/>
              <w:tr2bl w:val="nil"/>
            </w:tcBorders>
            <w:vAlign w:val="center"/>
          </w:tcPr>
          <w:p>
            <w:pPr>
              <w:jc w:val="left"/>
              <w:rPr>
                <w:szCs w:val="21"/>
              </w:rPr>
            </w:pPr>
            <w:r>
              <w:rPr>
                <w:rFonts w:hint="eastAsia"/>
                <w:color w:val="000000"/>
                <w:sz w:val="24"/>
              </w:rPr>
              <w:t>☑</w:t>
            </w:r>
            <w:r>
              <w:rPr>
                <w:szCs w:val="21"/>
              </w:rPr>
              <w:t xml:space="preserve">首次申报项目             </w:t>
            </w:r>
          </w:p>
          <w:p>
            <w:pPr>
              <w:jc w:val="left"/>
              <w:rPr>
                <w:szCs w:val="21"/>
              </w:rPr>
            </w:pPr>
            <w:r>
              <w:rPr>
                <w:color w:val="000000"/>
                <w:sz w:val="24"/>
              </w:rPr>
              <w:t>□</w:t>
            </w:r>
            <w:r>
              <w:rPr>
                <w:szCs w:val="21"/>
              </w:rPr>
              <w:t>不予批准后再次申报项目</w:t>
            </w:r>
          </w:p>
          <w:p>
            <w:pPr>
              <w:jc w:val="left"/>
              <w:rPr>
                <w:szCs w:val="21"/>
              </w:rPr>
            </w:pPr>
            <w:r>
              <w:rPr>
                <w:color w:val="000000"/>
                <w:sz w:val="24"/>
              </w:rPr>
              <w:t>□</w:t>
            </w:r>
            <w:r>
              <w:rPr>
                <w:szCs w:val="21"/>
              </w:rPr>
              <w:t xml:space="preserve">超五年重新审核项目     </w:t>
            </w:r>
          </w:p>
          <w:p>
            <w:pPr>
              <w:jc w:val="left"/>
              <w:rPr>
                <w:szCs w:val="21"/>
              </w:rPr>
            </w:pPr>
            <w:r>
              <w:rPr>
                <w:color w:val="000000"/>
                <w:sz w:val="24"/>
              </w:rPr>
              <w:t>□</w:t>
            </w:r>
            <w:r>
              <w:rPr>
                <w:szCs w:val="21"/>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8" w:type="dxa"/>
            <w:tcBorders>
              <w:tl2br w:val="nil"/>
              <w:tr2bl w:val="nil"/>
            </w:tcBorders>
            <w:tcMar>
              <w:top w:w="16" w:type="dxa"/>
              <w:left w:w="16" w:type="dxa"/>
              <w:right w:w="16" w:type="dxa"/>
            </w:tcMar>
            <w:vAlign w:val="center"/>
          </w:tcPr>
          <w:p>
            <w:pPr>
              <w:adjustRightInd w:val="0"/>
              <w:snapToGrid w:val="0"/>
              <w:jc w:val="center"/>
              <w:rPr>
                <w:szCs w:val="21"/>
              </w:rPr>
            </w:pPr>
            <w:r>
              <w:rPr>
                <w:szCs w:val="21"/>
              </w:rPr>
              <w:t>项目审批（核准/备案）部门（选填）</w:t>
            </w:r>
          </w:p>
        </w:tc>
        <w:tc>
          <w:tcPr>
            <w:tcW w:w="2899" w:type="dxa"/>
            <w:tcBorders>
              <w:tl2br w:val="nil"/>
              <w:tr2bl w:val="nil"/>
            </w:tcBorders>
            <w:vAlign w:val="center"/>
          </w:tcPr>
          <w:p>
            <w:pPr>
              <w:adjustRightInd w:val="0"/>
              <w:snapToGrid w:val="0"/>
              <w:jc w:val="center"/>
              <w:rPr>
                <w:szCs w:val="21"/>
              </w:rPr>
            </w:pPr>
            <w:r>
              <w:rPr>
                <w:szCs w:val="21"/>
              </w:rPr>
              <w:t>泗水县行政</w:t>
            </w:r>
          </w:p>
          <w:p>
            <w:pPr>
              <w:adjustRightInd w:val="0"/>
              <w:snapToGrid w:val="0"/>
              <w:jc w:val="center"/>
              <w:rPr>
                <w:szCs w:val="21"/>
              </w:rPr>
            </w:pPr>
            <w:r>
              <w:rPr>
                <w:szCs w:val="21"/>
              </w:rPr>
              <w:t>审批服务局</w:t>
            </w:r>
          </w:p>
        </w:tc>
        <w:tc>
          <w:tcPr>
            <w:tcW w:w="2295" w:type="dxa"/>
            <w:tcBorders>
              <w:tl2br w:val="nil"/>
              <w:tr2bl w:val="nil"/>
            </w:tcBorders>
            <w:vAlign w:val="center"/>
          </w:tcPr>
          <w:p>
            <w:pPr>
              <w:adjustRightInd w:val="0"/>
              <w:snapToGrid w:val="0"/>
              <w:jc w:val="center"/>
              <w:rPr>
                <w:szCs w:val="21"/>
              </w:rPr>
            </w:pPr>
            <w:r>
              <w:rPr>
                <w:szCs w:val="21"/>
              </w:rPr>
              <w:t>项目审批（核准/</w:t>
            </w:r>
          </w:p>
          <w:p>
            <w:pPr>
              <w:adjustRightInd w:val="0"/>
              <w:snapToGrid w:val="0"/>
              <w:jc w:val="center"/>
              <w:rPr>
                <w:szCs w:val="21"/>
              </w:rPr>
            </w:pPr>
            <w:r>
              <w:rPr>
                <w:szCs w:val="21"/>
              </w:rPr>
              <w:t>备案）文号（选填）</w:t>
            </w:r>
          </w:p>
        </w:tc>
        <w:tc>
          <w:tcPr>
            <w:tcW w:w="3750" w:type="dxa"/>
            <w:tcBorders>
              <w:tl2br w:val="nil"/>
              <w:tr2bl w:val="nil"/>
            </w:tcBorders>
            <w:vAlign w:val="center"/>
          </w:tcPr>
          <w:p>
            <w:pPr>
              <w:adjustRightInd w:val="0"/>
              <w:snapToGrid w:val="0"/>
              <w:jc w:val="center"/>
              <w:rPr>
                <w:szCs w:val="21"/>
              </w:rPr>
            </w:pPr>
            <w:r>
              <w:rPr>
                <w:rFonts w:hint="eastAsia"/>
                <w:szCs w:val="21"/>
              </w:rPr>
              <w:t>2308-370831-04-01-201291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8" w:type="dxa"/>
            <w:tcBorders>
              <w:tl2br w:val="nil"/>
              <w:tr2bl w:val="nil"/>
            </w:tcBorders>
            <w:tcMar>
              <w:top w:w="16" w:type="dxa"/>
              <w:left w:w="16" w:type="dxa"/>
              <w:right w:w="16" w:type="dxa"/>
            </w:tcMar>
            <w:vAlign w:val="center"/>
          </w:tcPr>
          <w:p>
            <w:pPr>
              <w:adjustRightInd w:val="0"/>
              <w:snapToGrid w:val="0"/>
              <w:jc w:val="center"/>
              <w:rPr>
                <w:szCs w:val="21"/>
              </w:rPr>
            </w:pPr>
            <w:r>
              <w:rPr>
                <w:szCs w:val="21"/>
              </w:rPr>
              <w:t>总投资万元</w:t>
            </w:r>
          </w:p>
        </w:tc>
        <w:tc>
          <w:tcPr>
            <w:tcW w:w="2899" w:type="dxa"/>
            <w:tcBorders>
              <w:tl2br w:val="nil"/>
              <w:tr2bl w:val="nil"/>
            </w:tcBorders>
            <w:vAlign w:val="center"/>
          </w:tcPr>
          <w:p>
            <w:pPr>
              <w:adjustRightInd w:val="0"/>
              <w:snapToGrid w:val="0"/>
              <w:jc w:val="center"/>
              <w:rPr>
                <w:szCs w:val="21"/>
              </w:rPr>
            </w:pPr>
            <w:r>
              <w:rPr>
                <w:rFonts w:hint="eastAsia"/>
                <w:szCs w:val="21"/>
              </w:rPr>
              <w:t>100</w:t>
            </w:r>
          </w:p>
        </w:tc>
        <w:tc>
          <w:tcPr>
            <w:tcW w:w="2295" w:type="dxa"/>
            <w:tcBorders>
              <w:tl2br w:val="nil"/>
              <w:tr2bl w:val="nil"/>
            </w:tcBorders>
            <w:tcMar>
              <w:top w:w="16" w:type="dxa"/>
              <w:left w:w="16" w:type="dxa"/>
              <w:right w:w="16" w:type="dxa"/>
            </w:tcMar>
            <w:vAlign w:val="center"/>
          </w:tcPr>
          <w:p>
            <w:pPr>
              <w:adjustRightInd w:val="0"/>
              <w:snapToGrid w:val="0"/>
              <w:jc w:val="center"/>
              <w:rPr>
                <w:szCs w:val="21"/>
              </w:rPr>
            </w:pPr>
            <w:r>
              <w:rPr>
                <w:szCs w:val="21"/>
              </w:rPr>
              <w:t>环保投资（万元）</w:t>
            </w:r>
          </w:p>
        </w:tc>
        <w:tc>
          <w:tcPr>
            <w:tcW w:w="3750" w:type="dxa"/>
            <w:tcBorders>
              <w:tl2br w:val="nil"/>
              <w:tr2bl w:val="nil"/>
            </w:tcBorders>
            <w:vAlign w:val="center"/>
          </w:tcPr>
          <w:p>
            <w:pPr>
              <w:adjustRightInd w:val="0"/>
              <w:snapToGrid w:val="0"/>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8" w:type="dxa"/>
            <w:tcBorders>
              <w:tl2br w:val="nil"/>
              <w:tr2bl w:val="nil"/>
            </w:tcBorders>
            <w:tcMar>
              <w:top w:w="16" w:type="dxa"/>
              <w:left w:w="16" w:type="dxa"/>
              <w:right w:w="16" w:type="dxa"/>
            </w:tcMar>
            <w:vAlign w:val="center"/>
          </w:tcPr>
          <w:p>
            <w:pPr>
              <w:adjustRightInd w:val="0"/>
              <w:snapToGrid w:val="0"/>
              <w:jc w:val="center"/>
              <w:rPr>
                <w:szCs w:val="21"/>
              </w:rPr>
            </w:pPr>
            <w:r>
              <w:rPr>
                <w:szCs w:val="21"/>
              </w:rPr>
              <w:t>环保投资占比（%）</w:t>
            </w:r>
          </w:p>
        </w:tc>
        <w:tc>
          <w:tcPr>
            <w:tcW w:w="2899" w:type="dxa"/>
            <w:tcBorders>
              <w:tl2br w:val="nil"/>
              <w:tr2bl w:val="nil"/>
            </w:tcBorders>
            <w:vAlign w:val="center"/>
          </w:tcPr>
          <w:p>
            <w:pPr>
              <w:adjustRightInd w:val="0"/>
              <w:snapToGrid w:val="0"/>
              <w:jc w:val="center"/>
              <w:rPr>
                <w:szCs w:val="21"/>
              </w:rPr>
            </w:pPr>
            <w:r>
              <w:rPr>
                <w:rFonts w:hint="eastAsia"/>
                <w:szCs w:val="21"/>
              </w:rPr>
              <w:t>5</w:t>
            </w:r>
          </w:p>
        </w:tc>
        <w:tc>
          <w:tcPr>
            <w:tcW w:w="2295" w:type="dxa"/>
            <w:tcBorders>
              <w:tl2br w:val="nil"/>
              <w:tr2bl w:val="nil"/>
            </w:tcBorders>
            <w:tcMar>
              <w:top w:w="16" w:type="dxa"/>
              <w:left w:w="16" w:type="dxa"/>
              <w:right w:w="16" w:type="dxa"/>
            </w:tcMar>
            <w:vAlign w:val="center"/>
          </w:tcPr>
          <w:p>
            <w:pPr>
              <w:adjustRightInd w:val="0"/>
              <w:snapToGrid w:val="0"/>
              <w:jc w:val="center"/>
              <w:rPr>
                <w:szCs w:val="21"/>
              </w:rPr>
            </w:pPr>
            <w:r>
              <w:rPr>
                <w:szCs w:val="21"/>
              </w:rPr>
              <w:t>施工工期</w:t>
            </w:r>
          </w:p>
        </w:tc>
        <w:tc>
          <w:tcPr>
            <w:tcW w:w="3750" w:type="dxa"/>
            <w:tcBorders>
              <w:tl2br w:val="nil"/>
              <w:tr2bl w:val="nil"/>
            </w:tcBorders>
            <w:vAlign w:val="center"/>
          </w:tcPr>
          <w:p>
            <w:pPr>
              <w:adjustRightInd w:val="0"/>
              <w:snapToGrid w:val="0"/>
              <w:jc w:val="center"/>
              <w:rPr>
                <w:szCs w:val="21"/>
              </w:rPr>
            </w:pPr>
            <w:r>
              <w:rPr>
                <w:rFonts w:hint="eastAsia"/>
                <w:szCs w:val="21"/>
              </w:rPr>
              <w:t>1</w:t>
            </w:r>
            <w:r>
              <w:rPr>
                <w:szCs w:val="21"/>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8" w:type="dxa"/>
            <w:tcBorders>
              <w:tl2br w:val="nil"/>
              <w:tr2bl w:val="nil"/>
            </w:tcBorders>
            <w:tcMar>
              <w:top w:w="16" w:type="dxa"/>
              <w:left w:w="16" w:type="dxa"/>
              <w:right w:w="16" w:type="dxa"/>
            </w:tcMar>
            <w:vAlign w:val="center"/>
          </w:tcPr>
          <w:p>
            <w:pPr>
              <w:adjustRightInd w:val="0"/>
              <w:snapToGrid w:val="0"/>
              <w:jc w:val="center"/>
              <w:rPr>
                <w:szCs w:val="21"/>
              </w:rPr>
            </w:pPr>
            <w:r>
              <w:rPr>
                <w:szCs w:val="21"/>
              </w:rPr>
              <w:t>是否开工建设</w:t>
            </w:r>
          </w:p>
        </w:tc>
        <w:tc>
          <w:tcPr>
            <w:tcW w:w="2899" w:type="dxa"/>
            <w:tcBorders>
              <w:tl2br w:val="nil"/>
              <w:tr2bl w:val="nil"/>
            </w:tcBorders>
            <w:vAlign w:val="center"/>
          </w:tcPr>
          <w:p>
            <w:pPr>
              <w:adjustRightInd w:val="0"/>
              <w:snapToGrid w:val="0"/>
              <w:jc w:val="center"/>
              <w:rPr>
                <w:szCs w:val="21"/>
              </w:rPr>
            </w:pPr>
            <w:r>
              <w:rPr>
                <w:rFonts w:hint="eastAsia"/>
                <w:color w:val="000000"/>
                <w:sz w:val="24"/>
              </w:rPr>
              <w:t>☑</w:t>
            </w:r>
            <w:r>
              <w:rPr>
                <w:szCs w:val="21"/>
              </w:rPr>
              <w:t xml:space="preserve">否  </w:t>
            </w:r>
            <w:r>
              <w:rPr>
                <w:color w:val="000000"/>
                <w:sz w:val="24"/>
              </w:rPr>
              <w:t>□</w:t>
            </w:r>
            <w:r>
              <w:rPr>
                <w:szCs w:val="21"/>
              </w:rPr>
              <w:t>是</w:t>
            </w:r>
          </w:p>
        </w:tc>
        <w:tc>
          <w:tcPr>
            <w:tcW w:w="2295" w:type="dxa"/>
            <w:tcBorders>
              <w:tl2br w:val="nil"/>
              <w:tr2bl w:val="nil"/>
            </w:tcBorders>
            <w:tcMar>
              <w:top w:w="16" w:type="dxa"/>
              <w:left w:w="16" w:type="dxa"/>
              <w:right w:w="16" w:type="dxa"/>
            </w:tcMar>
            <w:vAlign w:val="center"/>
          </w:tcPr>
          <w:p>
            <w:pPr>
              <w:adjustRightInd w:val="0"/>
              <w:snapToGrid w:val="0"/>
              <w:jc w:val="center"/>
              <w:rPr>
                <w:szCs w:val="21"/>
              </w:rPr>
            </w:pPr>
            <w:r>
              <w:rPr>
                <w:spacing w:val="-6"/>
                <w:szCs w:val="21"/>
              </w:rPr>
              <w:t>用地面积(m</w:t>
            </w:r>
            <w:r>
              <w:rPr>
                <w:spacing w:val="-6"/>
                <w:szCs w:val="21"/>
                <w:vertAlign w:val="superscript"/>
              </w:rPr>
              <w:t>2</w:t>
            </w:r>
            <w:r>
              <w:rPr>
                <w:spacing w:val="-6"/>
                <w:szCs w:val="21"/>
              </w:rPr>
              <w:t>)</w:t>
            </w:r>
          </w:p>
        </w:tc>
        <w:tc>
          <w:tcPr>
            <w:tcW w:w="3750" w:type="dxa"/>
            <w:tcBorders>
              <w:tl2br w:val="nil"/>
              <w:tr2bl w:val="nil"/>
            </w:tcBorders>
            <w:vAlign w:val="center"/>
          </w:tcPr>
          <w:p>
            <w:pPr>
              <w:adjustRightInd w:val="0"/>
              <w:snapToGrid w:val="0"/>
              <w:jc w:val="center"/>
              <w:rPr>
                <w:szCs w:val="21"/>
              </w:rPr>
            </w:pPr>
            <w:r>
              <w:rPr>
                <w:rFonts w:hint="eastAsia"/>
                <w:szCs w:val="21"/>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l2br w:val="nil"/>
              <w:tr2bl w:val="nil"/>
            </w:tcBorders>
            <w:vAlign w:val="center"/>
          </w:tcPr>
          <w:p>
            <w:pPr>
              <w:autoSpaceDE w:val="0"/>
              <w:autoSpaceDN w:val="0"/>
              <w:adjustRightInd w:val="0"/>
              <w:snapToGrid w:val="0"/>
              <w:jc w:val="center"/>
              <w:rPr>
                <w:kern w:val="0"/>
                <w:szCs w:val="21"/>
              </w:rPr>
            </w:pPr>
            <w:r>
              <w:rPr>
                <w:kern w:val="0"/>
                <w:szCs w:val="21"/>
              </w:rPr>
              <w:t>专项评价</w:t>
            </w:r>
          </w:p>
          <w:p>
            <w:pPr>
              <w:autoSpaceDE w:val="0"/>
              <w:autoSpaceDN w:val="0"/>
              <w:adjustRightInd w:val="0"/>
              <w:snapToGrid w:val="0"/>
              <w:jc w:val="center"/>
              <w:rPr>
                <w:kern w:val="0"/>
                <w:szCs w:val="21"/>
              </w:rPr>
            </w:pPr>
            <w:r>
              <w:rPr>
                <w:kern w:val="0"/>
                <w:szCs w:val="21"/>
              </w:rPr>
              <w:t>设置情况</w:t>
            </w:r>
          </w:p>
        </w:tc>
        <w:tc>
          <w:tcPr>
            <w:tcW w:w="8944" w:type="dxa"/>
            <w:gridSpan w:val="3"/>
            <w:tcBorders>
              <w:tl2br w:val="nil"/>
              <w:tr2bl w:val="nil"/>
            </w:tcBorders>
            <w:vAlign w:val="center"/>
          </w:tcPr>
          <w:p>
            <w:pPr>
              <w:autoSpaceDE w:val="0"/>
              <w:autoSpaceDN w:val="0"/>
              <w:adjustRightInd w:val="0"/>
              <w:snapToGrid w:val="0"/>
              <w:spacing w:line="360" w:lineRule="auto"/>
              <w:ind w:firstLine="420" w:firstLineChars="200"/>
              <w:rPr>
                <w:kern w:val="0"/>
                <w:szCs w:val="21"/>
              </w:rPr>
            </w:pPr>
            <w:r>
              <w:rPr>
                <w:kern w:val="0"/>
                <w:szCs w:val="21"/>
              </w:rPr>
              <w:t>1、本项目排放废气中不含有毒有害污染物、二噁英、苯并[a]芘、氰化物、氯气，因此不需要设置大气专项评价。</w:t>
            </w:r>
          </w:p>
          <w:p>
            <w:pPr>
              <w:autoSpaceDE w:val="0"/>
              <w:autoSpaceDN w:val="0"/>
              <w:adjustRightInd w:val="0"/>
              <w:snapToGrid w:val="0"/>
              <w:spacing w:line="360" w:lineRule="auto"/>
              <w:ind w:firstLine="420" w:firstLineChars="200"/>
              <w:rPr>
                <w:kern w:val="0"/>
                <w:szCs w:val="21"/>
              </w:rPr>
            </w:pPr>
            <w:r>
              <w:rPr>
                <w:kern w:val="0"/>
                <w:szCs w:val="21"/>
              </w:rPr>
              <w:t>2、本项目不属于废水直排建设项目，因此，本项目不需要设置地表水专项评价。</w:t>
            </w:r>
          </w:p>
          <w:p>
            <w:pPr>
              <w:autoSpaceDE w:val="0"/>
              <w:autoSpaceDN w:val="0"/>
              <w:adjustRightInd w:val="0"/>
              <w:snapToGrid w:val="0"/>
              <w:spacing w:line="360" w:lineRule="auto"/>
              <w:ind w:firstLine="420" w:firstLineChars="200"/>
              <w:rPr>
                <w:kern w:val="0"/>
                <w:szCs w:val="21"/>
              </w:rPr>
            </w:pPr>
            <w:r>
              <w:rPr>
                <w:kern w:val="0"/>
                <w:szCs w:val="21"/>
              </w:rPr>
              <w:t>3、根据《建设项目环境风险评价技术导则》（HJ169-2018），本项目危险物质</w:t>
            </w:r>
            <w:r>
              <w:rPr>
                <w:rFonts w:hint="eastAsia"/>
                <w:kern w:val="0"/>
                <w:szCs w:val="21"/>
              </w:rPr>
              <w:t>储存量未超过临界量</w:t>
            </w:r>
            <w:r>
              <w:rPr>
                <w:kern w:val="0"/>
                <w:szCs w:val="21"/>
              </w:rPr>
              <w:t>，Q＜1，因此，本项目不需要设置环境风险专项评价。</w:t>
            </w:r>
          </w:p>
          <w:p>
            <w:pPr>
              <w:autoSpaceDE w:val="0"/>
              <w:autoSpaceDN w:val="0"/>
              <w:adjustRightInd w:val="0"/>
              <w:snapToGrid w:val="0"/>
              <w:spacing w:line="360" w:lineRule="auto"/>
              <w:ind w:firstLine="420" w:firstLineChars="200"/>
              <w:rPr>
                <w:kern w:val="0"/>
                <w:szCs w:val="21"/>
              </w:rPr>
            </w:pPr>
            <w:r>
              <w:rPr>
                <w:kern w:val="0"/>
                <w:szCs w:val="21"/>
              </w:rPr>
              <w:t>4、本项目不属于取水口下游500m范围内有重要的水生生物自然产卵场、索饵场、越冬场和洄游通道新增河道取水的污染类建设项目，不需要设置生态专项评价。</w:t>
            </w:r>
          </w:p>
          <w:p>
            <w:pPr>
              <w:autoSpaceDE w:val="0"/>
              <w:autoSpaceDN w:val="0"/>
              <w:adjustRightInd w:val="0"/>
              <w:snapToGrid w:val="0"/>
              <w:spacing w:line="360" w:lineRule="auto"/>
              <w:ind w:firstLine="420" w:firstLineChars="200"/>
              <w:rPr>
                <w:kern w:val="0"/>
                <w:szCs w:val="21"/>
              </w:rPr>
            </w:pPr>
            <w:r>
              <w:rPr>
                <w:kern w:val="0"/>
                <w:szCs w:val="21"/>
              </w:rPr>
              <w:t>5、本项目不属于直接向海洋排放污染物的海洋工程建设项目，不需要设置海洋专项评价。</w:t>
            </w:r>
          </w:p>
          <w:p>
            <w:pPr>
              <w:autoSpaceDE w:val="0"/>
              <w:autoSpaceDN w:val="0"/>
              <w:adjustRightInd w:val="0"/>
              <w:snapToGrid w:val="0"/>
              <w:spacing w:line="360" w:lineRule="auto"/>
              <w:ind w:firstLine="420" w:firstLineChars="200"/>
              <w:rPr>
                <w:kern w:val="0"/>
                <w:szCs w:val="21"/>
              </w:rPr>
            </w:pPr>
            <w:r>
              <w:rPr>
                <w:kern w:val="0"/>
                <w:szCs w:val="21"/>
              </w:rPr>
              <w:t>综上所述，本项目不需要设置专项评价。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838" w:type="dxa"/>
            <w:tcBorders>
              <w:tl2br w:val="nil"/>
              <w:tr2bl w:val="nil"/>
            </w:tcBorders>
            <w:vAlign w:val="center"/>
          </w:tcPr>
          <w:p>
            <w:pPr>
              <w:autoSpaceDE w:val="0"/>
              <w:autoSpaceDN w:val="0"/>
              <w:adjustRightInd w:val="0"/>
              <w:snapToGrid w:val="0"/>
              <w:jc w:val="center"/>
              <w:rPr>
                <w:kern w:val="0"/>
                <w:szCs w:val="21"/>
              </w:rPr>
            </w:pPr>
            <w:r>
              <w:rPr>
                <w:szCs w:val="21"/>
              </w:rPr>
              <w:t>规划情况</w:t>
            </w:r>
          </w:p>
        </w:tc>
        <w:tc>
          <w:tcPr>
            <w:tcW w:w="8944" w:type="dxa"/>
            <w:gridSpan w:val="3"/>
            <w:tcBorders>
              <w:tl2br w:val="nil"/>
              <w:tr2bl w:val="nil"/>
            </w:tcBorders>
            <w:vAlign w:val="center"/>
          </w:tcPr>
          <w:p>
            <w:pPr>
              <w:widowControl/>
              <w:ind w:firstLine="420" w:firstLineChars="200"/>
              <w:jc w:val="left"/>
              <w:rPr>
                <w:kern w:val="0"/>
                <w:szCs w:val="21"/>
              </w:rPr>
            </w:pPr>
            <w:r>
              <w:rPr>
                <w:rFonts w:hint="eastAsia"/>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838" w:type="dxa"/>
            <w:tcBorders>
              <w:tl2br w:val="nil"/>
              <w:tr2bl w:val="nil"/>
            </w:tcBorders>
            <w:vAlign w:val="center"/>
          </w:tcPr>
          <w:p>
            <w:pPr>
              <w:adjustRightInd w:val="0"/>
              <w:snapToGrid w:val="0"/>
              <w:jc w:val="center"/>
              <w:rPr>
                <w:szCs w:val="21"/>
              </w:rPr>
            </w:pPr>
            <w:r>
              <w:rPr>
                <w:szCs w:val="21"/>
              </w:rPr>
              <w:t>规划环境影响</w:t>
            </w:r>
          </w:p>
          <w:p>
            <w:pPr>
              <w:adjustRightInd w:val="0"/>
              <w:snapToGrid w:val="0"/>
              <w:jc w:val="center"/>
              <w:rPr>
                <w:kern w:val="0"/>
                <w:szCs w:val="21"/>
              </w:rPr>
            </w:pPr>
            <w:r>
              <w:rPr>
                <w:szCs w:val="21"/>
              </w:rPr>
              <w:t>评价情况</w:t>
            </w:r>
          </w:p>
        </w:tc>
        <w:tc>
          <w:tcPr>
            <w:tcW w:w="8944" w:type="dxa"/>
            <w:gridSpan w:val="3"/>
            <w:tcBorders>
              <w:tl2br w:val="nil"/>
              <w:tr2bl w:val="nil"/>
            </w:tcBorders>
            <w:vAlign w:val="center"/>
          </w:tcPr>
          <w:p>
            <w:pPr>
              <w:widowControl/>
              <w:ind w:firstLine="420" w:firstLineChars="200"/>
              <w:jc w:val="left"/>
              <w:rPr>
                <w:kern w:val="0"/>
                <w:szCs w:val="21"/>
              </w:rPr>
            </w:pPr>
            <w:r>
              <w:rPr>
                <w:rFonts w:hint="eastAsia"/>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8" w:type="dxa"/>
            <w:tcBorders>
              <w:tl2br w:val="nil"/>
              <w:tr2bl w:val="nil"/>
            </w:tcBorders>
            <w:vAlign w:val="center"/>
          </w:tcPr>
          <w:p>
            <w:pPr>
              <w:autoSpaceDE w:val="0"/>
              <w:autoSpaceDN w:val="0"/>
              <w:adjustRightInd w:val="0"/>
              <w:snapToGrid w:val="0"/>
              <w:jc w:val="center"/>
              <w:rPr>
                <w:kern w:val="0"/>
                <w:szCs w:val="21"/>
              </w:rPr>
            </w:pPr>
            <w:r>
              <w:rPr>
                <w:szCs w:val="21"/>
              </w:rPr>
              <w:t>规划及规划环境影响评价符合性分析</w:t>
            </w:r>
          </w:p>
        </w:tc>
        <w:tc>
          <w:tcPr>
            <w:tcW w:w="8944" w:type="dxa"/>
            <w:gridSpan w:val="3"/>
            <w:tcBorders>
              <w:tl2br w:val="nil"/>
              <w:tr2bl w:val="nil"/>
            </w:tcBorders>
            <w:vAlign w:val="center"/>
          </w:tcPr>
          <w:p>
            <w:pPr>
              <w:spacing w:line="360" w:lineRule="auto"/>
              <w:ind w:firstLine="420" w:firstLineChars="200"/>
              <w:jc w:val="left"/>
              <w:rPr>
                <w:kern w:val="0"/>
                <w:szCs w:val="21"/>
              </w:rPr>
            </w:pPr>
            <w:r>
              <w:rPr>
                <w:rFonts w:hint="eastAsia"/>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l2br w:val="nil"/>
              <w:tr2bl w:val="nil"/>
            </w:tcBorders>
            <w:vAlign w:val="center"/>
          </w:tcPr>
          <w:p>
            <w:pPr>
              <w:autoSpaceDE w:val="0"/>
              <w:autoSpaceDN w:val="0"/>
              <w:adjustRightInd w:val="0"/>
              <w:snapToGrid w:val="0"/>
              <w:jc w:val="center"/>
              <w:rPr>
                <w:kern w:val="0"/>
                <w:szCs w:val="21"/>
              </w:rPr>
            </w:pPr>
            <w:r>
              <w:rPr>
                <w:kern w:val="0"/>
                <w:szCs w:val="21"/>
              </w:rPr>
              <w:t>其他符合性分析</w:t>
            </w:r>
          </w:p>
        </w:tc>
        <w:tc>
          <w:tcPr>
            <w:tcW w:w="8944" w:type="dxa"/>
            <w:gridSpan w:val="3"/>
            <w:tcBorders>
              <w:tl2br w:val="nil"/>
              <w:tr2bl w:val="nil"/>
            </w:tcBorders>
            <w:vAlign w:val="center"/>
          </w:tcPr>
          <w:p>
            <w:pPr>
              <w:spacing w:line="360" w:lineRule="auto"/>
              <w:ind w:firstLine="482" w:firstLineChars="200"/>
              <w:rPr>
                <w:b/>
                <w:bCs/>
                <w:sz w:val="24"/>
              </w:rPr>
            </w:pPr>
            <w:r>
              <w:rPr>
                <w:b/>
                <w:bCs/>
                <w:sz w:val="24"/>
              </w:rPr>
              <w:t>1、产业政策符合性</w:t>
            </w:r>
          </w:p>
          <w:p>
            <w:pPr>
              <w:spacing w:line="360" w:lineRule="auto"/>
              <w:ind w:firstLine="480" w:firstLineChars="200"/>
              <w:rPr>
                <w:sz w:val="24"/>
                <w:highlight w:val="yellow"/>
              </w:rPr>
            </w:pPr>
            <w:r>
              <w:rPr>
                <w:sz w:val="24"/>
              </w:rPr>
              <w:t>本项目为</w:t>
            </w:r>
            <w:r>
              <w:rPr>
                <w:rFonts w:hint="eastAsia"/>
                <w:sz w:val="24"/>
              </w:rPr>
              <w:t>新建膨润土加工项目，</w:t>
            </w:r>
            <w:r>
              <w:rPr>
                <w:sz w:val="24"/>
              </w:rPr>
              <w:t>根据国家发展改革委修订的2019年10月30日中华人民共和国国家发展和改革委员会第29号令公布的《产业结构调整指导目录（2019年本）》及2021修改版，本项目不属于鼓励类、限制类和淘汰类项目，属于允许建设项目，符合国家产业政策，本项目于202</w:t>
            </w:r>
            <w:r>
              <w:rPr>
                <w:rFonts w:hint="eastAsia"/>
                <w:sz w:val="24"/>
              </w:rPr>
              <w:t>3年8</w:t>
            </w:r>
            <w:r>
              <w:rPr>
                <w:sz w:val="24"/>
              </w:rPr>
              <w:t>月在泗水县行政审批服务局备案，备案号</w:t>
            </w:r>
            <w:r>
              <w:rPr>
                <w:rFonts w:hint="eastAsia"/>
                <w:sz w:val="24"/>
              </w:rPr>
              <w:t>2308-370831-04-01-201291</w:t>
            </w:r>
            <w:r>
              <w:rPr>
                <w:sz w:val="24"/>
              </w:rPr>
              <w:t>，项目符合国家产业政策。</w:t>
            </w:r>
          </w:p>
          <w:p>
            <w:pPr>
              <w:spacing w:line="360" w:lineRule="auto"/>
              <w:ind w:firstLine="482" w:firstLineChars="200"/>
              <w:rPr>
                <w:b/>
                <w:bCs/>
                <w:sz w:val="24"/>
              </w:rPr>
            </w:pPr>
            <w:r>
              <w:rPr>
                <w:b/>
                <w:bCs/>
                <w:sz w:val="24"/>
              </w:rPr>
              <w:t>2、项目选址合理性分析</w:t>
            </w:r>
          </w:p>
          <w:p>
            <w:pPr>
              <w:pStyle w:val="32"/>
              <w:widowControl w:val="0"/>
              <w:adjustRightInd w:val="0"/>
              <w:snapToGrid w:val="0"/>
              <w:spacing w:before="0" w:beforeAutospacing="0" w:after="0" w:afterAutospacing="0" w:line="360" w:lineRule="auto"/>
              <w:ind w:firstLine="480" w:firstLineChars="200"/>
              <w:jc w:val="both"/>
              <w:rPr>
                <w:color w:val="FF0000"/>
                <w:szCs w:val="24"/>
              </w:rPr>
            </w:pPr>
            <w:r>
              <w:rPr>
                <w:rFonts w:ascii="Times New Roman" w:hAnsi="Times New Roman"/>
                <w:szCs w:val="24"/>
              </w:rPr>
              <w:t>根据国土资源部、国家发展和改革委员会关于发布实施《限制用地项目目录（2012年本）》和《禁止用地项目目录（2012年本）》通知中规定，凡列入《限制目录》的建设项目，必须符合目录规定条件，国土资源管理部门和投资管理部门方可办理相关手续。凡列入《禁止目录》的建设项目或者采用所列工艺技术、装备、规模的建设项目，国土资源管理部门和投资管理部门不得办理相关手续。凡采用《产业结构调整指导目录（2019年本）》明令淘汰的落后工艺技术，装备或者生产明令淘汰产品的建设项目，国土资源管理部门和投资管理部门一律不得办理相关手续。《限制目录》和《禁止目录》执行中，国务院发布的产业政策和土地资源管理政策对限制和禁止用地项目另有规定的，按国务院规定办理</w:t>
            </w:r>
            <w:r>
              <w:rPr>
                <w:rFonts w:hint="eastAsia" w:ascii="Times New Roman" w:hAnsi="Times New Roman"/>
                <w:szCs w:val="24"/>
              </w:rPr>
              <w:t>。</w:t>
            </w:r>
          </w:p>
          <w:p>
            <w:pPr>
              <w:widowControl/>
              <w:spacing w:line="360" w:lineRule="auto"/>
              <w:ind w:firstLine="480" w:firstLineChars="200"/>
              <w:rPr>
                <w:sz w:val="24"/>
              </w:rPr>
            </w:pPr>
            <w:r>
              <w:rPr>
                <w:rFonts w:hint="eastAsia"/>
                <w:sz w:val="24"/>
              </w:rPr>
              <w:t>经核查，</w:t>
            </w:r>
            <w:r>
              <w:rPr>
                <w:sz w:val="24"/>
              </w:rPr>
              <w:t>本项目位于</w:t>
            </w:r>
            <w:r>
              <w:rPr>
                <w:rFonts w:hint="eastAsia"/>
                <w:sz w:val="24"/>
              </w:rPr>
              <w:t>山东省济宁市泗水县柘沟镇西大厂村东100米圣峰石材院内</w:t>
            </w:r>
            <w:r>
              <w:rPr>
                <w:sz w:val="24"/>
              </w:rPr>
              <w:t>，不属于国土资发《限制用地项目目录》(2012年本)和《禁止用地项目目录》(2012年本)限批、禁批的范围。</w:t>
            </w:r>
            <w:r>
              <w:rPr>
                <w:rFonts w:hint="eastAsia"/>
                <w:sz w:val="24"/>
              </w:rPr>
              <w:t>根据柘沟镇政府出具证明，项目用地属于建设用地，</w:t>
            </w:r>
            <w:r>
              <w:rPr>
                <w:sz w:val="24"/>
              </w:rPr>
              <w:t>选址符合</w:t>
            </w:r>
            <w:r>
              <w:rPr>
                <w:rFonts w:hint="eastAsia"/>
                <w:sz w:val="24"/>
              </w:rPr>
              <w:t>泗水县</w:t>
            </w:r>
            <w:r>
              <w:rPr>
                <w:rFonts w:hint="eastAsia"/>
                <w:sz w:val="24"/>
                <w:szCs w:val="32"/>
              </w:rPr>
              <w:t>城乡发展规划和土地利用规划要求</w:t>
            </w:r>
            <w:r>
              <w:rPr>
                <w:rFonts w:hint="eastAsia"/>
                <w:sz w:val="24"/>
              </w:rPr>
              <w:t>，相关证明情况见附件4</w:t>
            </w:r>
            <w:r>
              <w:rPr>
                <w:sz w:val="24"/>
              </w:rPr>
              <w:t>。</w:t>
            </w:r>
          </w:p>
          <w:p>
            <w:pPr>
              <w:spacing w:line="360" w:lineRule="auto"/>
              <w:ind w:firstLine="482" w:firstLineChars="200"/>
              <w:rPr>
                <w:b/>
                <w:bCs/>
                <w:sz w:val="24"/>
              </w:rPr>
            </w:pPr>
            <w:r>
              <w:rPr>
                <w:rFonts w:hint="eastAsia"/>
                <w:b/>
                <w:bCs/>
                <w:sz w:val="24"/>
              </w:rPr>
              <w:t>3</w:t>
            </w:r>
            <w:r>
              <w:rPr>
                <w:b/>
                <w:bCs/>
                <w:sz w:val="24"/>
              </w:rPr>
              <w:t>、与《济宁市人民政府关于印发济宁市“三线一单”生态环境分区管控方案的通知》（济政字[2021]27号）的符合性分析</w:t>
            </w:r>
          </w:p>
          <w:p>
            <w:pPr>
              <w:adjustRightInd w:val="0"/>
              <w:snapToGrid w:val="0"/>
              <w:spacing w:line="360" w:lineRule="auto"/>
              <w:ind w:firstLine="480" w:firstLineChars="200"/>
              <w:rPr>
                <w:bCs/>
                <w:color w:val="000000"/>
                <w:sz w:val="24"/>
              </w:rPr>
            </w:pPr>
            <w:r>
              <w:rPr>
                <w:bCs/>
                <w:color w:val="000000"/>
                <w:sz w:val="24"/>
              </w:rPr>
              <w:t>（1）</w:t>
            </w:r>
            <w:r>
              <w:rPr>
                <w:rFonts w:hint="eastAsia"/>
                <w:bCs/>
                <w:color w:val="000000"/>
                <w:sz w:val="24"/>
              </w:rPr>
              <w:t>三区三线</w:t>
            </w:r>
          </w:p>
          <w:p>
            <w:pPr>
              <w:adjustRightInd w:val="0"/>
              <w:snapToGrid w:val="0"/>
              <w:spacing w:line="360" w:lineRule="auto"/>
              <w:ind w:firstLine="480" w:firstLineChars="200"/>
              <w:rPr>
                <w:bCs/>
                <w:color w:val="000000"/>
                <w:sz w:val="24"/>
              </w:rPr>
            </w:pPr>
            <w:r>
              <w:rPr>
                <w:rFonts w:hint="eastAsia"/>
                <w:bCs/>
                <w:color w:val="000000"/>
                <w:sz w:val="24"/>
              </w:rPr>
              <w:t>“三区三线”</w:t>
            </w:r>
            <w:r>
              <w:rPr>
                <w:bCs/>
                <w:color w:val="000000"/>
                <w:sz w:val="24"/>
              </w:rPr>
              <w:t>是根据城镇空间、农业空间、生态空间三种类型的空间，分别对应划定的城镇开发边界、永久基本农田保护红线、生态保护红线三条控制线。其中</w:t>
            </w:r>
            <w:r>
              <w:rPr>
                <w:rFonts w:hint="eastAsia"/>
                <w:bCs/>
                <w:color w:val="000000"/>
                <w:sz w:val="24"/>
              </w:rPr>
              <w:t>“三区”</w:t>
            </w:r>
            <w:r>
              <w:rPr>
                <w:bCs/>
                <w:color w:val="000000"/>
                <w:sz w:val="24"/>
              </w:rPr>
              <w:t>突出主导功能划分，</w:t>
            </w:r>
            <w:r>
              <w:rPr>
                <w:rFonts w:hint="eastAsia"/>
                <w:bCs/>
                <w:color w:val="000000"/>
                <w:sz w:val="24"/>
              </w:rPr>
              <w:t>“三线”</w:t>
            </w:r>
            <w:r>
              <w:rPr>
                <w:bCs/>
                <w:color w:val="000000"/>
                <w:sz w:val="24"/>
              </w:rPr>
              <w:t>侧重边界的刚性管控。它是国土空间用途管制的重要内容，也是国土空间用途管制的核心框架。</w:t>
            </w:r>
          </w:p>
          <w:p>
            <w:pPr>
              <w:adjustRightInd w:val="0"/>
              <w:snapToGrid w:val="0"/>
              <w:spacing w:line="360" w:lineRule="auto"/>
              <w:ind w:firstLine="480" w:firstLineChars="200"/>
              <w:rPr>
                <w:bCs/>
                <w:color w:val="000000"/>
                <w:sz w:val="24"/>
              </w:rPr>
            </w:pPr>
            <w:r>
              <w:rPr>
                <w:rFonts w:hint="eastAsia"/>
                <w:bCs/>
                <w:color w:val="000000"/>
                <w:sz w:val="24"/>
              </w:rPr>
              <w:t>“三区”</w:t>
            </w:r>
            <w:r>
              <w:rPr>
                <w:bCs/>
                <w:color w:val="000000"/>
                <w:sz w:val="24"/>
              </w:rPr>
              <w:t>内部统筹要素分类，是功能分区和用途分类的基础；</w:t>
            </w:r>
            <w:r>
              <w:rPr>
                <w:rFonts w:hint="eastAsia"/>
                <w:bCs/>
                <w:color w:val="000000"/>
                <w:sz w:val="24"/>
              </w:rPr>
              <w:t>“三线”</w:t>
            </w:r>
            <w:r>
              <w:rPr>
                <w:bCs/>
                <w:color w:val="000000"/>
                <w:sz w:val="24"/>
              </w:rPr>
              <w:t>是</w:t>
            </w:r>
            <w:r>
              <w:rPr>
                <w:rFonts w:hint="eastAsia"/>
                <w:bCs/>
                <w:color w:val="000000"/>
                <w:sz w:val="24"/>
              </w:rPr>
              <w:t>“三区”</w:t>
            </w:r>
            <w:r>
              <w:rPr>
                <w:bCs/>
                <w:color w:val="000000"/>
                <w:sz w:val="24"/>
              </w:rPr>
              <w:t>内部最核心的刚性要求。空间关系上，</w:t>
            </w:r>
            <w:r>
              <w:rPr>
                <w:rFonts w:hint="eastAsia"/>
                <w:bCs/>
                <w:color w:val="000000"/>
                <w:sz w:val="24"/>
              </w:rPr>
              <w:t>“三区”</w:t>
            </w:r>
            <w:r>
              <w:rPr>
                <w:bCs/>
                <w:color w:val="000000"/>
                <w:sz w:val="24"/>
              </w:rPr>
              <w:t>各自包含</w:t>
            </w:r>
            <w:r>
              <w:rPr>
                <w:rFonts w:hint="eastAsia"/>
                <w:bCs/>
                <w:color w:val="000000"/>
                <w:sz w:val="24"/>
              </w:rPr>
              <w:t>“三线”</w:t>
            </w:r>
            <w:r>
              <w:rPr>
                <w:bCs/>
                <w:color w:val="000000"/>
                <w:sz w:val="24"/>
              </w:rPr>
              <w:t>。生态空间，包括生态保护红线范围和一般生态空间；农业空间，包括永久基本农田和一般农业空间；城镇空间，包括城镇开发边界内和边界外部分城镇空间。</w:t>
            </w:r>
          </w:p>
          <w:p>
            <w:pPr>
              <w:adjustRightInd w:val="0"/>
              <w:snapToGrid w:val="0"/>
              <w:spacing w:line="360" w:lineRule="auto"/>
              <w:ind w:firstLine="480" w:firstLineChars="200"/>
              <w:rPr>
                <w:bCs/>
                <w:color w:val="000000"/>
                <w:sz w:val="24"/>
              </w:rPr>
            </w:pPr>
            <w:r>
              <w:rPr>
                <w:bCs/>
                <w:color w:val="000000"/>
                <w:sz w:val="24"/>
              </w:rPr>
              <w:t>本项目厂区</w:t>
            </w:r>
            <w:r>
              <w:rPr>
                <w:rFonts w:hint="eastAsia"/>
                <w:bCs/>
                <w:color w:val="000000"/>
                <w:sz w:val="24"/>
              </w:rPr>
              <w:t>位于泗水县柘沟镇西大厂村东100米圣丰石材院内，</w:t>
            </w:r>
            <w:r>
              <w:rPr>
                <w:bCs/>
                <w:color w:val="000000"/>
                <w:sz w:val="24"/>
              </w:rPr>
              <w:t>根据</w:t>
            </w:r>
            <w:r>
              <w:rPr>
                <w:rFonts w:hint="eastAsia"/>
                <w:bCs/>
                <w:color w:val="000000"/>
                <w:sz w:val="24"/>
              </w:rPr>
              <w:t>泗水县“三区三线”</w:t>
            </w:r>
            <w:r>
              <w:rPr>
                <w:bCs/>
                <w:color w:val="000000"/>
                <w:sz w:val="24"/>
              </w:rPr>
              <w:t>的划定，</w:t>
            </w:r>
            <w:r>
              <w:rPr>
                <w:rFonts w:hint="eastAsia"/>
                <w:bCs/>
                <w:color w:val="000000"/>
                <w:sz w:val="24"/>
              </w:rPr>
              <w:t>所在地</w:t>
            </w:r>
            <w:r>
              <w:rPr>
                <w:bCs/>
                <w:color w:val="000000"/>
                <w:sz w:val="24"/>
              </w:rPr>
              <w:t>不位于永久基本农田保护红线、生态保护红线范围内</w:t>
            </w:r>
            <w:r>
              <w:rPr>
                <w:rFonts w:hint="eastAsia"/>
                <w:bCs/>
                <w:color w:val="000000"/>
                <w:sz w:val="24"/>
              </w:rPr>
              <w:t>，符合规划要求，项目与“三区三线”位置关系图见附件</w:t>
            </w:r>
            <w:r>
              <w:rPr>
                <w:bCs/>
                <w:color w:val="000000"/>
                <w:sz w:val="24"/>
              </w:rPr>
              <w:t>。</w:t>
            </w:r>
          </w:p>
          <w:p>
            <w:pPr>
              <w:adjustRightInd w:val="0"/>
              <w:snapToGrid w:val="0"/>
              <w:spacing w:line="360" w:lineRule="auto"/>
              <w:ind w:firstLine="480" w:firstLineChars="200"/>
              <w:rPr>
                <w:bCs/>
                <w:color w:val="000000"/>
                <w:sz w:val="24"/>
              </w:rPr>
            </w:pPr>
            <w:r>
              <w:rPr>
                <w:bCs/>
                <w:color w:val="000000"/>
                <w:sz w:val="24"/>
              </w:rPr>
              <w:t>（2）环境质量底线</w:t>
            </w:r>
          </w:p>
          <w:p>
            <w:pPr>
              <w:adjustRightInd w:val="0"/>
              <w:snapToGrid w:val="0"/>
              <w:spacing w:line="360" w:lineRule="auto"/>
              <w:ind w:firstLine="480" w:firstLineChars="200"/>
              <w:rPr>
                <w:bCs/>
                <w:color w:val="000000"/>
                <w:sz w:val="24"/>
              </w:rPr>
            </w:pPr>
            <w:r>
              <w:rPr>
                <w:bCs/>
                <w:color w:val="000000"/>
                <w:sz w:val="24"/>
              </w:rPr>
              <w:t>根据公布的环境质量资料，区域SO</w:t>
            </w:r>
            <w:r>
              <w:rPr>
                <w:bCs/>
                <w:color w:val="000000"/>
                <w:sz w:val="24"/>
                <w:vertAlign w:val="subscript"/>
              </w:rPr>
              <w:t>2</w:t>
            </w:r>
            <w:r>
              <w:rPr>
                <w:bCs/>
                <w:color w:val="000000"/>
                <w:sz w:val="24"/>
              </w:rPr>
              <w:t>、NO</w:t>
            </w:r>
            <w:r>
              <w:rPr>
                <w:bCs/>
                <w:color w:val="000000"/>
                <w:sz w:val="24"/>
                <w:vertAlign w:val="subscript"/>
              </w:rPr>
              <w:t>2</w:t>
            </w:r>
            <w:r>
              <w:rPr>
                <w:bCs/>
                <w:color w:val="000000"/>
                <w:sz w:val="24"/>
              </w:rPr>
              <w:t>年评价指标可以满足《环境空气质量标准》（GB3095-2012）二级标准要求，PM</w:t>
            </w:r>
            <w:r>
              <w:rPr>
                <w:bCs/>
                <w:color w:val="000000"/>
                <w:sz w:val="24"/>
                <w:vertAlign w:val="subscript"/>
              </w:rPr>
              <w:t>10</w:t>
            </w:r>
            <w:r>
              <w:rPr>
                <w:bCs/>
                <w:color w:val="000000"/>
                <w:sz w:val="24"/>
              </w:rPr>
              <w:t>、PM</w:t>
            </w:r>
            <w:r>
              <w:rPr>
                <w:bCs/>
                <w:color w:val="000000"/>
                <w:sz w:val="24"/>
                <w:vertAlign w:val="subscript"/>
              </w:rPr>
              <w:t>2.5</w:t>
            </w:r>
            <w:r>
              <w:rPr>
                <w:bCs/>
                <w:color w:val="000000"/>
                <w:sz w:val="24"/>
              </w:rPr>
              <w:t>年均指标和保证率日均浓度均出现了超标现象。根据例行监测资料，水质符合《地表水环境质量标准》（GB3838-2002）Ⅲ类标准。</w:t>
            </w:r>
          </w:p>
          <w:p>
            <w:pPr>
              <w:adjustRightInd w:val="0"/>
              <w:snapToGrid w:val="0"/>
              <w:spacing w:line="360" w:lineRule="auto"/>
              <w:ind w:firstLine="480" w:firstLineChars="200"/>
              <w:rPr>
                <w:bCs/>
                <w:color w:val="000000"/>
                <w:sz w:val="24"/>
              </w:rPr>
            </w:pPr>
            <w:r>
              <w:rPr>
                <w:bCs/>
                <w:color w:val="000000"/>
                <w:sz w:val="24"/>
              </w:rPr>
              <w:t>本项目废气均可达标排放</w:t>
            </w:r>
            <w:r>
              <w:rPr>
                <w:rFonts w:hint="eastAsia"/>
                <w:bCs/>
                <w:color w:val="000000"/>
                <w:sz w:val="24"/>
              </w:rPr>
              <w:t>，</w:t>
            </w:r>
            <w:r>
              <w:rPr>
                <w:bCs/>
                <w:color w:val="000000"/>
                <w:sz w:val="24"/>
              </w:rPr>
              <w:t>颗粒物</w:t>
            </w:r>
            <w:r>
              <w:rPr>
                <w:rFonts w:hint="eastAsia"/>
                <w:bCs/>
                <w:color w:val="000000"/>
                <w:sz w:val="24"/>
              </w:rPr>
              <w:t>、二氧化硫、氮氧化物均实行倍量替代</w:t>
            </w:r>
            <w:r>
              <w:rPr>
                <w:bCs/>
                <w:color w:val="000000"/>
                <w:sz w:val="24"/>
              </w:rPr>
              <w:t>，本项目</w:t>
            </w:r>
            <w:r>
              <w:rPr>
                <w:rFonts w:hint="eastAsia"/>
                <w:bCs/>
                <w:color w:val="000000"/>
                <w:sz w:val="24"/>
              </w:rPr>
              <w:t>无生产废水产生，生活污水由化粪池预处理后外运堆肥</w:t>
            </w:r>
            <w:r>
              <w:rPr>
                <w:bCs/>
                <w:color w:val="000000"/>
                <w:sz w:val="24"/>
              </w:rPr>
              <w:t>，对区域地表水环境质量影响很小。本项目对地下水、噪声、土壤的影响均较小。综合以上分析，本项目不会对区域环境质量造成明显不利影响。</w:t>
            </w:r>
            <w:r>
              <w:rPr>
                <w:rFonts w:hint="eastAsia"/>
                <w:bCs/>
                <w:color w:val="000000"/>
                <w:sz w:val="24"/>
              </w:rPr>
              <w:t>泗水县</w:t>
            </w:r>
            <w:r>
              <w:rPr>
                <w:bCs/>
                <w:color w:val="000000"/>
                <w:sz w:val="24"/>
              </w:rPr>
              <w:t>大气环境质量持续改善，大气污染防治工作取得了阶段性成效。</w:t>
            </w:r>
          </w:p>
          <w:p>
            <w:pPr>
              <w:spacing w:line="360" w:lineRule="auto"/>
              <w:ind w:firstLine="480" w:firstLineChars="200"/>
              <w:rPr>
                <w:sz w:val="24"/>
              </w:rPr>
            </w:pPr>
            <w:r>
              <w:rPr>
                <w:sz w:val="24"/>
              </w:rPr>
              <w:t>（3）资源利用上限</w:t>
            </w:r>
          </w:p>
          <w:p>
            <w:pPr>
              <w:spacing w:line="360" w:lineRule="auto"/>
              <w:ind w:firstLine="480" w:firstLineChars="200"/>
              <w:rPr>
                <w:sz w:val="24"/>
              </w:rPr>
            </w:pPr>
            <w:r>
              <w:rPr>
                <w:rFonts w:hint="eastAsia"/>
                <w:sz w:val="24"/>
              </w:rPr>
              <w:t>本项目建设过程中所利用的资源主要为水、电及天然气，均为清洁能源，项目建成运行后通过内部管理、设备选择、原辅材料的选用管理和污染治理等多方面采取合理可行的防治措施，以“节能、降耗、减污”为目标，有效的控制污染。根据《关于进一步开展“两高”项目梳理排查的通知》（鲁发改工业[2021]387号）及《关于印发山东省“两高”项目管理目录的通知》（鲁发改工业[2021]487号），本项目不属于高耗能项目，项目的水、电、气等资源利用不会突破区域的资源利用上线。</w:t>
            </w:r>
          </w:p>
          <w:p>
            <w:pPr>
              <w:spacing w:line="360" w:lineRule="auto"/>
              <w:ind w:firstLine="480" w:firstLineChars="200"/>
              <w:rPr>
                <w:sz w:val="24"/>
              </w:rPr>
            </w:pPr>
            <w:r>
              <w:rPr>
                <w:rFonts w:hint="eastAsia"/>
                <w:sz w:val="24"/>
              </w:rPr>
              <w:t>（4）环境准入负面清单</w:t>
            </w:r>
          </w:p>
          <w:p>
            <w:pPr>
              <w:spacing w:line="360" w:lineRule="auto"/>
              <w:ind w:firstLine="480" w:firstLineChars="200"/>
              <w:textAlignment w:val="bottom"/>
              <w:rPr>
                <w:sz w:val="24"/>
              </w:rPr>
            </w:pPr>
            <w:r>
              <w:rPr>
                <w:rFonts w:hint="eastAsia"/>
                <w:sz w:val="24"/>
              </w:rPr>
              <w:t>本项目位于</w:t>
            </w:r>
            <w:r>
              <w:rPr>
                <w:sz w:val="24"/>
              </w:rPr>
              <w:t>济宁市泗水县</w:t>
            </w:r>
            <w:r>
              <w:rPr>
                <w:rFonts w:hint="eastAsia"/>
                <w:sz w:val="24"/>
              </w:rPr>
              <w:t>柘沟镇，根据《济宁市“三线一单”生态环境分区管控方案》，泗水县柘沟镇属于一般管控单元，环境管控单元编码为ZH37083 13000</w:t>
            </w:r>
            <w:r>
              <w:rPr>
                <w:rFonts w:hint="eastAsia"/>
                <w:sz w:val="24"/>
                <w:lang w:val="en-US" w:eastAsia="zh-CN"/>
              </w:rPr>
              <w:t>3</w:t>
            </w:r>
            <w:r>
              <w:rPr>
                <w:rFonts w:hint="eastAsia"/>
                <w:sz w:val="24"/>
              </w:rPr>
              <w:t>。与生态环境准入清单要求符合性分析具体见表</w:t>
            </w:r>
            <w:r>
              <w:rPr>
                <w:sz w:val="24"/>
              </w:rPr>
              <w:t>1-</w:t>
            </w:r>
            <w:r>
              <w:rPr>
                <w:rFonts w:hint="eastAsia"/>
                <w:sz w:val="24"/>
              </w:rPr>
              <w:t>1。</w:t>
            </w:r>
          </w:p>
          <w:p>
            <w:pPr>
              <w:jc w:val="center"/>
              <w:rPr>
                <w:b/>
                <w:bCs/>
                <w:szCs w:val="21"/>
              </w:rPr>
            </w:pPr>
            <w:r>
              <w:rPr>
                <w:b/>
                <w:bCs/>
                <w:sz w:val="24"/>
              </w:rPr>
              <w:t>表1-</w:t>
            </w:r>
            <w:r>
              <w:rPr>
                <w:rFonts w:hint="eastAsia"/>
                <w:b/>
                <w:bCs/>
                <w:sz w:val="24"/>
              </w:rPr>
              <w:t>1</w:t>
            </w:r>
            <w:r>
              <w:rPr>
                <w:b/>
                <w:bCs/>
                <w:sz w:val="24"/>
              </w:rPr>
              <w:t xml:space="preserve"> 与济宁市生态环境准入清单要求的符合情况</w:t>
            </w:r>
          </w:p>
          <w:tbl>
            <w:tblPr>
              <w:tblStyle w:val="36"/>
              <w:tblW w:w="8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4"/>
              <w:gridCol w:w="2924"/>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624" w:type="dxa"/>
                  <w:vAlign w:val="center"/>
                </w:tcPr>
                <w:p>
                  <w:pPr>
                    <w:pStyle w:val="22"/>
                    <w:tabs>
                      <w:tab w:val="left" w:pos="360"/>
                      <w:tab w:val="left" w:pos="540"/>
                    </w:tabs>
                    <w:spacing w:line="240" w:lineRule="auto"/>
                    <w:ind w:left="0" w:firstLine="0"/>
                    <w:jc w:val="center"/>
                    <w:rPr>
                      <w:rFonts w:ascii="Times New Roman"/>
                      <w:b/>
                      <w:bCs/>
                      <w:color w:val="000000"/>
                      <w:sz w:val="21"/>
                      <w:szCs w:val="21"/>
                    </w:rPr>
                  </w:pPr>
                  <w:r>
                    <w:rPr>
                      <w:rFonts w:ascii="Times New Roman"/>
                      <w:b/>
                      <w:bCs/>
                      <w:color w:val="000000"/>
                      <w:sz w:val="21"/>
                      <w:szCs w:val="21"/>
                    </w:rPr>
                    <w:t>控制单元编码</w:t>
                  </w:r>
                </w:p>
              </w:tc>
              <w:tc>
                <w:tcPr>
                  <w:tcW w:w="4015" w:type="dxa"/>
                  <w:gridSpan w:val="2"/>
                  <w:vAlign w:val="center"/>
                </w:tcPr>
                <w:p>
                  <w:pPr>
                    <w:pStyle w:val="22"/>
                    <w:tabs>
                      <w:tab w:val="left" w:pos="360"/>
                      <w:tab w:val="left" w:pos="540"/>
                    </w:tabs>
                    <w:spacing w:line="240" w:lineRule="auto"/>
                    <w:ind w:left="0" w:firstLine="0"/>
                    <w:jc w:val="center"/>
                    <w:rPr>
                      <w:rFonts w:ascii="Times New Roman"/>
                      <w:color w:val="000000"/>
                      <w:sz w:val="21"/>
                      <w:szCs w:val="21"/>
                    </w:rPr>
                  </w:pPr>
                  <w:r>
                    <w:rPr>
                      <w:rFonts w:ascii="Times New Roman"/>
                      <w:color w:val="000000"/>
                      <w:sz w:val="21"/>
                      <w:szCs w:val="21"/>
                    </w:rPr>
                    <w:t>ZH37083130003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624" w:type="dxa"/>
                  <w:vAlign w:val="center"/>
                </w:tcPr>
                <w:p>
                  <w:pPr>
                    <w:pStyle w:val="22"/>
                    <w:tabs>
                      <w:tab w:val="left" w:pos="360"/>
                      <w:tab w:val="left" w:pos="540"/>
                    </w:tabs>
                    <w:spacing w:line="240" w:lineRule="auto"/>
                    <w:ind w:left="0" w:firstLine="0"/>
                    <w:jc w:val="center"/>
                    <w:rPr>
                      <w:rFonts w:ascii="Times New Roman"/>
                      <w:b/>
                      <w:bCs/>
                      <w:color w:val="000000"/>
                      <w:sz w:val="21"/>
                      <w:szCs w:val="21"/>
                    </w:rPr>
                  </w:pPr>
                  <w:r>
                    <w:rPr>
                      <w:rFonts w:ascii="Times New Roman"/>
                      <w:b/>
                      <w:bCs/>
                      <w:color w:val="000000"/>
                      <w:sz w:val="21"/>
                      <w:szCs w:val="21"/>
                    </w:rPr>
                    <w:t>环境管控单元名称</w:t>
                  </w:r>
                </w:p>
              </w:tc>
              <w:tc>
                <w:tcPr>
                  <w:tcW w:w="4015" w:type="dxa"/>
                  <w:gridSpan w:val="2"/>
                  <w:vAlign w:val="center"/>
                </w:tcPr>
                <w:p>
                  <w:pPr>
                    <w:pStyle w:val="22"/>
                    <w:tabs>
                      <w:tab w:val="left" w:pos="360"/>
                      <w:tab w:val="left" w:pos="540"/>
                    </w:tabs>
                    <w:spacing w:line="240" w:lineRule="auto"/>
                    <w:ind w:left="0" w:firstLine="0"/>
                    <w:jc w:val="center"/>
                    <w:rPr>
                      <w:rFonts w:ascii="Times New Roman"/>
                      <w:color w:val="000000"/>
                      <w:sz w:val="21"/>
                      <w:szCs w:val="21"/>
                    </w:rPr>
                  </w:pPr>
                  <w:r>
                    <w:rPr>
                      <w:rFonts w:ascii="Times New Roman"/>
                      <w:color w:val="000000"/>
                      <w:sz w:val="21"/>
                      <w:szCs w:val="21"/>
                    </w:rPr>
                    <w:t>柘沟镇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4624" w:type="dxa"/>
                  <w:vAlign w:val="center"/>
                </w:tcPr>
                <w:p>
                  <w:pPr>
                    <w:pStyle w:val="22"/>
                    <w:tabs>
                      <w:tab w:val="left" w:pos="360"/>
                      <w:tab w:val="left" w:pos="540"/>
                    </w:tabs>
                    <w:spacing w:line="240" w:lineRule="auto"/>
                    <w:ind w:left="0" w:firstLine="0"/>
                    <w:jc w:val="center"/>
                    <w:rPr>
                      <w:rFonts w:ascii="Times New Roman"/>
                      <w:b/>
                      <w:bCs/>
                      <w:color w:val="000000"/>
                      <w:sz w:val="21"/>
                      <w:szCs w:val="21"/>
                    </w:rPr>
                  </w:pPr>
                  <w:r>
                    <w:rPr>
                      <w:rFonts w:ascii="Times New Roman"/>
                      <w:b/>
                      <w:bCs/>
                      <w:color w:val="000000"/>
                      <w:sz w:val="21"/>
                      <w:szCs w:val="21"/>
                    </w:rPr>
                    <w:t>管控单元分类</w:t>
                  </w:r>
                </w:p>
              </w:tc>
              <w:tc>
                <w:tcPr>
                  <w:tcW w:w="4015" w:type="dxa"/>
                  <w:gridSpan w:val="2"/>
                  <w:vAlign w:val="center"/>
                </w:tcPr>
                <w:p>
                  <w:pPr>
                    <w:pStyle w:val="22"/>
                    <w:tabs>
                      <w:tab w:val="left" w:pos="360"/>
                      <w:tab w:val="left" w:pos="540"/>
                    </w:tabs>
                    <w:spacing w:line="240" w:lineRule="auto"/>
                    <w:ind w:left="0" w:firstLine="0"/>
                    <w:jc w:val="center"/>
                    <w:rPr>
                      <w:rFonts w:ascii="Times New Roman"/>
                      <w:color w:val="000000"/>
                      <w:sz w:val="21"/>
                      <w:szCs w:val="21"/>
                    </w:rPr>
                  </w:pPr>
                  <w:r>
                    <w:rPr>
                      <w:rFonts w:ascii="Times New Roman"/>
                      <w:color w:val="000000"/>
                      <w:sz w:val="21"/>
                      <w:szCs w:val="21"/>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24" w:type="dxa"/>
                  <w:vAlign w:val="center"/>
                </w:tcPr>
                <w:p>
                  <w:pPr>
                    <w:pStyle w:val="22"/>
                    <w:tabs>
                      <w:tab w:val="left" w:pos="360"/>
                      <w:tab w:val="left" w:pos="540"/>
                    </w:tabs>
                    <w:spacing w:line="240" w:lineRule="auto"/>
                    <w:ind w:left="0" w:firstLine="0"/>
                    <w:jc w:val="center"/>
                    <w:rPr>
                      <w:rFonts w:ascii="Times New Roman"/>
                      <w:b/>
                      <w:bCs/>
                      <w:color w:val="000000"/>
                      <w:sz w:val="21"/>
                      <w:szCs w:val="21"/>
                    </w:rPr>
                  </w:pPr>
                  <w:r>
                    <w:rPr>
                      <w:rFonts w:ascii="Times New Roman"/>
                      <w:b/>
                      <w:bCs/>
                      <w:color w:val="000000"/>
                      <w:sz w:val="21"/>
                      <w:szCs w:val="21"/>
                    </w:rPr>
                    <w:t>管控方案</w:t>
                  </w:r>
                </w:p>
              </w:tc>
              <w:tc>
                <w:tcPr>
                  <w:tcW w:w="2924" w:type="dxa"/>
                  <w:vAlign w:val="center"/>
                </w:tcPr>
                <w:p>
                  <w:pPr>
                    <w:pStyle w:val="22"/>
                    <w:tabs>
                      <w:tab w:val="left" w:pos="360"/>
                      <w:tab w:val="left" w:pos="540"/>
                    </w:tabs>
                    <w:spacing w:line="240" w:lineRule="auto"/>
                    <w:ind w:left="0" w:firstLine="0"/>
                    <w:jc w:val="center"/>
                    <w:rPr>
                      <w:rFonts w:ascii="Times New Roman"/>
                      <w:b/>
                      <w:bCs/>
                      <w:color w:val="000000"/>
                      <w:sz w:val="21"/>
                      <w:szCs w:val="21"/>
                    </w:rPr>
                  </w:pPr>
                  <w:r>
                    <w:rPr>
                      <w:rFonts w:ascii="Times New Roman"/>
                      <w:b/>
                      <w:bCs/>
                      <w:color w:val="000000"/>
                      <w:sz w:val="21"/>
                      <w:szCs w:val="21"/>
                    </w:rPr>
                    <w:t>本项目内容</w:t>
                  </w:r>
                </w:p>
              </w:tc>
              <w:tc>
                <w:tcPr>
                  <w:tcW w:w="1091" w:type="dxa"/>
                  <w:vAlign w:val="center"/>
                </w:tcPr>
                <w:p>
                  <w:pPr>
                    <w:pStyle w:val="22"/>
                    <w:tabs>
                      <w:tab w:val="left" w:pos="360"/>
                      <w:tab w:val="left" w:pos="540"/>
                    </w:tabs>
                    <w:spacing w:line="240" w:lineRule="auto"/>
                    <w:ind w:left="0" w:firstLine="0"/>
                    <w:jc w:val="center"/>
                    <w:rPr>
                      <w:rFonts w:ascii="Times New Roman"/>
                      <w:b/>
                      <w:bCs/>
                      <w:color w:val="000000"/>
                      <w:sz w:val="21"/>
                      <w:szCs w:val="21"/>
                    </w:rPr>
                  </w:pPr>
                  <w:r>
                    <w:rPr>
                      <w:rFonts w:ascii="Times New Roman"/>
                      <w:b/>
                      <w:bCs/>
                      <w:color w:val="00000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4624" w:type="dxa"/>
                  <w:vAlign w:val="center"/>
                </w:tcPr>
                <w:p>
                  <w:pPr>
                    <w:jc w:val="left"/>
                    <w:rPr>
                      <w:color w:val="000000"/>
                      <w:szCs w:val="21"/>
                    </w:rPr>
                  </w:pPr>
                  <w:r>
                    <w:rPr>
                      <w:color w:val="000000"/>
                      <w:szCs w:val="21"/>
                    </w:rPr>
                    <w:t>空间布局约束：</w:t>
                  </w:r>
                </w:p>
                <w:p>
                  <w:pPr>
                    <w:pStyle w:val="22"/>
                    <w:tabs>
                      <w:tab w:val="left" w:pos="360"/>
                      <w:tab w:val="left" w:pos="540"/>
                    </w:tabs>
                    <w:spacing w:line="240" w:lineRule="auto"/>
                    <w:ind w:left="0" w:firstLine="0"/>
                    <w:jc w:val="left"/>
                    <w:rPr>
                      <w:rFonts w:ascii="Times New Roman"/>
                      <w:color w:val="000000"/>
                      <w:sz w:val="21"/>
                      <w:szCs w:val="21"/>
                    </w:rPr>
                  </w:pPr>
                  <w:r>
                    <w:rPr>
                      <w:rFonts w:ascii="Times New Roman"/>
                      <w:color w:val="000000"/>
                      <w:sz w:val="21"/>
                      <w:szCs w:val="21"/>
                    </w:rPr>
                    <w:t>1.新建、改建、扩建涉气工业项目，在满足产业准入、总量控制、排放标准等管理制度要求的前提下，应大力推进项目进园、集约高效发展。</w:t>
                  </w:r>
                </w:p>
                <w:p>
                  <w:pPr>
                    <w:pStyle w:val="22"/>
                    <w:tabs>
                      <w:tab w:val="left" w:pos="360"/>
                      <w:tab w:val="left" w:pos="540"/>
                    </w:tabs>
                    <w:spacing w:line="240" w:lineRule="auto"/>
                    <w:ind w:left="0" w:firstLine="0"/>
                    <w:jc w:val="left"/>
                    <w:rPr>
                      <w:rFonts w:ascii="Times New Roman"/>
                      <w:color w:val="000000"/>
                      <w:sz w:val="21"/>
                      <w:szCs w:val="21"/>
                    </w:rPr>
                  </w:pPr>
                  <w:r>
                    <w:rPr>
                      <w:rFonts w:ascii="Times New Roman"/>
                      <w:color w:val="000000"/>
                      <w:sz w:val="21"/>
                      <w:szCs w:val="21"/>
                    </w:rPr>
                    <w:t>2.一般生态空间原则上按限制开发区域的要求进行管理。</w:t>
                  </w:r>
                </w:p>
              </w:tc>
              <w:tc>
                <w:tcPr>
                  <w:tcW w:w="2924" w:type="dxa"/>
                  <w:vAlign w:val="center"/>
                </w:tcPr>
                <w:p>
                  <w:pPr>
                    <w:pStyle w:val="22"/>
                    <w:tabs>
                      <w:tab w:val="left" w:pos="360"/>
                      <w:tab w:val="left" w:pos="540"/>
                    </w:tabs>
                    <w:spacing w:line="240" w:lineRule="auto"/>
                    <w:ind w:left="0" w:firstLine="0"/>
                    <w:jc w:val="center"/>
                    <w:rPr>
                      <w:rFonts w:ascii="Times New Roman"/>
                      <w:color w:val="000000"/>
                      <w:sz w:val="21"/>
                      <w:szCs w:val="21"/>
                    </w:rPr>
                  </w:pPr>
                  <w:r>
                    <w:rPr>
                      <w:rFonts w:ascii="Times New Roman"/>
                      <w:color w:val="000000"/>
                      <w:sz w:val="21"/>
                      <w:szCs w:val="21"/>
                    </w:rPr>
                    <w:t>本项目满足产业准入、总量控制、排放标准、生态保护红线要求</w:t>
                  </w:r>
                </w:p>
              </w:tc>
              <w:tc>
                <w:tcPr>
                  <w:tcW w:w="1091" w:type="dxa"/>
                  <w:vAlign w:val="center"/>
                </w:tcPr>
                <w:p>
                  <w:pPr>
                    <w:pStyle w:val="22"/>
                    <w:tabs>
                      <w:tab w:val="left" w:pos="360"/>
                      <w:tab w:val="left" w:pos="540"/>
                    </w:tabs>
                    <w:spacing w:line="240" w:lineRule="auto"/>
                    <w:ind w:left="0" w:firstLine="0"/>
                    <w:jc w:val="center"/>
                    <w:rPr>
                      <w:rFonts w:ascii="Times New Roman"/>
                      <w:color w:val="000000"/>
                      <w:sz w:val="21"/>
                      <w:szCs w:val="21"/>
                    </w:rPr>
                  </w:pPr>
                  <w:r>
                    <w:rPr>
                      <w:rFonts w:ascii="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4624" w:type="dxa"/>
                  <w:vAlign w:val="center"/>
                </w:tcPr>
                <w:p>
                  <w:pPr>
                    <w:pStyle w:val="23"/>
                    <w:spacing w:before="0" w:after="0"/>
                    <w:jc w:val="left"/>
                    <w:rPr>
                      <w:rFonts w:ascii="Times New Roman"/>
                      <w:color w:val="000000"/>
                      <w:sz w:val="21"/>
                      <w:szCs w:val="21"/>
                    </w:rPr>
                  </w:pPr>
                  <w:r>
                    <w:rPr>
                      <w:rFonts w:ascii="Times New Roman"/>
                      <w:color w:val="000000"/>
                      <w:sz w:val="21"/>
                      <w:szCs w:val="21"/>
                    </w:rPr>
                    <w:t>污染物排放管控 ：</w:t>
                  </w:r>
                </w:p>
                <w:p>
                  <w:pPr>
                    <w:jc w:val="left"/>
                    <w:rPr>
                      <w:color w:val="000000"/>
                      <w:szCs w:val="21"/>
                    </w:rPr>
                  </w:pPr>
                  <w:r>
                    <w:rPr>
                      <w:color w:val="000000"/>
                      <w:szCs w:val="21"/>
                    </w:rPr>
                    <w:t>1.落实水环境保护的普适性要求。推进城乡生活污染和农业面源污染治理，加强污染物排放管控，推动水 环境质量不断改善。2.严格执行山东省《区域性大气污染物综合排放标准》（DB37/2376-2019）排放要求，SO</w:t>
                  </w:r>
                  <w:r>
                    <w:rPr>
                      <w:color w:val="000000"/>
                      <w:szCs w:val="21"/>
                      <w:vertAlign w:val="subscript"/>
                    </w:rPr>
                    <w:t>2</w:t>
                  </w:r>
                  <w:r>
                    <w:rPr>
                      <w:color w:val="000000"/>
                      <w:szCs w:val="21"/>
                    </w:rPr>
                    <w:t xml:space="preserve">、NOx、烟粉尘、VOCs排放量不得超过区域允许排放量。全面加强VOCs污染管控。加大秸秆禁烧管控力度。 </w:t>
                  </w:r>
                </w:p>
              </w:tc>
              <w:tc>
                <w:tcPr>
                  <w:tcW w:w="2924" w:type="dxa"/>
                  <w:vAlign w:val="center"/>
                </w:tcPr>
                <w:p>
                  <w:pPr>
                    <w:pStyle w:val="22"/>
                    <w:tabs>
                      <w:tab w:val="left" w:pos="360"/>
                      <w:tab w:val="left" w:pos="540"/>
                    </w:tabs>
                    <w:spacing w:line="240" w:lineRule="auto"/>
                    <w:ind w:left="0" w:firstLine="0"/>
                    <w:jc w:val="center"/>
                    <w:rPr>
                      <w:rFonts w:ascii="Times New Roman"/>
                      <w:color w:val="000000"/>
                      <w:sz w:val="21"/>
                      <w:szCs w:val="21"/>
                    </w:rPr>
                  </w:pPr>
                  <w:r>
                    <w:rPr>
                      <w:rFonts w:ascii="Times New Roman"/>
                      <w:color w:val="000000"/>
                      <w:sz w:val="21"/>
                      <w:szCs w:val="21"/>
                    </w:rPr>
                    <w:t>本项目无生产废水产生及外排，生活污水进厂区化粪池，</w:t>
                  </w:r>
                  <w:r>
                    <w:rPr>
                      <w:rFonts w:hint="eastAsia" w:ascii="Times New Roman"/>
                      <w:color w:val="000000"/>
                      <w:sz w:val="21"/>
                      <w:szCs w:val="21"/>
                    </w:rPr>
                    <w:t>外运堆肥处理</w:t>
                  </w:r>
                  <w:r>
                    <w:rPr>
                      <w:rFonts w:ascii="Times New Roman"/>
                      <w:color w:val="000000"/>
                      <w:sz w:val="21"/>
                      <w:szCs w:val="21"/>
                    </w:rPr>
                    <w:t>，不外排</w:t>
                  </w:r>
                  <w:r>
                    <w:rPr>
                      <w:rFonts w:hint="eastAsia" w:ascii="Times New Roman"/>
                      <w:color w:val="000000"/>
                      <w:sz w:val="21"/>
                      <w:szCs w:val="21"/>
                    </w:rPr>
                    <w:t>，项目涉及颗粒物、二氧化硫、氮氧化物废气产生，经处理后可满足</w:t>
                  </w:r>
                  <w:r>
                    <w:rPr>
                      <w:rFonts w:ascii="Times New Roman"/>
                      <w:color w:val="000000"/>
                      <w:sz w:val="21"/>
                      <w:szCs w:val="21"/>
                    </w:rPr>
                    <w:t>山东省《区域性大气污染物综合排放标准》（DB37/2376-2019）排放要求</w:t>
                  </w:r>
                  <w:r>
                    <w:rPr>
                      <w:rFonts w:hint="eastAsia" w:ascii="Times New Roman"/>
                      <w:color w:val="000000"/>
                      <w:sz w:val="21"/>
                      <w:szCs w:val="21"/>
                    </w:rPr>
                    <w:t>，项目废气排放将申请倍量替代</w:t>
                  </w:r>
                  <w:r>
                    <w:rPr>
                      <w:rFonts w:ascii="Times New Roman"/>
                      <w:color w:val="000000"/>
                      <w:sz w:val="21"/>
                      <w:szCs w:val="21"/>
                    </w:rPr>
                    <w:t>不超过区域允许排放量</w:t>
                  </w:r>
                </w:p>
              </w:tc>
              <w:tc>
                <w:tcPr>
                  <w:tcW w:w="1091" w:type="dxa"/>
                  <w:vAlign w:val="center"/>
                </w:tcPr>
                <w:p>
                  <w:pPr>
                    <w:pStyle w:val="22"/>
                    <w:tabs>
                      <w:tab w:val="left" w:pos="360"/>
                      <w:tab w:val="left" w:pos="540"/>
                    </w:tabs>
                    <w:spacing w:line="240" w:lineRule="auto"/>
                    <w:ind w:left="0" w:firstLine="0"/>
                    <w:jc w:val="center"/>
                    <w:rPr>
                      <w:rFonts w:ascii="Times New Roman"/>
                      <w:color w:val="000000"/>
                      <w:sz w:val="21"/>
                      <w:szCs w:val="21"/>
                    </w:rPr>
                  </w:pPr>
                  <w:r>
                    <w:rPr>
                      <w:rFonts w:ascii="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4624" w:type="dxa"/>
                  <w:vAlign w:val="center"/>
                </w:tcPr>
                <w:p>
                  <w:pPr>
                    <w:pStyle w:val="22"/>
                    <w:tabs>
                      <w:tab w:val="left" w:pos="360"/>
                      <w:tab w:val="left" w:pos="540"/>
                    </w:tabs>
                    <w:spacing w:line="240" w:lineRule="auto"/>
                    <w:ind w:left="0" w:firstLine="0"/>
                    <w:jc w:val="left"/>
                    <w:rPr>
                      <w:rFonts w:ascii="Times New Roman"/>
                      <w:color w:val="000000"/>
                      <w:sz w:val="21"/>
                      <w:szCs w:val="21"/>
                    </w:rPr>
                  </w:pPr>
                  <w:r>
                    <w:rPr>
                      <w:rFonts w:ascii="Times New Roman"/>
                      <w:color w:val="000000"/>
                      <w:sz w:val="21"/>
                      <w:szCs w:val="21"/>
                    </w:rPr>
                    <w:t>环境风险防控：</w:t>
                  </w:r>
                </w:p>
                <w:p>
                  <w:pPr>
                    <w:pStyle w:val="22"/>
                    <w:tabs>
                      <w:tab w:val="left" w:pos="360"/>
                      <w:tab w:val="left" w:pos="540"/>
                    </w:tabs>
                    <w:spacing w:line="240" w:lineRule="auto"/>
                    <w:ind w:left="0" w:firstLine="0"/>
                    <w:jc w:val="left"/>
                    <w:rPr>
                      <w:rFonts w:ascii="Times New Roman"/>
                      <w:color w:val="000000"/>
                      <w:sz w:val="21"/>
                      <w:szCs w:val="21"/>
                    </w:rPr>
                  </w:pPr>
                  <w:r>
                    <w:rPr>
                      <w:rFonts w:ascii="Times New Roman"/>
                      <w:color w:val="000000"/>
                      <w:sz w:val="21"/>
                      <w:szCs w:val="21"/>
                    </w:rPr>
                    <w:t>1.当预测到区域将出现重污染天气时，根据预警发布，按级别启动应急响应，落实各项应急减排措施。</w:t>
                  </w:r>
                </w:p>
              </w:tc>
              <w:tc>
                <w:tcPr>
                  <w:tcW w:w="2924" w:type="dxa"/>
                  <w:vAlign w:val="center"/>
                </w:tcPr>
                <w:p>
                  <w:pPr>
                    <w:pStyle w:val="22"/>
                    <w:tabs>
                      <w:tab w:val="left" w:pos="360"/>
                      <w:tab w:val="left" w:pos="540"/>
                    </w:tabs>
                    <w:adjustRightInd w:val="0"/>
                    <w:snapToGrid w:val="0"/>
                    <w:spacing w:line="240" w:lineRule="auto"/>
                    <w:ind w:left="0" w:firstLine="0"/>
                    <w:jc w:val="center"/>
                    <w:rPr>
                      <w:rFonts w:ascii="Times New Roman"/>
                      <w:color w:val="000000"/>
                      <w:sz w:val="21"/>
                      <w:szCs w:val="21"/>
                    </w:rPr>
                  </w:pPr>
                  <w:r>
                    <w:rPr>
                      <w:rFonts w:ascii="Times New Roman"/>
                      <w:color w:val="000000"/>
                      <w:sz w:val="21"/>
                      <w:szCs w:val="21"/>
                    </w:rPr>
                    <w:t>当出现重污染天气时，积极配合区域应急响应，落实各项应急减排措施。</w:t>
                  </w:r>
                </w:p>
              </w:tc>
              <w:tc>
                <w:tcPr>
                  <w:tcW w:w="1091" w:type="dxa"/>
                  <w:vAlign w:val="center"/>
                </w:tcPr>
                <w:p>
                  <w:pPr>
                    <w:pStyle w:val="22"/>
                    <w:tabs>
                      <w:tab w:val="left" w:pos="360"/>
                      <w:tab w:val="left" w:pos="540"/>
                    </w:tabs>
                    <w:spacing w:line="240" w:lineRule="auto"/>
                    <w:ind w:left="0" w:firstLine="0"/>
                    <w:jc w:val="center"/>
                    <w:rPr>
                      <w:rFonts w:ascii="Times New Roman"/>
                      <w:color w:val="000000"/>
                      <w:sz w:val="21"/>
                      <w:szCs w:val="21"/>
                    </w:rPr>
                  </w:pPr>
                </w:p>
                <w:p>
                  <w:pPr>
                    <w:pStyle w:val="22"/>
                    <w:tabs>
                      <w:tab w:val="left" w:pos="360"/>
                      <w:tab w:val="left" w:pos="540"/>
                    </w:tabs>
                    <w:spacing w:line="240" w:lineRule="auto"/>
                    <w:ind w:left="0" w:firstLine="0"/>
                    <w:jc w:val="center"/>
                    <w:rPr>
                      <w:rFonts w:ascii="Times New Roman"/>
                      <w:color w:val="000000"/>
                      <w:sz w:val="21"/>
                      <w:szCs w:val="21"/>
                    </w:rPr>
                  </w:pPr>
                  <w:r>
                    <w:rPr>
                      <w:rFonts w:ascii="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4624" w:type="dxa"/>
                  <w:vAlign w:val="center"/>
                </w:tcPr>
                <w:p>
                  <w:pPr>
                    <w:pStyle w:val="22"/>
                    <w:tabs>
                      <w:tab w:val="left" w:pos="360"/>
                      <w:tab w:val="left" w:pos="540"/>
                    </w:tabs>
                    <w:spacing w:line="240" w:lineRule="auto"/>
                    <w:ind w:left="0" w:firstLine="0"/>
                    <w:jc w:val="left"/>
                    <w:rPr>
                      <w:rFonts w:ascii="Times New Roman"/>
                      <w:color w:val="000000"/>
                      <w:sz w:val="21"/>
                      <w:szCs w:val="21"/>
                    </w:rPr>
                  </w:pPr>
                  <w:r>
                    <w:rPr>
                      <w:rFonts w:ascii="Times New Roman"/>
                      <w:color w:val="000000"/>
                      <w:sz w:val="21"/>
                      <w:szCs w:val="21"/>
                    </w:rPr>
                    <w:t>资源开发效率要求：</w:t>
                  </w:r>
                </w:p>
                <w:p>
                  <w:pPr>
                    <w:pStyle w:val="22"/>
                    <w:numPr>
                      <w:ilvl w:val="0"/>
                      <w:numId w:val="4"/>
                    </w:numPr>
                    <w:tabs>
                      <w:tab w:val="left" w:pos="360"/>
                      <w:tab w:val="left" w:pos="540"/>
                      <w:tab w:val="clear" w:pos="312"/>
                    </w:tabs>
                    <w:spacing w:line="240" w:lineRule="auto"/>
                    <w:ind w:left="0" w:firstLine="0"/>
                    <w:jc w:val="left"/>
                    <w:rPr>
                      <w:rFonts w:ascii="Times New Roman"/>
                      <w:color w:val="000000"/>
                      <w:sz w:val="21"/>
                      <w:szCs w:val="21"/>
                    </w:rPr>
                  </w:pPr>
                  <w:r>
                    <w:rPr>
                      <w:rFonts w:ascii="Times New Roman"/>
                      <w:color w:val="000000"/>
                      <w:sz w:val="21"/>
                      <w:szCs w:val="21"/>
                    </w:rPr>
                    <w:t>严控高耗水项目。水资源开发应当优先利用地表水，严格控制开采地下水。</w:t>
                  </w:r>
                </w:p>
                <w:p>
                  <w:pPr>
                    <w:pStyle w:val="22"/>
                    <w:tabs>
                      <w:tab w:val="left" w:pos="360"/>
                      <w:tab w:val="left" w:pos="540"/>
                    </w:tabs>
                    <w:spacing w:line="240" w:lineRule="auto"/>
                    <w:ind w:left="0" w:firstLine="0"/>
                    <w:jc w:val="left"/>
                    <w:rPr>
                      <w:rFonts w:ascii="Times New Roman"/>
                      <w:color w:val="000000"/>
                      <w:sz w:val="21"/>
                      <w:szCs w:val="21"/>
                    </w:rPr>
                  </w:pPr>
                  <w:r>
                    <w:rPr>
                      <w:rFonts w:ascii="Times New Roman"/>
                      <w:color w:val="000000"/>
                      <w:sz w:val="21"/>
                      <w:szCs w:val="21"/>
                    </w:rPr>
                    <w:t>2.推进冬季清洁取暖，实现清洁能源逐步替代散煤。严防散煤复烧，对暂未实施清洁取暖的地区，确保使用的散煤质量符合标准要求。</w:t>
                  </w:r>
                </w:p>
              </w:tc>
              <w:tc>
                <w:tcPr>
                  <w:tcW w:w="2924" w:type="dxa"/>
                  <w:vAlign w:val="center"/>
                </w:tcPr>
                <w:p>
                  <w:pPr>
                    <w:pStyle w:val="22"/>
                    <w:tabs>
                      <w:tab w:val="left" w:pos="360"/>
                      <w:tab w:val="left" w:pos="540"/>
                    </w:tabs>
                    <w:spacing w:line="240" w:lineRule="auto"/>
                    <w:ind w:left="0" w:firstLine="0"/>
                    <w:jc w:val="center"/>
                    <w:rPr>
                      <w:rFonts w:ascii="Times New Roman"/>
                      <w:color w:val="000000"/>
                      <w:sz w:val="21"/>
                      <w:szCs w:val="21"/>
                    </w:rPr>
                  </w:pPr>
                  <w:r>
                    <w:rPr>
                      <w:rFonts w:ascii="Times New Roman"/>
                      <w:color w:val="000000"/>
                      <w:sz w:val="21"/>
                      <w:szCs w:val="21"/>
                    </w:rPr>
                    <w:t>本项目不属于高耗水项目</w:t>
                  </w:r>
                  <w:r>
                    <w:rPr>
                      <w:rFonts w:hint="eastAsia" w:ascii="Times New Roman"/>
                      <w:color w:val="000000"/>
                      <w:sz w:val="21"/>
                      <w:szCs w:val="21"/>
                    </w:rPr>
                    <w:t>，不使用地下水。冬季车间不取暖，办公室采用空调</w:t>
                  </w:r>
                </w:p>
              </w:tc>
              <w:tc>
                <w:tcPr>
                  <w:tcW w:w="1091" w:type="dxa"/>
                  <w:vAlign w:val="center"/>
                </w:tcPr>
                <w:p>
                  <w:pPr>
                    <w:pStyle w:val="22"/>
                    <w:tabs>
                      <w:tab w:val="left" w:pos="360"/>
                      <w:tab w:val="left" w:pos="540"/>
                    </w:tabs>
                    <w:spacing w:line="240" w:lineRule="auto"/>
                    <w:ind w:left="0" w:firstLine="0"/>
                    <w:jc w:val="center"/>
                    <w:rPr>
                      <w:rFonts w:ascii="Times New Roman"/>
                      <w:color w:val="000000"/>
                      <w:sz w:val="21"/>
                      <w:szCs w:val="21"/>
                    </w:rPr>
                  </w:pPr>
                  <w:r>
                    <w:rPr>
                      <w:rFonts w:ascii="Times New Roman"/>
                      <w:color w:val="000000"/>
                      <w:sz w:val="21"/>
                      <w:szCs w:val="21"/>
                    </w:rPr>
                    <w:t>符合</w:t>
                  </w:r>
                </w:p>
              </w:tc>
            </w:tr>
          </w:tbl>
          <w:p>
            <w:pPr>
              <w:spacing w:line="360" w:lineRule="auto"/>
              <w:ind w:firstLine="482" w:firstLineChars="200"/>
              <w:rPr>
                <w:b/>
                <w:bCs/>
                <w:sz w:val="24"/>
              </w:rPr>
            </w:pPr>
            <w:r>
              <w:rPr>
                <w:rFonts w:hint="eastAsia"/>
                <w:b/>
                <w:bCs/>
                <w:sz w:val="24"/>
              </w:rPr>
              <w:t>4</w:t>
            </w:r>
            <w:r>
              <w:rPr>
                <w:b/>
                <w:bCs/>
                <w:sz w:val="24"/>
              </w:rPr>
              <w:t>、与《关于以改善环境质量为核心加强环境影响评价管理的通知》（环环评[2016]150号）的符合性分析</w:t>
            </w:r>
          </w:p>
          <w:p>
            <w:pPr>
              <w:jc w:val="center"/>
              <w:rPr>
                <w:b/>
                <w:bCs/>
                <w:szCs w:val="21"/>
              </w:rPr>
            </w:pPr>
            <w:r>
              <w:rPr>
                <w:b/>
                <w:bCs/>
                <w:sz w:val="24"/>
              </w:rPr>
              <w:t>表1-2 与环环评[2016]150号文的符合情况</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47"/>
              <w:gridCol w:w="6131"/>
              <w:gridCol w:w="1462"/>
              <w:gridCol w:w="75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47" w:type="dxa"/>
                  <w:tcBorders>
                    <w:tl2br w:val="nil"/>
                    <w:tr2bl w:val="nil"/>
                  </w:tcBorders>
                  <w:vAlign w:val="center"/>
                </w:tcPr>
                <w:p>
                  <w:pPr>
                    <w:pStyle w:val="2"/>
                    <w:spacing w:after="0"/>
                    <w:ind w:left="0" w:leftChars="0" w:firstLine="0" w:firstLineChars="0"/>
                    <w:jc w:val="center"/>
                    <w:rPr>
                      <w:b/>
                      <w:bCs/>
                      <w:sz w:val="21"/>
                      <w:szCs w:val="21"/>
                    </w:rPr>
                  </w:pPr>
                  <w:r>
                    <w:rPr>
                      <w:b/>
                      <w:bCs/>
                      <w:sz w:val="21"/>
                      <w:szCs w:val="21"/>
                    </w:rPr>
                    <w:t>序号</w:t>
                  </w:r>
                </w:p>
              </w:tc>
              <w:tc>
                <w:tcPr>
                  <w:tcW w:w="6131" w:type="dxa"/>
                  <w:tcBorders>
                    <w:tl2br w:val="nil"/>
                    <w:tr2bl w:val="nil"/>
                  </w:tcBorders>
                  <w:vAlign w:val="center"/>
                </w:tcPr>
                <w:p>
                  <w:pPr>
                    <w:pStyle w:val="2"/>
                    <w:spacing w:after="0"/>
                    <w:ind w:left="0" w:leftChars="0" w:firstLine="0" w:firstLineChars="0"/>
                    <w:jc w:val="center"/>
                    <w:rPr>
                      <w:b/>
                      <w:bCs/>
                      <w:sz w:val="21"/>
                      <w:szCs w:val="21"/>
                    </w:rPr>
                  </w:pPr>
                  <w:r>
                    <w:rPr>
                      <w:b/>
                      <w:bCs/>
                      <w:sz w:val="21"/>
                      <w:szCs w:val="21"/>
                    </w:rPr>
                    <w:t>具体要求</w:t>
                  </w:r>
                </w:p>
              </w:tc>
              <w:tc>
                <w:tcPr>
                  <w:tcW w:w="1462" w:type="dxa"/>
                  <w:tcBorders>
                    <w:tl2br w:val="nil"/>
                    <w:tr2bl w:val="nil"/>
                  </w:tcBorders>
                  <w:vAlign w:val="center"/>
                </w:tcPr>
                <w:p>
                  <w:pPr>
                    <w:pStyle w:val="2"/>
                    <w:spacing w:after="0"/>
                    <w:ind w:left="0" w:leftChars="0" w:firstLine="0" w:firstLineChars="0"/>
                    <w:jc w:val="center"/>
                    <w:rPr>
                      <w:b/>
                      <w:bCs/>
                      <w:sz w:val="21"/>
                      <w:szCs w:val="21"/>
                    </w:rPr>
                  </w:pPr>
                  <w:r>
                    <w:rPr>
                      <w:b/>
                      <w:bCs/>
                      <w:sz w:val="21"/>
                      <w:szCs w:val="21"/>
                    </w:rPr>
                    <w:t>本工程情况</w:t>
                  </w:r>
                </w:p>
              </w:tc>
              <w:tc>
                <w:tcPr>
                  <w:tcW w:w="758" w:type="dxa"/>
                  <w:tcBorders>
                    <w:tl2br w:val="nil"/>
                    <w:tr2bl w:val="nil"/>
                  </w:tcBorders>
                  <w:vAlign w:val="center"/>
                </w:tcPr>
                <w:p>
                  <w:pPr>
                    <w:pStyle w:val="2"/>
                    <w:spacing w:after="0"/>
                    <w:ind w:left="0" w:leftChars="0" w:firstLine="0" w:firstLineChars="0"/>
                    <w:jc w:val="center"/>
                    <w:rPr>
                      <w:b/>
                      <w:bCs/>
                      <w:sz w:val="21"/>
                      <w:szCs w:val="21"/>
                    </w:rPr>
                  </w:pPr>
                  <w:r>
                    <w:rPr>
                      <w:b/>
                      <w:bCs/>
                      <w:sz w:val="21"/>
                      <w:szCs w:val="21"/>
                    </w:rPr>
                    <w:t>符合性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47" w:type="dxa"/>
                  <w:tcBorders>
                    <w:tl2br w:val="nil"/>
                    <w:tr2bl w:val="nil"/>
                  </w:tcBorders>
                  <w:vAlign w:val="center"/>
                </w:tcPr>
                <w:p>
                  <w:pPr>
                    <w:pStyle w:val="2"/>
                    <w:spacing w:after="0"/>
                    <w:ind w:left="0" w:leftChars="0" w:firstLine="0" w:firstLineChars="0"/>
                    <w:jc w:val="center"/>
                    <w:rPr>
                      <w:sz w:val="21"/>
                      <w:szCs w:val="21"/>
                    </w:rPr>
                  </w:pPr>
                  <w:r>
                    <w:rPr>
                      <w:sz w:val="21"/>
                      <w:szCs w:val="21"/>
                    </w:rPr>
                    <w:t>1</w:t>
                  </w:r>
                </w:p>
              </w:tc>
              <w:tc>
                <w:tcPr>
                  <w:tcW w:w="6131" w:type="dxa"/>
                  <w:tcBorders>
                    <w:tl2br w:val="nil"/>
                    <w:tr2bl w:val="nil"/>
                  </w:tcBorders>
                  <w:vAlign w:val="center"/>
                </w:tcPr>
                <w:p>
                  <w:pPr>
                    <w:rPr>
                      <w:szCs w:val="21"/>
                    </w:rPr>
                  </w:pPr>
                  <w:r>
                    <w:rPr>
                      <w:szCs w:val="21"/>
                    </w:rPr>
                    <w:t>生态保护红线是生态空间范围内具有特殊重要生态功能必须实行强制性严格保护的区域。相关规划环评应将生态空间管控作为重要内容，规划区域涉及的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462" w:type="dxa"/>
                  <w:tcBorders>
                    <w:tl2br w:val="nil"/>
                    <w:tr2bl w:val="nil"/>
                  </w:tcBorders>
                  <w:vAlign w:val="center"/>
                </w:tcPr>
                <w:p>
                  <w:pPr>
                    <w:pStyle w:val="2"/>
                    <w:spacing w:after="0"/>
                    <w:ind w:left="0" w:leftChars="0" w:firstLine="0" w:firstLineChars="0"/>
                    <w:jc w:val="center"/>
                    <w:rPr>
                      <w:sz w:val="21"/>
                      <w:szCs w:val="21"/>
                    </w:rPr>
                  </w:pPr>
                  <w:r>
                    <w:rPr>
                      <w:sz w:val="21"/>
                      <w:szCs w:val="21"/>
                    </w:rPr>
                    <w:t>本项目位置不在生态保护红线范围内</w:t>
                  </w:r>
                </w:p>
              </w:tc>
              <w:tc>
                <w:tcPr>
                  <w:tcW w:w="758" w:type="dxa"/>
                  <w:tcBorders>
                    <w:tl2br w:val="nil"/>
                    <w:tr2bl w:val="nil"/>
                  </w:tcBorders>
                  <w:vAlign w:val="center"/>
                </w:tcPr>
                <w:p>
                  <w:pPr>
                    <w:pStyle w:val="2"/>
                    <w:spacing w:after="0"/>
                    <w:ind w:left="0" w:leftChars="0" w:firstLine="0" w:firstLineChars="0"/>
                    <w:jc w:val="center"/>
                    <w:rPr>
                      <w:sz w:val="21"/>
                      <w:szCs w:val="21"/>
                    </w:rPr>
                  </w:pPr>
                  <w:r>
                    <w:rPr>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47" w:type="dxa"/>
                  <w:tcBorders>
                    <w:tl2br w:val="nil"/>
                    <w:tr2bl w:val="nil"/>
                  </w:tcBorders>
                  <w:vAlign w:val="center"/>
                </w:tcPr>
                <w:p>
                  <w:pPr>
                    <w:pStyle w:val="2"/>
                    <w:spacing w:after="0"/>
                    <w:ind w:left="0" w:leftChars="0" w:firstLine="0" w:firstLineChars="0"/>
                    <w:jc w:val="center"/>
                    <w:rPr>
                      <w:sz w:val="21"/>
                      <w:szCs w:val="21"/>
                    </w:rPr>
                  </w:pPr>
                  <w:r>
                    <w:rPr>
                      <w:sz w:val="21"/>
                      <w:szCs w:val="21"/>
                    </w:rPr>
                    <w:t>2</w:t>
                  </w:r>
                </w:p>
              </w:tc>
              <w:tc>
                <w:tcPr>
                  <w:tcW w:w="6131" w:type="dxa"/>
                  <w:tcBorders>
                    <w:tl2br w:val="nil"/>
                    <w:tr2bl w:val="nil"/>
                  </w:tcBorders>
                  <w:vAlign w:val="center"/>
                </w:tcPr>
                <w:p>
                  <w:pPr>
                    <w:rPr>
                      <w:szCs w:val="21"/>
                    </w:rPr>
                  </w:pPr>
                  <w:r>
                    <w:rPr>
                      <w:szCs w:val="21"/>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462" w:type="dxa"/>
                  <w:tcBorders>
                    <w:tl2br w:val="nil"/>
                    <w:tr2bl w:val="nil"/>
                  </w:tcBorders>
                  <w:vAlign w:val="center"/>
                </w:tcPr>
                <w:p>
                  <w:pPr>
                    <w:pStyle w:val="2"/>
                    <w:spacing w:after="0"/>
                    <w:ind w:left="0" w:leftChars="0" w:firstLine="0" w:firstLineChars="0"/>
                    <w:jc w:val="center"/>
                    <w:rPr>
                      <w:sz w:val="21"/>
                      <w:szCs w:val="21"/>
                    </w:rPr>
                  </w:pPr>
                  <w:r>
                    <w:rPr>
                      <w:sz w:val="21"/>
                      <w:szCs w:val="21"/>
                    </w:rPr>
                    <w:t>本项目已对照区域环境质量目标，分析</w:t>
                  </w:r>
                  <w:r>
                    <w:rPr>
                      <w:rFonts w:hint="eastAsia"/>
                      <w:sz w:val="21"/>
                      <w:szCs w:val="21"/>
                    </w:rPr>
                    <w:t>了</w:t>
                  </w:r>
                  <w:r>
                    <w:rPr>
                      <w:sz w:val="21"/>
                      <w:szCs w:val="21"/>
                    </w:rPr>
                    <w:t>预测项目建设对环境质量的影响，强化污染防治措施和污染物排放控制要求</w:t>
                  </w:r>
                </w:p>
              </w:tc>
              <w:tc>
                <w:tcPr>
                  <w:tcW w:w="758" w:type="dxa"/>
                  <w:tcBorders>
                    <w:tl2br w:val="nil"/>
                    <w:tr2bl w:val="nil"/>
                  </w:tcBorders>
                  <w:vAlign w:val="center"/>
                </w:tcPr>
                <w:p>
                  <w:pPr>
                    <w:pStyle w:val="2"/>
                    <w:spacing w:after="0"/>
                    <w:ind w:left="0" w:leftChars="0" w:firstLine="0" w:firstLineChars="0"/>
                    <w:jc w:val="center"/>
                    <w:rPr>
                      <w:sz w:val="21"/>
                      <w:szCs w:val="21"/>
                    </w:rPr>
                  </w:pPr>
                  <w:r>
                    <w:rPr>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47" w:type="dxa"/>
                  <w:tcBorders>
                    <w:tl2br w:val="nil"/>
                    <w:tr2bl w:val="nil"/>
                  </w:tcBorders>
                  <w:vAlign w:val="center"/>
                </w:tcPr>
                <w:p>
                  <w:pPr>
                    <w:pStyle w:val="2"/>
                    <w:spacing w:after="0"/>
                    <w:ind w:left="0" w:leftChars="0" w:firstLine="0" w:firstLineChars="0"/>
                    <w:jc w:val="center"/>
                    <w:rPr>
                      <w:sz w:val="21"/>
                      <w:szCs w:val="21"/>
                    </w:rPr>
                  </w:pPr>
                  <w:r>
                    <w:rPr>
                      <w:sz w:val="21"/>
                      <w:szCs w:val="21"/>
                    </w:rPr>
                    <w:t>3</w:t>
                  </w:r>
                </w:p>
              </w:tc>
              <w:tc>
                <w:tcPr>
                  <w:tcW w:w="6131" w:type="dxa"/>
                  <w:tcBorders>
                    <w:tl2br w:val="nil"/>
                    <w:tr2bl w:val="nil"/>
                  </w:tcBorders>
                  <w:vAlign w:val="center"/>
                </w:tcPr>
                <w:p>
                  <w:pPr>
                    <w:rPr>
                      <w:szCs w:val="21"/>
                    </w:rPr>
                  </w:pPr>
                  <w:r>
                    <w:rPr>
                      <w:szCs w:val="21"/>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1462" w:type="dxa"/>
                  <w:tcBorders>
                    <w:tl2br w:val="nil"/>
                    <w:tr2bl w:val="nil"/>
                  </w:tcBorders>
                  <w:vAlign w:val="center"/>
                </w:tcPr>
                <w:p>
                  <w:pPr>
                    <w:pStyle w:val="2"/>
                    <w:spacing w:after="0"/>
                    <w:ind w:left="0" w:leftChars="0" w:firstLine="0" w:firstLineChars="0"/>
                    <w:jc w:val="center"/>
                    <w:rPr>
                      <w:sz w:val="21"/>
                      <w:szCs w:val="21"/>
                    </w:rPr>
                  </w:pPr>
                  <w:r>
                    <w:rPr>
                      <w:sz w:val="21"/>
                      <w:szCs w:val="21"/>
                    </w:rPr>
                    <w:t>本项目所在地资源完全能够满足本项目需求</w:t>
                  </w:r>
                </w:p>
              </w:tc>
              <w:tc>
                <w:tcPr>
                  <w:tcW w:w="758" w:type="dxa"/>
                  <w:tcBorders>
                    <w:tl2br w:val="nil"/>
                    <w:tr2bl w:val="nil"/>
                  </w:tcBorders>
                  <w:vAlign w:val="center"/>
                </w:tcPr>
                <w:p>
                  <w:pPr>
                    <w:pStyle w:val="2"/>
                    <w:spacing w:after="0"/>
                    <w:ind w:left="0" w:leftChars="0" w:firstLine="0" w:firstLineChars="0"/>
                    <w:jc w:val="center"/>
                    <w:rPr>
                      <w:sz w:val="21"/>
                      <w:szCs w:val="21"/>
                    </w:rPr>
                  </w:pPr>
                  <w:r>
                    <w:rPr>
                      <w:sz w:val="21"/>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47" w:type="dxa"/>
                  <w:tcBorders>
                    <w:tl2br w:val="nil"/>
                    <w:tr2bl w:val="nil"/>
                  </w:tcBorders>
                  <w:vAlign w:val="center"/>
                </w:tcPr>
                <w:p>
                  <w:pPr>
                    <w:pStyle w:val="2"/>
                    <w:spacing w:after="0"/>
                    <w:ind w:left="0" w:leftChars="0" w:firstLine="0" w:firstLineChars="0"/>
                    <w:jc w:val="center"/>
                    <w:rPr>
                      <w:sz w:val="21"/>
                      <w:szCs w:val="21"/>
                    </w:rPr>
                  </w:pPr>
                  <w:r>
                    <w:rPr>
                      <w:sz w:val="21"/>
                      <w:szCs w:val="21"/>
                    </w:rPr>
                    <w:t>4</w:t>
                  </w:r>
                </w:p>
              </w:tc>
              <w:tc>
                <w:tcPr>
                  <w:tcW w:w="6131" w:type="dxa"/>
                  <w:tcBorders>
                    <w:tl2br w:val="nil"/>
                    <w:tr2bl w:val="nil"/>
                  </w:tcBorders>
                  <w:vAlign w:val="center"/>
                </w:tcPr>
                <w:p>
                  <w:pPr>
                    <w:rPr>
                      <w:szCs w:val="21"/>
                    </w:rPr>
                  </w:pPr>
                  <w:r>
                    <w:rPr>
                      <w:szCs w:val="21"/>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462" w:type="dxa"/>
                  <w:tcBorders>
                    <w:tl2br w:val="nil"/>
                    <w:tr2bl w:val="nil"/>
                  </w:tcBorders>
                  <w:vAlign w:val="center"/>
                </w:tcPr>
                <w:p>
                  <w:pPr>
                    <w:pStyle w:val="2"/>
                    <w:spacing w:after="0"/>
                    <w:ind w:left="0" w:leftChars="0" w:firstLine="0" w:firstLineChars="0"/>
                    <w:jc w:val="center"/>
                    <w:rPr>
                      <w:sz w:val="21"/>
                      <w:szCs w:val="21"/>
                    </w:rPr>
                  </w:pPr>
                  <w:r>
                    <w:rPr>
                      <w:sz w:val="21"/>
                      <w:szCs w:val="21"/>
                    </w:rPr>
                    <w:t>本项目不属于环境准入负面清单所列项目</w:t>
                  </w:r>
                </w:p>
              </w:tc>
              <w:tc>
                <w:tcPr>
                  <w:tcW w:w="758" w:type="dxa"/>
                  <w:tcBorders>
                    <w:tl2br w:val="nil"/>
                    <w:tr2bl w:val="nil"/>
                  </w:tcBorders>
                  <w:vAlign w:val="center"/>
                </w:tcPr>
                <w:p>
                  <w:pPr>
                    <w:pStyle w:val="2"/>
                    <w:spacing w:after="0"/>
                    <w:ind w:left="0" w:leftChars="0" w:firstLine="0" w:firstLineChars="0"/>
                    <w:jc w:val="center"/>
                    <w:rPr>
                      <w:sz w:val="21"/>
                      <w:szCs w:val="21"/>
                    </w:rPr>
                  </w:pPr>
                  <w:r>
                    <w:rPr>
                      <w:sz w:val="21"/>
                      <w:szCs w:val="21"/>
                    </w:rPr>
                    <w:t>符合</w:t>
                  </w:r>
                </w:p>
              </w:tc>
            </w:tr>
          </w:tbl>
          <w:p>
            <w:pPr>
              <w:spacing w:line="360" w:lineRule="auto"/>
              <w:ind w:firstLine="482" w:firstLineChars="200"/>
              <w:rPr>
                <w:b/>
                <w:bCs/>
                <w:sz w:val="24"/>
              </w:rPr>
            </w:pPr>
            <w:r>
              <w:rPr>
                <w:rFonts w:hint="eastAsia"/>
                <w:b/>
                <w:bCs/>
                <w:sz w:val="24"/>
              </w:rPr>
              <w:t>5</w:t>
            </w:r>
            <w:r>
              <w:rPr>
                <w:b/>
                <w:bCs/>
                <w:sz w:val="24"/>
              </w:rPr>
              <w:t>、与《关于“两高”项目管理有关事项的补充通知》（鲁发改工业〔2023〕34号）符合性</w:t>
            </w:r>
          </w:p>
          <w:p>
            <w:pPr>
              <w:spacing w:line="360" w:lineRule="auto"/>
              <w:ind w:firstLine="480" w:firstLineChars="200"/>
              <w:rPr>
                <w:sz w:val="24"/>
              </w:rPr>
            </w:pPr>
            <w:r>
              <w:rPr>
                <w:sz w:val="24"/>
              </w:rPr>
              <w:t>本项目国民经济行业类别为“C3099其他非金属矿物制品制造”，对照根据《关于“两高”项目管理有关事项的补充通知》（鲁发改工业〔2023〕34号），“两高”项目，是指“六大高耗能行业”中的钢铁、铸造用生铁、铁合金、电解铝、水泥、石灰、建筑陶瓷、平板玻璃、煤电、炼化、焦化、甲醇、氮肥、氯碱、电石等高耗能高排放环节投资项目。本项目不属于“两高”项目，符合 《关于“两高”项目管理有关事项的补充通知》（鲁发改工业〔2023〕34号）文件的要求。</w:t>
            </w:r>
          </w:p>
          <w:p>
            <w:pPr>
              <w:snapToGrid w:val="0"/>
              <w:spacing w:line="360" w:lineRule="auto"/>
              <w:ind w:firstLine="482" w:firstLineChars="200"/>
              <w:textAlignment w:val="baseline"/>
              <w:rPr>
                <w:b/>
                <w:bCs/>
                <w:sz w:val="24"/>
              </w:rPr>
            </w:pPr>
            <w:r>
              <w:rPr>
                <w:rFonts w:hint="eastAsia"/>
                <w:b/>
                <w:bCs/>
                <w:sz w:val="24"/>
              </w:rPr>
              <w:t>6</w:t>
            </w:r>
            <w:r>
              <w:rPr>
                <w:b/>
                <w:bCs/>
                <w:sz w:val="24"/>
              </w:rPr>
              <w:t>、与《山东省新一轮“四减四增”三年行动方案（2021-2023年）》符合性分析</w:t>
            </w:r>
          </w:p>
          <w:p>
            <w:pPr>
              <w:widowControl/>
              <w:snapToGrid w:val="0"/>
              <w:jc w:val="center"/>
              <w:textAlignment w:val="baseline"/>
              <w:rPr>
                <w:szCs w:val="21"/>
              </w:rPr>
            </w:pPr>
            <w:r>
              <w:rPr>
                <w:b/>
                <w:bCs/>
                <w:sz w:val="24"/>
              </w:rPr>
              <w:t>表1-3 与《山东省新一轮“四减四增”三年行动方案（2021-2023年）》符合性分析</w:t>
            </w:r>
          </w:p>
          <w:tbl>
            <w:tblPr>
              <w:tblStyle w:val="35"/>
              <w:tblW w:w="86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04"/>
              <w:gridCol w:w="1596"/>
              <w:gridCol w:w="89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jc w:val="center"/>
              </w:trPr>
              <w:tc>
                <w:tcPr>
                  <w:tcW w:w="6204" w:type="dxa"/>
                  <w:tcBorders>
                    <w:tl2br w:val="nil"/>
                    <w:tr2bl w:val="nil"/>
                  </w:tcBorders>
                  <w:vAlign w:val="center"/>
                </w:tcPr>
                <w:p>
                  <w:pPr>
                    <w:pStyle w:val="107"/>
                    <w:widowControl/>
                    <w:snapToGrid w:val="0"/>
                    <w:jc w:val="center"/>
                  </w:pPr>
                  <w:r>
                    <w:t>文件要求</w:t>
                  </w:r>
                </w:p>
              </w:tc>
              <w:tc>
                <w:tcPr>
                  <w:tcW w:w="1596" w:type="dxa"/>
                  <w:tcBorders>
                    <w:tl2br w:val="nil"/>
                    <w:tr2bl w:val="nil"/>
                  </w:tcBorders>
                  <w:vAlign w:val="center"/>
                </w:tcPr>
                <w:p>
                  <w:pPr>
                    <w:pStyle w:val="107"/>
                    <w:widowControl/>
                    <w:snapToGrid w:val="0"/>
                    <w:jc w:val="center"/>
                  </w:pPr>
                  <w:r>
                    <w:t>项目情况</w:t>
                  </w:r>
                </w:p>
              </w:tc>
              <w:tc>
                <w:tcPr>
                  <w:tcW w:w="899" w:type="dxa"/>
                  <w:tcBorders>
                    <w:tl2br w:val="nil"/>
                    <w:tr2bl w:val="nil"/>
                  </w:tcBorders>
                  <w:vAlign w:val="center"/>
                </w:tcPr>
                <w:p>
                  <w:pPr>
                    <w:pStyle w:val="107"/>
                    <w:widowControl/>
                    <w:snapToGrid w:val="0"/>
                    <w:jc w:val="center"/>
                  </w:pPr>
                  <w:r>
                    <w:t>符合性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8" w:hRule="atLeast"/>
                <w:jc w:val="center"/>
              </w:trPr>
              <w:tc>
                <w:tcPr>
                  <w:tcW w:w="6204" w:type="dxa"/>
                  <w:tcBorders>
                    <w:tl2br w:val="nil"/>
                    <w:tr2bl w:val="nil"/>
                  </w:tcBorders>
                  <w:vAlign w:val="center"/>
                </w:tcPr>
                <w:p>
                  <w:pPr>
                    <w:pStyle w:val="107"/>
                    <w:snapToGrid w:val="0"/>
                    <w:jc w:val="center"/>
                  </w:pPr>
                  <w:r>
                    <w:t>二、深入调整产业结构  （三）淘汰低效落后产能。……以钢铁、地炼、焦化、煤电、水泥、轮胎、煤炭、化工等行业为重点，分类组织实施转移、压减、整合、关停任务，加快淘汰低效落后产能。</w:t>
                  </w:r>
                </w:p>
              </w:tc>
              <w:tc>
                <w:tcPr>
                  <w:tcW w:w="1596" w:type="dxa"/>
                  <w:tcBorders>
                    <w:tl2br w:val="nil"/>
                    <w:tr2bl w:val="nil"/>
                  </w:tcBorders>
                  <w:vAlign w:val="center"/>
                </w:tcPr>
                <w:p>
                  <w:pPr>
                    <w:pStyle w:val="107"/>
                    <w:widowControl/>
                    <w:snapToGrid w:val="0"/>
                    <w:jc w:val="center"/>
                  </w:pPr>
                  <w:r>
                    <w:t>本项目不属于落后产能。</w:t>
                  </w:r>
                </w:p>
              </w:tc>
              <w:tc>
                <w:tcPr>
                  <w:tcW w:w="899" w:type="dxa"/>
                  <w:tcBorders>
                    <w:tl2br w:val="nil"/>
                    <w:tr2bl w:val="nil"/>
                  </w:tcBorders>
                  <w:vAlign w:val="center"/>
                </w:tcPr>
                <w:p>
                  <w:pPr>
                    <w:pStyle w:val="107"/>
                    <w:widowControl/>
                    <w:snapToGrid w:val="0"/>
                    <w:jc w:val="center"/>
                  </w:pPr>
                  <w: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06" w:hRule="atLeast"/>
                <w:jc w:val="center"/>
              </w:trPr>
              <w:tc>
                <w:tcPr>
                  <w:tcW w:w="6204" w:type="dxa"/>
                  <w:tcBorders>
                    <w:tl2br w:val="nil"/>
                    <w:tr2bl w:val="nil"/>
                  </w:tcBorders>
                  <w:vAlign w:val="center"/>
                </w:tcPr>
                <w:p>
                  <w:pPr>
                    <w:pStyle w:val="107"/>
                    <w:snapToGrid w:val="0"/>
                    <w:jc w:val="center"/>
                  </w:pPr>
                  <w:r>
                    <w:t>三、深入调整能源结构 （七）严控化石能源消费。严控能源消费总量，在满足全社会能源需求的前提下，持续推进煤炭消费压减，增加清洁能源供给，加大清洁能源替代力度，进一步控制化石能源消费，逐步实现新增能源需求主要由清洁能源供给。</w:t>
                  </w:r>
                </w:p>
              </w:tc>
              <w:tc>
                <w:tcPr>
                  <w:tcW w:w="1596" w:type="dxa"/>
                  <w:tcBorders>
                    <w:tl2br w:val="nil"/>
                    <w:tr2bl w:val="nil"/>
                  </w:tcBorders>
                  <w:vAlign w:val="center"/>
                </w:tcPr>
                <w:p>
                  <w:pPr>
                    <w:pStyle w:val="107"/>
                    <w:widowControl/>
                    <w:snapToGrid w:val="0"/>
                    <w:jc w:val="center"/>
                  </w:pPr>
                  <w:r>
                    <w:t>本项目不涉燃煤，办公室采用空调供暖。</w:t>
                  </w:r>
                </w:p>
              </w:tc>
              <w:tc>
                <w:tcPr>
                  <w:tcW w:w="899" w:type="dxa"/>
                  <w:tcBorders>
                    <w:tl2br w:val="nil"/>
                    <w:tr2bl w:val="nil"/>
                  </w:tcBorders>
                  <w:vAlign w:val="center"/>
                </w:tcPr>
                <w:p>
                  <w:pPr>
                    <w:pStyle w:val="107"/>
                    <w:widowControl/>
                    <w:snapToGrid w:val="0"/>
                    <w:jc w:val="center"/>
                  </w:pPr>
                  <w:r>
                    <w:t>符合</w:t>
                  </w:r>
                </w:p>
              </w:tc>
            </w:tr>
          </w:tbl>
          <w:p>
            <w:pPr>
              <w:pStyle w:val="58"/>
              <w:spacing w:line="360" w:lineRule="auto"/>
              <w:ind w:firstLine="480" w:firstLineChars="200"/>
              <w:textAlignment w:val="auto"/>
            </w:pPr>
            <w:r>
              <w:t>由上表可见，本项目符合《山东省新一轮“四减四增”三年行动方案（</w:t>
            </w:r>
            <w:r>
              <w:rPr>
                <w:rFonts w:ascii="Times New Roman" w:cs="Times New Roman"/>
              </w:rPr>
              <w:t>2021-2023年</w:t>
            </w:r>
            <w:r>
              <w:t>）》的要求。</w:t>
            </w:r>
          </w:p>
          <w:p>
            <w:pPr>
              <w:pStyle w:val="2"/>
              <w:spacing w:after="0" w:line="360" w:lineRule="auto"/>
              <w:ind w:firstLine="0" w:firstLineChars="0"/>
              <w:rPr>
                <w:b/>
                <w:bCs/>
                <w:szCs w:val="24"/>
              </w:rPr>
            </w:pPr>
            <w:r>
              <w:rPr>
                <w:rFonts w:hint="eastAsia"/>
                <w:b/>
                <w:bCs/>
                <w:szCs w:val="24"/>
              </w:rPr>
              <w:t>7、</w:t>
            </w:r>
            <w:r>
              <w:rPr>
                <w:b/>
                <w:bCs/>
                <w:szCs w:val="24"/>
              </w:rPr>
              <w:t>与《山东省深入打好蓝天保卫战行动计划（2021-2025年）》的符合性分析</w:t>
            </w:r>
          </w:p>
          <w:p>
            <w:pPr>
              <w:autoSpaceDE w:val="0"/>
              <w:autoSpaceDN w:val="0"/>
              <w:adjustRightInd w:val="0"/>
              <w:snapToGrid w:val="0"/>
              <w:jc w:val="center"/>
              <w:rPr>
                <w:b/>
                <w:bCs/>
                <w:szCs w:val="21"/>
              </w:rPr>
            </w:pPr>
            <w:r>
              <w:rPr>
                <w:b/>
                <w:bCs/>
                <w:sz w:val="24"/>
              </w:rPr>
              <w:t>表1-4与《山东省深入打好蓝天保卫战行动计划（2021-2025年》的符合性分析</w:t>
            </w:r>
          </w:p>
          <w:tbl>
            <w:tblPr>
              <w:tblStyle w:val="36"/>
              <w:tblW w:w="875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83"/>
              <w:gridCol w:w="5441"/>
              <w:gridCol w:w="1576"/>
              <w:gridCol w:w="95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83" w:type="dxa"/>
                  <w:tcBorders>
                    <w:tl2br w:val="nil"/>
                    <w:tr2bl w:val="nil"/>
                  </w:tcBorders>
                  <w:vAlign w:val="center"/>
                </w:tcPr>
                <w:p>
                  <w:pPr>
                    <w:autoSpaceDE w:val="0"/>
                    <w:autoSpaceDN w:val="0"/>
                    <w:adjustRightInd w:val="0"/>
                    <w:snapToGrid w:val="0"/>
                    <w:jc w:val="center"/>
                    <w:rPr>
                      <w:szCs w:val="21"/>
                    </w:rPr>
                  </w:pPr>
                  <w:r>
                    <w:rPr>
                      <w:rFonts w:hint="eastAsia"/>
                      <w:szCs w:val="21"/>
                    </w:rPr>
                    <w:t>序号</w:t>
                  </w:r>
                </w:p>
              </w:tc>
              <w:tc>
                <w:tcPr>
                  <w:tcW w:w="5441" w:type="dxa"/>
                  <w:tcBorders>
                    <w:tl2br w:val="nil"/>
                    <w:tr2bl w:val="nil"/>
                  </w:tcBorders>
                  <w:vAlign w:val="center"/>
                </w:tcPr>
                <w:p>
                  <w:pPr>
                    <w:autoSpaceDE w:val="0"/>
                    <w:autoSpaceDN w:val="0"/>
                    <w:adjustRightInd w:val="0"/>
                    <w:snapToGrid w:val="0"/>
                    <w:jc w:val="center"/>
                    <w:rPr>
                      <w:szCs w:val="21"/>
                    </w:rPr>
                  </w:pPr>
                  <w:r>
                    <w:rPr>
                      <w:rFonts w:hint="eastAsia"/>
                      <w:szCs w:val="21"/>
                    </w:rPr>
                    <w:t>项目</w:t>
                  </w:r>
                </w:p>
              </w:tc>
              <w:tc>
                <w:tcPr>
                  <w:tcW w:w="1576" w:type="dxa"/>
                  <w:tcBorders>
                    <w:tl2br w:val="nil"/>
                    <w:tr2bl w:val="nil"/>
                  </w:tcBorders>
                  <w:vAlign w:val="center"/>
                </w:tcPr>
                <w:p>
                  <w:pPr>
                    <w:autoSpaceDE w:val="0"/>
                    <w:autoSpaceDN w:val="0"/>
                    <w:adjustRightInd w:val="0"/>
                    <w:snapToGrid w:val="0"/>
                    <w:jc w:val="center"/>
                    <w:rPr>
                      <w:szCs w:val="21"/>
                    </w:rPr>
                  </w:pPr>
                  <w:r>
                    <w:rPr>
                      <w:rFonts w:hint="eastAsia"/>
                      <w:szCs w:val="21"/>
                    </w:rPr>
                    <w:t>项目情况</w:t>
                  </w:r>
                </w:p>
              </w:tc>
              <w:tc>
                <w:tcPr>
                  <w:tcW w:w="952" w:type="dxa"/>
                  <w:tcBorders>
                    <w:tl2br w:val="nil"/>
                    <w:tr2bl w:val="nil"/>
                  </w:tcBorders>
                  <w:vAlign w:val="center"/>
                </w:tcPr>
                <w:p>
                  <w:pPr>
                    <w:autoSpaceDE w:val="0"/>
                    <w:autoSpaceDN w:val="0"/>
                    <w:adjustRightInd w:val="0"/>
                    <w:snapToGrid w:val="0"/>
                    <w:jc w:val="center"/>
                    <w:rPr>
                      <w:szCs w:val="21"/>
                    </w:rPr>
                  </w:pPr>
                  <w:r>
                    <w:rPr>
                      <w:rFonts w:hint="eastAsia"/>
                      <w:szCs w:val="21"/>
                    </w:rPr>
                    <w:t>符合性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83" w:type="dxa"/>
                  <w:vMerge w:val="restart"/>
                  <w:tcBorders>
                    <w:tl2br w:val="nil"/>
                    <w:tr2bl w:val="nil"/>
                  </w:tcBorders>
                  <w:vAlign w:val="center"/>
                </w:tcPr>
                <w:p>
                  <w:pPr>
                    <w:autoSpaceDE w:val="0"/>
                    <w:autoSpaceDN w:val="0"/>
                    <w:adjustRightInd w:val="0"/>
                    <w:snapToGrid w:val="0"/>
                    <w:jc w:val="center"/>
                    <w:rPr>
                      <w:szCs w:val="21"/>
                    </w:rPr>
                  </w:pPr>
                  <w:r>
                    <w:rPr>
                      <w:rFonts w:hint="eastAsia"/>
                      <w:szCs w:val="21"/>
                    </w:rPr>
                    <w:t>1</w:t>
                  </w:r>
                </w:p>
              </w:tc>
              <w:tc>
                <w:tcPr>
                  <w:tcW w:w="5441" w:type="dxa"/>
                  <w:tcBorders>
                    <w:tl2br w:val="nil"/>
                    <w:tr2bl w:val="nil"/>
                  </w:tcBorders>
                  <w:vAlign w:val="center"/>
                </w:tcPr>
                <w:p>
                  <w:pPr>
                    <w:numPr>
                      <w:ilvl w:val="0"/>
                      <w:numId w:val="5"/>
                    </w:numPr>
                    <w:autoSpaceDE w:val="0"/>
                    <w:autoSpaceDN w:val="0"/>
                    <w:adjustRightInd w:val="0"/>
                    <w:snapToGrid w:val="0"/>
                    <w:jc w:val="left"/>
                    <w:rPr>
                      <w:szCs w:val="21"/>
                    </w:rPr>
                  </w:pPr>
                  <w:r>
                    <w:rPr>
                      <w:rFonts w:hint="eastAsia"/>
                      <w:szCs w:val="21"/>
                    </w:rPr>
                    <w:t>淘汰低效落后产能</w:t>
                  </w:r>
                </w:p>
                <w:p>
                  <w:pPr>
                    <w:autoSpaceDE w:val="0"/>
                    <w:autoSpaceDN w:val="0"/>
                    <w:adjustRightInd w:val="0"/>
                    <w:snapToGrid w:val="0"/>
                    <w:jc w:val="left"/>
                    <w:rPr>
                      <w:szCs w:val="21"/>
                    </w:rPr>
                  </w:pPr>
                  <w:r>
                    <w:rPr>
                      <w:szCs w:val="21"/>
                    </w:rPr>
                    <w:t>聚焦钢铁、地炼、焦化、煤电、水泥、轮胎、煤炭、化工8个重点行业，加快淘汰低效落后产能。严格执行质量、环保、能耗、安全等法规标准，按照《产业结构调整指导目录》（2019年本），对“淘汰类”落后生产工艺装备和落后产品全部淘汰出清。各市聚焦“高耗能、高污染、高排放、高风险”等行业，分类组织实施转移、压减、整合、关停任务。到2025年，传输通道城市和胶济铁路沿线地区的钢铁产能应退尽退，沿海地区钢铁产能占比提升到70%以上。</w:t>
                  </w:r>
                </w:p>
              </w:tc>
              <w:tc>
                <w:tcPr>
                  <w:tcW w:w="1576" w:type="dxa"/>
                  <w:tcBorders>
                    <w:tl2br w:val="nil"/>
                    <w:tr2bl w:val="nil"/>
                  </w:tcBorders>
                  <w:vAlign w:val="center"/>
                </w:tcPr>
                <w:p>
                  <w:pPr>
                    <w:autoSpaceDE w:val="0"/>
                    <w:autoSpaceDN w:val="0"/>
                    <w:adjustRightInd w:val="0"/>
                    <w:snapToGrid w:val="0"/>
                    <w:jc w:val="center"/>
                    <w:rPr>
                      <w:szCs w:val="21"/>
                    </w:rPr>
                  </w:pPr>
                  <w:r>
                    <w:rPr>
                      <w:szCs w:val="21"/>
                    </w:rPr>
                    <w:t>根据《产业结构调整指导目录（2019年本）》</w:t>
                  </w:r>
                  <w:r>
                    <w:rPr>
                      <w:rFonts w:hint="eastAsia"/>
                      <w:szCs w:val="21"/>
                    </w:rPr>
                    <w:t>及2021修改版</w:t>
                  </w:r>
                  <w:r>
                    <w:rPr>
                      <w:szCs w:val="21"/>
                    </w:rPr>
                    <w:t>，</w:t>
                  </w:r>
                  <w:r>
                    <w:rPr>
                      <w:rFonts w:hint="eastAsia"/>
                      <w:szCs w:val="21"/>
                    </w:rPr>
                    <w:t>可知</w:t>
                  </w:r>
                  <w:r>
                    <w:rPr>
                      <w:szCs w:val="21"/>
                    </w:rPr>
                    <w:t>本项目不属于落后产能</w:t>
                  </w:r>
                  <w:r>
                    <w:rPr>
                      <w:rFonts w:hint="eastAsia"/>
                      <w:szCs w:val="21"/>
                    </w:rPr>
                    <w:t>。</w:t>
                  </w:r>
                </w:p>
              </w:tc>
              <w:tc>
                <w:tcPr>
                  <w:tcW w:w="952" w:type="dxa"/>
                  <w:vMerge w:val="restart"/>
                  <w:tcBorders>
                    <w:tl2br w:val="nil"/>
                    <w:tr2bl w:val="nil"/>
                  </w:tcBorders>
                  <w:vAlign w:val="center"/>
                </w:tcPr>
                <w:p>
                  <w:pPr>
                    <w:autoSpaceDE w:val="0"/>
                    <w:autoSpaceDN w:val="0"/>
                    <w:adjustRightInd w:val="0"/>
                    <w:snapToGrid w:val="0"/>
                    <w:jc w:val="center"/>
                    <w:rPr>
                      <w:szCs w:val="21"/>
                    </w:rPr>
                  </w:pPr>
                  <w:r>
                    <w:rPr>
                      <w:rFonts w:hint="eastAsia"/>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83" w:type="dxa"/>
                  <w:vMerge w:val="continue"/>
                  <w:tcBorders>
                    <w:tl2br w:val="nil"/>
                    <w:tr2bl w:val="nil"/>
                  </w:tcBorders>
                  <w:vAlign w:val="center"/>
                </w:tcPr>
                <w:p>
                  <w:pPr>
                    <w:autoSpaceDE w:val="0"/>
                    <w:autoSpaceDN w:val="0"/>
                    <w:adjustRightInd w:val="0"/>
                    <w:snapToGrid w:val="0"/>
                    <w:jc w:val="center"/>
                    <w:rPr>
                      <w:szCs w:val="21"/>
                    </w:rPr>
                  </w:pPr>
                </w:p>
              </w:tc>
              <w:tc>
                <w:tcPr>
                  <w:tcW w:w="5441" w:type="dxa"/>
                  <w:tcBorders>
                    <w:tl2br w:val="nil"/>
                    <w:tr2bl w:val="nil"/>
                  </w:tcBorders>
                  <w:vAlign w:val="center"/>
                </w:tcPr>
                <w:p>
                  <w:pPr>
                    <w:autoSpaceDE w:val="0"/>
                    <w:autoSpaceDN w:val="0"/>
                    <w:adjustRightInd w:val="0"/>
                    <w:snapToGrid w:val="0"/>
                    <w:jc w:val="left"/>
                    <w:rPr>
                      <w:szCs w:val="21"/>
                    </w:rPr>
                  </w:pPr>
                  <w:r>
                    <w:rPr>
                      <w:rFonts w:hint="eastAsia"/>
                      <w:szCs w:val="21"/>
                    </w:rPr>
                    <w:t>实行“散乱污”企业动态清零。严格项目准入，高耗能、高排放（以下简称“两高”）项目建设做到产能减量、能耗减量、煤炭减量、碳排放减量和污染物排放减量“五个减量”替代。有序推进“两高”项目清理工作，确保“三个坚决”落实到位，未纳入国家规划的炼油、乙烯、对二甲苯、煤制油气项目，一律不得建设。</w:t>
                  </w:r>
                </w:p>
              </w:tc>
              <w:tc>
                <w:tcPr>
                  <w:tcW w:w="1576" w:type="dxa"/>
                  <w:tcBorders>
                    <w:tl2br w:val="nil"/>
                    <w:tr2bl w:val="nil"/>
                  </w:tcBorders>
                  <w:vAlign w:val="center"/>
                </w:tcPr>
                <w:p>
                  <w:pPr>
                    <w:autoSpaceDE w:val="0"/>
                    <w:autoSpaceDN w:val="0"/>
                    <w:adjustRightInd w:val="0"/>
                    <w:snapToGrid w:val="0"/>
                    <w:jc w:val="center"/>
                    <w:rPr>
                      <w:szCs w:val="21"/>
                    </w:rPr>
                  </w:pPr>
                  <w:r>
                    <w:rPr>
                      <w:rFonts w:hint="eastAsia"/>
                      <w:szCs w:val="21"/>
                    </w:rPr>
                    <w:t>本项目不属于散乱污企业，不属于两高项目。</w:t>
                  </w:r>
                </w:p>
              </w:tc>
              <w:tc>
                <w:tcPr>
                  <w:tcW w:w="952" w:type="dxa"/>
                  <w:vMerge w:val="continue"/>
                  <w:tcBorders>
                    <w:tl2br w:val="nil"/>
                    <w:tr2bl w:val="nil"/>
                  </w:tcBorders>
                  <w:vAlign w:val="center"/>
                </w:tcPr>
                <w:p>
                  <w:pPr>
                    <w:autoSpaceDE w:val="0"/>
                    <w:autoSpaceDN w:val="0"/>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83" w:type="dxa"/>
                  <w:tcBorders>
                    <w:tl2br w:val="nil"/>
                    <w:tr2bl w:val="nil"/>
                  </w:tcBorders>
                  <w:vAlign w:val="center"/>
                </w:tcPr>
                <w:p>
                  <w:pPr>
                    <w:autoSpaceDE w:val="0"/>
                    <w:autoSpaceDN w:val="0"/>
                    <w:adjustRightInd w:val="0"/>
                    <w:snapToGrid w:val="0"/>
                    <w:jc w:val="center"/>
                    <w:rPr>
                      <w:szCs w:val="21"/>
                    </w:rPr>
                  </w:pPr>
                  <w:r>
                    <w:rPr>
                      <w:rFonts w:hint="eastAsia"/>
                      <w:szCs w:val="21"/>
                    </w:rPr>
                    <w:t>2</w:t>
                  </w:r>
                </w:p>
              </w:tc>
              <w:tc>
                <w:tcPr>
                  <w:tcW w:w="5441" w:type="dxa"/>
                  <w:tcBorders>
                    <w:tl2br w:val="nil"/>
                    <w:tr2bl w:val="nil"/>
                  </w:tcBorders>
                  <w:vAlign w:val="center"/>
                </w:tcPr>
                <w:p>
                  <w:pPr>
                    <w:numPr>
                      <w:ilvl w:val="0"/>
                      <w:numId w:val="5"/>
                    </w:numPr>
                    <w:autoSpaceDE w:val="0"/>
                    <w:autoSpaceDN w:val="0"/>
                    <w:adjustRightInd w:val="0"/>
                    <w:snapToGrid w:val="0"/>
                    <w:jc w:val="left"/>
                    <w:rPr>
                      <w:szCs w:val="21"/>
                    </w:rPr>
                  </w:pPr>
                  <w:r>
                    <w:rPr>
                      <w:szCs w:val="21"/>
                    </w:rPr>
                    <w:t>压减煤炭消费量</w:t>
                  </w:r>
                </w:p>
                <w:p>
                  <w:pPr>
                    <w:autoSpaceDE w:val="0"/>
                    <w:autoSpaceDN w:val="0"/>
                    <w:adjustRightInd w:val="0"/>
                    <w:snapToGrid w:val="0"/>
                    <w:jc w:val="left"/>
                    <w:rPr>
                      <w:szCs w:val="21"/>
                    </w:rPr>
                  </w:pPr>
                  <w:r>
                    <w:rPr>
                      <w:szCs w:val="21"/>
                    </w:rPr>
                    <w:t>持续压减煤炭消费总量，“十四五”期间，全省煤炭消费总量下降10%，控制在3.5亿吨左右。非化石能源消费比重提高到13%左右。制定碳达峰方案，推动钢铁、建材、有色、电力等重点行业率先达峰。加快能源低碳转型，实施可再生能源倍增行动，到2025年，可再生能源装机规模达到9000万千瓦左右。持续推进“外电入鲁”，到2025年，省外来电规模达到1700亿千瓦时左右。大力推进集中供热和余热利用，淘汰集中供热范围内的燃煤锅炉和散煤，到2025年，工业余热利用量新增1.65亿平方米。基本完成30万千瓦及以上热电联产电厂30公里供热半径范围内低效小热电机组关停整合。对以煤、石油焦、渣油、重油等为燃料的工业炉窑，加快使用工厂余热、电厂热力、清洁能源等进行替代。新、改、</w:t>
                  </w:r>
                  <w:r>
                    <w:rPr>
                      <w:rFonts w:hint="eastAsia"/>
                      <w:szCs w:val="21"/>
                    </w:rPr>
                    <w:t>技改</w:t>
                  </w:r>
                  <w:r>
                    <w:rPr>
                      <w:szCs w:val="21"/>
                    </w:rPr>
                    <w:t>熔化炉、加热炉、热处理炉、干燥炉原则上使用清洁低碳能源，不得使用煤炭、重油。按照“先立后破”的原则，持续推进清洁取暖改造，扩大集中供热范围，因地制宜推行气代煤、电代煤、热代煤、集中生物质等情节采暖方式，力争2023年采暖季前实现平原地区清洁取暖全覆盖。</w:t>
                  </w:r>
                </w:p>
              </w:tc>
              <w:tc>
                <w:tcPr>
                  <w:tcW w:w="1576" w:type="dxa"/>
                  <w:tcBorders>
                    <w:tl2br w:val="nil"/>
                    <w:tr2bl w:val="nil"/>
                  </w:tcBorders>
                  <w:vAlign w:val="center"/>
                </w:tcPr>
                <w:p>
                  <w:pPr>
                    <w:autoSpaceDE w:val="0"/>
                    <w:autoSpaceDN w:val="0"/>
                    <w:adjustRightInd w:val="0"/>
                    <w:snapToGrid w:val="0"/>
                    <w:jc w:val="center"/>
                    <w:rPr>
                      <w:szCs w:val="21"/>
                    </w:rPr>
                  </w:pPr>
                  <w:r>
                    <w:rPr>
                      <w:rFonts w:hint="eastAsia"/>
                      <w:szCs w:val="21"/>
                    </w:rPr>
                    <w:t>本项目不涉燃煤消耗。</w:t>
                  </w:r>
                </w:p>
              </w:tc>
              <w:tc>
                <w:tcPr>
                  <w:tcW w:w="952" w:type="dxa"/>
                  <w:tcBorders>
                    <w:tl2br w:val="nil"/>
                    <w:tr2bl w:val="nil"/>
                  </w:tcBorders>
                  <w:vAlign w:val="center"/>
                </w:tcPr>
                <w:p>
                  <w:pPr>
                    <w:autoSpaceDE w:val="0"/>
                    <w:autoSpaceDN w:val="0"/>
                    <w:adjustRightInd w:val="0"/>
                    <w:snapToGrid w:val="0"/>
                    <w:jc w:val="center"/>
                    <w:rPr>
                      <w:szCs w:val="21"/>
                    </w:rPr>
                  </w:pPr>
                  <w:r>
                    <w:rPr>
                      <w:rFonts w:hint="eastAsia"/>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83" w:type="dxa"/>
                  <w:tcBorders>
                    <w:tl2br w:val="nil"/>
                    <w:tr2bl w:val="nil"/>
                  </w:tcBorders>
                  <w:vAlign w:val="center"/>
                </w:tcPr>
                <w:p>
                  <w:pPr>
                    <w:autoSpaceDE w:val="0"/>
                    <w:autoSpaceDN w:val="0"/>
                    <w:adjustRightInd w:val="0"/>
                    <w:snapToGrid w:val="0"/>
                    <w:jc w:val="center"/>
                    <w:rPr>
                      <w:szCs w:val="21"/>
                    </w:rPr>
                  </w:pPr>
                  <w:r>
                    <w:rPr>
                      <w:rFonts w:hint="eastAsia"/>
                      <w:szCs w:val="21"/>
                    </w:rPr>
                    <w:t>3</w:t>
                  </w:r>
                </w:p>
              </w:tc>
              <w:tc>
                <w:tcPr>
                  <w:tcW w:w="5441" w:type="dxa"/>
                  <w:tcBorders>
                    <w:tl2br w:val="nil"/>
                    <w:tr2bl w:val="nil"/>
                  </w:tcBorders>
                  <w:vAlign w:val="center"/>
                </w:tcPr>
                <w:p>
                  <w:pPr>
                    <w:numPr>
                      <w:ilvl w:val="0"/>
                      <w:numId w:val="5"/>
                    </w:numPr>
                    <w:autoSpaceDE w:val="0"/>
                    <w:autoSpaceDN w:val="0"/>
                    <w:adjustRightInd w:val="0"/>
                    <w:snapToGrid w:val="0"/>
                    <w:jc w:val="left"/>
                    <w:rPr>
                      <w:szCs w:val="21"/>
                    </w:rPr>
                  </w:pPr>
                  <w:r>
                    <w:rPr>
                      <w:szCs w:val="21"/>
                    </w:rPr>
                    <w:t>优化货物运输方式</w:t>
                  </w:r>
                </w:p>
                <w:p>
                  <w:pPr>
                    <w:autoSpaceDE w:val="0"/>
                    <w:autoSpaceDN w:val="0"/>
                    <w:adjustRightInd w:val="0"/>
                    <w:snapToGrid w:val="0"/>
                    <w:jc w:val="left"/>
                    <w:rPr>
                      <w:szCs w:val="21"/>
                    </w:rPr>
                  </w:pPr>
                  <w:r>
                    <w:rPr>
                      <w:szCs w:val="21"/>
                    </w:rPr>
                    <w:t>优化交通运输结构，大力发展铁港联运，基本形成大宗货物和集装箱中长距离运输以铁路、水路或管道为主的格局。PM2.5和O3未达标的城市，新、改、</w:t>
                  </w:r>
                  <w:r>
                    <w:rPr>
                      <w:rFonts w:hint="eastAsia"/>
                      <w:szCs w:val="21"/>
                    </w:rPr>
                    <w:t>技改</w:t>
                  </w:r>
                  <w:r>
                    <w:rPr>
                      <w:szCs w:val="21"/>
                    </w:rPr>
                    <w:t>项目涉及大宗物料运输的，应采用清洁运输方式。支持砂石、煤炭、钢铁、电解铝、电力、焦化、水泥等年运输量150万吨以上的大型工矿企业以及大型物流园区新（改、扩）建铁路专用线。未建成铁路专用线的，优先采用公铁联运、新能源车辆以及封闭式皮带廊道等方式运输。加快构建覆盖全省的原油、成品油、天然气输送网络，完成山东天然气环网及成品油管道建设。到2025年，大宗物料清洁运输比例大幅提升。</w:t>
                  </w:r>
                </w:p>
              </w:tc>
              <w:tc>
                <w:tcPr>
                  <w:tcW w:w="1576" w:type="dxa"/>
                  <w:tcBorders>
                    <w:tl2br w:val="nil"/>
                    <w:tr2bl w:val="nil"/>
                  </w:tcBorders>
                  <w:vAlign w:val="center"/>
                </w:tcPr>
                <w:p>
                  <w:pPr>
                    <w:autoSpaceDE w:val="0"/>
                    <w:autoSpaceDN w:val="0"/>
                    <w:adjustRightInd w:val="0"/>
                    <w:snapToGrid w:val="0"/>
                    <w:jc w:val="center"/>
                    <w:rPr>
                      <w:szCs w:val="21"/>
                    </w:rPr>
                  </w:pPr>
                  <w:r>
                    <w:rPr>
                      <w:rFonts w:hint="eastAsia"/>
                      <w:szCs w:val="21"/>
                    </w:rPr>
                    <w:t>本项目原辅料采用汽运。</w:t>
                  </w:r>
                </w:p>
              </w:tc>
              <w:tc>
                <w:tcPr>
                  <w:tcW w:w="952" w:type="dxa"/>
                  <w:tcBorders>
                    <w:tl2br w:val="nil"/>
                    <w:tr2bl w:val="nil"/>
                  </w:tcBorders>
                  <w:vAlign w:val="center"/>
                </w:tcPr>
                <w:p>
                  <w:pPr>
                    <w:autoSpaceDE w:val="0"/>
                    <w:autoSpaceDN w:val="0"/>
                    <w:adjustRightInd w:val="0"/>
                    <w:snapToGrid w:val="0"/>
                    <w:jc w:val="center"/>
                    <w:rPr>
                      <w:szCs w:val="21"/>
                    </w:rPr>
                  </w:pPr>
                  <w:r>
                    <w:rPr>
                      <w:rFonts w:hint="eastAsia"/>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83" w:type="dxa"/>
                  <w:tcBorders>
                    <w:tl2br w:val="nil"/>
                    <w:tr2bl w:val="nil"/>
                  </w:tcBorders>
                  <w:vAlign w:val="center"/>
                </w:tcPr>
                <w:p>
                  <w:pPr>
                    <w:autoSpaceDE w:val="0"/>
                    <w:autoSpaceDN w:val="0"/>
                    <w:adjustRightInd w:val="0"/>
                    <w:snapToGrid w:val="0"/>
                    <w:jc w:val="center"/>
                    <w:rPr>
                      <w:szCs w:val="21"/>
                    </w:rPr>
                  </w:pPr>
                  <w:r>
                    <w:rPr>
                      <w:rFonts w:hint="eastAsia"/>
                      <w:szCs w:val="21"/>
                    </w:rPr>
                    <w:t>4</w:t>
                  </w:r>
                </w:p>
              </w:tc>
              <w:tc>
                <w:tcPr>
                  <w:tcW w:w="5441" w:type="dxa"/>
                  <w:tcBorders>
                    <w:tl2br w:val="nil"/>
                    <w:tr2bl w:val="nil"/>
                  </w:tcBorders>
                  <w:vAlign w:val="center"/>
                </w:tcPr>
                <w:p>
                  <w:pPr>
                    <w:autoSpaceDE w:val="0"/>
                    <w:autoSpaceDN w:val="0"/>
                    <w:adjustRightInd w:val="0"/>
                    <w:snapToGrid w:val="0"/>
                    <w:jc w:val="left"/>
                    <w:rPr>
                      <w:szCs w:val="21"/>
                    </w:rPr>
                  </w:pPr>
                  <w:r>
                    <w:rPr>
                      <w:szCs w:val="21"/>
                    </w:rPr>
                    <w:t>坚持依法治污，综合运用按日连续处罚、查封扣押、限产停产、移送拘留等手段，依法从严处罚环境违法行为。加大省级生态环境保护督察力度。建立对重点排放源监测或检测结果的全程留痕、信息可追溯机制。严厉打击不正常运行废气治理设施等环境违法违规行为。对企业自动监测监控设备运行情况开展专项检查，严厉打击自动监测监控设备不正常运行和数据造假等违法行为；对排污单位和第三方机构、人员参与弄虚作假的，分别依法追究责任。严格禁止以各种形式干扰空气质量监测站正常运行行为</w:t>
                  </w:r>
                </w:p>
              </w:tc>
              <w:tc>
                <w:tcPr>
                  <w:tcW w:w="1576" w:type="dxa"/>
                  <w:tcBorders>
                    <w:tl2br w:val="nil"/>
                    <w:tr2bl w:val="nil"/>
                  </w:tcBorders>
                  <w:vAlign w:val="center"/>
                </w:tcPr>
                <w:p>
                  <w:pPr>
                    <w:autoSpaceDE w:val="0"/>
                    <w:autoSpaceDN w:val="0"/>
                    <w:adjustRightInd w:val="0"/>
                    <w:snapToGrid w:val="0"/>
                    <w:jc w:val="center"/>
                    <w:rPr>
                      <w:szCs w:val="21"/>
                    </w:rPr>
                  </w:pPr>
                  <w:r>
                    <w:rPr>
                      <w:rFonts w:hint="eastAsia"/>
                      <w:szCs w:val="21"/>
                    </w:rPr>
                    <w:t>本项目建成后依法治污，并定期检查废气治理设施，保证其正常运行。</w:t>
                  </w:r>
                </w:p>
              </w:tc>
              <w:tc>
                <w:tcPr>
                  <w:tcW w:w="952" w:type="dxa"/>
                  <w:tcBorders>
                    <w:tl2br w:val="nil"/>
                    <w:tr2bl w:val="nil"/>
                  </w:tcBorders>
                  <w:vAlign w:val="center"/>
                </w:tcPr>
                <w:p>
                  <w:pPr>
                    <w:autoSpaceDE w:val="0"/>
                    <w:autoSpaceDN w:val="0"/>
                    <w:adjustRightInd w:val="0"/>
                    <w:snapToGrid w:val="0"/>
                    <w:jc w:val="center"/>
                    <w:rPr>
                      <w:szCs w:val="21"/>
                    </w:rPr>
                  </w:pPr>
                  <w:r>
                    <w:rPr>
                      <w:rFonts w:hint="eastAsia"/>
                      <w:szCs w:val="21"/>
                    </w:rPr>
                    <w:t>符合</w:t>
                  </w:r>
                </w:p>
              </w:tc>
            </w:tr>
          </w:tbl>
          <w:p>
            <w:pPr>
              <w:spacing w:line="360" w:lineRule="auto"/>
              <w:ind w:firstLine="480" w:firstLineChars="200"/>
              <w:rPr>
                <w:sz w:val="24"/>
              </w:rPr>
            </w:pPr>
            <w:r>
              <w:rPr>
                <w:sz w:val="24"/>
              </w:rPr>
              <w:t>由上表可知，项目符合《山东省深入打好蓝天保卫战行动计划（2021-2025年）》要求。</w:t>
            </w:r>
          </w:p>
          <w:p>
            <w:pPr>
              <w:pStyle w:val="2"/>
              <w:spacing w:after="0" w:line="360" w:lineRule="auto"/>
              <w:ind w:left="0" w:leftChars="0" w:firstLine="482"/>
              <w:rPr>
                <w:b/>
                <w:bCs/>
                <w:szCs w:val="24"/>
              </w:rPr>
            </w:pPr>
            <w:r>
              <w:rPr>
                <w:rFonts w:hint="eastAsia"/>
                <w:b/>
                <w:bCs/>
                <w:szCs w:val="24"/>
              </w:rPr>
              <w:t>8</w:t>
            </w:r>
            <w:r>
              <w:rPr>
                <w:b/>
                <w:bCs/>
                <w:szCs w:val="24"/>
              </w:rPr>
              <w:t>、与《山东省“十四五”生态环境保护规划》的符合性分析</w:t>
            </w:r>
          </w:p>
          <w:p>
            <w:pPr>
              <w:snapToGrid w:val="0"/>
              <w:jc w:val="center"/>
              <w:rPr>
                <w:b/>
                <w:bCs/>
                <w:szCs w:val="21"/>
              </w:rPr>
            </w:pPr>
            <w:r>
              <w:rPr>
                <w:b/>
                <w:bCs/>
                <w:sz w:val="24"/>
              </w:rPr>
              <w:t>表1-</w:t>
            </w:r>
            <w:r>
              <w:rPr>
                <w:rFonts w:hint="eastAsia"/>
                <w:b/>
                <w:bCs/>
                <w:sz w:val="24"/>
              </w:rPr>
              <w:t>5</w:t>
            </w:r>
            <w:r>
              <w:rPr>
                <w:b/>
                <w:bCs/>
                <w:sz w:val="24"/>
              </w:rPr>
              <w:t xml:space="preserve"> 与《山东省“十四五”生态环境保护规划》的符合性</w:t>
            </w:r>
            <w:r>
              <w:rPr>
                <w:rFonts w:hint="eastAsia"/>
                <w:b/>
                <w:bCs/>
                <w:sz w:val="24"/>
              </w:rPr>
              <w:t>分析</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0"/>
              <w:gridCol w:w="5671"/>
              <w:gridCol w:w="929"/>
              <w:gridCol w:w="66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410" w:type="dxa"/>
                  <w:tcBorders>
                    <w:tl2br w:val="nil"/>
                    <w:tr2bl w:val="nil"/>
                  </w:tcBorders>
                  <w:vAlign w:val="center"/>
                </w:tcPr>
                <w:p>
                  <w:pPr>
                    <w:snapToGrid w:val="0"/>
                    <w:jc w:val="center"/>
                    <w:rPr>
                      <w:b/>
                      <w:bCs/>
                      <w:szCs w:val="21"/>
                    </w:rPr>
                  </w:pPr>
                  <w:r>
                    <w:rPr>
                      <w:b/>
                      <w:bCs/>
                      <w:szCs w:val="21"/>
                    </w:rPr>
                    <w:t>分类</w:t>
                  </w:r>
                </w:p>
              </w:tc>
              <w:tc>
                <w:tcPr>
                  <w:tcW w:w="5671" w:type="dxa"/>
                  <w:tcBorders>
                    <w:tl2br w:val="nil"/>
                    <w:tr2bl w:val="nil"/>
                  </w:tcBorders>
                  <w:vAlign w:val="center"/>
                </w:tcPr>
                <w:p>
                  <w:pPr>
                    <w:snapToGrid w:val="0"/>
                    <w:jc w:val="center"/>
                    <w:rPr>
                      <w:b/>
                      <w:bCs/>
                      <w:szCs w:val="21"/>
                    </w:rPr>
                  </w:pPr>
                  <w:r>
                    <w:rPr>
                      <w:b/>
                      <w:bCs/>
                      <w:szCs w:val="21"/>
                    </w:rPr>
                    <w:t>文件要求</w:t>
                  </w:r>
                </w:p>
              </w:tc>
              <w:tc>
                <w:tcPr>
                  <w:tcW w:w="929" w:type="dxa"/>
                  <w:tcBorders>
                    <w:tl2br w:val="nil"/>
                    <w:tr2bl w:val="nil"/>
                  </w:tcBorders>
                  <w:vAlign w:val="center"/>
                </w:tcPr>
                <w:p>
                  <w:pPr>
                    <w:snapToGrid w:val="0"/>
                    <w:jc w:val="center"/>
                    <w:rPr>
                      <w:b/>
                      <w:bCs/>
                      <w:szCs w:val="21"/>
                    </w:rPr>
                  </w:pPr>
                  <w:r>
                    <w:rPr>
                      <w:b/>
                      <w:bCs/>
                      <w:szCs w:val="21"/>
                    </w:rPr>
                    <w:t>本项目</w:t>
                  </w:r>
                  <w:r>
                    <w:rPr>
                      <w:b/>
                      <w:bCs/>
                      <w:szCs w:val="21"/>
                    </w:rPr>
                    <w:cr/>
                  </w:r>
                  <w:r>
                    <w:rPr>
                      <w:b/>
                      <w:bCs/>
                      <w:szCs w:val="21"/>
                    </w:rPr>
                    <w:t>况</w:t>
                  </w:r>
                </w:p>
              </w:tc>
              <w:tc>
                <w:tcPr>
                  <w:tcW w:w="668" w:type="dxa"/>
                  <w:tcBorders>
                    <w:tl2br w:val="nil"/>
                    <w:tr2bl w:val="nil"/>
                  </w:tcBorders>
                  <w:vAlign w:val="center"/>
                </w:tcPr>
                <w:p>
                  <w:pPr>
                    <w:snapToGrid w:val="0"/>
                    <w:jc w:val="center"/>
                    <w:rPr>
                      <w:b/>
                      <w:bCs/>
                      <w:szCs w:val="21"/>
                    </w:rPr>
                  </w:pPr>
                  <w:r>
                    <w:rPr>
                      <w:rFonts w:hint="eastAsia"/>
                      <w:b/>
                      <w:bCs/>
                      <w:szCs w:val="21"/>
                    </w:rPr>
                    <w:t>符合性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410" w:type="dxa"/>
                  <w:tcBorders>
                    <w:tl2br w:val="nil"/>
                    <w:tr2bl w:val="nil"/>
                  </w:tcBorders>
                  <w:vAlign w:val="center"/>
                </w:tcPr>
                <w:p>
                  <w:pPr>
                    <w:snapToGrid w:val="0"/>
                    <w:jc w:val="center"/>
                    <w:rPr>
                      <w:szCs w:val="21"/>
                    </w:rPr>
                  </w:pPr>
                  <w:r>
                    <w:rPr>
                      <w:szCs w:val="21"/>
                    </w:rPr>
                    <w:t>深化能源结构调整</w:t>
                  </w:r>
                </w:p>
                <w:p>
                  <w:pPr>
                    <w:snapToGrid w:val="0"/>
                    <w:jc w:val="center"/>
                    <w:rPr>
                      <w:szCs w:val="21"/>
                    </w:rPr>
                  </w:pPr>
                </w:p>
              </w:tc>
              <w:tc>
                <w:tcPr>
                  <w:tcW w:w="5671" w:type="dxa"/>
                  <w:tcBorders>
                    <w:tl2br w:val="nil"/>
                    <w:tr2bl w:val="nil"/>
                  </w:tcBorders>
                  <w:vAlign w:val="center"/>
                </w:tcPr>
                <w:p>
                  <w:pPr>
                    <w:snapToGrid w:val="0"/>
                    <w:jc w:val="left"/>
                    <w:rPr>
                      <w:szCs w:val="21"/>
                    </w:rPr>
                  </w:pPr>
                  <w:r>
                    <w:rPr>
                      <w:szCs w:val="21"/>
                    </w:rPr>
                    <w:t>实施终端用能清洁化替代。完善清洁能源推广和提效政策，推行国际先进的能效标准，加快工业、建筑、交通等各用能领域电气化、智能化发展,推行清洁能源替代。按照集中使用、清洁利用原则</w:t>
                  </w:r>
                  <w:r>
                    <w:rPr>
                      <w:rFonts w:hint="eastAsia"/>
                      <w:szCs w:val="21"/>
                    </w:rPr>
                    <w:t>，</w:t>
                  </w:r>
                  <w:r>
                    <w:rPr>
                      <w:szCs w:val="21"/>
                    </w:rPr>
                    <w:t>重点削减小型燃煤锅炉、民用散煤与农业用煤消费量。对以煤、石焦油、渣油、重油等为燃料的锅炉和工业炉窑，实施清洁低碳能源、工厂余热、电力热力等替代。实施乡村清洁能源建设工程。加大农村电网建设力度,全面巩固提升农村电力保障水平。推进燃气下乡，支持建设安全可靠的乡村储气罐站和微管网供气系统。加强煤炭清洁化利用。发展农村生物质能源。持续推进清洁取暖，扩大集中供热范围，因地制宜推行气代煤、电代煤、热代煤、集中生物质等清洁采暖方式，2025年年底前，清洁取暖率提高到80%以上。2025年年底前，基本完成农村取暖、养殖业及农副产品加工业燃煤设施清洁能源替代。</w:t>
                  </w:r>
                </w:p>
              </w:tc>
              <w:tc>
                <w:tcPr>
                  <w:tcW w:w="929" w:type="dxa"/>
                  <w:vMerge w:val="restart"/>
                  <w:tcBorders>
                    <w:tl2br w:val="nil"/>
                    <w:tr2bl w:val="nil"/>
                  </w:tcBorders>
                  <w:vAlign w:val="center"/>
                </w:tcPr>
                <w:p>
                  <w:pPr>
                    <w:snapToGrid w:val="0"/>
                    <w:jc w:val="center"/>
                    <w:rPr>
                      <w:szCs w:val="21"/>
                    </w:rPr>
                  </w:pPr>
                  <w:r>
                    <w:rPr>
                      <w:szCs w:val="21"/>
                    </w:rPr>
                    <w:t>项目运营过程消耗一定的水、电能源，不涉燃煤，办公室采用空调供暖。</w:t>
                  </w:r>
                </w:p>
                <w:p>
                  <w:pPr>
                    <w:snapToGrid w:val="0"/>
                    <w:jc w:val="center"/>
                    <w:rPr>
                      <w:szCs w:val="21"/>
                    </w:rPr>
                  </w:pPr>
                </w:p>
                <w:p>
                  <w:pPr>
                    <w:snapToGrid w:val="0"/>
                    <w:jc w:val="center"/>
                    <w:rPr>
                      <w:szCs w:val="21"/>
                    </w:rPr>
                  </w:pPr>
                </w:p>
              </w:tc>
              <w:tc>
                <w:tcPr>
                  <w:tcW w:w="668" w:type="dxa"/>
                  <w:vMerge w:val="restart"/>
                  <w:tcBorders>
                    <w:tl2br w:val="nil"/>
                    <w:tr2bl w:val="nil"/>
                  </w:tcBorders>
                  <w:vAlign w:val="center"/>
                </w:tcPr>
                <w:p>
                  <w:pPr>
                    <w:snapToGrid w:val="0"/>
                    <w:jc w:val="center"/>
                    <w:rPr>
                      <w:szCs w:val="21"/>
                    </w:rPr>
                  </w:pPr>
                  <w:r>
                    <w:rPr>
                      <w:szCs w:val="21"/>
                    </w:rPr>
                    <w:t>符合</w:t>
                  </w:r>
                </w:p>
                <w:p>
                  <w:pPr>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87" w:hRule="atLeast"/>
                <w:jc w:val="center"/>
              </w:trPr>
              <w:tc>
                <w:tcPr>
                  <w:tcW w:w="1410" w:type="dxa"/>
                  <w:tcBorders>
                    <w:tl2br w:val="nil"/>
                    <w:tr2bl w:val="nil"/>
                  </w:tcBorders>
                  <w:vAlign w:val="center"/>
                </w:tcPr>
                <w:p>
                  <w:pPr>
                    <w:snapToGrid w:val="0"/>
                    <w:jc w:val="center"/>
                    <w:rPr>
                      <w:szCs w:val="21"/>
                    </w:rPr>
                  </w:pPr>
                  <w:r>
                    <w:rPr>
                      <w:szCs w:val="21"/>
                    </w:rPr>
                    <w:t>建设清洁安全的能源支撑体系</w:t>
                  </w:r>
                </w:p>
              </w:tc>
              <w:tc>
                <w:tcPr>
                  <w:tcW w:w="5671" w:type="dxa"/>
                  <w:tcBorders>
                    <w:tl2br w:val="nil"/>
                    <w:tr2bl w:val="nil"/>
                  </w:tcBorders>
                  <w:vAlign w:val="center"/>
                </w:tcPr>
                <w:p>
                  <w:pPr>
                    <w:snapToGrid w:val="0"/>
                    <w:jc w:val="left"/>
                    <w:rPr>
                      <w:szCs w:val="21"/>
                    </w:rPr>
                  </w:pPr>
                  <w:r>
                    <w:rPr>
                      <w:szCs w:val="21"/>
                    </w:rPr>
                    <w:t>遵循“四个革命、一个合作”能源战略，强化能源保障，转变能源生产消费模式，提高能源利用效率，构建清洁低碳、安全高效、智慧多元的现代能源体系。</w:t>
                  </w:r>
                </w:p>
              </w:tc>
              <w:tc>
                <w:tcPr>
                  <w:tcW w:w="929" w:type="dxa"/>
                  <w:vMerge w:val="continue"/>
                  <w:tcBorders>
                    <w:tl2br w:val="nil"/>
                    <w:tr2bl w:val="nil"/>
                  </w:tcBorders>
                  <w:vAlign w:val="center"/>
                </w:tcPr>
                <w:p>
                  <w:pPr>
                    <w:snapToGrid w:val="0"/>
                    <w:jc w:val="center"/>
                    <w:rPr>
                      <w:szCs w:val="21"/>
                    </w:rPr>
                  </w:pPr>
                </w:p>
              </w:tc>
              <w:tc>
                <w:tcPr>
                  <w:tcW w:w="668" w:type="dxa"/>
                  <w:vMerge w:val="continue"/>
                  <w:tcBorders>
                    <w:tl2br w:val="nil"/>
                    <w:tr2bl w:val="nil"/>
                  </w:tcBorders>
                  <w:vAlign w:val="center"/>
                </w:tcPr>
                <w:p>
                  <w:pPr>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410" w:type="dxa"/>
                  <w:tcBorders>
                    <w:tl2br w:val="nil"/>
                    <w:tr2bl w:val="nil"/>
                  </w:tcBorders>
                  <w:vAlign w:val="center"/>
                </w:tcPr>
                <w:p>
                  <w:pPr>
                    <w:snapToGrid w:val="0"/>
                    <w:jc w:val="center"/>
                    <w:rPr>
                      <w:szCs w:val="21"/>
                    </w:rPr>
                  </w:pPr>
                  <w:r>
                    <w:rPr>
                      <w:szCs w:val="21"/>
                    </w:rPr>
                    <w:t>建设坚实的水安全保障体系</w:t>
                  </w:r>
                </w:p>
              </w:tc>
              <w:tc>
                <w:tcPr>
                  <w:tcW w:w="5671" w:type="dxa"/>
                  <w:tcBorders>
                    <w:tl2br w:val="nil"/>
                    <w:tr2bl w:val="nil"/>
                  </w:tcBorders>
                  <w:vAlign w:val="center"/>
                </w:tcPr>
                <w:p>
                  <w:pPr>
                    <w:snapToGrid w:val="0"/>
                    <w:jc w:val="left"/>
                    <w:rPr>
                      <w:szCs w:val="21"/>
                    </w:rPr>
                  </w:pPr>
                  <w:r>
                    <w:rPr>
                      <w:szCs w:val="21"/>
                    </w:rPr>
                    <w:t>加大城市污水处理厂与配套管网建设，实现城市污水全收集、全处理。加大地下水超采区综合整治力度，开展自备井专项整治，缩减地下水漏斗。</w:t>
                  </w:r>
                </w:p>
              </w:tc>
              <w:tc>
                <w:tcPr>
                  <w:tcW w:w="929" w:type="dxa"/>
                  <w:vMerge w:val="continue"/>
                  <w:tcBorders>
                    <w:tl2br w:val="nil"/>
                    <w:tr2bl w:val="nil"/>
                  </w:tcBorders>
                  <w:vAlign w:val="center"/>
                </w:tcPr>
                <w:p>
                  <w:pPr>
                    <w:snapToGrid w:val="0"/>
                    <w:jc w:val="center"/>
                    <w:rPr>
                      <w:szCs w:val="21"/>
                    </w:rPr>
                  </w:pPr>
                </w:p>
              </w:tc>
              <w:tc>
                <w:tcPr>
                  <w:tcW w:w="668" w:type="dxa"/>
                  <w:vMerge w:val="continue"/>
                  <w:tcBorders>
                    <w:tl2br w:val="nil"/>
                    <w:tr2bl w:val="nil"/>
                  </w:tcBorders>
                  <w:vAlign w:val="center"/>
                </w:tcPr>
                <w:p>
                  <w:pPr>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410" w:type="dxa"/>
                  <w:tcBorders>
                    <w:tl2br w:val="nil"/>
                    <w:tr2bl w:val="nil"/>
                  </w:tcBorders>
                  <w:vAlign w:val="center"/>
                </w:tcPr>
                <w:p>
                  <w:pPr>
                    <w:snapToGrid w:val="0"/>
                    <w:jc w:val="center"/>
                    <w:rPr>
                      <w:szCs w:val="21"/>
                    </w:rPr>
                  </w:pPr>
                  <w:r>
                    <w:rPr>
                      <w:szCs w:val="21"/>
                    </w:rPr>
                    <w:t>主要目标--聚力突破生态强市。</w:t>
                  </w:r>
                </w:p>
              </w:tc>
              <w:tc>
                <w:tcPr>
                  <w:tcW w:w="5671" w:type="dxa"/>
                  <w:tcBorders>
                    <w:tl2br w:val="nil"/>
                    <w:tr2bl w:val="nil"/>
                  </w:tcBorders>
                  <w:vAlign w:val="center"/>
                </w:tcPr>
                <w:p>
                  <w:pPr>
                    <w:snapToGrid w:val="0"/>
                    <w:jc w:val="left"/>
                    <w:rPr>
                      <w:szCs w:val="21"/>
                    </w:rPr>
                  </w:pPr>
                  <w:r>
                    <w:rPr>
                      <w:szCs w:val="21"/>
                    </w:rPr>
                    <w:t>主要污染物排放总量持续减少，科学谋划碳达峰、碳中和行动，南四湖生态保护和高质量发展取得显著成效，采煤塌陷地治理取得阶段性成果，“一环八水绕济宁、十二明珠映古城”城市生态格局基本形成，全域生态廊道初步构建，建成国际湿地城市、国家生态园林城市。</w:t>
                  </w:r>
                </w:p>
              </w:tc>
              <w:tc>
                <w:tcPr>
                  <w:tcW w:w="929" w:type="dxa"/>
                  <w:tcBorders>
                    <w:tl2br w:val="nil"/>
                    <w:tr2bl w:val="nil"/>
                  </w:tcBorders>
                  <w:vAlign w:val="center"/>
                </w:tcPr>
                <w:p>
                  <w:pPr>
                    <w:snapToGrid w:val="0"/>
                    <w:jc w:val="center"/>
                    <w:rPr>
                      <w:szCs w:val="21"/>
                    </w:rPr>
                  </w:pPr>
                  <w:r>
                    <w:rPr>
                      <w:szCs w:val="21"/>
                    </w:rPr>
                    <w:t>本项目</w:t>
                  </w:r>
                  <w:r>
                    <w:rPr>
                      <w:rFonts w:hint="eastAsia"/>
                      <w:szCs w:val="21"/>
                    </w:rPr>
                    <w:t>污染物排放满足相关排放标准和行业政策要求。</w:t>
                  </w:r>
                </w:p>
              </w:tc>
              <w:tc>
                <w:tcPr>
                  <w:tcW w:w="668" w:type="dxa"/>
                  <w:tcBorders>
                    <w:tl2br w:val="nil"/>
                    <w:tr2bl w:val="nil"/>
                  </w:tcBorders>
                  <w:vAlign w:val="center"/>
                </w:tcPr>
                <w:p>
                  <w:pPr>
                    <w:snapToGrid w:val="0"/>
                    <w:jc w:val="center"/>
                    <w:rPr>
                      <w:szCs w:val="21"/>
                    </w:rPr>
                  </w:pPr>
                  <w:r>
                    <w:rPr>
                      <w:szCs w:val="21"/>
                    </w:rPr>
                    <w:t>符合</w:t>
                  </w:r>
                </w:p>
              </w:tc>
            </w:tr>
          </w:tbl>
          <w:p>
            <w:pPr>
              <w:spacing w:line="360" w:lineRule="auto"/>
              <w:ind w:firstLine="480" w:firstLineChars="200"/>
              <w:rPr>
                <w:sz w:val="24"/>
              </w:rPr>
            </w:pPr>
            <w:r>
              <w:rPr>
                <w:sz w:val="24"/>
              </w:rPr>
              <w:t>由上表可知，项目符合《山东省“十四五”生态环境保护规划》</w:t>
            </w:r>
            <w:r>
              <w:rPr>
                <w:rFonts w:hint="eastAsia"/>
                <w:sz w:val="24"/>
              </w:rPr>
              <w:t>相关</w:t>
            </w:r>
            <w:r>
              <w:rPr>
                <w:sz w:val="24"/>
              </w:rPr>
              <w:t>要求。</w:t>
            </w:r>
          </w:p>
          <w:p>
            <w:pPr>
              <w:spacing w:line="360" w:lineRule="auto"/>
              <w:ind w:firstLine="482" w:firstLineChars="200"/>
              <w:rPr>
                <w:b/>
                <w:bCs/>
                <w:kern w:val="0"/>
                <w:sz w:val="24"/>
              </w:rPr>
            </w:pPr>
            <w:r>
              <w:rPr>
                <w:rFonts w:hint="eastAsia"/>
                <w:b/>
                <w:bCs/>
                <w:kern w:val="0"/>
                <w:sz w:val="24"/>
              </w:rPr>
              <w:t>9、</w:t>
            </w:r>
            <w:r>
              <w:rPr>
                <w:b/>
                <w:bCs/>
                <w:kern w:val="0"/>
                <w:sz w:val="24"/>
              </w:rPr>
              <w:t>与《济宁市水环境保护条例》（2021年3月1日施行）符合性分析</w:t>
            </w:r>
          </w:p>
          <w:p>
            <w:pPr>
              <w:snapToGrid w:val="0"/>
              <w:jc w:val="center"/>
              <w:rPr>
                <w:b/>
                <w:bCs/>
                <w:sz w:val="24"/>
              </w:rPr>
            </w:pPr>
            <w:r>
              <w:rPr>
                <w:b/>
                <w:bCs/>
                <w:sz w:val="24"/>
              </w:rPr>
              <w:t>表1-</w:t>
            </w:r>
            <w:r>
              <w:rPr>
                <w:rFonts w:hint="eastAsia"/>
                <w:b/>
                <w:bCs/>
                <w:sz w:val="24"/>
              </w:rPr>
              <w:t>6</w:t>
            </w:r>
            <w:r>
              <w:rPr>
                <w:b/>
                <w:bCs/>
                <w:sz w:val="24"/>
              </w:rPr>
              <w:t xml:space="preserve"> 与《济宁市水环境保护条例》的符合性</w:t>
            </w:r>
          </w:p>
          <w:tbl>
            <w:tblPr>
              <w:tblStyle w:val="35"/>
              <w:tblW w:w="8598" w:type="dxa"/>
              <w:jc w:val="center"/>
              <w:tblBorders>
                <w:top w:val="single" w:color="auto" w:sz="2" w:space="0"/>
                <w:left w:val="single" w:color="auto" w:sz="2" w:space="0"/>
                <w:bottom w:val="single" w:color="auto" w:sz="6"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800"/>
              <w:gridCol w:w="4430"/>
              <w:gridCol w:w="2578"/>
              <w:gridCol w:w="790"/>
            </w:tblGrid>
            <w:tr>
              <w:tblPrEx>
                <w:tblBorders>
                  <w:top w:val="single" w:color="auto" w:sz="2" w:space="0"/>
                  <w:left w:val="single" w:color="auto" w:sz="2" w:space="0"/>
                  <w:bottom w:val="single" w:color="auto" w:sz="6"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800" w:type="dxa"/>
                  <w:tcBorders>
                    <w:tl2br w:val="nil"/>
                    <w:tr2bl w:val="nil"/>
                  </w:tcBorders>
                  <w:vAlign w:val="center"/>
                </w:tcPr>
                <w:p>
                  <w:pPr>
                    <w:snapToGrid w:val="0"/>
                    <w:jc w:val="center"/>
                    <w:rPr>
                      <w:color w:val="000000"/>
                      <w:szCs w:val="21"/>
                    </w:rPr>
                  </w:pPr>
                  <w:r>
                    <w:rPr>
                      <w:color w:val="000000"/>
                      <w:szCs w:val="21"/>
                    </w:rPr>
                    <w:t>分类</w:t>
                  </w:r>
                </w:p>
              </w:tc>
              <w:tc>
                <w:tcPr>
                  <w:tcW w:w="4430" w:type="dxa"/>
                  <w:tcBorders>
                    <w:tl2br w:val="nil"/>
                    <w:tr2bl w:val="nil"/>
                  </w:tcBorders>
                  <w:vAlign w:val="center"/>
                </w:tcPr>
                <w:p>
                  <w:pPr>
                    <w:snapToGrid w:val="0"/>
                    <w:jc w:val="center"/>
                    <w:rPr>
                      <w:color w:val="000000"/>
                      <w:szCs w:val="21"/>
                    </w:rPr>
                  </w:pPr>
                  <w:r>
                    <w:rPr>
                      <w:color w:val="000000"/>
                      <w:szCs w:val="21"/>
                    </w:rPr>
                    <w:t>文件要求</w:t>
                  </w:r>
                </w:p>
              </w:tc>
              <w:tc>
                <w:tcPr>
                  <w:tcW w:w="2578" w:type="dxa"/>
                  <w:tcBorders>
                    <w:tl2br w:val="nil"/>
                    <w:tr2bl w:val="nil"/>
                  </w:tcBorders>
                  <w:vAlign w:val="center"/>
                </w:tcPr>
                <w:p>
                  <w:pPr>
                    <w:snapToGrid w:val="0"/>
                    <w:jc w:val="center"/>
                    <w:rPr>
                      <w:color w:val="000000"/>
                      <w:szCs w:val="21"/>
                    </w:rPr>
                  </w:pPr>
                  <w:r>
                    <w:rPr>
                      <w:color w:val="000000"/>
                      <w:szCs w:val="21"/>
                    </w:rPr>
                    <w:t>本项目</w:t>
                  </w:r>
                  <w:r>
                    <w:rPr>
                      <w:color w:val="000000"/>
                      <w:szCs w:val="21"/>
                    </w:rPr>
                    <w:cr/>
                  </w:r>
                  <w:r>
                    <w:rPr>
                      <w:rFonts w:hint="eastAsia"/>
                      <w:color w:val="000000"/>
                      <w:szCs w:val="21"/>
                    </w:rPr>
                    <w:t>情况</w:t>
                  </w:r>
                </w:p>
              </w:tc>
              <w:tc>
                <w:tcPr>
                  <w:tcW w:w="790" w:type="dxa"/>
                  <w:tcBorders>
                    <w:tl2br w:val="nil"/>
                    <w:tr2bl w:val="nil"/>
                  </w:tcBorders>
                  <w:vAlign w:val="center"/>
                </w:tcPr>
                <w:p>
                  <w:pPr>
                    <w:snapToGrid w:val="0"/>
                    <w:jc w:val="center"/>
                    <w:rPr>
                      <w:color w:val="000000"/>
                      <w:szCs w:val="21"/>
                    </w:rPr>
                  </w:pPr>
                  <w:r>
                    <w:rPr>
                      <w:color w:val="000000"/>
                      <w:szCs w:val="21"/>
                    </w:rPr>
                    <w:t>结论</w:t>
                  </w:r>
                </w:p>
              </w:tc>
            </w:tr>
            <w:tr>
              <w:tblPrEx>
                <w:tblBorders>
                  <w:top w:val="single" w:color="auto" w:sz="2" w:space="0"/>
                  <w:left w:val="single" w:color="auto" w:sz="2" w:space="0"/>
                  <w:bottom w:val="single" w:color="auto" w:sz="6"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093" w:hRule="atLeast"/>
                <w:jc w:val="center"/>
              </w:trPr>
              <w:tc>
                <w:tcPr>
                  <w:tcW w:w="800" w:type="dxa"/>
                  <w:tcBorders>
                    <w:tl2br w:val="nil"/>
                    <w:tr2bl w:val="nil"/>
                  </w:tcBorders>
                  <w:vAlign w:val="center"/>
                </w:tcPr>
                <w:p>
                  <w:pPr>
                    <w:snapToGrid w:val="0"/>
                    <w:jc w:val="center"/>
                    <w:rPr>
                      <w:color w:val="000000"/>
                      <w:szCs w:val="21"/>
                    </w:rPr>
                  </w:pPr>
                  <w:r>
                    <w:rPr>
                      <w:color w:val="000000"/>
                      <w:szCs w:val="21"/>
                    </w:rPr>
                    <w:t>第五十一条</w:t>
                  </w:r>
                </w:p>
              </w:tc>
              <w:tc>
                <w:tcPr>
                  <w:tcW w:w="4430" w:type="dxa"/>
                  <w:tcBorders>
                    <w:tl2br w:val="nil"/>
                    <w:tr2bl w:val="nil"/>
                  </w:tcBorders>
                  <w:vAlign w:val="center"/>
                </w:tcPr>
                <w:p>
                  <w:pPr>
                    <w:snapToGrid w:val="0"/>
                    <w:jc w:val="left"/>
                    <w:rPr>
                      <w:color w:val="000000"/>
                      <w:szCs w:val="21"/>
                    </w:rPr>
                  </w:pPr>
                  <w:r>
                    <w:rPr>
                      <w:color w:val="000000"/>
                      <w:szCs w:val="21"/>
                    </w:rPr>
                    <w:t>城镇排水设施覆盖范围内的排水单位和个人，应当按照国家有关规定将污水排入城镇排水设施。在雨水、污水分流地区，不得将污水排入雨水管网。</w:t>
                  </w:r>
                </w:p>
              </w:tc>
              <w:tc>
                <w:tcPr>
                  <w:tcW w:w="2578" w:type="dxa"/>
                  <w:vMerge w:val="restart"/>
                  <w:tcBorders>
                    <w:tl2br w:val="nil"/>
                    <w:tr2bl w:val="nil"/>
                  </w:tcBorders>
                  <w:vAlign w:val="center"/>
                </w:tcPr>
                <w:p>
                  <w:pPr>
                    <w:snapToGrid w:val="0"/>
                    <w:jc w:val="center"/>
                    <w:rPr>
                      <w:color w:val="000000"/>
                      <w:szCs w:val="21"/>
                    </w:rPr>
                  </w:pPr>
                  <w:r>
                    <w:rPr>
                      <w:rFonts w:hint="eastAsia"/>
                      <w:color w:val="000000"/>
                      <w:szCs w:val="21"/>
                    </w:rPr>
                    <w:t>项目生活污水经化粪池处理后外运堆肥处理。生产用水全部进入产品，无生产废水产生及外排</w:t>
                  </w:r>
                </w:p>
              </w:tc>
              <w:tc>
                <w:tcPr>
                  <w:tcW w:w="790" w:type="dxa"/>
                  <w:tcBorders>
                    <w:tl2br w:val="nil"/>
                    <w:tr2bl w:val="nil"/>
                  </w:tcBorders>
                  <w:vAlign w:val="center"/>
                </w:tcPr>
                <w:p>
                  <w:pPr>
                    <w:snapToGrid w:val="0"/>
                    <w:jc w:val="center"/>
                    <w:rPr>
                      <w:color w:val="000000"/>
                      <w:szCs w:val="21"/>
                    </w:rPr>
                  </w:pPr>
                  <w:r>
                    <w:rPr>
                      <w:color w:val="000000"/>
                      <w:szCs w:val="21"/>
                    </w:rPr>
                    <w:t>符合</w:t>
                  </w:r>
                </w:p>
              </w:tc>
            </w:tr>
            <w:tr>
              <w:tblPrEx>
                <w:tblBorders>
                  <w:top w:val="single" w:color="auto" w:sz="2" w:space="0"/>
                  <w:left w:val="single" w:color="auto" w:sz="2" w:space="0"/>
                  <w:bottom w:val="single" w:color="auto" w:sz="6"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647" w:hRule="atLeast"/>
                <w:jc w:val="center"/>
              </w:trPr>
              <w:tc>
                <w:tcPr>
                  <w:tcW w:w="800" w:type="dxa"/>
                  <w:tcBorders>
                    <w:tl2br w:val="nil"/>
                    <w:tr2bl w:val="nil"/>
                  </w:tcBorders>
                  <w:vAlign w:val="center"/>
                </w:tcPr>
                <w:p>
                  <w:pPr>
                    <w:snapToGrid w:val="0"/>
                    <w:jc w:val="center"/>
                    <w:rPr>
                      <w:color w:val="000000"/>
                      <w:szCs w:val="21"/>
                    </w:rPr>
                  </w:pPr>
                  <w:r>
                    <w:rPr>
                      <w:color w:val="000000"/>
                      <w:szCs w:val="21"/>
                    </w:rPr>
                    <w:t>第五十二条</w:t>
                  </w:r>
                </w:p>
              </w:tc>
              <w:tc>
                <w:tcPr>
                  <w:tcW w:w="4430" w:type="dxa"/>
                  <w:tcBorders>
                    <w:tl2br w:val="nil"/>
                    <w:tr2bl w:val="nil"/>
                  </w:tcBorders>
                  <w:vAlign w:val="center"/>
                </w:tcPr>
                <w:p>
                  <w:pPr>
                    <w:snapToGrid w:val="0"/>
                    <w:jc w:val="left"/>
                    <w:rPr>
                      <w:color w:val="000000"/>
                      <w:szCs w:val="21"/>
                    </w:rPr>
                  </w:pPr>
                  <w:r>
                    <w:rPr>
                      <w:color w:val="000000"/>
                      <w:szCs w:val="21"/>
                    </w:rPr>
                    <w:t>任何单位和个人不得向雨水收集口、雨水管道或者污水收集口、污水管道倾倒污物、垃圾等废弃物。禁止畜禽屠宰、餐饮、洗浴、洗涤、洗车经营者直接向外环境排放污水。餐饮业经营者应当设置隔油设施或者其他油污废水处理设施。</w:t>
                  </w:r>
                </w:p>
              </w:tc>
              <w:tc>
                <w:tcPr>
                  <w:tcW w:w="2578" w:type="dxa"/>
                  <w:vMerge w:val="continue"/>
                  <w:tcBorders>
                    <w:tl2br w:val="nil"/>
                    <w:tr2bl w:val="nil"/>
                  </w:tcBorders>
                  <w:vAlign w:val="center"/>
                </w:tcPr>
                <w:p>
                  <w:pPr>
                    <w:snapToGrid w:val="0"/>
                    <w:jc w:val="center"/>
                    <w:rPr>
                      <w:color w:val="000000"/>
                      <w:szCs w:val="21"/>
                    </w:rPr>
                  </w:pPr>
                </w:p>
              </w:tc>
              <w:tc>
                <w:tcPr>
                  <w:tcW w:w="790" w:type="dxa"/>
                  <w:tcBorders>
                    <w:tl2br w:val="nil"/>
                    <w:tr2bl w:val="nil"/>
                  </w:tcBorders>
                  <w:vAlign w:val="center"/>
                </w:tcPr>
                <w:p>
                  <w:pPr>
                    <w:snapToGrid w:val="0"/>
                    <w:jc w:val="center"/>
                    <w:rPr>
                      <w:color w:val="000000"/>
                      <w:szCs w:val="21"/>
                    </w:rPr>
                  </w:pPr>
                  <w:r>
                    <w:rPr>
                      <w:color w:val="000000"/>
                      <w:szCs w:val="21"/>
                    </w:rPr>
                    <w:t>符合</w:t>
                  </w:r>
                </w:p>
              </w:tc>
            </w:tr>
          </w:tbl>
          <w:p>
            <w:pPr>
              <w:spacing w:line="360" w:lineRule="auto"/>
              <w:ind w:firstLine="482" w:firstLineChars="200"/>
              <w:rPr>
                <w:b/>
                <w:bCs/>
                <w:kern w:val="0"/>
                <w:sz w:val="24"/>
              </w:rPr>
            </w:pPr>
            <w:r>
              <w:rPr>
                <w:rFonts w:hint="eastAsia"/>
                <w:b/>
                <w:bCs/>
                <w:kern w:val="0"/>
                <w:sz w:val="24"/>
              </w:rPr>
              <w:t>10、</w:t>
            </w:r>
            <w:r>
              <w:rPr>
                <w:b/>
                <w:bCs/>
                <w:kern w:val="0"/>
                <w:sz w:val="24"/>
              </w:rPr>
              <w:t>与《济宁市大气污染防治条例》（2021年5月28日）的符合性分析</w:t>
            </w:r>
          </w:p>
          <w:p>
            <w:pPr>
              <w:snapToGrid w:val="0"/>
              <w:jc w:val="center"/>
              <w:rPr>
                <w:b/>
                <w:bCs/>
                <w:szCs w:val="21"/>
              </w:rPr>
            </w:pPr>
            <w:r>
              <w:rPr>
                <w:b/>
                <w:bCs/>
                <w:sz w:val="24"/>
              </w:rPr>
              <w:t>表1-</w:t>
            </w:r>
            <w:r>
              <w:rPr>
                <w:rFonts w:hint="eastAsia"/>
                <w:b/>
                <w:bCs/>
                <w:sz w:val="24"/>
              </w:rPr>
              <w:t>7</w:t>
            </w:r>
            <w:r>
              <w:rPr>
                <w:b/>
                <w:bCs/>
                <w:sz w:val="24"/>
              </w:rPr>
              <w:t xml:space="preserve">  与《济宁市大气污染防治条例》的符合性</w:t>
            </w:r>
          </w:p>
          <w:tbl>
            <w:tblPr>
              <w:tblStyle w:val="35"/>
              <w:tblW w:w="849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418"/>
              <w:gridCol w:w="2189"/>
              <w:gridCol w:w="8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5418" w:type="dxa"/>
                  <w:tcBorders>
                    <w:tl2br w:val="nil"/>
                    <w:tr2bl w:val="nil"/>
                  </w:tcBorders>
                  <w:vAlign w:val="center"/>
                </w:tcPr>
                <w:p>
                  <w:pPr>
                    <w:spacing w:line="240" w:lineRule="exact"/>
                    <w:jc w:val="center"/>
                    <w:rPr>
                      <w:b/>
                      <w:bCs/>
                      <w:color w:val="000000"/>
                      <w:kern w:val="21"/>
                      <w:szCs w:val="21"/>
                    </w:rPr>
                  </w:pPr>
                  <w:r>
                    <w:rPr>
                      <w:b/>
                      <w:bCs/>
                      <w:color w:val="000000"/>
                      <w:kern w:val="21"/>
                      <w:szCs w:val="21"/>
                    </w:rPr>
                    <w:t>文件要求</w:t>
                  </w:r>
                </w:p>
              </w:tc>
              <w:tc>
                <w:tcPr>
                  <w:tcW w:w="2189" w:type="dxa"/>
                  <w:tcBorders>
                    <w:tl2br w:val="nil"/>
                    <w:tr2bl w:val="nil"/>
                  </w:tcBorders>
                  <w:vAlign w:val="center"/>
                </w:tcPr>
                <w:p>
                  <w:pPr>
                    <w:spacing w:line="240" w:lineRule="exact"/>
                    <w:jc w:val="center"/>
                    <w:rPr>
                      <w:b/>
                      <w:bCs/>
                      <w:color w:val="000000"/>
                      <w:kern w:val="21"/>
                      <w:szCs w:val="21"/>
                    </w:rPr>
                  </w:pPr>
                  <w:r>
                    <w:rPr>
                      <w:b/>
                      <w:bCs/>
                      <w:color w:val="000000"/>
                      <w:kern w:val="21"/>
                      <w:szCs w:val="21"/>
                    </w:rPr>
                    <w:t>项目情况</w:t>
                  </w:r>
                </w:p>
              </w:tc>
              <w:tc>
                <w:tcPr>
                  <w:tcW w:w="891" w:type="dxa"/>
                  <w:tcBorders>
                    <w:tl2br w:val="nil"/>
                    <w:tr2bl w:val="nil"/>
                  </w:tcBorders>
                  <w:vAlign w:val="center"/>
                </w:tcPr>
                <w:p>
                  <w:pPr>
                    <w:spacing w:line="240" w:lineRule="exact"/>
                    <w:jc w:val="center"/>
                    <w:rPr>
                      <w:b/>
                      <w:bCs/>
                      <w:color w:val="000000"/>
                      <w:kern w:val="21"/>
                      <w:szCs w:val="21"/>
                    </w:rPr>
                  </w:pPr>
                  <w:r>
                    <w:rPr>
                      <w:b/>
                      <w:bCs/>
                      <w:color w:val="000000"/>
                      <w:kern w:val="21"/>
                      <w:szCs w:val="21"/>
                    </w:rP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47" w:hRule="atLeast"/>
                <w:jc w:val="center"/>
              </w:trPr>
              <w:tc>
                <w:tcPr>
                  <w:tcW w:w="5418" w:type="dxa"/>
                  <w:tcBorders>
                    <w:tl2br w:val="nil"/>
                    <w:tr2bl w:val="nil"/>
                  </w:tcBorders>
                  <w:vAlign w:val="center"/>
                </w:tcPr>
                <w:p>
                  <w:pPr>
                    <w:spacing w:line="240" w:lineRule="exact"/>
                    <w:rPr>
                      <w:color w:val="000000"/>
                      <w:kern w:val="21"/>
                      <w:szCs w:val="21"/>
                    </w:rPr>
                  </w:pPr>
                  <w:r>
                    <w:rPr>
                      <w:color w:val="000000"/>
                      <w:kern w:val="21"/>
                      <w:szCs w:val="21"/>
                    </w:rPr>
                    <w:t>第一章 总则</w:t>
                  </w:r>
                </w:p>
                <w:p>
                  <w:pPr>
                    <w:spacing w:line="240" w:lineRule="exact"/>
                    <w:rPr>
                      <w:color w:val="000000"/>
                      <w:kern w:val="21"/>
                      <w:szCs w:val="21"/>
                    </w:rPr>
                  </w:pPr>
                  <w:r>
                    <w:rPr>
                      <w:color w:val="000000"/>
                      <w:kern w:val="21"/>
                      <w:szCs w:val="21"/>
                    </w:rPr>
                    <w:t>第四条 任何单位和个人都有保护大气环境的义务，应当遵守大气污染防治法律、法规，树立大气环境保护意识，践行绿色、低碳、节俭、文明的生产、生活方式。</w:t>
                  </w:r>
                  <w:r>
                    <w:rPr>
                      <w:color w:val="000000"/>
                      <w:kern w:val="21"/>
                      <w:szCs w:val="21"/>
                      <w:shd w:val="clear" w:color="auto" w:fill="FFFFFF"/>
                    </w:rPr>
                    <w:t>排放大气污染物的单位和个人应当落实大气污染防治主体责任。单位主要负责人对本单位的大气污染防治工作全面负责。单位和个人应当采取有效措施，防止、减少大气污染，对所造成的损害依法承担责任。</w:t>
                  </w:r>
                </w:p>
              </w:tc>
              <w:tc>
                <w:tcPr>
                  <w:tcW w:w="2189" w:type="dxa"/>
                  <w:tcBorders>
                    <w:tl2br w:val="nil"/>
                    <w:tr2bl w:val="nil"/>
                  </w:tcBorders>
                  <w:vAlign w:val="center"/>
                </w:tcPr>
                <w:p>
                  <w:pPr>
                    <w:spacing w:line="240" w:lineRule="exact"/>
                    <w:jc w:val="center"/>
                    <w:rPr>
                      <w:color w:val="000000"/>
                      <w:kern w:val="21"/>
                      <w:szCs w:val="21"/>
                    </w:rPr>
                  </w:pPr>
                  <w:r>
                    <w:rPr>
                      <w:color w:val="000000"/>
                      <w:kern w:val="21"/>
                      <w:szCs w:val="21"/>
                    </w:rPr>
                    <w:t>企业承担本单位的</w:t>
                  </w:r>
                  <w:r>
                    <w:rPr>
                      <w:color w:val="000000"/>
                      <w:kern w:val="21"/>
                      <w:szCs w:val="21"/>
                      <w:shd w:val="clear" w:color="auto" w:fill="FFFFFF"/>
                    </w:rPr>
                    <w:t>大气污染防治主体责任</w:t>
                  </w:r>
                </w:p>
              </w:tc>
              <w:tc>
                <w:tcPr>
                  <w:tcW w:w="891" w:type="dxa"/>
                  <w:tcBorders>
                    <w:tl2br w:val="nil"/>
                    <w:tr2bl w:val="nil"/>
                  </w:tcBorders>
                  <w:vAlign w:val="center"/>
                </w:tcPr>
                <w:p>
                  <w:pPr>
                    <w:spacing w:line="240" w:lineRule="exact"/>
                    <w:jc w:val="center"/>
                    <w:rPr>
                      <w:color w:val="000000"/>
                      <w:kern w:val="21"/>
                      <w:szCs w:val="21"/>
                    </w:rPr>
                  </w:pPr>
                  <w:r>
                    <w:rPr>
                      <w:color w:val="000000"/>
                      <w:kern w:val="21"/>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22" w:hRule="atLeast"/>
                <w:jc w:val="center"/>
              </w:trPr>
              <w:tc>
                <w:tcPr>
                  <w:tcW w:w="5418" w:type="dxa"/>
                  <w:tcBorders>
                    <w:tl2br w:val="nil"/>
                    <w:tr2bl w:val="nil"/>
                  </w:tcBorders>
                  <w:vAlign w:val="center"/>
                </w:tcPr>
                <w:p>
                  <w:pPr>
                    <w:widowControl/>
                    <w:spacing w:line="240" w:lineRule="exact"/>
                    <w:jc w:val="left"/>
                    <w:rPr>
                      <w:color w:val="000000"/>
                      <w:kern w:val="21"/>
                      <w:szCs w:val="21"/>
                    </w:rPr>
                  </w:pPr>
                  <w:r>
                    <w:rPr>
                      <w:color w:val="000000"/>
                      <w:kern w:val="21"/>
                      <w:szCs w:val="21"/>
                    </w:rPr>
                    <w:t>第二章 监督管理</w:t>
                  </w:r>
                </w:p>
                <w:p>
                  <w:pPr>
                    <w:spacing w:line="240" w:lineRule="exact"/>
                    <w:jc w:val="left"/>
                    <w:rPr>
                      <w:color w:val="000000"/>
                      <w:kern w:val="21"/>
                      <w:szCs w:val="21"/>
                    </w:rPr>
                  </w:pPr>
                  <w:r>
                    <w:rPr>
                      <w:color w:val="000000"/>
                      <w:kern w:val="21"/>
                      <w:szCs w:val="21"/>
                      <w:shd w:val="clear" w:color="auto" w:fill="FFFFFF"/>
                    </w:rPr>
                    <w:t>新建、改建、扩建的建设项目，其新增的大气重点污染物排放量应当实施倍量替代。</w:t>
                  </w:r>
                </w:p>
              </w:tc>
              <w:tc>
                <w:tcPr>
                  <w:tcW w:w="2189" w:type="dxa"/>
                  <w:tcBorders>
                    <w:tl2br w:val="nil"/>
                    <w:tr2bl w:val="nil"/>
                  </w:tcBorders>
                  <w:vAlign w:val="center"/>
                </w:tcPr>
                <w:p>
                  <w:pPr>
                    <w:spacing w:line="240" w:lineRule="exact"/>
                    <w:jc w:val="center"/>
                    <w:rPr>
                      <w:color w:val="000000"/>
                      <w:kern w:val="21"/>
                      <w:szCs w:val="21"/>
                    </w:rPr>
                  </w:pPr>
                  <w:r>
                    <w:rPr>
                      <w:rFonts w:hint="eastAsia"/>
                      <w:color w:val="000000"/>
                      <w:kern w:val="21"/>
                      <w:szCs w:val="21"/>
                    </w:rPr>
                    <w:t>项目废气经布袋除尘器处理后经排气筒达标排放，项目将申请颗粒物倍量替代</w:t>
                  </w:r>
                </w:p>
              </w:tc>
              <w:tc>
                <w:tcPr>
                  <w:tcW w:w="891" w:type="dxa"/>
                  <w:tcBorders>
                    <w:tl2br w:val="nil"/>
                    <w:tr2bl w:val="nil"/>
                  </w:tcBorders>
                  <w:vAlign w:val="center"/>
                </w:tcPr>
                <w:p>
                  <w:pPr>
                    <w:spacing w:line="240" w:lineRule="exact"/>
                    <w:jc w:val="center"/>
                    <w:rPr>
                      <w:color w:val="000000"/>
                      <w:kern w:val="21"/>
                      <w:szCs w:val="21"/>
                    </w:rPr>
                  </w:pPr>
                  <w:r>
                    <w:rPr>
                      <w:color w:val="000000"/>
                      <w:kern w:val="21"/>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5418" w:type="dxa"/>
                  <w:tcBorders>
                    <w:tl2br w:val="nil"/>
                    <w:tr2bl w:val="nil"/>
                  </w:tcBorders>
                  <w:vAlign w:val="center"/>
                </w:tcPr>
                <w:p>
                  <w:pPr>
                    <w:widowControl/>
                    <w:spacing w:line="240" w:lineRule="exact"/>
                    <w:jc w:val="left"/>
                    <w:rPr>
                      <w:color w:val="000000"/>
                      <w:kern w:val="21"/>
                      <w:szCs w:val="21"/>
                    </w:rPr>
                  </w:pPr>
                  <w:r>
                    <w:rPr>
                      <w:color w:val="000000"/>
                      <w:kern w:val="21"/>
                      <w:szCs w:val="21"/>
                    </w:rPr>
                    <w:t>第三章大气污染防治措施</w:t>
                  </w:r>
                </w:p>
                <w:p>
                  <w:pPr>
                    <w:spacing w:line="240" w:lineRule="exact"/>
                    <w:jc w:val="left"/>
                    <w:rPr>
                      <w:color w:val="000000"/>
                      <w:kern w:val="21"/>
                      <w:szCs w:val="21"/>
                    </w:rPr>
                  </w:pPr>
                  <w:r>
                    <w:rPr>
                      <w:color w:val="000000"/>
                      <w:kern w:val="21"/>
                      <w:szCs w:val="21"/>
                      <w:shd w:val="clear" w:color="auto" w:fill="FFFFFF"/>
                    </w:rPr>
                    <w:t>第十四条</w:t>
                  </w:r>
                  <w:r>
                    <w:rPr>
                      <w:rFonts w:hint="eastAsia"/>
                      <w:color w:val="000000"/>
                      <w:kern w:val="21"/>
                      <w:szCs w:val="21"/>
                      <w:shd w:val="clear" w:color="auto" w:fill="FFFFFF"/>
                    </w:rPr>
                    <w:t xml:space="preserve"> </w:t>
                  </w:r>
                  <w:r>
                    <w:rPr>
                      <w:color w:val="000000"/>
                      <w:kern w:val="21"/>
                      <w:szCs w:val="21"/>
                      <w:shd w:val="clear" w:color="auto" w:fill="FFFFFF"/>
                    </w:rPr>
                    <w:t>禁止新建、改建、扩建严重污染大气环境的项目。</w:t>
                  </w:r>
                </w:p>
              </w:tc>
              <w:tc>
                <w:tcPr>
                  <w:tcW w:w="2189" w:type="dxa"/>
                  <w:tcBorders>
                    <w:tl2br w:val="nil"/>
                    <w:tr2bl w:val="nil"/>
                  </w:tcBorders>
                  <w:vAlign w:val="center"/>
                </w:tcPr>
                <w:p>
                  <w:pPr>
                    <w:spacing w:line="240" w:lineRule="exact"/>
                    <w:jc w:val="center"/>
                    <w:rPr>
                      <w:color w:val="000000"/>
                      <w:kern w:val="21"/>
                      <w:szCs w:val="21"/>
                    </w:rPr>
                  </w:pPr>
                  <w:r>
                    <w:rPr>
                      <w:color w:val="000000"/>
                      <w:kern w:val="21"/>
                      <w:szCs w:val="21"/>
                    </w:rPr>
                    <w:t>本项目不属于</w:t>
                  </w:r>
                  <w:r>
                    <w:rPr>
                      <w:color w:val="000000"/>
                      <w:kern w:val="21"/>
                      <w:szCs w:val="21"/>
                      <w:shd w:val="clear" w:color="auto" w:fill="FFFFFF"/>
                    </w:rPr>
                    <w:t>严重污染大气环境的项目</w:t>
                  </w:r>
                </w:p>
              </w:tc>
              <w:tc>
                <w:tcPr>
                  <w:tcW w:w="891" w:type="dxa"/>
                  <w:tcBorders>
                    <w:tl2br w:val="nil"/>
                    <w:tr2bl w:val="nil"/>
                  </w:tcBorders>
                  <w:vAlign w:val="center"/>
                </w:tcPr>
                <w:p>
                  <w:pPr>
                    <w:spacing w:line="240" w:lineRule="exact"/>
                    <w:jc w:val="center"/>
                    <w:rPr>
                      <w:color w:val="000000"/>
                      <w:kern w:val="21"/>
                      <w:szCs w:val="21"/>
                    </w:rPr>
                  </w:pPr>
                  <w:r>
                    <w:rPr>
                      <w:color w:val="000000"/>
                      <w:kern w:val="21"/>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6" w:hRule="atLeast"/>
                <w:jc w:val="center"/>
              </w:trPr>
              <w:tc>
                <w:tcPr>
                  <w:tcW w:w="5418" w:type="dxa"/>
                  <w:tcBorders>
                    <w:tl2br w:val="nil"/>
                    <w:tr2bl w:val="nil"/>
                  </w:tcBorders>
                  <w:vAlign w:val="center"/>
                </w:tcPr>
                <w:p>
                  <w:pPr>
                    <w:spacing w:line="240" w:lineRule="exact"/>
                    <w:jc w:val="left"/>
                    <w:rPr>
                      <w:color w:val="000000"/>
                      <w:kern w:val="21"/>
                      <w:szCs w:val="21"/>
                    </w:rPr>
                  </w:pPr>
                  <w:r>
                    <w:rPr>
                      <w:color w:val="000000"/>
                      <w:kern w:val="21"/>
                      <w:szCs w:val="21"/>
                      <w:shd w:val="clear" w:color="auto" w:fill="FFFFFF"/>
                    </w:rPr>
                    <w:t>钢铁、建材、有色金属、石油、化工、制药、矿产开采、火电、焦化等粉尘和气态污染物排放企业，应当强化大气污染治理，各项大气污染物指标应当同时满足国家和省规定的大气污染物排放和控制标准。</w:t>
                  </w:r>
                </w:p>
              </w:tc>
              <w:tc>
                <w:tcPr>
                  <w:tcW w:w="2189" w:type="dxa"/>
                  <w:tcBorders>
                    <w:tl2br w:val="nil"/>
                    <w:tr2bl w:val="nil"/>
                  </w:tcBorders>
                  <w:vAlign w:val="center"/>
                </w:tcPr>
                <w:p>
                  <w:pPr>
                    <w:spacing w:line="240" w:lineRule="exact"/>
                    <w:jc w:val="center"/>
                    <w:rPr>
                      <w:color w:val="000000"/>
                      <w:kern w:val="21"/>
                      <w:szCs w:val="21"/>
                    </w:rPr>
                  </w:pPr>
                  <w:r>
                    <w:rPr>
                      <w:color w:val="000000"/>
                      <w:kern w:val="21"/>
                      <w:szCs w:val="21"/>
                    </w:rPr>
                    <w:t>项目废气满足排放标准要求</w:t>
                  </w:r>
                </w:p>
              </w:tc>
              <w:tc>
                <w:tcPr>
                  <w:tcW w:w="891" w:type="dxa"/>
                  <w:tcBorders>
                    <w:tl2br w:val="nil"/>
                    <w:tr2bl w:val="nil"/>
                  </w:tcBorders>
                  <w:vAlign w:val="center"/>
                </w:tcPr>
                <w:p>
                  <w:pPr>
                    <w:spacing w:line="240" w:lineRule="exact"/>
                    <w:jc w:val="center"/>
                    <w:rPr>
                      <w:color w:val="000000"/>
                      <w:kern w:val="21"/>
                      <w:szCs w:val="21"/>
                    </w:rPr>
                  </w:pPr>
                  <w:r>
                    <w:rPr>
                      <w:color w:val="000000"/>
                      <w:kern w:val="21"/>
                      <w:szCs w:val="21"/>
                    </w:rPr>
                    <w:t>符合</w:t>
                  </w:r>
                </w:p>
              </w:tc>
            </w:tr>
          </w:tbl>
          <w:p>
            <w:pPr>
              <w:pStyle w:val="30"/>
              <w:spacing w:before="156" w:beforeLines="50"/>
              <w:ind w:firstLine="482" w:firstLineChars="200"/>
              <w:rPr>
                <w:b/>
                <w:bCs/>
                <w:kern w:val="0"/>
              </w:rPr>
            </w:pPr>
            <w:r>
              <w:rPr>
                <w:rFonts w:hint="eastAsia"/>
                <w:b/>
                <w:bCs/>
                <w:kern w:val="0"/>
                <w:lang w:val="en-US" w:eastAsia="zh-CN"/>
              </w:rPr>
              <w:t>11、</w:t>
            </w:r>
            <w:r>
              <w:rPr>
                <w:b/>
                <w:bCs/>
                <w:kern w:val="0"/>
              </w:rPr>
              <w:t>与《山东省工业企业无组织排放分行业管控指导意见》（鲁环发〔2020〕30号）符合性分析</w:t>
            </w:r>
          </w:p>
          <w:p>
            <w:pPr>
              <w:pStyle w:val="30"/>
              <w:spacing w:line="240" w:lineRule="auto"/>
              <w:jc w:val="center"/>
              <w:rPr>
                <w:b/>
                <w:bCs/>
                <w:color w:val="000000"/>
              </w:rPr>
            </w:pPr>
            <w:r>
              <w:rPr>
                <w:b/>
                <w:bCs/>
                <w:color w:val="000000"/>
              </w:rPr>
              <w:t>表1-</w:t>
            </w:r>
            <w:r>
              <w:rPr>
                <w:rFonts w:hint="eastAsia"/>
                <w:b/>
                <w:bCs/>
                <w:color w:val="000000"/>
                <w:lang w:val="en-US" w:eastAsia="zh-CN"/>
              </w:rPr>
              <w:t>8</w:t>
            </w:r>
            <w:r>
              <w:rPr>
                <w:b/>
                <w:bCs/>
                <w:color w:val="000000"/>
              </w:rPr>
              <w:t>与鲁环发〔2020〕30号的符合性分析</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3"/>
              <w:gridCol w:w="3015"/>
              <w:gridCol w:w="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2" w:type="pct"/>
                  <w:vAlign w:val="center"/>
                </w:tcPr>
                <w:p>
                  <w:pPr>
                    <w:pStyle w:val="30"/>
                    <w:keepNext w:val="0"/>
                    <w:keepLines w:val="0"/>
                    <w:pageBreakBefore w:val="0"/>
                    <w:widowControl w:val="0"/>
                    <w:kinsoku/>
                    <w:overflowPunct/>
                    <w:topLinePunct w:val="0"/>
                    <w:autoSpaceDE/>
                    <w:autoSpaceDN/>
                    <w:bidi w:val="0"/>
                    <w:adjustRightInd/>
                    <w:snapToGrid/>
                    <w:spacing w:line="240" w:lineRule="auto"/>
                    <w:ind w:right="0"/>
                    <w:jc w:val="center"/>
                    <w:textAlignment w:val="auto"/>
                    <w:rPr>
                      <w:bCs/>
                      <w:color w:val="000000"/>
                      <w:kern w:val="21"/>
                      <w:sz w:val="21"/>
                      <w:szCs w:val="21"/>
                    </w:rPr>
                  </w:pPr>
                  <w:r>
                    <w:rPr>
                      <w:rFonts w:hint="eastAsia" w:ascii="宋体" w:hAnsi="宋体"/>
                      <w:color w:val="000000"/>
                      <w:kern w:val="21"/>
                      <w:sz w:val="21"/>
                      <w:szCs w:val="21"/>
                    </w:rPr>
                    <w:t>管控要求</w:t>
                  </w:r>
                </w:p>
              </w:tc>
              <w:tc>
                <w:tcPr>
                  <w:tcW w:w="1729" w:type="pct"/>
                  <w:vAlign w:val="center"/>
                </w:tcPr>
                <w:p>
                  <w:pPr>
                    <w:pStyle w:val="30"/>
                    <w:keepNext w:val="0"/>
                    <w:keepLines w:val="0"/>
                    <w:pageBreakBefore w:val="0"/>
                    <w:widowControl w:val="0"/>
                    <w:kinsoku/>
                    <w:overflowPunct/>
                    <w:topLinePunct w:val="0"/>
                    <w:autoSpaceDE/>
                    <w:autoSpaceDN/>
                    <w:bidi w:val="0"/>
                    <w:adjustRightInd/>
                    <w:snapToGrid/>
                    <w:spacing w:line="240" w:lineRule="auto"/>
                    <w:ind w:right="0"/>
                    <w:jc w:val="center"/>
                    <w:textAlignment w:val="auto"/>
                    <w:rPr>
                      <w:bCs/>
                      <w:color w:val="000000"/>
                      <w:kern w:val="21"/>
                      <w:sz w:val="21"/>
                      <w:szCs w:val="21"/>
                    </w:rPr>
                  </w:pPr>
                  <w:r>
                    <w:rPr>
                      <w:rFonts w:hint="eastAsia"/>
                      <w:bCs/>
                      <w:color w:val="000000"/>
                      <w:kern w:val="21"/>
                      <w:sz w:val="21"/>
                      <w:szCs w:val="21"/>
                    </w:rPr>
                    <w:t>本项目情况</w:t>
                  </w:r>
                </w:p>
              </w:tc>
              <w:tc>
                <w:tcPr>
                  <w:tcW w:w="258" w:type="pct"/>
                  <w:vAlign w:val="center"/>
                </w:tcPr>
                <w:p>
                  <w:pPr>
                    <w:pStyle w:val="30"/>
                    <w:keepNext w:val="0"/>
                    <w:keepLines w:val="0"/>
                    <w:pageBreakBefore w:val="0"/>
                    <w:widowControl w:val="0"/>
                    <w:kinsoku/>
                    <w:overflowPunct/>
                    <w:topLinePunct w:val="0"/>
                    <w:autoSpaceDE/>
                    <w:autoSpaceDN/>
                    <w:bidi w:val="0"/>
                    <w:adjustRightInd/>
                    <w:snapToGrid/>
                    <w:spacing w:line="240" w:lineRule="auto"/>
                    <w:ind w:right="0"/>
                    <w:textAlignment w:val="auto"/>
                    <w:rPr>
                      <w:rFonts w:ascii="宋体" w:hAnsi="宋体"/>
                      <w:color w:val="000000"/>
                      <w:kern w:val="21"/>
                      <w:sz w:val="21"/>
                      <w:szCs w:val="21"/>
                    </w:rPr>
                  </w:pPr>
                  <w:r>
                    <w:rPr>
                      <w:rFonts w:hint="eastAsia" w:ascii="宋体" w:hAnsi="宋体"/>
                      <w:color w:val="000000"/>
                      <w:kern w:val="21"/>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2" w:type="pct"/>
                </w:tcPr>
                <w:p>
                  <w:pPr>
                    <w:keepNext w:val="0"/>
                    <w:keepLines w:val="0"/>
                    <w:pageBreakBefore w:val="0"/>
                    <w:widowControl w:val="0"/>
                    <w:kinsoku/>
                    <w:overflowPunct/>
                    <w:topLinePunct w:val="0"/>
                    <w:autoSpaceDE/>
                    <w:autoSpaceDN/>
                    <w:bidi w:val="0"/>
                    <w:adjustRightInd/>
                    <w:snapToGrid/>
                    <w:ind w:right="0"/>
                    <w:jc w:val="left"/>
                    <w:textAlignment w:val="auto"/>
                    <w:rPr>
                      <w:bCs/>
                      <w:kern w:val="21"/>
                      <w:szCs w:val="21"/>
                    </w:rPr>
                  </w:pPr>
                  <w:r>
                    <w:rPr>
                      <w:rFonts w:hint="eastAsia" w:ascii="宋体" w:hAnsi="宋体"/>
                      <w:kern w:val="21"/>
                      <w:szCs w:val="21"/>
                    </w:rPr>
                    <w:t>（一）加强物料运输、装卸环节管控。砂石、矿石、煤、铁精矿、脱硫石膏等块状、粒状或粘湿物料采用皮带通廊、封闭车厢等封闭方式运输或苫盖严密，防止沿途抛洒和飞扬。料场或厂区出入口配备车辆清洗装置或采取其他控制措施，确保出场车辆清洁、运输不起尘。厂区道路硬化，平整无破损、无积尘，厂区无裸露空地，闲置裸露空地及时绿化或硬化，厂区道路定期洒水清扫。块状、粒状或粘湿物料直接卸落至储存料场，装卸过程配备有效抑尘、集尘除尘设施，粉状物料装卸口配备密封防尘装置且不得直接卸落到地面。</w:t>
                  </w:r>
                </w:p>
              </w:tc>
              <w:tc>
                <w:tcPr>
                  <w:tcW w:w="1729" w:type="pct"/>
                </w:tcPr>
                <w:p>
                  <w:pPr>
                    <w:keepNext w:val="0"/>
                    <w:keepLines w:val="0"/>
                    <w:pageBreakBefore w:val="0"/>
                    <w:widowControl w:val="0"/>
                    <w:kinsoku/>
                    <w:overflowPunct/>
                    <w:topLinePunct w:val="0"/>
                    <w:autoSpaceDE/>
                    <w:autoSpaceDN/>
                    <w:bidi w:val="0"/>
                    <w:adjustRightInd/>
                    <w:snapToGrid/>
                    <w:ind w:right="0"/>
                    <w:jc w:val="left"/>
                    <w:textAlignment w:val="auto"/>
                    <w:rPr>
                      <w:szCs w:val="21"/>
                    </w:rPr>
                  </w:pPr>
                  <w:r>
                    <w:rPr>
                      <w:rFonts w:hint="eastAsia"/>
                      <w:kern w:val="21"/>
                      <w:szCs w:val="21"/>
                    </w:rPr>
                    <w:t>1、原料为</w:t>
                  </w:r>
                  <w:r>
                    <w:rPr>
                      <w:rFonts w:hint="eastAsia"/>
                      <w:szCs w:val="21"/>
                    </w:rPr>
                    <w:t>膨润土，通过</w:t>
                  </w:r>
                  <w:r>
                    <w:rPr>
                      <w:rFonts w:hint="eastAsia" w:ascii="宋体" w:hAnsi="宋体"/>
                      <w:kern w:val="21"/>
                      <w:szCs w:val="21"/>
                    </w:rPr>
                    <w:t>苫盖车厢</w:t>
                  </w:r>
                  <w:r>
                    <w:rPr>
                      <w:rFonts w:hint="eastAsia"/>
                      <w:szCs w:val="21"/>
                    </w:rPr>
                    <w:t>运输进厂；</w:t>
                  </w:r>
                </w:p>
                <w:p>
                  <w:pPr>
                    <w:keepNext w:val="0"/>
                    <w:keepLines w:val="0"/>
                    <w:pageBreakBefore w:val="0"/>
                    <w:widowControl w:val="0"/>
                    <w:kinsoku/>
                    <w:overflowPunct/>
                    <w:topLinePunct w:val="0"/>
                    <w:autoSpaceDE/>
                    <w:autoSpaceDN/>
                    <w:bidi w:val="0"/>
                    <w:adjustRightInd/>
                    <w:snapToGrid/>
                    <w:ind w:right="0"/>
                    <w:jc w:val="left"/>
                    <w:textAlignment w:val="auto"/>
                    <w:rPr>
                      <w:szCs w:val="21"/>
                    </w:rPr>
                  </w:pPr>
                  <w:r>
                    <w:rPr>
                      <w:rFonts w:hint="eastAsia"/>
                      <w:szCs w:val="21"/>
                    </w:rPr>
                    <w:t>2、处理后的产品</w:t>
                  </w:r>
                  <w:r>
                    <w:rPr>
                      <w:szCs w:val="21"/>
                    </w:rPr>
                    <w:t>堆存在密闭车间内</w:t>
                  </w:r>
                  <w:r>
                    <w:rPr>
                      <w:rFonts w:hint="eastAsia"/>
                      <w:szCs w:val="21"/>
                    </w:rPr>
                    <w:t>，运输车辆的车厢封闭，防止运输风尘产生。生产车间密闭，车间内粉尘通过集气罩、软帘、管道等收集后引至布袋除尘器处理</w:t>
                  </w:r>
                </w:p>
                <w:p>
                  <w:pPr>
                    <w:keepNext w:val="0"/>
                    <w:keepLines w:val="0"/>
                    <w:pageBreakBefore w:val="0"/>
                    <w:widowControl w:val="0"/>
                    <w:kinsoku/>
                    <w:overflowPunct/>
                    <w:topLinePunct w:val="0"/>
                    <w:autoSpaceDE/>
                    <w:autoSpaceDN/>
                    <w:bidi w:val="0"/>
                    <w:adjustRightInd/>
                    <w:snapToGrid/>
                    <w:ind w:right="0"/>
                    <w:jc w:val="left"/>
                    <w:textAlignment w:val="auto"/>
                    <w:rPr>
                      <w:bCs/>
                      <w:kern w:val="21"/>
                      <w:szCs w:val="21"/>
                    </w:rPr>
                  </w:pPr>
                  <w:r>
                    <w:rPr>
                      <w:rFonts w:hint="eastAsia"/>
                      <w:szCs w:val="21"/>
                    </w:rPr>
                    <w:t>3、</w:t>
                  </w:r>
                  <w:r>
                    <w:rPr>
                      <w:rFonts w:hint="eastAsia" w:ascii="宋体" w:hAnsi="宋体"/>
                      <w:kern w:val="21"/>
                      <w:szCs w:val="21"/>
                    </w:rPr>
                    <w:t>厂区道路硬化，定期洒水清扫。闲置裸露进行绿化降尘。厂区外围设置防尘抑尘网。</w:t>
                  </w:r>
                </w:p>
              </w:tc>
              <w:tc>
                <w:tcPr>
                  <w:tcW w:w="258" w:type="pct"/>
                  <w:vAlign w:val="center"/>
                </w:tcPr>
                <w:p>
                  <w:pPr>
                    <w:keepNext w:val="0"/>
                    <w:keepLines w:val="0"/>
                    <w:pageBreakBefore w:val="0"/>
                    <w:widowControl w:val="0"/>
                    <w:kinsoku/>
                    <w:overflowPunct/>
                    <w:topLinePunct w:val="0"/>
                    <w:autoSpaceDE/>
                    <w:autoSpaceDN/>
                    <w:bidi w:val="0"/>
                    <w:adjustRightInd/>
                    <w:snapToGrid/>
                    <w:ind w:right="0"/>
                    <w:jc w:val="center"/>
                    <w:textAlignment w:val="auto"/>
                    <w:rPr>
                      <w:color w:val="000000"/>
                      <w:kern w:val="21"/>
                      <w:szCs w:val="21"/>
                    </w:rPr>
                  </w:pPr>
                  <w:r>
                    <w:rPr>
                      <w:rFonts w:hint="eastAsia" w:ascii="宋体" w:hAnsi="宋体"/>
                      <w:color w:val="000000"/>
                      <w:kern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2" w:type="pct"/>
                </w:tcPr>
                <w:p>
                  <w:pPr>
                    <w:keepNext w:val="0"/>
                    <w:keepLines w:val="0"/>
                    <w:pageBreakBefore w:val="0"/>
                    <w:widowControl w:val="0"/>
                    <w:kinsoku/>
                    <w:overflowPunct/>
                    <w:topLinePunct w:val="0"/>
                    <w:autoSpaceDE/>
                    <w:autoSpaceDN/>
                    <w:bidi w:val="0"/>
                    <w:adjustRightInd/>
                    <w:snapToGrid/>
                    <w:ind w:right="0"/>
                    <w:jc w:val="left"/>
                    <w:textAlignment w:val="auto"/>
                    <w:rPr>
                      <w:bCs/>
                      <w:kern w:val="21"/>
                      <w:szCs w:val="21"/>
                    </w:rPr>
                  </w:pPr>
                  <w:r>
                    <w:rPr>
                      <w:rFonts w:hint="eastAsia" w:ascii="宋体" w:hAnsi="宋体"/>
                      <w:kern w:val="21"/>
                      <w:szCs w:val="21"/>
                    </w:rPr>
                    <w:t>（二）加强物料储存、输送环节管控。砂石、矿石、煤、铁精矿、脱硫石膏等块状、粒状或粘湿物料采用密闭料仓、封闭料棚或建设防风抑尘网等方式进行规范储存，封闭料棚和露天料场内设有喷淋装置，喷淋范围覆盖整个料堆。所储存物料对含水率有严格要求或遇水发生变化的，在料场内安装有效集尘除尘设施。防风抑尘网高度高于料场堆存高度，并对堆存物料进行严密苫盖。块状、粒状或粘湿物料上料口设置在封闭料棚内，采用管状带式输送机、皮带通廊、封闭车辆等方式输送。物料上料、输送、转接、出料和扒渣等过程中的产尘点采取有效抑尘、集尘除尘措施。</w:t>
                  </w:r>
                </w:p>
              </w:tc>
              <w:tc>
                <w:tcPr>
                  <w:tcW w:w="1729" w:type="pct"/>
                  <w:vAlign w:val="center"/>
                </w:tcPr>
                <w:p>
                  <w:pPr>
                    <w:keepNext w:val="0"/>
                    <w:keepLines w:val="0"/>
                    <w:pageBreakBefore w:val="0"/>
                    <w:widowControl w:val="0"/>
                    <w:kinsoku/>
                    <w:overflowPunct/>
                    <w:topLinePunct w:val="0"/>
                    <w:autoSpaceDE/>
                    <w:autoSpaceDN/>
                    <w:bidi w:val="0"/>
                    <w:adjustRightInd/>
                    <w:snapToGrid/>
                    <w:ind w:right="0"/>
                    <w:jc w:val="center"/>
                    <w:textAlignment w:val="auto"/>
                    <w:rPr>
                      <w:bCs/>
                      <w:kern w:val="21"/>
                      <w:szCs w:val="21"/>
                    </w:rPr>
                  </w:pPr>
                  <w:r>
                    <w:rPr>
                      <w:rFonts w:hint="eastAsia"/>
                      <w:kern w:val="21"/>
                      <w:szCs w:val="21"/>
                    </w:rPr>
                    <w:t>原料为半成品膨润土</w:t>
                  </w:r>
                  <w:r>
                    <w:rPr>
                      <w:rFonts w:hint="eastAsia"/>
                      <w:szCs w:val="21"/>
                    </w:rPr>
                    <w:t>，储存于封闭原料车间内</w:t>
                  </w:r>
                  <w:r>
                    <w:rPr>
                      <w:rFonts w:hint="eastAsia" w:ascii="宋体" w:hAnsi="宋体"/>
                      <w:kern w:val="21"/>
                      <w:szCs w:val="21"/>
                    </w:rPr>
                    <w:t>。</w:t>
                  </w:r>
                </w:p>
              </w:tc>
              <w:tc>
                <w:tcPr>
                  <w:tcW w:w="258" w:type="pct"/>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ascii="宋体" w:hAnsi="宋体"/>
                      <w:color w:val="000000"/>
                      <w:kern w:val="21"/>
                      <w:szCs w:val="21"/>
                    </w:rPr>
                  </w:pPr>
                  <w:r>
                    <w:rPr>
                      <w:rFonts w:hint="eastAsia" w:ascii="宋体" w:hAnsi="宋体"/>
                      <w:color w:val="000000"/>
                      <w:kern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12" w:type="pct"/>
                </w:tcPr>
                <w:p>
                  <w:pPr>
                    <w:keepNext w:val="0"/>
                    <w:keepLines w:val="0"/>
                    <w:pageBreakBefore w:val="0"/>
                    <w:widowControl w:val="0"/>
                    <w:kinsoku/>
                    <w:overflowPunct/>
                    <w:topLinePunct w:val="0"/>
                    <w:autoSpaceDE/>
                    <w:autoSpaceDN/>
                    <w:bidi w:val="0"/>
                    <w:adjustRightInd/>
                    <w:snapToGrid/>
                    <w:ind w:right="0"/>
                    <w:jc w:val="left"/>
                    <w:textAlignment w:val="auto"/>
                    <w:rPr>
                      <w:rFonts w:ascii="宋体" w:hAnsi="宋体"/>
                      <w:color w:val="000000"/>
                      <w:kern w:val="21"/>
                      <w:szCs w:val="21"/>
                    </w:rPr>
                  </w:pPr>
                  <w:r>
                    <w:rPr>
                      <w:rFonts w:hint="eastAsia" w:ascii="宋体" w:hAnsi="宋体"/>
                      <w:color w:val="000000"/>
                      <w:kern w:val="21"/>
                      <w:szCs w:val="21"/>
                    </w:rPr>
                    <w:t>（三）加强生产环节管控。通过提高工艺自动化和设备密闭化水平，减少生产过程中的无组织排放。生产过程中的产尘点和</w:t>
                  </w:r>
                  <w:r>
                    <w:rPr>
                      <w:rFonts w:hint="eastAsia" w:ascii="TimesNewRomanPSMT" w:hAnsi="TimesNewRomanPSMT" w:eastAsia="TimesNewRomanPSMT"/>
                      <w:color w:val="000000"/>
                      <w:kern w:val="21"/>
                      <w:szCs w:val="21"/>
                    </w:rPr>
                    <w:t>VOCs</w:t>
                  </w:r>
                  <w:r>
                    <w:rPr>
                      <w:rFonts w:hint="eastAsia" w:ascii="宋体" w:hAnsi="宋体"/>
                      <w:color w:val="000000"/>
                      <w:kern w:val="21"/>
                      <w:szCs w:val="21"/>
                    </w:rPr>
                    <w:t>产生点密闭、封闭或采取有效收集处理措施。生产设备和废气收集处理设施同步运行，废气收集处理设施发生故障或检修时，停止运行对应的生产设备，待检修完毕后投入使用。生产设备不能停止或不能及时停止运行的，设置废气应急处理设施或采取其他替代措施。生产车间地面及生产设备表面保持清洁，除电子、电气原件外，不得采用压缩空气吹扫等易产生扬尘的清理措施。</w:t>
                  </w:r>
                </w:p>
              </w:tc>
              <w:tc>
                <w:tcPr>
                  <w:tcW w:w="1729" w:type="pct"/>
                  <w:vAlign w:val="center"/>
                </w:tcPr>
                <w:p>
                  <w:pPr>
                    <w:pStyle w:val="30"/>
                    <w:keepNext w:val="0"/>
                    <w:keepLines w:val="0"/>
                    <w:pageBreakBefore w:val="0"/>
                    <w:widowControl w:val="0"/>
                    <w:kinsoku/>
                    <w:wordWrap w:val="0"/>
                    <w:overflowPunct/>
                    <w:topLinePunct w:val="0"/>
                    <w:autoSpaceDE/>
                    <w:autoSpaceDN/>
                    <w:bidi w:val="0"/>
                    <w:adjustRightInd/>
                    <w:snapToGrid/>
                    <w:spacing w:line="240" w:lineRule="auto"/>
                    <w:ind w:right="0"/>
                    <w:textAlignment w:val="auto"/>
                    <w:rPr>
                      <w:rFonts w:hint="eastAsia" w:ascii="宋体" w:hAnsi="宋体" w:eastAsia="宋体" w:cs="Times New Roman"/>
                      <w:color w:val="000000"/>
                      <w:kern w:val="21"/>
                      <w:sz w:val="21"/>
                      <w:szCs w:val="21"/>
                      <w:lang w:val="en-US" w:eastAsia="zh-CN" w:bidi="ar-SA"/>
                    </w:rPr>
                  </w:pPr>
                  <w:r>
                    <w:rPr>
                      <w:rFonts w:hint="eastAsia" w:ascii="宋体" w:hAnsi="宋体" w:eastAsia="宋体" w:cs="Times New Roman"/>
                      <w:color w:val="000000"/>
                      <w:kern w:val="21"/>
                      <w:sz w:val="21"/>
                      <w:szCs w:val="21"/>
                      <w:lang w:val="en-US" w:eastAsia="zh-CN" w:bidi="ar-SA"/>
                    </w:rPr>
                    <w:t>本项目生产过程的产尘点均位于封闭厂房内，生产过程加水生产。</w:t>
                  </w:r>
                </w:p>
              </w:tc>
              <w:tc>
                <w:tcPr>
                  <w:tcW w:w="258" w:type="pct"/>
                  <w:vAlign w:val="center"/>
                </w:tcPr>
                <w:p>
                  <w:pPr>
                    <w:pStyle w:val="30"/>
                    <w:keepNext w:val="0"/>
                    <w:keepLines w:val="0"/>
                    <w:pageBreakBefore w:val="0"/>
                    <w:widowControl w:val="0"/>
                    <w:kinsoku/>
                    <w:wordWrap w:val="0"/>
                    <w:overflowPunct/>
                    <w:topLinePunct w:val="0"/>
                    <w:autoSpaceDE/>
                    <w:autoSpaceDN/>
                    <w:bidi w:val="0"/>
                    <w:adjustRightInd/>
                    <w:snapToGrid/>
                    <w:spacing w:line="240" w:lineRule="auto"/>
                    <w:ind w:right="0"/>
                    <w:textAlignment w:val="auto"/>
                    <w:rPr>
                      <w:rFonts w:hint="eastAsia" w:ascii="宋体" w:hAnsi="宋体" w:eastAsia="宋体" w:cs="Times New Roman"/>
                      <w:color w:val="000000"/>
                      <w:kern w:val="21"/>
                      <w:sz w:val="21"/>
                      <w:szCs w:val="21"/>
                      <w:lang w:val="en-US" w:eastAsia="zh-CN" w:bidi="ar-SA"/>
                    </w:rPr>
                  </w:pPr>
                  <w:r>
                    <w:rPr>
                      <w:rFonts w:hint="eastAsia" w:ascii="宋体" w:hAnsi="宋体" w:eastAsia="宋体" w:cs="Times New Roman"/>
                      <w:color w:val="000000"/>
                      <w:kern w:val="21"/>
                      <w:sz w:val="21"/>
                      <w:szCs w:val="21"/>
                      <w:lang w:val="en-US" w:eastAsia="zh-CN" w:bidi="ar-SA"/>
                    </w:rPr>
                    <w:t>符合</w:t>
                  </w:r>
                </w:p>
              </w:tc>
            </w:tr>
          </w:tbl>
          <w:p>
            <w:pPr>
              <w:pStyle w:val="30"/>
              <w:numPr>
                <w:ilvl w:val="0"/>
                <w:numId w:val="6"/>
              </w:numPr>
              <w:spacing w:before="156" w:beforeLines="50"/>
              <w:ind w:firstLine="482" w:firstLineChars="200"/>
              <w:rPr>
                <w:rFonts w:hint="eastAsia"/>
                <w:b/>
                <w:bCs/>
                <w:kern w:val="0"/>
                <w:lang w:val="en-US" w:eastAsia="zh-CN"/>
              </w:rPr>
            </w:pPr>
            <w:r>
              <w:rPr>
                <w:rFonts w:hint="eastAsia"/>
                <w:b/>
                <w:bCs/>
                <w:kern w:val="0"/>
                <w:lang w:val="en-US" w:eastAsia="zh-CN"/>
              </w:rPr>
              <w:t>本项目与《关于印发市直部门大气污染治理技术导则（第五版）的通知》（济气综治办发〔2019〕44 号）符合性分析</w:t>
            </w:r>
          </w:p>
          <w:p>
            <w:pPr>
              <w:pStyle w:val="30"/>
              <w:spacing w:line="240" w:lineRule="auto"/>
              <w:jc w:val="center"/>
              <w:rPr>
                <w:rFonts w:hint="eastAsia"/>
                <w:b/>
                <w:bCs/>
                <w:kern w:val="0"/>
                <w:lang w:val="en-US" w:eastAsia="zh-CN"/>
              </w:rPr>
            </w:pPr>
            <w:r>
              <w:rPr>
                <w:b/>
                <w:bCs/>
                <w:color w:val="000000"/>
              </w:rPr>
              <w:t>表1-</w:t>
            </w:r>
            <w:r>
              <w:rPr>
                <w:rFonts w:hint="eastAsia"/>
                <w:b/>
                <w:bCs/>
                <w:color w:val="000000"/>
                <w:lang w:val="en-US" w:eastAsia="zh-CN"/>
              </w:rPr>
              <w:t>9</w:t>
            </w:r>
            <w:r>
              <w:rPr>
                <w:b/>
                <w:bCs/>
                <w:color w:val="000000"/>
              </w:rPr>
              <w:t>与</w:t>
            </w:r>
            <w:r>
              <w:rPr>
                <w:rFonts w:hint="eastAsia"/>
                <w:b/>
                <w:bCs/>
                <w:kern w:val="0"/>
                <w:lang w:val="en-US" w:eastAsia="zh-CN"/>
              </w:rPr>
              <w:t>气综治办发〔2019〕44 号</w:t>
            </w:r>
            <w:r>
              <w:rPr>
                <w:b/>
                <w:bCs/>
                <w:color w:val="000000"/>
              </w:rPr>
              <w:t>的符合性分析</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5670"/>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0" w:type="dxa"/>
                  <w:gridSpan w:val="2"/>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b/>
                      <w:bCs/>
                      <w:color w:val="000000"/>
                      <w:kern w:val="21"/>
                      <w:szCs w:val="21"/>
                      <w:lang w:val="en-US" w:eastAsia="zh-CN"/>
                    </w:rPr>
                  </w:pPr>
                  <w:r>
                    <w:rPr>
                      <w:rFonts w:hint="eastAsia" w:ascii="宋体" w:hAnsi="宋体"/>
                      <w:b/>
                      <w:bCs/>
                      <w:color w:val="000000"/>
                      <w:kern w:val="21"/>
                      <w:szCs w:val="21"/>
                      <w:lang w:val="en-US" w:eastAsia="zh-CN"/>
                    </w:rPr>
                    <w:t>要求</w:t>
                  </w:r>
                </w:p>
              </w:tc>
              <w:tc>
                <w:tcPr>
                  <w:tcW w:w="2171" w:type="dxa"/>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b/>
                      <w:bCs/>
                      <w:color w:val="000000"/>
                      <w:kern w:val="21"/>
                      <w:szCs w:val="21"/>
                      <w:lang w:val="en-US" w:eastAsia="zh-CN"/>
                    </w:rPr>
                  </w:pPr>
                  <w:r>
                    <w:rPr>
                      <w:rFonts w:hint="eastAsia" w:ascii="宋体" w:hAnsi="宋体"/>
                      <w:b/>
                      <w:bCs/>
                      <w:color w:val="000000"/>
                      <w:kern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vMerge w:val="restart"/>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基 本规定</w:t>
                  </w:r>
                </w:p>
              </w:tc>
              <w:tc>
                <w:tcPr>
                  <w:tcW w:w="5670"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企业应合法经营，具备土地使用、环境评价、项目立项、工商 注册、生产资质等基本要件。</w:t>
                  </w:r>
                </w:p>
              </w:tc>
              <w:tc>
                <w:tcPr>
                  <w:tcW w:w="2171"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本项目为合法企业，具备土地、环评、立项、工商注册、生产资质等基本要件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vMerge w:val="continue"/>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tc>
              <w:tc>
                <w:tcPr>
                  <w:tcW w:w="5670"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企业对各自的堆场扬尘污染防治工作负责，建立健全扬尘污染 防治责任制，根据物料的性质制定切实可行的防治方案，落实各项抑尘措施，确保抑尘设施正常使用。建立并严格执行工业 企业内部堆场扬尘考核量化指标。企业组织建立常态化考核机 制，每周分领域评估考核结果，并及时整改，控尘抑尘措施严禁形式主义。</w:t>
                  </w:r>
                </w:p>
              </w:tc>
              <w:tc>
                <w:tcPr>
                  <w:tcW w:w="2171"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lang w:eastAsia="zh-CN"/>
                    </w:rPr>
                  </w:pPr>
                  <w:r>
                    <w:rPr>
                      <w:rFonts w:hint="eastAsia" w:ascii="宋体" w:hAnsi="宋体"/>
                      <w:color w:val="000000"/>
                      <w:kern w:val="21"/>
                      <w:szCs w:val="21"/>
                    </w:rPr>
                    <w:t>本项目原料堆</w:t>
                  </w:r>
                  <w:r>
                    <w:rPr>
                      <w:rFonts w:hint="eastAsia" w:ascii="宋体" w:hAnsi="宋体"/>
                      <w:color w:val="000000"/>
                      <w:kern w:val="21"/>
                      <w:szCs w:val="21"/>
                      <w:lang w:val="en-US" w:eastAsia="zh-CN"/>
                    </w:rPr>
                    <w:t>放在车间内</w:t>
                  </w:r>
                  <w:r>
                    <w:rPr>
                      <w:rFonts w:hint="eastAsia" w:ascii="宋体" w:hAnsi="宋体"/>
                      <w:color w:val="000000"/>
                      <w:kern w:val="21"/>
                      <w:szCs w:val="21"/>
                    </w:rPr>
                    <w:t>，落实各项抑尘措施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vMerge w:val="continue"/>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tc>
              <w:tc>
                <w:tcPr>
                  <w:tcW w:w="5670"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企业应在厂区或堆场门口等明显位置设立扬尘防治告示牌，内 容应包含扬尘防治内容、责任人姓名、电话及监管单位名称和 联系方式。</w:t>
                  </w:r>
                </w:p>
              </w:tc>
              <w:tc>
                <w:tcPr>
                  <w:tcW w:w="2171"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lang w:val="en-US" w:eastAsia="zh-CN"/>
                    </w:rPr>
                    <w:t>原料仓库处</w:t>
                  </w:r>
                  <w:r>
                    <w:rPr>
                      <w:rFonts w:hint="eastAsia" w:ascii="宋体" w:hAnsi="宋体"/>
                      <w:color w:val="000000"/>
                      <w:kern w:val="21"/>
                      <w:szCs w:val="21"/>
                    </w:rPr>
                    <w:t>设立扬尘防治告示牌，内 容应包含扬尘防治内容、责任人姓名、电话及监管单位名称和 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vMerge w:val="continue"/>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tc>
              <w:tc>
                <w:tcPr>
                  <w:tcW w:w="5670"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企业针对一线工人和管理层分别开展扬尘污染防治技术培训， 使每个企业员工（含作业人员）都能认识到扬尘防治的重要意 义和熟练掌握日常管理中应采取的具体措施。</w:t>
                  </w:r>
                </w:p>
              </w:tc>
              <w:tc>
                <w:tcPr>
                  <w:tcW w:w="2171"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针对一线工人和管理层分别开展扬尘污染防治技术培训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vMerge w:val="continue"/>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tc>
              <w:tc>
                <w:tcPr>
                  <w:tcW w:w="5670"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企业环境应急预案应包括堆场扬尘防治内容，启动应急预案时，应采取相应扬尘防治措施。</w:t>
                  </w:r>
                </w:p>
              </w:tc>
              <w:tc>
                <w:tcPr>
                  <w:tcW w:w="2171"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default" w:ascii="宋体" w:hAnsi="宋体"/>
                      <w:color w:val="000000"/>
                      <w:kern w:val="21"/>
                      <w:szCs w:val="21"/>
                      <w:lang w:val="en-US" w:eastAsia="zh-CN"/>
                    </w:rPr>
                  </w:pPr>
                  <w:r>
                    <w:rPr>
                      <w:rFonts w:hint="eastAsia" w:ascii="宋体" w:hAnsi="宋体"/>
                      <w:color w:val="000000"/>
                      <w:kern w:val="21"/>
                      <w:szCs w:val="21"/>
                      <w:lang w:val="en-US" w:eastAsia="zh-CN"/>
                    </w:rPr>
                    <w:t>项目建成后应按要求编制应急预案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vMerge w:val="continue"/>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tc>
              <w:tc>
                <w:tcPr>
                  <w:tcW w:w="5670"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贮存易产生扬尘的各类粉状、粒状、块状物料及燃料堆场要进 行封闭式改造，全部密闭储存。暂时不能密闭的应当设置不低 于堆放物高度的严密围挡，并采取有效覆盖措施防治扬尘污 染。</w:t>
                  </w:r>
                </w:p>
              </w:tc>
              <w:tc>
                <w:tcPr>
                  <w:tcW w:w="2171"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default" w:ascii="宋体" w:hAnsi="宋体"/>
                      <w:color w:val="000000"/>
                      <w:kern w:val="21"/>
                      <w:szCs w:val="21"/>
                      <w:lang w:val="en-US" w:eastAsia="zh-CN"/>
                    </w:rPr>
                  </w:pPr>
                  <w:r>
                    <w:rPr>
                      <w:rFonts w:hint="eastAsia" w:ascii="宋体" w:hAnsi="宋体"/>
                      <w:color w:val="000000"/>
                      <w:kern w:val="21"/>
                      <w:szCs w:val="21"/>
                      <w:lang w:val="en-US" w:eastAsia="zh-CN"/>
                    </w:rPr>
                    <w:t>项目车间密闭，原料均存放于车间内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vMerge w:val="continue"/>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tc>
              <w:tc>
                <w:tcPr>
                  <w:tcW w:w="5670"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厂区或堆场周围应种植植被进行绿化，防止扬尘。</w:t>
                  </w:r>
                </w:p>
              </w:tc>
              <w:tc>
                <w:tcPr>
                  <w:tcW w:w="2171"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本项目在厂区周围进行绿化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vMerge w:val="continue"/>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tc>
              <w:tc>
                <w:tcPr>
                  <w:tcW w:w="5670"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对于环保检查不合格的工业企业，实行“红黄牌”警示告诫， 计入济宁市企业信用评价系统，实行差别化监管。对于造成恶 劣影响的实行包括暂停责任单位运营资质、企业不得参与涉及 环境方面的创先评优、表彰先进、荣誉称号等激励性活动评选； 责任单位的不良信息被记入济宁市诚信“黑名单”等处罚措施</w:t>
                  </w:r>
                </w:p>
              </w:tc>
              <w:tc>
                <w:tcPr>
                  <w:tcW w:w="2171"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本项目不属于上述情形之列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610" w:type="dxa"/>
                  <w:vMerge w:val="restart"/>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堆 场防尘 技术标 准</w:t>
                  </w:r>
                </w:p>
              </w:tc>
              <w:tc>
                <w:tcPr>
                  <w:tcW w:w="5670"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工业企业堆场料场，应按照“空中防扬散、地面防流失、底下防渗漏”的标准控制扬尘污染。堆场地面必须全部硬化。</w:t>
                  </w:r>
                </w:p>
              </w:tc>
              <w:tc>
                <w:tcPr>
                  <w:tcW w:w="2171"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本项目厂界内地面全部硬化。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vMerge w:val="continue"/>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p>
              </w:tc>
              <w:tc>
                <w:tcPr>
                  <w:tcW w:w="5670"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暂时不能密闭的应当设置严密围挡。设置实体墙围挡的，墙高不低于堆放物高度；设置防风抑尘网的应符合下列规定： 除留出用于装卸的专用通道外，堆场周围必须全部建设闭合的 防风抑尘网。 防风抑尘网高度应根据堆垛高度确定，原则上应高于堆垛至少 2 米。 防风抑尘网必须设置基础，确保牢固。 防风抑尘网板材必须是专业厂家生产的合格产品，能够达到防 风抑尘要求。 除正在装卸的作业面外，对堆存的易扬尘物料必须全部覆盖， 覆盖布（网）要用重物压实。覆盖布（网）必须是合格产品要有足够的密度、强度、韧度，不能有明显破损。</w:t>
                  </w:r>
                </w:p>
              </w:tc>
              <w:tc>
                <w:tcPr>
                  <w:tcW w:w="2171"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default" w:ascii="宋体" w:hAnsi="宋体"/>
                      <w:color w:val="000000"/>
                      <w:kern w:val="21"/>
                      <w:szCs w:val="21"/>
                      <w:lang w:val="en-US" w:eastAsia="zh-CN"/>
                    </w:rPr>
                  </w:pPr>
                  <w:r>
                    <w:rPr>
                      <w:rFonts w:hint="eastAsia" w:ascii="宋体" w:hAnsi="宋体"/>
                      <w:color w:val="000000"/>
                      <w:kern w:val="21"/>
                      <w:szCs w:val="21"/>
                      <w:lang w:val="en-US" w:eastAsia="zh-CN"/>
                    </w:rPr>
                    <w:t>项目设置符合要求的防风抑尘网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10"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物 料输送 防尘技 术标准</w:t>
                  </w:r>
                </w:p>
              </w:tc>
              <w:tc>
                <w:tcPr>
                  <w:tcW w:w="5670"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物料输送要采用密闭皮带、封闭通廊、管状带式输送机，易起尘物料传输过程要进行喷淋作业，最大限度抑制扬尘污染。物料输送落料点等配备集气罩和除尘设施，或采取喷雾等抑尘措 施。</w:t>
                  </w:r>
                </w:p>
              </w:tc>
              <w:tc>
                <w:tcPr>
                  <w:tcW w:w="2171"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default" w:ascii="宋体" w:hAnsi="宋体"/>
                      <w:color w:val="000000"/>
                      <w:kern w:val="21"/>
                      <w:szCs w:val="21"/>
                      <w:lang w:val="en-US" w:eastAsia="zh-CN"/>
                    </w:rPr>
                  </w:pPr>
                  <w:r>
                    <w:rPr>
                      <w:rFonts w:hint="eastAsia" w:ascii="宋体" w:hAnsi="宋体"/>
                      <w:color w:val="000000"/>
                      <w:kern w:val="21"/>
                      <w:szCs w:val="21"/>
                      <w:lang w:val="en-US" w:eastAsia="zh-CN"/>
                    </w:rPr>
                    <w:t>项目采用</w:t>
                  </w:r>
                  <w:r>
                    <w:rPr>
                      <w:rFonts w:hint="eastAsia" w:ascii="宋体" w:hAnsi="宋体"/>
                      <w:color w:val="000000"/>
                      <w:kern w:val="21"/>
                      <w:szCs w:val="21"/>
                    </w:rPr>
                    <w:t>密闭皮带</w:t>
                  </w:r>
                  <w:r>
                    <w:rPr>
                      <w:rFonts w:hint="eastAsia" w:ascii="宋体" w:hAnsi="宋体"/>
                      <w:color w:val="000000"/>
                      <w:kern w:val="21"/>
                      <w:szCs w:val="21"/>
                      <w:lang w:eastAsia="zh-CN"/>
                    </w:rPr>
                    <w:t>，</w:t>
                  </w:r>
                  <w:r>
                    <w:rPr>
                      <w:rFonts w:hint="eastAsia" w:ascii="宋体" w:hAnsi="宋体"/>
                      <w:color w:val="000000"/>
                      <w:kern w:val="21"/>
                      <w:szCs w:val="21"/>
                      <w:lang w:val="en-US" w:eastAsia="zh-CN"/>
                    </w:rPr>
                    <w:t>车间内设有喷淋措施，抑制扬尘产生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道 路防尘 技术标 准</w:t>
                  </w:r>
                </w:p>
              </w:tc>
              <w:tc>
                <w:tcPr>
                  <w:tcW w:w="5670"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进出堆场的道路必须全部硬化。进出堆场的道路必须配备清扫 设施、洒水车或其它喷洒设施。清扫及洒水频率根据具体情况 确定，原则上每天湿式清扫不得少于 2 次，洒水不得少于 4 次。干燥、大风天气时要加大清扫、洒水频率，以保持路面清 洁，不产生扬尘为目标。企业应建立保洁队伍，并有专人负责。</w:t>
                  </w:r>
                </w:p>
              </w:tc>
              <w:tc>
                <w:tcPr>
                  <w:tcW w:w="2171"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本项目厂界道路全部硬化，按时清扫，</w:t>
                  </w:r>
                  <w:r>
                    <w:rPr>
                      <w:rFonts w:hint="eastAsia" w:ascii="宋体" w:hAnsi="宋体"/>
                      <w:color w:val="000000"/>
                      <w:kern w:val="21"/>
                      <w:szCs w:val="21"/>
                      <w:lang w:val="en-US" w:eastAsia="zh-CN"/>
                    </w:rPr>
                    <w:t>建立</w:t>
                  </w:r>
                  <w:r>
                    <w:rPr>
                      <w:rFonts w:hint="eastAsia" w:ascii="宋体" w:hAnsi="宋体"/>
                      <w:color w:val="000000"/>
                      <w:kern w:val="21"/>
                      <w:szCs w:val="21"/>
                    </w:rPr>
                    <w:t>保洁队伍，专人负责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视 频监控 技术标 准</w:t>
                  </w:r>
                </w:p>
              </w:tc>
              <w:tc>
                <w:tcPr>
                  <w:tcW w:w="5670"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eastAsia" w:ascii="宋体" w:hAnsi="宋体"/>
                      <w:color w:val="000000"/>
                      <w:kern w:val="21"/>
                      <w:szCs w:val="21"/>
                    </w:rPr>
                  </w:pPr>
                  <w:r>
                    <w:rPr>
                      <w:rFonts w:hint="eastAsia" w:ascii="宋体" w:hAnsi="宋体"/>
                      <w:color w:val="000000"/>
                      <w:kern w:val="21"/>
                      <w:szCs w:val="21"/>
                    </w:rPr>
                    <w:t>堆场必须安装视频监控系统，监控范围包括堆场喷淋、洗车台、 堆场道路等地方。确保全覆盖、无盲区，全时段监控。摄像头 要采用分辨率高、质量好并具备防水、防尘等功能的高清红外 线摄像头；摄像头清晰度达到 480TVL 以上、有效像素达到 44 万像素以上，保证图像清晰。安装硬盘录象机用于存储图 像，保证存储时间至少 3 个月。加强视频监控的维护，确保视 频监控正常运行，不得影响对企业重点工段的实时监控和有关 资料的调取，不得出现人为损毁现象。重点工业企业内部堆场 的视频监控应与各级环保监管平台联网，做到实时监控。</w:t>
                  </w:r>
                </w:p>
              </w:tc>
              <w:tc>
                <w:tcPr>
                  <w:tcW w:w="2171" w:type="dxa"/>
                  <w:vAlign w:val="center"/>
                </w:tcPr>
                <w:p>
                  <w:pPr>
                    <w:keepNext w:val="0"/>
                    <w:keepLines w:val="0"/>
                    <w:pageBreakBefore w:val="0"/>
                    <w:widowControl w:val="0"/>
                    <w:kinsoku/>
                    <w:overflowPunct/>
                    <w:topLinePunct w:val="0"/>
                    <w:autoSpaceDE/>
                    <w:autoSpaceDN/>
                    <w:bidi w:val="0"/>
                    <w:adjustRightInd/>
                    <w:snapToGrid/>
                    <w:ind w:right="0"/>
                    <w:jc w:val="center"/>
                    <w:textAlignment w:val="auto"/>
                    <w:rPr>
                      <w:rFonts w:hint="default" w:ascii="宋体" w:hAnsi="宋体"/>
                      <w:color w:val="000000"/>
                      <w:kern w:val="21"/>
                      <w:szCs w:val="21"/>
                      <w:lang w:val="en-US" w:eastAsia="zh-CN"/>
                    </w:rPr>
                  </w:pPr>
                  <w:r>
                    <w:rPr>
                      <w:rFonts w:hint="eastAsia" w:ascii="宋体" w:hAnsi="宋体"/>
                      <w:color w:val="000000"/>
                      <w:kern w:val="21"/>
                      <w:szCs w:val="21"/>
                      <w:lang w:val="en-US" w:eastAsia="zh-CN"/>
                    </w:rPr>
                    <w:t>项目不属于重点企业，仅需设置视频监控系统</w:t>
                  </w:r>
                </w:p>
              </w:tc>
            </w:tr>
          </w:tbl>
          <w:p>
            <w:pPr>
              <w:adjustRightInd w:val="0"/>
              <w:snapToGrid w:val="0"/>
              <w:spacing w:line="360" w:lineRule="auto"/>
              <w:ind w:firstLine="480" w:firstLineChars="200"/>
              <w:rPr>
                <w:szCs w:val="21"/>
              </w:rPr>
            </w:pPr>
            <w:r>
              <w:rPr>
                <w:rFonts w:ascii="宋体" w:hAnsi="宋体" w:eastAsia="宋体" w:cs="宋体"/>
                <w:sz w:val="24"/>
                <w:szCs w:val="24"/>
              </w:rPr>
              <w:t>由上表可知，项目满足《关于印发市直部门大气污染治理技术导则（第五版）的通知》（济气综治办发〔2019〕44 号）的要求</w:t>
            </w:r>
          </w:p>
          <w:p>
            <w:pPr>
              <w:adjustRightInd w:val="0"/>
              <w:snapToGrid w:val="0"/>
              <w:spacing w:line="360" w:lineRule="auto"/>
              <w:ind w:firstLine="480" w:firstLineChars="200"/>
              <w:rPr>
                <w:szCs w:val="21"/>
              </w:rPr>
            </w:pPr>
            <w:r>
              <w:rPr>
                <w:sz w:val="24"/>
                <w:szCs w:val="24"/>
              </w:rPr>
              <w:t>综上所述，本项目符合国家产业政策、大气污染防治相关规划以及“三线一单”管控要求。</w:t>
            </w:r>
          </w:p>
        </w:tc>
      </w:tr>
    </w:tbl>
    <w:p>
      <w:pPr>
        <w:spacing w:line="360" w:lineRule="auto"/>
        <w:outlineLvl w:val="0"/>
        <w:rPr>
          <w:rFonts w:eastAsia="黑体"/>
          <w:szCs w:val="21"/>
        </w:rPr>
        <w:sectPr>
          <w:footerReference r:id="rId5" w:type="default"/>
          <w:pgSz w:w="11906" w:h="16838"/>
          <w:pgMar w:top="1440" w:right="1440" w:bottom="1440" w:left="1440" w:header="851" w:footer="1077" w:gutter="0"/>
          <w:pgNumType w:start="1"/>
          <w:cols w:space="720" w:num="1"/>
          <w:docGrid w:type="lines" w:linePitch="312" w:charSpace="0"/>
        </w:sectPr>
      </w:pPr>
    </w:p>
    <w:p>
      <w:pPr>
        <w:pStyle w:val="32"/>
        <w:spacing w:before="0" w:beforeAutospacing="0" w:after="0" w:afterAutospacing="0"/>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35"/>
        <w:tblW w:w="97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3"/>
        <w:gridCol w:w="93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68" w:hRule="atLeast"/>
          <w:jc w:val="center"/>
        </w:trPr>
        <w:tc>
          <w:tcPr>
            <w:tcW w:w="453" w:type="dxa"/>
            <w:tcBorders>
              <w:tl2br w:val="nil"/>
              <w:tr2bl w:val="nil"/>
            </w:tcBorders>
            <w:vAlign w:val="center"/>
          </w:tcPr>
          <w:p>
            <w:pPr>
              <w:pStyle w:val="32"/>
              <w:adjustRightInd w:val="0"/>
              <w:snapToGrid w:val="0"/>
              <w:spacing w:before="0" w:beforeAutospacing="0" w:after="0" w:afterAutospacing="0"/>
              <w:jc w:val="center"/>
              <w:rPr>
                <w:rFonts w:cs="宋体"/>
                <w:sz w:val="21"/>
                <w:szCs w:val="21"/>
              </w:rPr>
            </w:pPr>
            <w:r>
              <w:rPr>
                <w:rFonts w:hint="eastAsia" w:cs="宋体"/>
                <w:sz w:val="21"/>
                <w:szCs w:val="21"/>
              </w:rPr>
              <w:t>建设内容</w:t>
            </w:r>
          </w:p>
        </w:tc>
        <w:tc>
          <w:tcPr>
            <w:tcW w:w="9317" w:type="dxa"/>
            <w:tcBorders>
              <w:tl2br w:val="nil"/>
              <w:tr2bl w:val="nil"/>
            </w:tcBorders>
          </w:tcPr>
          <w:p>
            <w:pPr>
              <w:spacing w:line="360" w:lineRule="auto"/>
              <w:ind w:firstLine="482" w:firstLineChars="200"/>
              <w:rPr>
                <w:b/>
                <w:bCs/>
                <w:sz w:val="24"/>
              </w:rPr>
            </w:pPr>
            <w:r>
              <w:rPr>
                <w:rFonts w:hint="eastAsia"/>
                <w:b/>
                <w:bCs/>
                <w:sz w:val="24"/>
              </w:rPr>
              <w:t>一、项目背景</w:t>
            </w:r>
          </w:p>
          <w:p>
            <w:pPr>
              <w:spacing w:line="360" w:lineRule="auto"/>
              <w:ind w:firstLine="480" w:firstLineChars="200"/>
              <w:rPr>
                <w:sz w:val="24"/>
              </w:rPr>
            </w:pPr>
            <w:r>
              <w:rPr>
                <w:rFonts w:hint="eastAsia"/>
                <w:sz w:val="24"/>
              </w:rPr>
              <w:t>泗水县睿成膨润土厂成立于</w:t>
            </w:r>
            <w:r>
              <w:rPr>
                <w:sz w:val="24"/>
              </w:rPr>
              <w:t>20</w:t>
            </w:r>
            <w:r>
              <w:rPr>
                <w:rFonts w:hint="eastAsia"/>
                <w:sz w:val="24"/>
              </w:rPr>
              <w:t>23</w:t>
            </w:r>
            <w:r>
              <w:rPr>
                <w:sz w:val="24"/>
              </w:rPr>
              <w:t>年</w:t>
            </w:r>
            <w:r>
              <w:rPr>
                <w:rFonts w:hint="eastAsia"/>
                <w:sz w:val="24"/>
                <w:lang w:val="en-US" w:eastAsia="zh-CN"/>
              </w:rPr>
              <w:t>1</w:t>
            </w:r>
            <w:r>
              <w:rPr>
                <w:sz w:val="24"/>
              </w:rPr>
              <w:t>月</w:t>
            </w:r>
            <w:r>
              <w:rPr>
                <w:rFonts w:hint="eastAsia"/>
                <w:sz w:val="24"/>
                <w:lang w:val="en-US" w:eastAsia="zh-CN"/>
              </w:rPr>
              <w:t>09</w:t>
            </w:r>
            <w:r>
              <w:rPr>
                <w:rFonts w:hint="eastAsia"/>
                <w:sz w:val="24"/>
              </w:rPr>
              <w:t>日，公司注册地为山东省济宁市泗水县柘沟镇西大厂村东100米圣峰石材院内，经营范围包括一般项目：铸造用造型材料生产；非金属矿物制品制造；非金属矿及制品销售。（除依法须经批准的项目外，凭营业执照依法自主开展经营活动）。</w:t>
            </w:r>
          </w:p>
          <w:p>
            <w:pPr>
              <w:spacing w:line="360" w:lineRule="auto"/>
              <w:ind w:firstLine="480" w:firstLineChars="200"/>
              <w:rPr>
                <w:sz w:val="24"/>
              </w:rPr>
            </w:pPr>
            <w:r>
              <w:rPr>
                <w:sz w:val="24"/>
              </w:rPr>
              <w:t>根据《中华人民共和国环境保护法》（自2015年1月1日起施行）、《中华人民共和国环境影响评价法》（2018年12月修订）的规定，项目需完成环境影响评价手续。查阅《建设项目环境影响评价分类管理名录》（2021年</w:t>
            </w:r>
            <w:r>
              <w:rPr>
                <w:rFonts w:hint="eastAsia"/>
                <w:sz w:val="24"/>
              </w:rPr>
              <w:t>版</w:t>
            </w:r>
            <w:r>
              <w:rPr>
                <w:sz w:val="24"/>
              </w:rPr>
              <w:t>），本项目属于</w:t>
            </w:r>
            <w:r>
              <w:rPr>
                <w:rFonts w:hint="eastAsia"/>
                <w:sz w:val="24"/>
              </w:rPr>
              <w:t>“二十七、非金属矿物制品制造30；60、石墨及其他非金属矿物制品制造309*；其他”</w:t>
            </w:r>
            <w:r>
              <w:rPr>
                <w:sz w:val="24"/>
              </w:rPr>
              <w:t>，需要编制环境影响报告表。</w:t>
            </w:r>
          </w:p>
          <w:p>
            <w:pPr>
              <w:spacing w:line="360" w:lineRule="auto"/>
              <w:ind w:firstLine="482" w:firstLineChars="200"/>
              <w:rPr>
                <w:b/>
                <w:bCs/>
                <w:sz w:val="24"/>
              </w:rPr>
            </w:pPr>
            <w:r>
              <w:rPr>
                <w:rFonts w:hint="eastAsia"/>
                <w:b/>
                <w:bCs/>
                <w:sz w:val="24"/>
              </w:rPr>
              <w:t>二</w:t>
            </w:r>
            <w:r>
              <w:rPr>
                <w:b/>
                <w:bCs/>
                <w:sz w:val="24"/>
              </w:rPr>
              <w:t>、项目组成</w:t>
            </w:r>
          </w:p>
          <w:p>
            <w:pPr>
              <w:jc w:val="center"/>
              <w:rPr>
                <w:b/>
                <w:bCs/>
                <w:szCs w:val="21"/>
              </w:rPr>
            </w:pPr>
            <w:r>
              <w:rPr>
                <w:b/>
                <w:bCs/>
                <w:sz w:val="24"/>
              </w:rPr>
              <w:t>表</w:t>
            </w:r>
            <w:r>
              <w:rPr>
                <w:rFonts w:hint="eastAsia"/>
                <w:b/>
                <w:bCs/>
                <w:sz w:val="24"/>
              </w:rPr>
              <w:t>2</w:t>
            </w:r>
            <w:r>
              <w:rPr>
                <w:b/>
                <w:bCs/>
                <w:sz w:val="24"/>
              </w:rPr>
              <w:t>-1 项目组成表</w:t>
            </w:r>
          </w:p>
          <w:tbl>
            <w:tblPr>
              <w:tblStyle w:val="35"/>
              <w:tblW w:w="909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0"/>
              <w:gridCol w:w="1644"/>
              <w:gridCol w:w="5420"/>
              <w:gridCol w:w="13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1" w:hRule="atLeast"/>
              </w:trPr>
              <w:tc>
                <w:tcPr>
                  <w:tcW w:w="630" w:type="dxa"/>
                  <w:tcBorders>
                    <w:tl2br w:val="nil"/>
                    <w:tr2bl w:val="nil"/>
                  </w:tcBorders>
                  <w:vAlign w:val="center"/>
                </w:tcPr>
                <w:p>
                  <w:pPr>
                    <w:pStyle w:val="79"/>
                    <w:jc w:val="center"/>
                    <w:textAlignment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工程</w:t>
                  </w:r>
                </w:p>
                <w:p>
                  <w:pPr>
                    <w:pStyle w:val="79"/>
                    <w:jc w:val="center"/>
                    <w:textAlignment w:val="center"/>
                    <w:rPr>
                      <w:rFonts w:ascii="Times New Roman" w:hAnsi="Times New Roman" w:cs="Times New Roman"/>
                      <w:b/>
                      <w:bCs/>
                      <w:sz w:val="21"/>
                      <w:szCs w:val="21"/>
                    </w:rPr>
                  </w:pPr>
                  <w:r>
                    <w:rPr>
                      <w:rFonts w:ascii="Times New Roman" w:hAnsi="Times New Roman" w:cs="Times New Roman"/>
                      <w:b/>
                      <w:bCs/>
                      <w:sz w:val="21"/>
                      <w:szCs w:val="21"/>
                      <w:lang w:eastAsia="zh-CN"/>
                    </w:rPr>
                    <w:t>类别</w:t>
                  </w:r>
                </w:p>
              </w:tc>
              <w:tc>
                <w:tcPr>
                  <w:tcW w:w="1644" w:type="dxa"/>
                  <w:tcBorders>
                    <w:tl2br w:val="nil"/>
                    <w:tr2bl w:val="nil"/>
                  </w:tcBorders>
                  <w:vAlign w:val="center"/>
                </w:tcPr>
                <w:p>
                  <w:pPr>
                    <w:pStyle w:val="79"/>
                    <w:jc w:val="center"/>
                    <w:textAlignment w:val="center"/>
                    <w:rPr>
                      <w:rFonts w:ascii="Times New Roman" w:hAnsi="Times New Roman" w:cs="Times New Roman"/>
                      <w:b/>
                      <w:bCs/>
                      <w:sz w:val="21"/>
                      <w:szCs w:val="21"/>
                    </w:rPr>
                  </w:pPr>
                  <w:r>
                    <w:rPr>
                      <w:rFonts w:ascii="Times New Roman" w:hAnsi="Times New Roman" w:cs="Times New Roman"/>
                      <w:b/>
                      <w:bCs/>
                      <w:sz w:val="21"/>
                      <w:szCs w:val="21"/>
                    </w:rPr>
                    <w:t>工程名称</w:t>
                  </w:r>
                </w:p>
              </w:tc>
              <w:tc>
                <w:tcPr>
                  <w:tcW w:w="5420" w:type="dxa"/>
                  <w:tcBorders>
                    <w:tl2br w:val="nil"/>
                    <w:tr2bl w:val="nil"/>
                  </w:tcBorders>
                  <w:vAlign w:val="center"/>
                </w:tcPr>
                <w:p>
                  <w:pPr>
                    <w:pStyle w:val="79"/>
                    <w:jc w:val="center"/>
                    <w:textAlignment w:val="center"/>
                    <w:rPr>
                      <w:rFonts w:ascii="Times New Roman" w:hAnsi="Times New Roman" w:cs="Times New Roman"/>
                      <w:b/>
                      <w:bCs/>
                      <w:sz w:val="21"/>
                      <w:szCs w:val="21"/>
                    </w:rPr>
                  </w:pPr>
                  <w:r>
                    <w:rPr>
                      <w:rFonts w:ascii="Times New Roman" w:hAnsi="Times New Roman" w:cs="Times New Roman"/>
                      <w:b/>
                      <w:bCs/>
                      <w:sz w:val="21"/>
                      <w:szCs w:val="21"/>
                    </w:rPr>
                    <w:t>工程内容</w:t>
                  </w:r>
                </w:p>
              </w:tc>
              <w:tc>
                <w:tcPr>
                  <w:tcW w:w="1397" w:type="dxa"/>
                  <w:tcBorders>
                    <w:tl2br w:val="nil"/>
                    <w:tr2bl w:val="nil"/>
                  </w:tcBorders>
                  <w:vAlign w:val="center"/>
                </w:tcPr>
                <w:p>
                  <w:pPr>
                    <w:pStyle w:val="79"/>
                    <w:jc w:val="center"/>
                    <w:textAlignment w:val="center"/>
                    <w:rPr>
                      <w:rFonts w:ascii="Times New Roman" w:hAnsi="Times New Roman" w:cs="Times New Roman"/>
                      <w:b/>
                      <w:bCs/>
                      <w:sz w:val="21"/>
                      <w:szCs w:val="21"/>
                    </w:rPr>
                  </w:pPr>
                  <w:r>
                    <w:rPr>
                      <w:rFonts w:ascii="Times New Roman" w:hAnsi="Times New Roman" w:cs="Times New Roman"/>
                      <w:b/>
                      <w:bCs/>
                      <w:sz w:val="21"/>
                      <w:szCs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630" w:type="dxa"/>
                  <w:vMerge w:val="restart"/>
                  <w:tcBorders>
                    <w:tl2br w:val="nil"/>
                    <w:tr2bl w:val="nil"/>
                  </w:tcBorders>
                  <w:vAlign w:val="center"/>
                </w:tcPr>
                <w:p>
                  <w:pPr>
                    <w:pStyle w:val="79"/>
                    <w:jc w:val="center"/>
                    <w:textAlignment w:val="center"/>
                    <w:rPr>
                      <w:rFonts w:ascii="Times New Roman" w:hAnsi="Times New Roman" w:cs="Times New Roman"/>
                      <w:sz w:val="21"/>
                      <w:szCs w:val="21"/>
                    </w:rPr>
                  </w:pPr>
                  <w:r>
                    <w:rPr>
                      <w:rFonts w:ascii="Times New Roman" w:hAnsi="Times New Roman" w:cs="Times New Roman"/>
                      <w:sz w:val="21"/>
                      <w:szCs w:val="21"/>
                    </w:rPr>
                    <w:t>主体工程</w:t>
                  </w:r>
                </w:p>
              </w:tc>
              <w:tc>
                <w:tcPr>
                  <w:tcW w:w="1644" w:type="dxa"/>
                  <w:tcBorders>
                    <w:tl2br w:val="nil"/>
                    <w:tr2bl w:val="nil"/>
                  </w:tcBorders>
                  <w:vAlign w:val="center"/>
                </w:tcPr>
                <w:p>
                  <w:pPr>
                    <w:pStyle w:val="79"/>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生产车间</w:t>
                  </w:r>
                </w:p>
              </w:tc>
              <w:tc>
                <w:tcPr>
                  <w:tcW w:w="5420" w:type="dxa"/>
                  <w:tcBorders>
                    <w:tl2br w:val="nil"/>
                    <w:tr2bl w:val="nil"/>
                  </w:tcBorders>
                  <w:vAlign w:val="center"/>
                </w:tcPr>
                <w:p>
                  <w:pPr>
                    <w:snapToGrid w:val="0"/>
                    <w:jc w:val="center"/>
                    <w:rPr>
                      <w:szCs w:val="21"/>
                    </w:rPr>
                  </w:pPr>
                  <w:r>
                    <w:rPr>
                      <w:rFonts w:hint="eastAsia"/>
                      <w:szCs w:val="21"/>
                    </w:rPr>
                    <w:t>钢结构封闭车间</w:t>
                  </w:r>
                  <w:r>
                    <w:rPr>
                      <w:szCs w:val="21"/>
                    </w:rPr>
                    <w:t>，建筑面积</w:t>
                  </w:r>
                  <w:r>
                    <w:rPr>
                      <w:rFonts w:hint="eastAsia"/>
                      <w:szCs w:val="21"/>
                    </w:rPr>
                    <w:t>约700</w:t>
                  </w:r>
                  <w:r>
                    <w:rPr>
                      <w:szCs w:val="21"/>
                    </w:rPr>
                    <w:t>m</w:t>
                  </w:r>
                  <w:r>
                    <w:rPr>
                      <w:szCs w:val="21"/>
                      <w:vertAlign w:val="superscript"/>
                    </w:rPr>
                    <w:t>2</w:t>
                  </w:r>
                  <w:r>
                    <w:rPr>
                      <w:szCs w:val="21"/>
                    </w:rPr>
                    <w:t>；</w:t>
                  </w:r>
                  <w:r>
                    <w:rPr>
                      <w:rFonts w:hint="eastAsia"/>
                      <w:szCs w:val="21"/>
                    </w:rPr>
                    <w:t>设置原料储存区、生产区、成品区；</w:t>
                  </w:r>
                </w:p>
              </w:tc>
              <w:tc>
                <w:tcPr>
                  <w:tcW w:w="1397" w:type="dxa"/>
                  <w:tcBorders>
                    <w:tl2br w:val="nil"/>
                    <w:tr2bl w:val="nil"/>
                  </w:tcBorders>
                  <w:vAlign w:val="center"/>
                </w:tcPr>
                <w:p>
                  <w:pPr>
                    <w:jc w:val="center"/>
                    <w:textAlignment w:val="center"/>
                    <w:rPr>
                      <w:szCs w:val="21"/>
                    </w:rPr>
                  </w:pPr>
                  <w:r>
                    <w:rPr>
                      <w:rFonts w:hint="eastAsia"/>
                      <w:kern w:val="0"/>
                      <w:szCs w:val="21"/>
                    </w:rPr>
                    <w:t>租赁现有车间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630" w:type="dxa"/>
                  <w:vMerge w:val="continue"/>
                  <w:tcBorders>
                    <w:tl2br w:val="nil"/>
                    <w:tr2bl w:val="nil"/>
                  </w:tcBorders>
                  <w:vAlign w:val="center"/>
                </w:tcPr>
                <w:p>
                  <w:pPr>
                    <w:jc w:val="center"/>
                    <w:textAlignment w:val="center"/>
                  </w:pPr>
                </w:p>
              </w:tc>
              <w:tc>
                <w:tcPr>
                  <w:tcW w:w="1644" w:type="dxa"/>
                  <w:tcBorders>
                    <w:tl2br w:val="nil"/>
                    <w:tr2bl w:val="nil"/>
                  </w:tcBorders>
                  <w:vAlign w:val="center"/>
                </w:tcPr>
                <w:p>
                  <w:pPr>
                    <w:jc w:val="center"/>
                    <w:textAlignment w:val="center"/>
                    <w:rPr>
                      <w:szCs w:val="21"/>
                    </w:rPr>
                  </w:pPr>
                  <w:r>
                    <w:rPr>
                      <w:rFonts w:hint="eastAsia"/>
                      <w:szCs w:val="21"/>
                    </w:rPr>
                    <w:t>洗车平台</w:t>
                  </w:r>
                </w:p>
              </w:tc>
              <w:tc>
                <w:tcPr>
                  <w:tcW w:w="5420" w:type="dxa"/>
                  <w:tcBorders>
                    <w:tl2br w:val="nil"/>
                    <w:tr2bl w:val="nil"/>
                  </w:tcBorders>
                  <w:vAlign w:val="center"/>
                </w:tcPr>
                <w:p>
                  <w:pPr>
                    <w:jc w:val="center"/>
                    <w:textAlignment w:val="center"/>
                    <w:rPr>
                      <w:szCs w:val="21"/>
                    </w:rPr>
                  </w:pPr>
                  <w:r>
                    <w:rPr>
                      <w:szCs w:val="21"/>
                    </w:rPr>
                    <w:t>洗车台总长度不低于7米，总宽度不低于5米，两侧要有挡板</w:t>
                  </w:r>
                  <w:r>
                    <w:rPr>
                      <w:rFonts w:hint="eastAsia"/>
                      <w:szCs w:val="21"/>
                    </w:rPr>
                    <w:t>，</w:t>
                  </w:r>
                  <w:r>
                    <w:rPr>
                      <w:szCs w:val="21"/>
                    </w:rPr>
                    <w:t>喷水高度不低于1.2米，喷水压力不低于0.4MPa。</w:t>
                  </w:r>
                </w:p>
              </w:tc>
              <w:tc>
                <w:tcPr>
                  <w:tcW w:w="1397" w:type="dxa"/>
                  <w:tcBorders>
                    <w:tl2br w:val="nil"/>
                    <w:tr2bl w:val="nil"/>
                  </w:tcBorders>
                  <w:vAlign w:val="center"/>
                </w:tcPr>
                <w:p>
                  <w:pPr>
                    <w:jc w:val="center"/>
                    <w:textAlignment w:val="center"/>
                    <w:rPr>
                      <w:szCs w:val="21"/>
                    </w:rPr>
                  </w:pPr>
                  <w:r>
                    <w:rPr>
                      <w:rFonts w:hint="eastAsia"/>
                      <w:szCs w:val="21"/>
                    </w:rPr>
                    <w:t>新建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630" w:type="dxa"/>
                  <w:tcBorders>
                    <w:tl2br w:val="nil"/>
                    <w:tr2bl w:val="nil"/>
                  </w:tcBorders>
                  <w:vAlign w:val="center"/>
                </w:tcPr>
                <w:p>
                  <w:pPr>
                    <w:jc w:val="center"/>
                    <w:textAlignment w:val="center"/>
                    <w:rPr>
                      <w:szCs w:val="21"/>
                    </w:rPr>
                  </w:pPr>
                  <w:r>
                    <w:rPr>
                      <w:szCs w:val="21"/>
                    </w:rPr>
                    <w:t>辅助工程</w:t>
                  </w:r>
                </w:p>
              </w:tc>
              <w:tc>
                <w:tcPr>
                  <w:tcW w:w="1644" w:type="dxa"/>
                  <w:tcBorders>
                    <w:tl2br w:val="nil"/>
                    <w:tr2bl w:val="nil"/>
                  </w:tcBorders>
                  <w:vAlign w:val="center"/>
                </w:tcPr>
                <w:p>
                  <w:pPr>
                    <w:pStyle w:val="79"/>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办公室</w:t>
                  </w:r>
                </w:p>
              </w:tc>
              <w:tc>
                <w:tcPr>
                  <w:tcW w:w="5420" w:type="dxa"/>
                  <w:tcBorders>
                    <w:tl2br w:val="nil"/>
                    <w:tr2bl w:val="nil"/>
                  </w:tcBorders>
                  <w:vAlign w:val="center"/>
                </w:tcPr>
                <w:p>
                  <w:pPr>
                    <w:pStyle w:val="79"/>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1座，位于厂区北侧，建筑面积约50m</w:t>
                  </w:r>
                  <w:r>
                    <w:rPr>
                      <w:rFonts w:hint="eastAsia" w:ascii="Times New Roman" w:hAnsi="Times New Roman" w:cs="Times New Roman"/>
                      <w:sz w:val="21"/>
                      <w:szCs w:val="21"/>
                      <w:vertAlign w:val="superscript"/>
                      <w:lang w:eastAsia="zh-CN"/>
                    </w:rPr>
                    <w:t>2</w:t>
                  </w:r>
                  <w:r>
                    <w:rPr>
                      <w:rFonts w:hint="eastAsia" w:ascii="Times New Roman" w:hAnsi="Times New Roman" w:cs="Times New Roman"/>
                      <w:sz w:val="21"/>
                      <w:szCs w:val="21"/>
                      <w:lang w:eastAsia="zh-CN"/>
                    </w:rPr>
                    <w:t>，</w:t>
                  </w:r>
                  <w:r>
                    <w:rPr>
                      <w:rFonts w:ascii="Times New Roman" w:hAnsi="Times New Roman" w:cs="Times New Roman"/>
                      <w:sz w:val="21"/>
                      <w:szCs w:val="21"/>
                      <w:lang w:eastAsia="zh-CN"/>
                    </w:rPr>
                    <w:t>用于日常办公</w:t>
                  </w:r>
                  <w:r>
                    <w:rPr>
                      <w:rFonts w:hint="eastAsia" w:ascii="Times New Roman" w:hAnsi="Times New Roman" w:cs="Times New Roman"/>
                      <w:sz w:val="21"/>
                      <w:szCs w:val="21"/>
                      <w:lang w:eastAsia="zh-CN"/>
                    </w:rPr>
                    <w:t>；</w:t>
                  </w:r>
                </w:p>
              </w:tc>
              <w:tc>
                <w:tcPr>
                  <w:tcW w:w="1397" w:type="dxa"/>
                  <w:tcBorders>
                    <w:tl2br w:val="nil"/>
                    <w:tr2bl w:val="nil"/>
                  </w:tcBorders>
                  <w:vAlign w:val="center"/>
                </w:tcPr>
                <w:p>
                  <w:pPr>
                    <w:jc w:val="center"/>
                    <w:textAlignment w:val="center"/>
                    <w:rPr>
                      <w:szCs w:val="21"/>
                    </w:rPr>
                  </w:pPr>
                  <w:r>
                    <w:rPr>
                      <w:rFonts w:hint="eastAsia"/>
                      <w:kern w:val="0"/>
                      <w:szCs w:val="21"/>
                    </w:rPr>
                    <w:t>租赁现有车间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6" w:hRule="atLeast"/>
              </w:trPr>
              <w:tc>
                <w:tcPr>
                  <w:tcW w:w="630" w:type="dxa"/>
                  <w:vMerge w:val="restart"/>
                  <w:tcBorders>
                    <w:tl2br w:val="nil"/>
                    <w:tr2bl w:val="nil"/>
                  </w:tcBorders>
                  <w:vAlign w:val="center"/>
                </w:tcPr>
                <w:p>
                  <w:pPr>
                    <w:jc w:val="center"/>
                    <w:textAlignment w:val="center"/>
                    <w:rPr>
                      <w:szCs w:val="21"/>
                    </w:rPr>
                  </w:pPr>
                  <w:r>
                    <w:rPr>
                      <w:rFonts w:hint="eastAsia"/>
                      <w:szCs w:val="21"/>
                    </w:rPr>
                    <w:t>储运工程</w:t>
                  </w:r>
                </w:p>
              </w:tc>
              <w:tc>
                <w:tcPr>
                  <w:tcW w:w="1644" w:type="dxa"/>
                  <w:tcBorders>
                    <w:tl2br w:val="nil"/>
                    <w:tr2bl w:val="nil"/>
                  </w:tcBorders>
                  <w:vAlign w:val="center"/>
                </w:tcPr>
                <w:p>
                  <w:pPr>
                    <w:jc w:val="center"/>
                    <w:textAlignment w:val="center"/>
                    <w:rPr>
                      <w:szCs w:val="21"/>
                    </w:rPr>
                  </w:pPr>
                  <w:r>
                    <w:rPr>
                      <w:rFonts w:hint="eastAsia"/>
                      <w:szCs w:val="21"/>
                    </w:rPr>
                    <w:t>原料储存区</w:t>
                  </w:r>
                </w:p>
              </w:tc>
              <w:tc>
                <w:tcPr>
                  <w:tcW w:w="5420" w:type="dxa"/>
                  <w:tcBorders>
                    <w:tl2br w:val="nil"/>
                    <w:tr2bl w:val="nil"/>
                  </w:tcBorders>
                  <w:vAlign w:val="center"/>
                </w:tcPr>
                <w:p>
                  <w:pPr>
                    <w:jc w:val="center"/>
                    <w:textAlignment w:val="center"/>
                    <w:rPr>
                      <w:szCs w:val="21"/>
                    </w:rPr>
                  </w:pPr>
                  <w:r>
                    <w:rPr>
                      <w:rFonts w:hint="eastAsia"/>
                      <w:szCs w:val="21"/>
                    </w:rPr>
                    <w:t>位于生产车间内，面积约为150㎡，用于原料存放</w:t>
                  </w:r>
                </w:p>
              </w:tc>
              <w:tc>
                <w:tcPr>
                  <w:tcW w:w="1397" w:type="dxa"/>
                  <w:tcBorders>
                    <w:tl2br w:val="nil"/>
                    <w:tr2bl w:val="nil"/>
                  </w:tcBorders>
                  <w:vAlign w:val="center"/>
                </w:tcPr>
                <w:p>
                  <w:pPr>
                    <w:jc w:val="center"/>
                    <w:textAlignment w:val="center"/>
                    <w:rPr>
                      <w:szCs w:val="21"/>
                    </w:rPr>
                  </w:pPr>
                  <w:r>
                    <w:rPr>
                      <w:rFonts w:hint="eastAsia"/>
                      <w:kern w:val="0"/>
                      <w:szCs w:val="21"/>
                    </w:rPr>
                    <w:t>租赁现有车间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6" w:hRule="atLeast"/>
              </w:trPr>
              <w:tc>
                <w:tcPr>
                  <w:tcW w:w="630" w:type="dxa"/>
                  <w:vMerge w:val="continue"/>
                  <w:tcBorders>
                    <w:tl2br w:val="nil"/>
                    <w:tr2bl w:val="nil"/>
                  </w:tcBorders>
                  <w:vAlign w:val="center"/>
                </w:tcPr>
                <w:p>
                  <w:pPr>
                    <w:jc w:val="center"/>
                    <w:textAlignment w:val="center"/>
                  </w:pPr>
                </w:p>
              </w:tc>
              <w:tc>
                <w:tcPr>
                  <w:tcW w:w="1644" w:type="dxa"/>
                  <w:tcBorders>
                    <w:tl2br w:val="nil"/>
                    <w:tr2bl w:val="nil"/>
                  </w:tcBorders>
                  <w:vAlign w:val="center"/>
                </w:tcPr>
                <w:p>
                  <w:pPr>
                    <w:jc w:val="center"/>
                    <w:textAlignment w:val="center"/>
                    <w:rPr>
                      <w:szCs w:val="21"/>
                    </w:rPr>
                  </w:pPr>
                  <w:r>
                    <w:rPr>
                      <w:rFonts w:hint="eastAsia"/>
                      <w:szCs w:val="21"/>
                    </w:rPr>
                    <w:t>成品区</w:t>
                  </w:r>
                </w:p>
              </w:tc>
              <w:tc>
                <w:tcPr>
                  <w:tcW w:w="5420" w:type="dxa"/>
                  <w:tcBorders>
                    <w:tl2br w:val="nil"/>
                    <w:tr2bl w:val="nil"/>
                  </w:tcBorders>
                  <w:vAlign w:val="center"/>
                </w:tcPr>
                <w:p>
                  <w:pPr>
                    <w:jc w:val="center"/>
                    <w:textAlignment w:val="center"/>
                    <w:rPr>
                      <w:szCs w:val="21"/>
                    </w:rPr>
                  </w:pPr>
                  <w:r>
                    <w:rPr>
                      <w:rFonts w:hint="eastAsia"/>
                      <w:szCs w:val="21"/>
                    </w:rPr>
                    <w:t>位于生产车间内，面积约为150㎡，用于产品存放</w:t>
                  </w:r>
                </w:p>
              </w:tc>
              <w:tc>
                <w:tcPr>
                  <w:tcW w:w="1397" w:type="dxa"/>
                  <w:tcBorders>
                    <w:tl2br w:val="nil"/>
                    <w:tr2bl w:val="nil"/>
                  </w:tcBorders>
                  <w:vAlign w:val="center"/>
                </w:tcPr>
                <w:p>
                  <w:pPr>
                    <w:jc w:val="center"/>
                    <w:textAlignment w:val="center"/>
                    <w:rPr>
                      <w:szCs w:val="21"/>
                    </w:rPr>
                  </w:pPr>
                  <w:r>
                    <w:rPr>
                      <w:rFonts w:hint="eastAsia"/>
                      <w:kern w:val="0"/>
                      <w:szCs w:val="21"/>
                    </w:rPr>
                    <w:t>租赁现有车间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2" w:hRule="atLeast"/>
              </w:trPr>
              <w:tc>
                <w:tcPr>
                  <w:tcW w:w="630" w:type="dxa"/>
                  <w:vMerge w:val="restart"/>
                  <w:tcBorders>
                    <w:tl2br w:val="nil"/>
                    <w:tr2bl w:val="nil"/>
                  </w:tcBorders>
                  <w:vAlign w:val="center"/>
                </w:tcPr>
                <w:p>
                  <w:pPr>
                    <w:pStyle w:val="79"/>
                    <w:jc w:val="center"/>
                    <w:textAlignment w:val="center"/>
                    <w:rPr>
                      <w:rFonts w:ascii="Times New Roman" w:hAnsi="Times New Roman" w:cs="Times New Roman"/>
                      <w:sz w:val="21"/>
                      <w:szCs w:val="21"/>
                    </w:rPr>
                  </w:pPr>
                  <w:r>
                    <w:rPr>
                      <w:rFonts w:ascii="Times New Roman" w:hAnsi="Times New Roman" w:cs="Times New Roman"/>
                      <w:sz w:val="21"/>
                      <w:szCs w:val="21"/>
                    </w:rPr>
                    <w:t>公用工程</w:t>
                  </w:r>
                </w:p>
              </w:tc>
              <w:tc>
                <w:tcPr>
                  <w:tcW w:w="1644" w:type="dxa"/>
                  <w:tcBorders>
                    <w:tl2br w:val="nil"/>
                    <w:tr2bl w:val="nil"/>
                  </w:tcBorders>
                  <w:vAlign w:val="center"/>
                </w:tcPr>
                <w:p>
                  <w:pPr>
                    <w:pStyle w:val="79"/>
                    <w:jc w:val="center"/>
                    <w:textAlignment w:val="center"/>
                    <w:rPr>
                      <w:rFonts w:ascii="Times New Roman" w:hAnsi="Times New Roman" w:cs="Times New Roman"/>
                      <w:sz w:val="21"/>
                      <w:szCs w:val="21"/>
                    </w:rPr>
                  </w:pPr>
                  <w:r>
                    <w:rPr>
                      <w:rFonts w:ascii="Times New Roman" w:hAnsi="Times New Roman" w:cs="Times New Roman"/>
                      <w:sz w:val="21"/>
                      <w:szCs w:val="21"/>
                    </w:rPr>
                    <w:t>供水</w:t>
                  </w:r>
                </w:p>
              </w:tc>
              <w:tc>
                <w:tcPr>
                  <w:tcW w:w="6813" w:type="dxa"/>
                  <w:gridSpan w:val="2"/>
                  <w:tcBorders>
                    <w:tl2br w:val="nil"/>
                    <w:tr2bl w:val="nil"/>
                  </w:tcBorders>
                  <w:vAlign w:val="center"/>
                </w:tcPr>
                <w:p>
                  <w:pPr>
                    <w:pStyle w:val="79"/>
                    <w:jc w:val="center"/>
                    <w:textAlignment w:val="center"/>
                    <w:rPr>
                      <w:rFonts w:ascii="Times New Roman" w:hAnsi="Times New Roman" w:cs="Times New Roman"/>
                      <w:sz w:val="21"/>
                      <w:szCs w:val="21"/>
                      <w:lang w:eastAsia="zh-CN"/>
                    </w:rPr>
                  </w:pPr>
                  <w:r>
                    <w:rPr>
                      <w:rFonts w:ascii="Times New Roman" w:hAnsi="Times New Roman" w:cs="Times New Roman"/>
                      <w:sz w:val="21"/>
                      <w:szCs w:val="21"/>
                      <w:lang w:eastAsia="zh-CN"/>
                    </w:rPr>
                    <w:t>由</w:t>
                  </w:r>
                  <w:r>
                    <w:rPr>
                      <w:rFonts w:hint="eastAsia" w:ascii="Times New Roman" w:hAnsi="Times New Roman" w:cs="Times New Roman"/>
                      <w:sz w:val="21"/>
                      <w:szCs w:val="21"/>
                      <w:lang w:eastAsia="zh-CN"/>
                    </w:rPr>
                    <w:t>当地供水系统供水；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8" w:hRule="atLeast"/>
              </w:trPr>
              <w:tc>
                <w:tcPr>
                  <w:tcW w:w="630" w:type="dxa"/>
                  <w:vMerge w:val="continue"/>
                  <w:tcBorders>
                    <w:tl2br w:val="nil"/>
                    <w:tr2bl w:val="nil"/>
                  </w:tcBorders>
                  <w:vAlign w:val="center"/>
                </w:tcPr>
                <w:p>
                  <w:pPr>
                    <w:jc w:val="center"/>
                    <w:textAlignment w:val="center"/>
                    <w:rPr>
                      <w:szCs w:val="21"/>
                    </w:rPr>
                  </w:pPr>
                </w:p>
              </w:tc>
              <w:tc>
                <w:tcPr>
                  <w:tcW w:w="1644" w:type="dxa"/>
                  <w:tcBorders>
                    <w:tl2br w:val="nil"/>
                    <w:tr2bl w:val="nil"/>
                  </w:tcBorders>
                  <w:vAlign w:val="center"/>
                </w:tcPr>
                <w:p>
                  <w:pPr>
                    <w:pStyle w:val="79"/>
                    <w:jc w:val="center"/>
                    <w:textAlignment w:val="center"/>
                    <w:rPr>
                      <w:rFonts w:ascii="Times New Roman" w:hAnsi="Times New Roman" w:cs="Times New Roman"/>
                      <w:sz w:val="21"/>
                      <w:szCs w:val="21"/>
                    </w:rPr>
                  </w:pPr>
                  <w:r>
                    <w:rPr>
                      <w:rFonts w:ascii="Times New Roman" w:hAnsi="Times New Roman" w:cs="Times New Roman"/>
                      <w:sz w:val="21"/>
                      <w:szCs w:val="21"/>
                    </w:rPr>
                    <w:t>供电</w:t>
                  </w:r>
                </w:p>
              </w:tc>
              <w:tc>
                <w:tcPr>
                  <w:tcW w:w="6813" w:type="dxa"/>
                  <w:gridSpan w:val="2"/>
                  <w:tcBorders>
                    <w:tl2br w:val="nil"/>
                    <w:tr2bl w:val="nil"/>
                  </w:tcBorders>
                  <w:vAlign w:val="center"/>
                </w:tcPr>
                <w:p>
                  <w:pPr>
                    <w:pStyle w:val="79"/>
                    <w:jc w:val="center"/>
                    <w:textAlignment w:val="center"/>
                    <w:rPr>
                      <w:rFonts w:ascii="Times New Roman" w:hAnsi="Times New Roman" w:cs="Times New Roman"/>
                      <w:sz w:val="21"/>
                      <w:szCs w:val="21"/>
                      <w:lang w:eastAsia="zh-CN"/>
                    </w:rPr>
                  </w:pPr>
                  <w:r>
                    <w:rPr>
                      <w:sz w:val="21"/>
                      <w:szCs w:val="21"/>
                      <w:lang w:eastAsia="zh-CN"/>
                    </w:rPr>
                    <w:t>由</w:t>
                  </w:r>
                  <w:r>
                    <w:rPr>
                      <w:rFonts w:hint="eastAsia"/>
                      <w:sz w:val="21"/>
                      <w:szCs w:val="21"/>
                      <w:lang w:eastAsia="zh-CN"/>
                    </w:rPr>
                    <w:t>柘沟镇</w:t>
                  </w:r>
                  <w:r>
                    <w:rPr>
                      <w:sz w:val="21"/>
                      <w:szCs w:val="21"/>
                      <w:lang w:eastAsia="zh-CN"/>
                    </w:rPr>
                    <w:t>供电系统供给，厂内设配电室</w:t>
                  </w:r>
                  <w:r>
                    <w:rPr>
                      <w:rFonts w:hint="eastAsia" w:ascii="Times New Roman" w:hAnsi="Times New Roman" w:cs="Times New Roman"/>
                      <w:sz w:val="21"/>
                      <w:szCs w:val="21"/>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 w:hRule="atLeast"/>
              </w:trPr>
              <w:tc>
                <w:tcPr>
                  <w:tcW w:w="630" w:type="dxa"/>
                  <w:vMerge w:val="continue"/>
                  <w:tcBorders>
                    <w:tl2br w:val="nil"/>
                    <w:tr2bl w:val="nil"/>
                  </w:tcBorders>
                  <w:vAlign w:val="center"/>
                </w:tcPr>
                <w:p>
                  <w:pPr>
                    <w:jc w:val="center"/>
                    <w:textAlignment w:val="center"/>
                    <w:rPr>
                      <w:szCs w:val="21"/>
                    </w:rPr>
                  </w:pPr>
                </w:p>
              </w:tc>
              <w:tc>
                <w:tcPr>
                  <w:tcW w:w="1644" w:type="dxa"/>
                  <w:tcBorders>
                    <w:tl2br w:val="nil"/>
                    <w:tr2bl w:val="nil"/>
                  </w:tcBorders>
                  <w:vAlign w:val="center"/>
                </w:tcPr>
                <w:p>
                  <w:pPr>
                    <w:pStyle w:val="79"/>
                    <w:jc w:val="center"/>
                    <w:textAlignment w:val="center"/>
                    <w:rPr>
                      <w:rFonts w:ascii="Times New Roman" w:hAnsi="Times New Roman" w:cs="Times New Roman"/>
                      <w:sz w:val="21"/>
                      <w:szCs w:val="21"/>
                      <w:lang w:eastAsia="zh-CN"/>
                    </w:rPr>
                  </w:pPr>
                  <w:r>
                    <w:rPr>
                      <w:rFonts w:ascii="Times New Roman" w:hAnsi="Times New Roman" w:cs="Times New Roman"/>
                      <w:sz w:val="21"/>
                      <w:szCs w:val="21"/>
                    </w:rPr>
                    <w:t>供</w:t>
                  </w:r>
                  <w:r>
                    <w:rPr>
                      <w:rFonts w:ascii="Times New Roman" w:hAnsi="Times New Roman" w:cs="Times New Roman"/>
                      <w:sz w:val="21"/>
                      <w:szCs w:val="21"/>
                      <w:lang w:eastAsia="zh-CN"/>
                    </w:rPr>
                    <w:t>热</w:t>
                  </w:r>
                </w:p>
              </w:tc>
              <w:tc>
                <w:tcPr>
                  <w:tcW w:w="6813" w:type="dxa"/>
                  <w:gridSpan w:val="2"/>
                  <w:tcBorders>
                    <w:tl2br w:val="nil"/>
                    <w:tr2bl w:val="nil"/>
                  </w:tcBorders>
                  <w:vAlign w:val="center"/>
                </w:tcPr>
                <w:p>
                  <w:pPr>
                    <w:pStyle w:val="79"/>
                    <w:jc w:val="center"/>
                    <w:textAlignment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办公室使用空调</w:t>
                  </w:r>
                  <w:r>
                    <w:rPr>
                      <w:rFonts w:ascii="Times New Roman" w:hAnsi="Times New Roman" w:cs="Times New Roman"/>
                      <w:sz w:val="21"/>
                      <w:szCs w:val="21"/>
                      <w:lang w:eastAsia="zh-CN"/>
                    </w:rPr>
                    <w:t>供暖</w:t>
                  </w:r>
                  <w:r>
                    <w:rPr>
                      <w:rFonts w:hint="eastAsia" w:ascii="Times New Roman" w:hAnsi="Times New Roman" w:cs="Times New Roman"/>
                      <w:sz w:val="21"/>
                      <w:szCs w:val="21"/>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7" w:hRule="atLeast"/>
              </w:trPr>
              <w:tc>
                <w:tcPr>
                  <w:tcW w:w="630" w:type="dxa"/>
                  <w:vMerge w:val="continue"/>
                  <w:tcBorders>
                    <w:tl2br w:val="nil"/>
                    <w:tr2bl w:val="nil"/>
                  </w:tcBorders>
                  <w:vAlign w:val="center"/>
                </w:tcPr>
                <w:p>
                  <w:pPr>
                    <w:jc w:val="center"/>
                    <w:textAlignment w:val="center"/>
                    <w:rPr>
                      <w:szCs w:val="21"/>
                    </w:rPr>
                  </w:pPr>
                </w:p>
              </w:tc>
              <w:tc>
                <w:tcPr>
                  <w:tcW w:w="1644" w:type="dxa"/>
                  <w:tcBorders>
                    <w:tl2br w:val="nil"/>
                    <w:tr2bl w:val="nil"/>
                  </w:tcBorders>
                  <w:vAlign w:val="center"/>
                </w:tcPr>
                <w:p>
                  <w:pPr>
                    <w:pStyle w:val="79"/>
                    <w:jc w:val="center"/>
                    <w:textAlignment w:val="center"/>
                    <w:rPr>
                      <w:rFonts w:ascii="Times New Roman" w:hAnsi="Times New Roman" w:cs="Times New Roman"/>
                      <w:sz w:val="21"/>
                      <w:szCs w:val="21"/>
                    </w:rPr>
                  </w:pPr>
                  <w:r>
                    <w:rPr>
                      <w:rFonts w:ascii="Times New Roman" w:hAnsi="Times New Roman" w:cs="Times New Roman"/>
                      <w:sz w:val="21"/>
                      <w:szCs w:val="21"/>
                    </w:rPr>
                    <w:t>排水</w:t>
                  </w:r>
                </w:p>
              </w:tc>
              <w:tc>
                <w:tcPr>
                  <w:tcW w:w="6813" w:type="dxa"/>
                  <w:gridSpan w:val="2"/>
                  <w:tcBorders>
                    <w:tl2br w:val="nil"/>
                    <w:tr2bl w:val="nil"/>
                  </w:tcBorders>
                  <w:vAlign w:val="center"/>
                </w:tcPr>
                <w:p>
                  <w:pPr>
                    <w:pStyle w:val="79"/>
                    <w:jc w:val="center"/>
                    <w:textAlignment w:val="center"/>
                    <w:rPr>
                      <w:rFonts w:ascii="Times New Roman" w:hAnsi="Times New Roman" w:cs="Times New Roman"/>
                      <w:sz w:val="21"/>
                      <w:szCs w:val="21"/>
                      <w:lang w:eastAsia="zh-CN"/>
                    </w:rPr>
                  </w:pPr>
                  <w:r>
                    <w:rPr>
                      <w:rFonts w:ascii="Times New Roman" w:hAnsi="Times New Roman" w:cs="Times New Roman"/>
                      <w:sz w:val="21"/>
                      <w:szCs w:val="21"/>
                      <w:lang w:eastAsia="zh-CN"/>
                    </w:rPr>
                    <w:t>实行雨、污分流制</w:t>
                  </w:r>
                  <w:r>
                    <w:rPr>
                      <w:rFonts w:hint="eastAsia" w:ascii="Times New Roman" w:hAnsi="Times New Roman" w:cs="Times New Roman"/>
                      <w:sz w:val="21"/>
                      <w:szCs w:val="21"/>
                      <w:lang w:eastAsia="zh-CN"/>
                    </w:rPr>
                    <w:t>，生活污水经化粪池处理后外运堆肥</w:t>
                  </w:r>
                  <w:r>
                    <w:rPr>
                      <w:rFonts w:ascii="Times New Roman" w:hAnsi="Times New Roman" w:cs="Times New Roman"/>
                      <w:sz w:val="21"/>
                      <w:szCs w:val="21"/>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5" w:hRule="atLeast"/>
              </w:trPr>
              <w:tc>
                <w:tcPr>
                  <w:tcW w:w="630" w:type="dxa"/>
                  <w:vMerge w:val="restart"/>
                  <w:tcBorders>
                    <w:tl2br w:val="nil"/>
                    <w:tr2bl w:val="nil"/>
                  </w:tcBorders>
                  <w:vAlign w:val="center"/>
                </w:tcPr>
                <w:p>
                  <w:pPr>
                    <w:pStyle w:val="70"/>
                    <w:rPr>
                      <w:kern w:val="0"/>
                      <w:szCs w:val="21"/>
                      <w:lang w:eastAsia="en-US"/>
                    </w:rPr>
                  </w:pPr>
                  <w:r>
                    <w:rPr>
                      <w:kern w:val="0"/>
                      <w:szCs w:val="21"/>
                      <w:lang w:eastAsia="en-US"/>
                    </w:rPr>
                    <w:t>环保工程</w:t>
                  </w:r>
                </w:p>
              </w:tc>
              <w:tc>
                <w:tcPr>
                  <w:tcW w:w="1644" w:type="dxa"/>
                  <w:tcBorders>
                    <w:tl2br w:val="nil"/>
                    <w:tr2bl w:val="nil"/>
                  </w:tcBorders>
                  <w:vAlign w:val="center"/>
                </w:tcPr>
                <w:p>
                  <w:pPr>
                    <w:pStyle w:val="70"/>
                    <w:rPr>
                      <w:kern w:val="0"/>
                      <w:szCs w:val="21"/>
                      <w:lang w:eastAsia="en-US"/>
                    </w:rPr>
                  </w:pPr>
                  <w:r>
                    <w:rPr>
                      <w:kern w:val="0"/>
                      <w:szCs w:val="21"/>
                      <w:lang w:eastAsia="en-US"/>
                    </w:rPr>
                    <w:t>废气</w:t>
                  </w:r>
                </w:p>
              </w:tc>
              <w:tc>
                <w:tcPr>
                  <w:tcW w:w="6813" w:type="dxa"/>
                  <w:gridSpan w:val="2"/>
                  <w:tcBorders>
                    <w:tl2br w:val="nil"/>
                    <w:tr2bl w:val="nil"/>
                  </w:tcBorders>
                </w:tcPr>
                <w:p>
                  <w:pPr>
                    <w:jc w:val="center"/>
                    <w:rPr>
                      <w:szCs w:val="21"/>
                    </w:rPr>
                  </w:pPr>
                  <w:r>
                    <w:rPr>
                      <w:rFonts w:hint="eastAsia"/>
                      <w:szCs w:val="21"/>
                    </w:rPr>
                    <w:t>上料，磨粉废气、造粒，筛分废气、包装废气收集后经袋式除尘器处理后由15m排气筒DA001排出；</w:t>
                  </w:r>
                </w:p>
                <w:p>
                  <w:pPr>
                    <w:jc w:val="center"/>
                    <w:rPr>
                      <w:szCs w:val="21"/>
                    </w:rPr>
                  </w:pPr>
                  <w:r>
                    <w:rPr>
                      <w:rFonts w:hint="eastAsia"/>
                      <w:szCs w:val="21"/>
                    </w:rPr>
                    <w:t>天然气经低氮燃烧后汇同烘干废气经袋式除尘器处理后由15m排气筒DA002排出；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630" w:type="dxa"/>
                  <w:vMerge w:val="continue"/>
                  <w:tcBorders>
                    <w:tl2br w:val="nil"/>
                    <w:tr2bl w:val="nil"/>
                  </w:tcBorders>
                  <w:vAlign w:val="center"/>
                </w:tcPr>
                <w:p>
                  <w:pPr>
                    <w:pStyle w:val="70"/>
                    <w:rPr>
                      <w:kern w:val="0"/>
                      <w:szCs w:val="21"/>
                    </w:rPr>
                  </w:pPr>
                </w:p>
              </w:tc>
              <w:tc>
                <w:tcPr>
                  <w:tcW w:w="1644" w:type="dxa"/>
                  <w:tcBorders>
                    <w:tl2br w:val="nil"/>
                    <w:tr2bl w:val="nil"/>
                  </w:tcBorders>
                  <w:vAlign w:val="center"/>
                </w:tcPr>
                <w:p>
                  <w:pPr>
                    <w:pStyle w:val="70"/>
                    <w:rPr>
                      <w:kern w:val="0"/>
                      <w:szCs w:val="21"/>
                      <w:lang w:eastAsia="en-US"/>
                    </w:rPr>
                  </w:pPr>
                  <w:r>
                    <w:rPr>
                      <w:kern w:val="0"/>
                      <w:szCs w:val="21"/>
                      <w:lang w:eastAsia="en-US"/>
                    </w:rPr>
                    <w:t>废水</w:t>
                  </w:r>
                </w:p>
              </w:tc>
              <w:tc>
                <w:tcPr>
                  <w:tcW w:w="6813" w:type="dxa"/>
                  <w:gridSpan w:val="2"/>
                  <w:tcBorders>
                    <w:tl2br w:val="nil"/>
                    <w:tr2bl w:val="nil"/>
                  </w:tcBorders>
                </w:tcPr>
                <w:p>
                  <w:pPr>
                    <w:jc w:val="center"/>
                    <w:rPr>
                      <w:kern w:val="0"/>
                      <w:szCs w:val="21"/>
                    </w:rPr>
                  </w:pPr>
                  <w:r>
                    <w:rPr>
                      <w:rFonts w:hint="eastAsia"/>
                      <w:szCs w:val="21"/>
                    </w:rPr>
                    <w:t>本项目无生产废水产生，</w:t>
                  </w:r>
                  <w:r>
                    <w:rPr>
                      <w:szCs w:val="21"/>
                    </w:rPr>
                    <w:t>洗车</w:t>
                  </w:r>
                  <w:r>
                    <w:rPr>
                      <w:rFonts w:hint="eastAsia"/>
                      <w:szCs w:val="21"/>
                    </w:rPr>
                    <w:t>废水经</w:t>
                  </w:r>
                  <w:r>
                    <w:rPr>
                      <w:szCs w:val="21"/>
                    </w:rPr>
                    <w:t>两级沉淀池沉淀后循环使用</w:t>
                  </w:r>
                  <w:r>
                    <w:rPr>
                      <w:rFonts w:hint="eastAsia"/>
                      <w:szCs w:val="21"/>
                    </w:rPr>
                    <w:t>，不外排；生活污水经厂区化粪池处理后外运堆肥，不外排</w:t>
                  </w:r>
                  <w:r>
                    <w:rPr>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630" w:type="dxa"/>
                  <w:vMerge w:val="continue"/>
                  <w:tcBorders>
                    <w:tl2br w:val="nil"/>
                    <w:tr2bl w:val="nil"/>
                  </w:tcBorders>
                  <w:vAlign w:val="center"/>
                </w:tcPr>
                <w:p>
                  <w:pPr>
                    <w:pStyle w:val="70"/>
                    <w:rPr>
                      <w:kern w:val="0"/>
                      <w:szCs w:val="21"/>
                    </w:rPr>
                  </w:pPr>
                </w:p>
              </w:tc>
              <w:tc>
                <w:tcPr>
                  <w:tcW w:w="1644" w:type="dxa"/>
                  <w:tcBorders>
                    <w:tl2br w:val="nil"/>
                    <w:tr2bl w:val="nil"/>
                  </w:tcBorders>
                  <w:vAlign w:val="center"/>
                </w:tcPr>
                <w:p>
                  <w:pPr>
                    <w:pStyle w:val="70"/>
                    <w:rPr>
                      <w:kern w:val="0"/>
                      <w:szCs w:val="21"/>
                      <w:lang w:eastAsia="en-US"/>
                    </w:rPr>
                  </w:pPr>
                  <w:r>
                    <w:rPr>
                      <w:kern w:val="0"/>
                      <w:szCs w:val="21"/>
                      <w:lang w:eastAsia="en-US"/>
                    </w:rPr>
                    <w:t>噪声</w:t>
                  </w:r>
                </w:p>
              </w:tc>
              <w:tc>
                <w:tcPr>
                  <w:tcW w:w="6813" w:type="dxa"/>
                  <w:gridSpan w:val="2"/>
                  <w:tcBorders>
                    <w:tl2br w:val="nil"/>
                    <w:tr2bl w:val="nil"/>
                  </w:tcBorders>
                </w:tcPr>
                <w:p>
                  <w:pPr>
                    <w:pStyle w:val="79"/>
                    <w:spacing w:before="60"/>
                    <w:ind w:left="15"/>
                    <w:jc w:val="center"/>
                    <w:rPr>
                      <w:rFonts w:ascii="Times New Roman" w:hAnsi="Times New Roman" w:cs="Times New Roman"/>
                      <w:sz w:val="21"/>
                      <w:szCs w:val="21"/>
                      <w:lang w:eastAsia="zh-CN"/>
                    </w:rPr>
                  </w:pPr>
                  <w:r>
                    <w:rPr>
                      <w:rFonts w:ascii="Times New Roman" w:hAnsi="Times New Roman" w:cs="Times New Roman"/>
                      <w:sz w:val="21"/>
                      <w:szCs w:val="21"/>
                      <w:lang w:eastAsia="zh-CN"/>
                    </w:rPr>
                    <w:t>采取降噪、隔声等措施</w:t>
                  </w:r>
                  <w:r>
                    <w:rPr>
                      <w:rFonts w:hint="eastAsia" w:ascii="Times New Roman" w:hAnsi="Times New Roman" w:cs="Times New Roman"/>
                      <w:sz w:val="21"/>
                      <w:szCs w:val="21"/>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1" w:hRule="atLeast"/>
              </w:trPr>
              <w:tc>
                <w:tcPr>
                  <w:tcW w:w="630" w:type="dxa"/>
                  <w:vMerge w:val="continue"/>
                  <w:tcBorders>
                    <w:tl2br w:val="nil"/>
                    <w:tr2bl w:val="nil"/>
                  </w:tcBorders>
                  <w:vAlign w:val="center"/>
                </w:tcPr>
                <w:p>
                  <w:pPr>
                    <w:pStyle w:val="70"/>
                    <w:rPr>
                      <w:kern w:val="0"/>
                      <w:szCs w:val="21"/>
                    </w:rPr>
                  </w:pPr>
                </w:p>
              </w:tc>
              <w:tc>
                <w:tcPr>
                  <w:tcW w:w="1644" w:type="dxa"/>
                  <w:tcBorders>
                    <w:tl2br w:val="nil"/>
                    <w:tr2bl w:val="nil"/>
                  </w:tcBorders>
                  <w:vAlign w:val="center"/>
                </w:tcPr>
                <w:p>
                  <w:pPr>
                    <w:pStyle w:val="70"/>
                    <w:rPr>
                      <w:kern w:val="0"/>
                      <w:szCs w:val="21"/>
                      <w:lang w:eastAsia="en-US"/>
                    </w:rPr>
                  </w:pPr>
                  <w:r>
                    <w:rPr>
                      <w:kern w:val="0"/>
                      <w:szCs w:val="21"/>
                      <w:lang w:eastAsia="en-US"/>
                    </w:rPr>
                    <w:t>固废</w:t>
                  </w:r>
                </w:p>
              </w:tc>
              <w:tc>
                <w:tcPr>
                  <w:tcW w:w="6813" w:type="dxa"/>
                  <w:gridSpan w:val="2"/>
                  <w:tcBorders>
                    <w:tl2br w:val="nil"/>
                    <w:tr2bl w:val="nil"/>
                  </w:tcBorders>
                </w:tcPr>
                <w:p>
                  <w:pPr>
                    <w:pStyle w:val="58"/>
                    <w:spacing w:line="240" w:lineRule="auto"/>
                    <w:jc w:val="center"/>
                    <w:rPr>
                      <w:rFonts w:ascii="Times New Roman" w:cs="Times New Roman"/>
                      <w:color w:val="auto"/>
                      <w:sz w:val="21"/>
                      <w:szCs w:val="21"/>
                    </w:rPr>
                  </w:pPr>
                  <w:r>
                    <w:rPr>
                      <w:rFonts w:ascii="Times New Roman" w:cs="Times New Roman"/>
                      <w:color w:val="auto"/>
                      <w:sz w:val="21"/>
                      <w:szCs w:val="21"/>
                    </w:rPr>
                    <w:t>生活垃圾委托环卫部门清运</w:t>
                  </w:r>
                  <w:r>
                    <w:rPr>
                      <w:rFonts w:hint="eastAsia" w:ascii="Times New Roman" w:cs="Times New Roman"/>
                      <w:color w:val="auto"/>
                      <w:sz w:val="21"/>
                      <w:szCs w:val="21"/>
                    </w:rPr>
                    <w:t>；除尘器收集粉尘、沉淀池沉渣及筛上物由企业收集后回用于生产</w:t>
                  </w:r>
                  <w:r>
                    <w:rPr>
                      <w:rFonts w:ascii="Times New Roman" w:cs="Times New Roman"/>
                      <w:color w:val="auto"/>
                      <w:sz w:val="21"/>
                      <w:szCs w:val="21"/>
                    </w:rPr>
                    <w:t>。</w:t>
                  </w:r>
                </w:p>
              </w:tc>
            </w:tr>
          </w:tbl>
          <w:p>
            <w:pPr>
              <w:spacing w:before="156" w:beforeLines="50" w:line="360" w:lineRule="auto"/>
              <w:ind w:firstLine="482" w:firstLineChars="200"/>
              <w:rPr>
                <w:b/>
                <w:bCs/>
                <w:sz w:val="24"/>
              </w:rPr>
            </w:pPr>
            <w:r>
              <w:rPr>
                <w:rFonts w:hint="eastAsia"/>
                <w:b/>
                <w:bCs/>
                <w:sz w:val="24"/>
              </w:rPr>
              <w:t>三</w:t>
            </w:r>
            <w:r>
              <w:rPr>
                <w:b/>
                <w:bCs/>
                <w:sz w:val="24"/>
              </w:rPr>
              <w:t>、产品方案</w:t>
            </w:r>
          </w:p>
          <w:p>
            <w:pPr>
              <w:ind w:firstLine="3584" w:firstLineChars="1700"/>
              <w:rPr>
                <w:rFonts w:eastAsia="新宋体"/>
                <w:b/>
                <w:color w:val="000000"/>
                <w:szCs w:val="21"/>
              </w:rPr>
            </w:pPr>
            <w:r>
              <w:rPr>
                <w:rFonts w:eastAsia="新宋体"/>
                <w:b/>
                <w:color w:val="000000"/>
                <w:szCs w:val="21"/>
              </w:rPr>
              <w:t>表</w:t>
            </w:r>
            <w:r>
              <w:rPr>
                <w:rFonts w:hint="eastAsia" w:eastAsia="新宋体"/>
                <w:b/>
                <w:color w:val="000000"/>
                <w:szCs w:val="21"/>
              </w:rPr>
              <w:t>2</w:t>
            </w:r>
            <w:r>
              <w:rPr>
                <w:rFonts w:eastAsia="新宋体"/>
                <w:b/>
                <w:color w:val="000000"/>
                <w:szCs w:val="21"/>
              </w:rPr>
              <w:t>-2</w:t>
            </w:r>
            <w:r>
              <w:rPr>
                <w:rFonts w:hint="eastAsia" w:eastAsia="新宋体"/>
                <w:b/>
                <w:color w:val="000000"/>
                <w:szCs w:val="21"/>
              </w:rPr>
              <w:t xml:space="preserve"> </w:t>
            </w:r>
            <w:r>
              <w:rPr>
                <w:rFonts w:eastAsia="新宋体"/>
                <w:b/>
                <w:color w:val="000000"/>
                <w:szCs w:val="21"/>
              </w:rPr>
              <w:t xml:space="preserve">  产品方案</w:t>
            </w:r>
            <w:r>
              <w:rPr>
                <w:rFonts w:hint="eastAsia" w:eastAsia="新宋体"/>
                <w:b/>
                <w:color w:val="000000"/>
                <w:szCs w:val="21"/>
              </w:rPr>
              <w:t>表</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903"/>
              <w:gridCol w:w="1213"/>
              <w:gridCol w:w="2193"/>
              <w:gridCol w:w="273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2903" w:type="dxa"/>
                  <w:tcBorders>
                    <w:tl2br w:val="nil"/>
                    <w:tr2bl w:val="nil"/>
                  </w:tcBorders>
                  <w:vAlign w:val="center"/>
                </w:tcPr>
                <w:p>
                  <w:pPr>
                    <w:widowControl/>
                    <w:adjustRightInd w:val="0"/>
                    <w:snapToGrid w:val="0"/>
                    <w:jc w:val="center"/>
                    <w:rPr>
                      <w:b/>
                      <w:kern w:val="0"/>
                      <w:szCs w:val="21"/>
                    </w:rPr>
                  </w:pPr>
                  <w:r>
                    <w:rPr>
                      <w:b/>
                      <w:kern w:val="0"/>
                      <w:szCs w:val="21"/>
                    </w:rPr>
                    <w:t>产品名称</w:t>
                  </w:r>
                </w:p>
              </w:tc>
              <w:tc>
                <w:tcPr>
                  <w:tcW w:w="1213" w:type="dxa"/>
                  <w:tcBorders>
                    <w:tl2br w:val="nil"/>
                    <w:tr2bl w:val="nil"/>
                  </w:tcBorders>
                  <w:vAlign w:val="center"/>
                </w:tcPr>
                <w:p>
                  <w:pPr>
                    <w:widowControl/>
                    <w:adjustRightInd w:val="0"/>
                    <w:snapToGrid w:val="0"/>
                    <w:jc w:val="center"/>
                    <w:rPr>
                      <w:b/>
                      <w:kern w:val="0"/>
                      <w:szCs w:val="21"/>
                    </w:rPr>
                  </w:pPr>
                  <w:r>
                    <w:rPr>
                      <w:b/>
                      <w:kern w:val="0"/>
                      <w:szCs w:val="21"/>
                    </w:rPr>
                    <w:t>单位</w:t>
                  </w:r>
                </w:p>
              </w:tc>
              <w:tc>
                <w:tcPr>
                  <w:tcW w:w="2193" w:type="dxa"/>
                  <w:tcBorders>
                    <w:right w:val="single" w:color="000000" w:sz="8" w:space="0"/>
                    <w:tl2br w:val="nil"/>
                    <w:tr2bl w:val="nil"/>
                  </w:tcBorders>
                  <w:vAlign w:val="center"/>
                </w:tcPr>
                <w:p>
                  <w:pPr>
                    <w:widowControl/>
                    <w:adjustRightInd w:val="0"/>
                    <w:snapToGrid w:val="0"/>
                    <w:jc w:val="center"/>
                    <w:rPr>
                      <w:b/>
                      <w:kern w:val="0"/>
                      <w:szCs w:val="21"/>
                    </w:rPr>
                  </w:pPr>
                  <w:r>
                    <w:rPr>
                      <w:b/>
                      <w:kern w:val="0"/>
                      <w:szCs w:val="21"/>
                    </w:rPr>
                    <w:t>产量</w:t>
                  </w:r>
                </w:p>
              </w:tc>
              <w:tc>
                <w:tcPr>
                  <w:tcW w:w="2730" w:type="dxa"/>
                  <w:tcBorders>
                    <w:left w:val="single" w:color="000000" w:sz="8" w:space="0"/>
                    <w:tl2br w:val="nil"/>
                    <w:tr2bl w:val="nil"/>
                  </w:tcBorders>
                  <w:vAlign w:val="center"/>
                </w:tcPr>
                <w:p>
                  <w:pPr>
                    <w:widowControl/>
                    <w:adjustRightInd w:val="0"/>
                    <w:snapToGrid w:val="0"/>
                    <w:jc w:val="center"/>
                    <w:rPr>
                      <w:b/>
                      <w:kern w:val="0"/>
                      <w:szCs w:val="21"/>
                    </w:rPr>
                  </w:pPr>
                  <w:r>
                    <w:rPr>
                      <w:b/>
                      <w:kern w:val="0"/>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jc w:val="center"/>
              </w:trPr>
              <w:tc>
                <w:tcPr>
                  <w:tcW w:w="2903" w:type="dxa"/>
                  <w:tcBorders>
                    <w:tl2br w:val="nil"/>
                    <w:tr2bl w:val="nil"/>
                  </w:tcBorders>
                  <w:vAlign w:val="center"/>
                </w:tcPr>
                <w:p>
                  <w:pPr>
                    <w:widowControl/>
                    <w:adjustRightInd w:val="0"/>
                    <w:snapToGrid w:val="0"/>
                    <w:jc w:val="center"/>
                    <w:rPr>
                      <w:bCs/>
                      <w:kern w:val="0"/>
                      <w:szCs w:val="21"/>
                    </w:rPr>
                  </w:pPr>
                  <w:r>
                    <w:rPr>
                      <w:rFonts w:hint="eastAsia"/>
                      <w:bCs/>
                      <w:kern w:val="0"/>
                      <w:szCs w:val="21"/>
                    </w:rPr>
                    <w:t>膨润土颗粒</w:t>
                  </w:r>
                </w:p>
              </w:tc>
              <w:tc>
                <w:tcPr>
                  <w:tcW w:w="1213" w:type="dxa"/>
                  <w:tcBorders>
                    <w:tl2br w:val="nil"/>
                    <w:tr2bl w:val="nil"/>
                  </w:tcBorders>
                  <w:vAlign w:val="center"/>
                </w:tcPr>
                <w:p>
                  <w:pPr>
                    <w:widowControl/>
                    <w:adjustRightInd w:val="0"/>
                    <w:snapToGrid w:val="0"/>
                    <w:jc w:val="center"/>
                    <w:rPr>
                      <w:szCs w:val="21"/>
                    </w:rPr>
                  </w:pPr>
                  <w:r>
                    <w:rPr>
                      <w:szCs w:val="21"/>
                    </w:rPr>
                    <w:t>t/a</w:t>
                  </w:r>
                </w:p>
              </w:tc>
              <w:tc>
                <w:tcPr>
                  <w:tcW w:w="2193" w:type="dxa"/>
                  <w:tcBorders>
                    <w:right w:val="single" w:color="000000" w:sz="8" w:space="0"/>
                    <w:tl2br w:val="nil"/>
                    <w:tr2bl w:val="nil"/>
                  </w:tcBorders>
                  <w:vAlign w:val="center"/>
                </w:tcPr>
                <w:p>
                  <w:pPr>
                    <w:widowControl/>
                    <w:adjustRightInd w:val="0"/>
                    <w:snapToGrid w:val="0"/>
                    <w:jc w:val="center"/>
                    <w:rPr>
                      <w:bCs/>
                      <w:kern w:val="0"/>
                      <w:szCs w:val="21"/>
                    </w:rPr>
                  </w:pPr>
                  <w:r>
                    <w:rPr>
                      <w:rFonts w:hint="eastAsia"/>
                      <w:bCs/>
                      <w:kern w:val="0"/>
                      <w:szCs w:val="21"/>
                    </w:rPr>
                    <w:t>2000</w:t>
                  </w:r>
                </w:p>
              </w:tc>
              <w:tc>
                <w:tcPr>
                  <w:tcW w:w="2730" w:type="dxa"/>
                  <w:tcBorders>
                    <w:left w:val="single" w:color="000000" w:sz="8" w:space="0"/>
                    <w:tl2br w:val="nil"/>
                    <w:tr2bl w:val="nil"/>
                  </w:tcBorders>
                  <w:vAlign w:val="center"/>
                </w:tcPr>
                <w:p>
                  <w:pPr>
                    <w:widowControl/>
                    <w:adjustRightInd w:val="0"/>
                    <w:snapToGrid w:val="0"/>
                    <w:jc w:val="center"/>
                    <w:rPr>
                      <w:bCs/>
                      <w:kern w:val="0"/>
                      <w:szCs w:val="21"/>
                    </w:rPr>
                  </w:pPr>
                  <w:r>
                    <w:rPr>
                      <w:rFonts w:hint="eastAsia"/>
                      <w:bCs/>
                      <w:kern w:val="0"/>
                      <w:szCs w:val="21"/>
                    </w:rPr>
                    <w:t>粒径1.5-2.5mm</w:t>
                  </w:r>
                </w:p>
              </w:tc>
            </w:tr>
          </w:tbl>
          <w:p>
            <w:pPr>
              <w:spacing w:before="156" w:beforeLines="50" w:line="360" w:lineRule="auto"/>
              <w:ind w:firstLine="482" w:firstLineChars="200"/>
              <w:rPr>
                <w:b/>
                <w:bCs/>
                <w:sz w:val="24"/>
              </w:rPr>
            </w:pPr>
            <w:r>
              <w:rPr>
                <w:rFonts w:hint="eastAsia"/>
                <w:b/>
                <w:bCs/>
                <w:sz w:val="24"/>
              </w:rPr>
              <w:t>四</w:t>
            </w:r>
            <w:r>
              <w:rPr>
                <w:b/>
                <w:bCs/>
                <w:sz w:val="24"/>
              </w:rPr>
              <w:t>、主要设备</w:t>
            </w:r>
          </w:p>
          <w:p>
            <w:pPr>
              <w:jc w:val="center"/>
              <w:rPr>
                <w:b/>
                <w:bCs/>
                <w:szCs w:val="21"/>
              </w:rPr>
            </w:pPr>
            <w:r>
              <w:rPr>
                <w:b/>
                <w:bCs/>
                <w:sz w:val="24"/>
              </w:rPr>
              <w:t>表</w:t>
            </w:r>
            <w:r>
              <w:rPr>
                <w:rFonts w:hint="eastAsia"/>
                <w:b/>
                <w:bCs/>
                <w:sz w:val="24"/>
              </w:rPr>
              <w:t>2</w:t>
            </w:r>
            <w:r>
              <w:rPr>
                <w:b/>
                <w:bCs/>
                <w:sz w:val="24"/>
              </w:rPr>
              <w:t>-</w:t>
            </w:r>
            <w:r>
              <w:rPr>
                <w:rFonts w:hint="eastAsia"/>
                <w:b/>
                <w:bCs/>
                <w:sz w:val="24"/>
              </w:rPr>
              <w:t>3</w:t>
            </w:r>
            <w:r>
              <w:rPr>
                <w:b/>
                <w:bCs/>
                <w:sz w:val="24"/>
              </w:rPr>
              <w:t xml:space="preserve"> 主要生产设备表</w:t>
            </w:r>
          </w:p>
          <w:tbl>
            <w:tblPr>
              <w:tblStyle w:val="36"/>
              <w:tblW w:w="904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79"/>
              <w:gridCol w:w="3595"/>
              <w:gridCol w:w="1568"/>
              <w:gridCol w:w="1402"/>
              <w:gridCol w:w="14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79" w:type="dxa"/>
                  <w:tcBorders>
                    <w:tl2br w:val="nil"/>
                    <w:tr2bl w:val="nil"/>
                  </w:tcBorders>
                  <w:vAlign w:val="center"/>
                </w:tcPr>
                <w:p>
                  <w:pPr>
                    <w:widowControl/>
                    <w:jc w:val="center"/>
                    <w:textAlignment w:val="center"/>
                    <w:rPr>
                      <w:b/>
                      <w:bCs/>
                      <w:szCs w:val="21"/>
                    </w:rPr>
                  </w:pPr>
                  <w:r>
                    <w:rPr>
                      <w:b/>
                      <w:bCs/>
                      <w:kern w:val="0"/>
                      <w:szCs w:val="21"/>
                    </w:rPr>
                    <w:t>序号</w:t>
                  </w:r>
                </w:p>
              </w:tc>
              <w:tc>
                <w:tcPr>
                  <w:tcW w:w="3595" w:type="dxa"/>
                  <w:tcBorders>
                    <w:tl2br w:val="nil"/>
                    <w:tr2bl w:val="nil"/>
                  </w:tcBorders>
                  <w:vAlign w:val="center"/>
                </w:tcPr>
                <w:p>
                  <w:pPr>
                    <w:widowControl/>
                    <w:jc w:val="center"/>
                    <w:textAlignment w:val="center"/>
                    <w:rPr>
                      <w:b/>
                      <w:bCs/>
                      <w:szCs w:val="21"/>
                    </w:rPr>
                  </w:pPr>
                  <w:r>
                    <w:rPr>
                      <w:b/>
                      <w:bCs/>
                      <w:kern w:val="0"/>
                      <w:szCs w:val="21"/>
                    </w:rPr>
                    <w:t>设备名称</w:t>
                  </w:r>
                </w:p>
              </w:tc>
              <w:tc>
                <w:tcPr>
                  <w:tcW w:w="1568" w:type="dxa"/>
                  <w:tcBorders>
                    <w:tl2br w:val="nil"/>
                    <w:tr2bl w:val="nil"/>
                  </w:tcBorders>
                  <w:vAlign w:val="center"/>
                </w:tcPr>
                <w:p>
                  <w:pPr>
                    <w:widowControl/>
                    <w:jc w:val="center"/>
                    <w:textAlignment w:val="center"/>
                    <w:rPr>
                      <w:b/>
                      <w:bCs/>
                      <w:szCs w:val="21"/>
                    </w:rPr>
                  </w:pPr>
                  <w:r>
                    <w:rPr>
                      <w:b/>
                      <w:bCs/>
                      <w:kern w:val="0"/>
                      <w:szCs w:val="21"/>
                    </w:rPr>
                    <w:t>单位</w:t>
                  </w:r>
                </w:p>
              </w:tc>
              <w:tc>
                <w:tcPr>
                  <w:tcW w:w="1402" w:type="dxa"/>
                  <w:tcBorders>
                    <w:tl2br w:val="nil"/>
                    <w:tr2bl w:val="nil"/>
                  </w:tcBorders>
                  <w:vAlign w:val="center"/>
                </w:tcPr>
                <w:p>
                  <w:pPr>
                    <w:widowControl/>
                    <w:jc w:val="center"/>
                    <w:textAlignment w:val="center"/>
                    <w:rPr>
                      <w:b/>
                      <w:bCs/>
                      <w:szCs w:val="21"/>
                    </w:rPr>
                  </w:pPr>
                  <w:r>
                    <w:rPr>
                      <w:b/>
                      <w:bCs/>
                      <w:kern w:val="0"/>
                      <w:szCs w:val="21"/>
                    </w:rPr>
                    <w:t>数量</w:t>
                  </w:r>
                </w:p>
              </w:tc>
              <w:tc>
                <w:tcPr>
                  <w:tcW w:w="1402" w:type="dxa"/>
                  <w:tcBorders>
                    <w:tl2br w:val="nil"/>
                    <w:tr2bl w:val="nil"/>
                  </w:tcBorders>
                  <w:vAlign w:val="center"/>
                </w:tcPr>
                <w:p>
                  <w:pPr>
                    <w:widowControl/>
                    <w:jc w:val="center"/>
                    <w:textAlignment w:val="center"/>
                    <w:rPr>
                      <w:b/>
                      <w:bCs/>
                      <w:kern w:val="0"/>
                      <w:szCs w:val="21"/>
                    </w:rPr>
                  </w:pPr>
                  <w:r>
                    <w:rPr>
                      <w:rFonts w:hint="eastAsia"/>
                      <w:b/>
                      <w:bCs/>
                      <w:kern w:val="0"/>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79" w:type="dxa"/>
                  <w:tcBorders>
                    <w:tl2br w:val="nil"/>
                    <w:tr2bl w:val="nil"/>
                  </w:tcBorders>
                </w:tcPr>
                <w:p>
                  <w:pPr>
                    <w:jc w:val="center"/>
                    <w:rPr>
                      <w:szCs w:val="21"/>
                    </w:rPr>
                  </w:pPr>
                  <w:r>
                    <w:rPr>
                      <w:szCs w:val="21"/>
                    </w:rPr>
                    <w:t>1</w:t>
                  </w:r>
                </w:p>
              </w:tc>
              <w:tc>
                <w:tcPr>
                  <w:tcW w:w="3595" w:type="dxa"/>
                  <w:tcBorders>
                    <w:tl2br w:val="nil"/>
                    <w:tr2bl w:val="nil"/>
                  </w:tcBorders>
                  <w:vAlign w:val="center"/>
                </w:tcPr>
                <w:p>
                  <w:pPr>
                    <w:jc w:val="center"/>
                    <w:rPr>
                      <w:szCs w:val="21"/>
                    </w:rPr>
                  </w:pPr>
                  <w:r>
                    <w:rPr>
                      <w:rFonts w:hint="eastAsia"/>
                      <w:szCs w:val="21"/>
                    </w:rPr>
                    <w:t>雷蒙磨粉机</w:t>
                  </w:r>
                </w:p>
              </w:tc>
              <w:tc>
                <w:tcPr>
                  <w:tcW w:w="1568" w:type="dxa"/>
                  <w:tcBorders>
                    <w:tl2br w:val="nil"/>
                    <w:tr2bl w:val="nil"/>
                  </w:tcBorders>
                </w:tcPr>
                <w:p>
                  <w:pPr>
                    <w:jc w:val="center"/>
                    <w:rPr>
                      <w:szCs w:val="21"/>
                    </w:rPr>
                  </w:pPr>
                  <w:r>
                    <w:rPr>
                      <w:szCs w:val="21"/>
                    </w:rPr>
                    <w:t>台</w:t>
                  </w:r>
                </w:p>
              </w:tc>
              <w:tc>
                <w:tcPr>
                  <w:tcW w:w="1402" w:type="dxa"/>
                  <w:tcBorders>
                    <w:tl2br w:val="nil"/>
                    <w:tr2bl w:val="nil"/>
                  </w:tcBorders>
                  <w:vAlign w:val="center"/>
                </w:tcPr>
                <w:p>
                  <w:pPr>
                    <w:jc w:val="center"/>
                    <w:rPr>
                      <w:szCs w:val="21"/>
                    </w:rPr>
                  </w:pPr>
                  <w:r>
                    <w:rPr>
                      <w:rFonts w:hint="eastAsia"/>
                      <w:szCs w:val="21"/>
                    </w:rPr>
                    <w:t>1</w:t>
                  </w:r>
                </w:p>
              </w:tc>
              <w:tc>
                <w:tcPr>
                  <w:tcW w:w="1402" w:type="dxa"/>
                  <w:tcBorders>
                    <w:tl2br w:val="nil"/>
                    <w:tr2bl w:val="nil"/>
                  </w:tcBorders>
                </w:tcPr>
                <w:p>
                  <w:pPr>
                    <w:jc w:val="center"/>
                    <w:rPr>
                      <w:szCs w:val="21"/>
                    </w:rPr>
                  </w:pPr>
                  <w:r>
                    <w:rPr>
                      <w:rFonts w:hint="eastAsia"/>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79" w:type="dxa"/>
                  <w:tcBorders>
                    <w:tl2br w:val="nil"/>
                    <w:tr2bl w:val="nil"/>
                  </w:tcBorders>
                </w:tcPr>
                <w:p>
                  <w:pPr>
                    <w:jc w:val="center"/>
                    <w:rPr>
                      <w:szCs w:val="21"/>
                    </w:rPr>
                  </w:pPr>
                  <w:r>
                    <w:rPr>
                      <w:szCs w:val="21"/>
                    </w:rPr>
                    <w:t>2</w:t>
                  </w:r>
                </w:p>
              </w:tc>
              <w:tc>
                <w:tcPr>
                  <w:tcW w:w="3595" w:type="dxa"/>
                  <w:tcBorders>
                    <w:tl2br w:val="nil"/>
                    <w:tr2bl w:val="nil"/>
                  </w:tcBorders>
                  <w:vAlign w:val="center"/>
                </w:tcPr>
                <w:p>
                  <w:pPr>
                    <w:jc w:val="center"/>
                    <w:rPr>
                      <w:szCs w:val="21"/>
                    </w:rPr>
                  </w:pPr>
                  <w:r>
                    <w:rPr>
                      <w:rFonts w:hint="eastAsia"/>
                      <w:szCs w:val="21"/>
                    </w:rPr>
                    <w:t>圆盘造粒机</w:t>
                  </w:r>
                </w:p>
              </w:tc>
              <w:tc>
                <w:tcPr>
                  <w:tcW w:w="1568" w:type="dxa"/>
                  <w:tcBorders>
                    <w:tl2br w:val="nil"/>
                    <w:tr2bl w:val="nil"/>
                  </w:tcBorders>
                </w:tcPr>
                <w:p>
                  <w:pPr>
                    <w:jc w:val="center"/>
                    <w:rPr>
                      <w:szCs w:val="21"/>
                    </w:rPr>
                  </w:pPr>
                  <w:r>
                    <w:rPr>
                      <w:szCs w:val="21"/>
                    </w:rPr>
                    <w:t>台</w:t>
                  </w:r>
                </w:p>
              </w:tc>
              <w:tc>
                <w:tcPr>
                  <w:tcW w:w="1402" w:type="dxa"/>
                  <w:tcBorders>
                    <w:tl2br w:val="nil"/>
                    <w:tr2bl w:val="nil"/>
                  </w:tcBorders>
                  <w:vAlign w:val="center"/>
                </w:tcPr>
                <w:p>
                  <w:pPr>
                    <w:jc w:val="center"/>
                    <w:rPr>
                      <w:szCs w:val="21"/>
                    </w:rPr>
                  </w:pPr>
                  <w:r>
                    <w:rPr>
                      <w:rFonts w:hint="eastAsia"/>
                      <w:szCs w:val="21"/>
                    </w:rPr>
                    <w:t>2</w:t>
                  </w:r>
                </w:p>
              </w:tc>
              <w:tc>
                <w:tcPr>
                  <w:tcW w:w="1402" w:type="dxa"/>
                  <w:tcBorders>
                    <w:tl2br w:val="nil"/>
                    <w:tr2bl w:val="nil"/>
                  </w:tcBorders>
                </w:tcPr>
                <w:p>
                  <w:pPr>
                    <w:jc w:val="center"/>
                    <w:rPr>
                      <w:szCs w:val="21"/>
                    </w:rPr>
                  </w:pPr>
                  <w:r>
                    <w:rPr>
                      <w:rFonts w:hint="eastAsia"/>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79" w:type="dxa"/>
                  <w:tcBorders>
                    <w:tl2br w:val="nil"/>
                    <w:tr2bl w:val="nil"/>
                  </w:tcBorders>
                </w:tcPr>
                <w:p>
                  <w:pPr>
                    <w:jc w:val="center"/>
                    <w:rPr>
                      <w:szCs w:val="21"/>
                    </w:rPr>
                  </w:pPr>
                  <w:r>
                    <w:rPr>
                      <w:szCs w:val="21"/>
                    </w:rPr>
                    <w:t>3</w:t>
                  </w:r>
                </w:p>
              </w:tc>
              <w:tc>
                <w:tcPr>
                  <w:tcW w:w="3595" w:type="dxa"/>
                  <w:tcBorders>
                    <w:tl2br w:val="nil"/>
                    <w:tr2bl w:val="nil"/>
                  </w:tcBorders>
                  <w:vAlign w:val="center"/>
                </w:tcPr>
                <w:p>
                  <w:pPr>
                    <w:jc w:val="center"/>
                    <w:rPr>
                      <w:szCs w:val="21"/>
                    </w:rPr>
                  </w:pPr>
                  <w:r>
                    <w:rPr>
                      <w:rFonts w:hint="eastAsia"/>
                      <w:szCs w:val="21"/>
                    </w:rPr>
                    <w:t>天然气烘干炉</w:t>
                  </w:r>
                </w:p>
              </w:tc>
              <w:tc>
                <w:tcPr>
                  <w:tcW w:w="1568" w:type="dxa"/>
                  <w:tcBorders>
                    <w:tl2br w:val="nil"/>
                    <w:tr2bl w:val="nil"/>
                  </w:tcBorders>
                </w:tcPr>
                <w:p>
                  <w:pPr>
                    <w:jc w:val="center"/>
                    <w:rPr>
                      <w:szCs w:val="21"/>
                    </w:rPr>
                  </w:pPr>
                  <w:r>
                    <w:rPr>
                      <w:szCs w:val="21"/>
                    </w:rPr>
                    <w:t>台</w:t>
                  </w:r>
                </w:p>
              </w:tc>
              <w:tc>
                <w:tcPr>
                  <w:tcW w:w="1402" w:type="dxa"/>
                  <w:tcBorders>
                    <w:tl2br w:val="nil"/>
                    <w:tr2bl w:val="nil"/>
                  </w:tcBorders>
                  <w:vAlign w:val="center"/>
                </w:tcPr>
                <w:p>
                  <w:pPr>
                    <w:jc w:val="center"/>
                    <w:rPr>
                      <w:szCs w:val="21"/>
                    </w:rPr>
                  </w:pPr>
                  <w:r>
                    <w:rPr>
                      <w:rFonts w:hint="eastAsia"/>
                      <w:szCs w:val="21"/>
                    </w:rPr>
                    <w:t>1</w:t>
                  </w:r>
                </w:p>
              </w:tc>
              <w:tc>
                <w:tcPr>
                  <w:tcW w:w="1402" w:type="dxa"/>
                  <w:tcBorders>
                    <w:tl2br w:val="nil"/>
                    <w:tr2bl w:val="nil"/>
                  </w:tcBorders>
                </w:tcPr>
                <w:p>
                  <w:pPr>
                    <w:jc w:val="center"/>
                    <w:rPr>
                      <w:szCs w:val="21"/>
                    </w:rPr>
                  </w:pPr>
                  <w:r>
                    <w:rPr>
                      <w:rFonts w:hint="eastAsia"/>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79" w:type="dxa"/>
                  <w:tcBorders>
                    <w:tl2br w:val="nil"/>
                    <w:tr2bl w:val="nil"/>
                  </w:tcBorders>
                </w:tcPr>
                <w:p>
                  <w:pPr>
                    <w:jc w:val="center"/>
                    <w:rPr>
                      <w:szCs w:val="21"/>
                    </w:rPr>
                  </w:pPr>
                  <w:r>
                    <w:rPr>
                      <w:rFonts w:hint="eastAsia"/>
                      <w:szCs w:val="21"/>
                    </w:rPr>
                    <w:t>4</w:t>
                  </w:r>
                </w:p>
              </w:tc>
              <w:tc>
                <w:tcPr>
                  <w:tcW w:w="3595" w:type="dxa"/>
                  <w:tcBorders>
                    <w:tl2br w:val="nil"/>
                    <w:tr2bl w:val="nil"/>
                  </w:tcBorders>
                  <w:vAlign w:val="center"/>
                </w:tcPr>
                <w:p>
                  <w:pPr>
                    <w:jc w:val="center"/>
                    <w:rPr>
                      <w:szCs w:val="21"/>
                    </w:rPr>
                  </w:pPr>
                  <w:r>
                    <w:rPr>
                      <w:rFonts w:hint="eastAsia"/>
                      <w:szCs w:val="21"/>
                    </w:rPr>
                    <w:t>筛粒机</w:t>
                  </w:r>
                </w:p>
              </w:tc>
              <w:tc>
                <w:tcPr>
                  <w:tcW w:w="1568" w:type="dxa"/>
                  <w:tcBorders>
                    <w:tl2br w:val="nil"/>
                    <w:tr2bl w:val="nil"/>
                  </w:tcBorders>
                </w:tcPr>
                <w:p>
                  <w:pPr>
                    <w:jc w:val="center"/>
                    <w:rPr>
                      <w:szCs w:val="21"/>
                    </w:rPr>
                  </w:pPr>
                  <w:r>
                    <w:rPr>
                      <w:szCs w:val="21"/>
                    </w:rPr>
                    <w:t>台</w:t>
                  </w:r>
                </w:p>
              </w:tc>
              <w:tc>
                <w:tcPr>
                  <w:tcW w:w="1402" w:type="dxa"/>
                  <w:tcBorders>
                    <w:tl2br w:val="nil"/>
                    <w:tr2bl w:val="nil"/>
                  </w:tcBorders>
                  <w:vAlign w:val="center"/>
                </w:tcPr>
                <w:p>
                  <w:pPr>
                    <w:jc w:val="center"/>
                    <w:rPr>
                      <w:szCs w:val="21"/>
                    </w:rPr>
                  </w:pPr>
                  <w:r>
                    <w:rPr>
                      <w:rFonts w:hint="eastAsia"/>
                      <w:szCs w:val="21"/>
                    </w:rPr>
                    <w:t>1</w:t>
                  </w:r>
                </w:p>
              </w:tc>
              <w:tc>
                <w:tcPr>
                  <w:tcW w:w="1402" w:type="dxa"/>
                  <w:tcBorders>
                    <w:tl2br w:val="nil"/>
                    <w:tr2bl w:val="nil"/>
                  </w:tcBorders>
                </w:tcPr>
                <w:p>
                  <w:pPr>
                    <w:jc w:val="center"/>
                    <w:rPr>
                      <w:szCs w:val="21"/>
                    </w:rPr>
                  </w:pPr>
                  <w:r>
                    <w:rPr>
                      <w:rFonts w:hint="eastAsia"/>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79" w:type="dxa"/>
                  <w:tcBorders>
                    <w:tl2br w:val="nil"/>
                    <w:tr2bl w:val="nil"/>
                  </w:tcBorders>
                </w:tcPr>
                <w:p>
                  <w:pPr>
                    <w:jc w:val="center"/>
                    <w:rPr>
                      <w:szCs w:val="21"/>
                    </w:rPr>
                  </w:pPr>
                  <w:r>
                    <w:rPr>
                      <w:rFonts w:hint="eastAsia"/>
                      <w:szCs w:val="21"/>
                    </w:rPr>
                    <w:t>5</w:t>
                  </w:r>
                </w:p>
              </w:tc>
              <w:tc>
                <w:tcPr>
                  <w:tcW w:w="3595" w:type="dxa"/>
                  <w:tcBorders>
                    <w:tl2br w:val="nil"/>
                    <w:tr2bl w:val="nil"/>
                  </w:tcBorders>
                  <w:vAlign w:val="center"/>
                </w:tcPr>
                <w:p>
                  <w:pPr>
                    <w:jc w:val="center"/>
                    <w:rPr>
                      <w:szCs w:val="21"/>
                    </w:rPr>
                  </w:pPr>
                  <w:r>
                    <w:rPr>
                      <w:rFonts w:hint="eastAsia"/>
                      <w:szCs w:val="21"/>
                    </w:rPr>
                    <w:t>提升机</w:t>
                  </w:r>
                </w:p>
              </w:tc>
              <w:tc>
                <w:tcPr>
                  <w:tcW w:w="1568" w:type="dxa"/>
                  <w:tcBorders>
                    <w:tl2br w:val="nil"/>
                    <w:tr2bl w:val="nil"/>
                  </w:tcBorders>
                </w:tcPr>
                <w:p>
                  <w:pPr>
                    <w:jc w:val="center"/>
                    <w:rPr>
                      <w:szCs w:val="21"/>
                    </w:rPr>
                  </w:pPr>
                  <w:r>
                    <w:rPr>
                      <w:szCs w:val="21"/>
                    </w:rPr>
                    <w:t>台</w:t>
                  </w:r>
                </w:p>
              </w:tc>
              <w:tc>
                <w:tcPr>
                  <w:tcW w:w="1402" w:type="dxa"/>
                  <w:tcBorders>
                    <w:tl2br w:val="nil"/>
                    <w:tr2bl w:val="nil"/>
                  </w:tcBorders>
                  <w:vAlign w:val="center"/>
                </w:tcPr>
                <w:p>
                  <w:pPr>
                    <w:jc w:val="center"/>
                    <w:rPr>
                      <w:szCs w:val="21"/>
                    </w:rPr>
                  </w:pPr>
                  <w:r>
                    <w:rPr>
                      <w:rFonts w:hint="eastAsia"/>
                      <w:szCs w:val="21"/>
                    </w:rPr>
                    <w:t>1</w:t>
                  </w:r>
                </w:p>
              </w:tc>
              <w:tc>
                <w:tcPr>
                  <w:tcW w:w="1402" w:type="dxa"/>
                  <w:tcBorders>
                    <w:tl2br w:val="nil"/>
                    <w:tr2bl w:val="nil"/>
                  </w:tcBorders>
                </w:tcPr>
                <w:p>
                  <w:pPr>
                    <w:jc w:val="center"/>
                    <w:rPr>
                      <w:szCs w:val="21"/>
                    </w:rPr>
                  </w:pPr>
                  <w:r>
                    <w:rPr>
                      <w:rFonts w:hint="eastAsia"/>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79" w:type="dxa"/>
                  <w:tcBorders>
                    <w:tl2br w:val="nil"/>
                    <w:tr2bl w:val="nil"/>
                  </w:tcBorders>
                </w:tcPr>
                <w:p>
                  <w:pPr>
                    <w:jc w:val="center"/>
                    <w:rPr>
                      <w:szCs w:val="21"/>
                    </w:rPr>
                  </w:pPr>
                  <w:r>
                    <w:rPr>
                      <w:rFonts w:hint="eastAsia"/>
                      <w:szCs w:val="21"/>
                    </w:rPr>
                    <w:t>6</w:t>
                  </w:r>
                </w:p>
              </w:tc>
              <w:tc>
                <w:tcPr>
                  <w:tcW w:w="3595" w:type="dxa"/>
                  <w:tcBorders>
                    <w:tl2br w:val="nil"/>
                    <w:tr2bl w:val="nil"/>
                  </w:tcBorders>
                  <w:vAlign w:val="center"/>
                </w:tcPr>
                <w:p>
                  <w:pPr>
                    <w:jc w:val="center"/>
                    <w:rPr>
                      <w:szCs w:val="21"/>
                    </w:rPr>
                  </w:pPr>
                  <w:r>
                    <w:rPr>
                      <w:rFonts w:hint="eastAsia"/>
                      <w:szCs w:val="21"/>
                    </w:rPr>
                    <w:t>装载机</w:t>
                  </w:r>
                </w:p>
              </w:tc>
              <w:tc>
                <w:tcPr>
                  <w:tcW w:w="1568" w:type="dxa"/>
                  <w:tcBorders>
                    <w:tl2br w:val="nil"/>
                    <w:tr2bl w:val="nil"/>
                  </w:tcBorders>
                </w:tcPr>
                <w:p>
                  <w:pPr>
                    <w:jc w:val="center"/>
                    <w:rPr>
                      <w:szCs w:val="21"/>
                    </w:rPr>
                  </w:pPr>
                  <w:r>
                    <w:rPr>
                      <w:szCs w:val="21"/>
                    </w:rPr>
                    <w:t>台</w:t>
                  </w:r>
                </w:p>
              </w:tc>
              <w:tc>
                <w:tcPr>
                  <w:tcW w:w="1402" w:type="dxa"/>
                  <w:tcBorders>
                    <w:tl2br w:val="nil"/>
                    <w:tr2bl w:val="nil"/>
                  </w:tcBorders>
                  <w:vAlign w:val="center"/>
                </w:tcPr>
                <w:p>
                  <w:pPr>
                    <w:jc w:val="center"/>
                    <w:rPr>
                      <w:szCs w:val="21"/>
                    </w:rPr>
                  </w:pPr>
                  <w:r>
                    <w:rPr>
                      <w:rFonts w:hint="eastAsia"/>
                      <w:szCs w:val="21"/>
                    </w:rPr>
                    <w:t>1</w:t>
                  </w:r>
                </w:p>
              </w:tc>
              <w:tc>
                <w:tcPr>
                  <w:tcW w:w="1402" w:type="dxa"/>
                  <w:tcBorders>
                    <w:tl2br w:val="nil"/>
                    <w:tr2bl w:val="nil"/>
                  </w:tcBorders>
                </w:tcPr>
                <w:p>
                  <w:pPr>
                    <w:jc w:val="center"/>
                    <w:rPr>
                      <w:szCs w:val="21"/>
                    </w:rPr>
                  </w:pPr>
                  <w:r>
                    <w:rPr>
                      <w:rFonts w:hint="eastAsia"/>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79" w:type="dxa"/>
                  <w:tcBorders>
                    <w:tl2br w:val="nil"/>
                    <w:tr2bl w:val="nil"/>
                  </w:tcBorders>
                </w:tcPr>
                <w:p>
                  <w:pPr>
                    <w:jc w:val="center"/>
                    <w:rPr>
                      <w:szCs w:val="21"/>
                    </w:rPr>
                  </w:pPr>
                  <w:r>
                    <w:rPr>
                      <w:rFonts w:hint="eastAsia"/>
                      <w:szCs w:val="21"/>
                    </w:rPr>
                    <w:t>7</w:t>
                  </w:r>
                </w:p>
              </w:tc>
              <w:tc>
                <w:tcPr>
                  <w:tcW w:w="3595" w:type="dxa"/>
                  <w:tcBorders>
                    <w:tl2br w:val="nil"/>
                    <w:tr2bl w:val="nil"/>
                  </w:tcBorders>
                  <w:vAlign w:val="center"/>
                </w:tcPr>
                <w:p>
                  <w:pPr>
                    <w:jc w:val="center"/>
                    <w:rPr>
                      <w:szCs w:val="21"/>
                    </w:rPr>
                  </w:pPr>
                  <w:r>
                    <w:rPr>
                      <w:rFonts w:hint="eastAsia"/>
                      <w:szCs w:val="21"/>
                    </w:rPr>
                    <w:t>封闭式传送带</w:t>
                  </w:r>
                </w:p>
              </w:tc>
              <w:tc>
                <w:tcPr>
                  <w:tcW w:w="1568" w:type="dxa"/>
                  <w:tcBorders>
                    <w:tl2br w:val="nil"/>
                    <w:tr2bl w:val="nil"/>
                  </w:tcBorders>
                </w:tcPr>
                <w:p>
                  <w:pPr>
                    <w:jc w:val="center"/>
                    <w:rPr>
                      <w:szCs w:val="21"/>
                    </w:rPr>
                  </w:pPr>
                  <w:r>
                    <w:rPr>
                      <w:rFonts w:hint="eastAsia"/>
                      <w:szCs w:val="21"/>
                    </w:rPr>
                    <w:t>台</w:t>
                  </w:r>
                </w:p>
              </w:tc>
              <w:tc>
                <w:tcPr>
                  <w:tcW w:w="1402" w:type="dxa"/>
                  <w:tcBorders>
                    <w:tl2br w:val="nil"/>
                    <w:tr2bl w:val="nil"/>
                  </w:tcBorders>
                  <w:vAlign w:val="center"/>
                </w:tcPr>
                <w:p>
                  <w:pPr>
                    <w:jc w:val="center"/>
                    <w:rPr>
                      <w:szCs w:val="21"/>
                    </w:rPr>
                  </w:pPr>
                  <w:r>
                    <w:rPr>
                      <w:rFonts w:hint="eastAsia"/>
                      <w:szCs w:val="21"/>
                    </w:rPr>
                    <w:t>3</w:t>
                  </w:r>
                </w:p>
              </w:tc>
              <w:tc>
                <w:tcPr>
                  <w:tcW w:w="1402" w:type="dxa"/>
                  <w:tcBorders>
                    <w:tl2br w:val="nil"/>
                    <w:tr2bl w:val="nil"/>
                  </w:tcBorders>
                </w:tcPr>
                <w:p>
                  <w:pPr>
                    <w:jc w:val="center"/>
                    <w:rPr>
                      <w:szCs w:val="21"/>
                    </w:rPr>
                  </w:pPr>
                  <w:r>
                    <w:rPr>
                      <w:rFonts w:hint="eastAsia"/>
                      <w:szCs w:val="21"/>
                    </w:rPr>
                    <w:t>新建</w:t>
                  </w:r>
                </w:p>
              </w:tc>
            </w:tr>
          </w:tbl>
          <w:p>
            <w:pPr>
              <w:pStyle w:val="3"/>
              <w:spacing w:after="0" w:line="360" w:lineRule="auto"/>
              <w:ind w:left="0" w:leftChars="0" w:firstLine="480" w:firstLineChars="200"/>
              <w:rPr>
                <w:b/>
                <w:bCs/>
                <w:szCs w:val="24"/>
              </w:rPr>
            </w:pPr>
            <w:r>
              <w:rPr>
                <w:kern w:val="2"/>
                <w:szCs w:val="24"/>
              </w:rPr>
              <w:t>本项目生产设备型号不在国家发展改革委公布的《产业结构调整指导目录（2019年本）》限制及淘汰类设备范围内。</w:t>
            </w:r>
          </w:p>
          <w:p>
            <w:pPr>
              <w:spacing w:line="360" w:lineRule="auto"/>
              <w:ind w:firstLine="482" w:firstLineChars="200"/>
              <w:rPr>
                <w:b/>
                <w:bCs/>
                <w:sz w:val="24"/>
              </w:rPr>
            </w:pPr>
            <w:r>
              <w:rPr>
                <w:rFonts w:hint="eastAsia"/>
                <w:b/>
                <w:bCs/>
                <w:sz w:val="24"/>
              </w:rPr>
              <w:t>五</w:t>
            </w:r>
            <w:r>
              <w:rPr>
                <w:b/>
                <w:bCs/>
                <w:sz w:val="24"/>
              </w:rPr>
              <w:t>、主要原辅料</w:t>
            </w:r>
          </w:p>
          <w:p>
            <w:pPr>
              <w:spacing w:line="360" w:lineRule="auto"/>
              <w:ind w:firstLine="480" w:firstLineChars="200"/>
              <w:rPr>
                <w:rStyle w:val="64"/>
                <w:sz w:val="24"/>
              </w:rPr>
            </w:pPr>
            <w:r>
              <w:rPr>
                <w:rStyle w:val="64"/>
                <w:rFonts w:hint="eastAsia"/>
                <w:sz w:val="24"/>
              </w:rPr>
              <w:t>根据企业提供资料，项目所用原辅材料如下：</w:t>
            </w:r>
          </w:p>
          <w:p>
            <w:pPr>
              <w:jc w:val="center"/>
              <w:rPr>
                <w:rFonts w:eastAsia="新宋体"/>
                <w:b/>
                <w:szCs w:val="21"/>
              </w:rPr>
            </w:pPr>
            <w:r>
              <w:rPr>
                <w:rFonts w:eastAsia="新宋体"/>
                <w:b/>
                <w:color w:val="000000"/>
                <w:sz w:val="24"/>
              </w:rPr>
              <w:t>表</w:t>
            </w:r>
            <w:r>
              <w:rPr>
                <w:rFonts w:hint="eastAsia" w:eastAsia="新宋体"/>
                <w:b/>
                <w:color w:val="000000"/>
                <w:sz w:val="24"/>
              </w:rPr>
              <w:t>2</w:t>
            </w:r>
            <w:r>
              <w:rPr>
                <w:rFonts w:eastAsia="新宋体"/>
                <w:b/>
                <w:color w:val="000000"/>
                <w:sz w:val="24"/>
              </w:rPr>
              <w:t>-</w:t>
            </w:r>
            <w:r>
              <w:rPr>
                <w:rFonts w:hint="eastAsia" w:eastAsia="新宋体"/>
                <w:b/>
                <w:color w:val="000000"/>
                <w:sz w:val="24"/>
              </w:rPr>
              <w:t>4</w:t>
            </w:r>
            <w:r>
              <w:rPr>
                <w:rFonts w:eastAsia="新宋体"/>
                <w:b/>
                <w:color w:val="000000"/>
                <w:sz w:val="24"/>
              </w:rPr>
              <w:t xml:space="preserve"> </w:t>
            </w:r>
            <w:r>
              <w:rPr>
                <w:rFonts w:eastAsia="新宋体"/>
                <w:b/>
                <w:sz w:val="24"/>
              </w:rPr>
              <w:t>主要原辅料表</w:t>
            </w:r>
          </w:p>
          <w:tbl>
            <w:tblPr>
              <w:tblStyle w:val="35"/>
              <w:tblW w:w="745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33"/>
              <w:gridCol w:w="2942"/>
              <w:gridCol w:w="358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9" w:hRule="atLeast"/>
                <w:jc w:val="center"/>
              </w:trPr>
              <w:tc>
                <w:tcPr>
                  <w:tcW w:w="933" w:type="dxa"/>
                  <w:tcBorders>
                    <w:tl2br w:val="nil"/>
                    <w:tr2bl w:val="nil"/>
                  </w:tcBorders>
                  <w:vAlign w:val="center"/>
                </w:tcPr>
                <w:p>
                  <w:pPr>
                    <w:snapToGrid w:val="0"/>
                    <w:jc w:val="center"/>
                    <w:rPr>
                      <w:b/>
                      <w:bCs/>
                      <w:szCs w:val="21"/>
                    </w:rPr>
                  </w:pPr>
                  <w:r>
                    <w:rPr>
                      <w:b/>
                      <w:bCs/>
                      <w:szCs w:val="21"/>
                    </w:rPr>
                    <w:t>序号</w:t>
                  </w:r>
                </w:p>
              </w:tc>
              <w:tc>
                <w:tcPr>
                  <w:tcW w:w="2942" w:type="dxa"/>
                  <w:tcBorders>
                    <w:tl2br w:val="nil"/>
                    <w:tr2bl w:val="nil"/>
                  </w:tcBorders>
                  <w:vAlign w:val="center"/>
                </w:tcPr>
                <w:p>
                  <w:pPr>
                    <w:snapToGrid w:val="0"/>
                    <w:jc w:val="center"/>
                    <w:rPr>
                      <w:b/>
                      <w:bCs/>
                      <w:szCs w:val="21"/>
                    </w:rPr>
                  </w:pPr>
                  <w:r>
                    <w:rPr>
                      <w:b/>
                      <w:bCs/>
                      <w:szCs w:val="21"/>
                    </w:rPr>
                    <w:t>名称</w:t>
                  </w:r>
                </w:p>
              </w:tc>
              <w:tc>
                <w:tcPr>
                  <w:tcW w:w="3583" w:type="dxa"/>
                  <w:tcBorders>
                    <w:tl2br w:val="nil"/>
                    <w:tr2bl w:val="nil"/>
                  </w:tcBorders>
                  <w:vAlign w:val="center"/>
                </w:tcPr>
                <w:p>
                  <w:pPr>
                    <w:snapToGrid w:val="0"/>
                    <w:jc w:val="center"/>
                    <w:rPr>
                      <w:b/>
                      <w:bCs/>
                      <w:szCs w:val="21"/>
                    </w:rPr>
                  </w:pPr>
                  <w:r>
                    <w:rPr>
                      <w:b/>
                      <w:bCs/>
                      <w:szCs w:val="21"/>
                    </w:rPr>
                    <w:t>年用量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933" w:type="dxa"/>
                  <w:tcBorders>
                    <w:tl2br w:val="nil"/>
                    <w:tr2bl w:val="nil"/>
                  </w:tcBorders>
                  <w:vAlign w:val="center"/>
                </w:tcPr>
                <w:p>
                  <w:pPr>
                    <w:snapToGrid w:val="0"/>
                    <w:jc w:val="center"/>
                    <w:rPr>
                      <w:szCs w:val="21"/>
                    </w:rPr>
                  </w:pPr>
                  <w:r>
                    <w:rPr>
                      <w:szCs w:val="21"/>
                    </w:rPr>
                    <w:t>1</w:t>
                  </w:r>
                </w:p>
              </w:tc>
              <w:tc>
                <w:tcPr>
                  <w:tcW w:w="2942" w:type="dxa"/>
                  <w:tcBorders>
                    <w:tl2br w:val="nil"/>
                    <w:tr2bl w:val="nil"/>
                  </w:tcBorders>
                  <w:vAlign w:val="center"/>
                </w:tcPr>
                <w:p>
                  <w:pPr>
                    <w:snapToGrid w:val="0"/>
                    <w:jc w:val="center"/>
                    <w:rPr>
                      <w:szCs w:val="21"/>
                    </w:rPr>
                  </w:pPr>
                  <w:r>
                    <w:rPr>
                      <w:rFonts w:hint="eastAsia"/>
                      <w:szCs w:val="21"/>
                    </w:rPr>
                    <w:t>膨润土（半成品）</w:t>
                  </w:r>
                </w:p>
              </w:tc>
              <w:tc>
                <w:tcPr>
                  <w:tcW w:w="3583" w:type="dxa"/>
                  <w:tcBorders>
                    <w:tl2br w:val="nil"/>
                    <w:tr2bl w:val="nil"/>
                  </w:tcBorders>
                  <w:vAlign w:val="center"/>
                </w:tcPr>
                <w:p>
                  <w:pPr>
                    <w:jc w:val="center"/>
                    <w:rPr>
                      <w:szCs w:val="21"/>
                    </w:rPr>
                  </w:pPr>
                  <w:r>
                    <w:rPr>
                      <w:rFonts w:hint="eastAsia"/>
                      <w:szCs w:val="21"/>
                    </w:rPr>
                    <w:t>2000t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933" w:type="dxa"/>
                  <w:tcBorders>
                    <w:tl2br w:val="nil"/>
                    <w:tr2bl w:val="nil"/>
                  </w:tcBorders>
                  <w:vAlign w:val="center"/>
                </w:tcPr>
                <w:p>
                  <w:pPr>
                    <w:snapToGrid w:val="0"/>
                    <w:jc w:val="center"/>
                    <w:rPr>
                      <w:szCs w:val="21"/>
                    </w:rPr>
                  </w:pPr>
                  <w:r>
                    <w:rPr>
                      <w:rFonts w:hint="eastAsia"/>
                      <w:szCs w:val="21"/>
                    </w:rPr>
                    <w:t>2</w:t>
                  </w:r>
                </w:p>
              </w:tc>
              <w:tc>
                <w:tcPr>
                  <w:tcW w:w="2942" w:type="dxa"/>
                  <w:tcBorders>
                    <w:tl2br w:val="nil"/>
                    <w:tr2bl w:val="nil"/>
                  </w:tcBorders>
                  <w:vAlign w:val="center"/>
                </w:tcPr>
                <w:p>
                  <w:pPr>
                    <w:snapToGrid w:val="0"/>
                    <w:jc w:val="center"/>
                    <w:rPr>
                      <w:szCs w:val="21"/>
                    </w:rPr>
                  </w:pPr>
                  <w:r>
                    <w:rPr>
                      <w:rFonts w:hint="eastAsia"/>
                      <w:szCs w:val="21"/>
                    </w:rPr>
                    <w:t>水</w:t>
                  </w:r>
                </w:p>
              </w:tc>
              <w:tc>
                <w:tcPr>
                  <w:tcW w:w="3583" w:type="dxa"/>
                  <w:tcBorders>
                    <w:tl2br w:val="nil"/>
                    <w:tr2bl w:val="nil"/>
                  </w:tcBorders>
                  <w:vAlign w:val="center"/>
                </w:tcPr>
                <w:p>
                  <w:pPr>
                    <w:jc w:val="center"/>
                    <w:rPr>
                      <w:szCs w:val="21"/>
                    </w:rPr>
                  </w:pPr>
                  <w:r>
                    <w:rPr>
                      <w:rFonts w:hint="eastAsia"/>
                      <w:szCs w:val="21"/>
                      <w:lang w:val="en-US" w:eastAsia="zh-CN"/>
                    </w:rPr>
                    <w:t>1410</w:t>
                  </w:r>
                  <w:r>
                    <w:rPr>
                      <w:rFonts w:hint="eastAsia"/>
                      <w:szCs w:val="21"/>
                    </w:rPr>
                    <w:t>m³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33" w:type="dxa"/>
                  <w:tcBorders>
                    <w:tl2br w:val="nil"/>
                    <w:tr2bl w:val="nil"/>
                  </w:tcBorders>
                  <w:vAlign w:val="center"/>
                </w:tcPr>
                <w:p>
                  <w:pPr>
                    <w:snapToGrid w:val="0"/>
                    <w:jc w:val="center"/>
                    <w:rPr>
                      <w:szCs w:val="21"/>
                    </w:rPr>
                  </w:pPr>
                  <w:r>
                    <w:rPr>
                      <w:rFonts w:hint="eastAsia"/>
                      <w:szCs w:val="21"/>
                    </w:rPr>
                    <w:t>3</w:t>
                  </w:r>
                </w:p>
              </w:tc>
              <w:tc>
                <w:tcPr>
                  <w:tcW w:w="2942" w:type="dxa"/>
                  <w:tcBorders>
                    <w:tl2br w:val="nil"/>
                    <w:tr2bl w:val="nil"/>
                  </w:tcBorders>
                  <w:vAlign w:val="center"/>
                </w:tcPr>
                <w:p>
                  <w:pPr>
                    <w:snapToGrid w:val="0"/>
                    <w:jc w:val="center"/>
                    <w:rPr>
                      <w:szCs w:val="21"/>
                    </w:rPr>
                  </w:pPr>
                  <w:r>
                    <w:rPr>
                      <w:rFonts w:hint="eastAsia"/>
                      <w:szCs w:val="21"/>
                    </w:rPr>
                    <w:t>电</w:t>
                  </w:r>
                </w:p>
              </w:tc>
              <w:tc>
                <w:tcPr>
                  <w:tcW w:w="3583" w:type="dxa"/>
                  <w:tcBorders>
                    <w:tl2br w:val="nil"/>
                    <w:tr2bl w:val="nil"/>
                  </w:tcBorders>
                  <w:vAlign w:val="center"/>
                </w:tcPr>
                <w:p>
                  <w:pPr>
                    <w:jc w:val="center"/>
                    <w:rPr>
                      <w:szCs w:val="21"/>
                    </w:rPr>
                  </w:pPr>
                  <w:r>
                    <w:rPr>
                      <w:rFonts w:hint="eastAsia"/>
                      <w:bCs/>
                      <w:color w:val="000000"/>
                      <w:szCs w:val="21"/>
                    </w:rPr>
                    <w:t>15万</w:t>
                  </w:r>
                  <w:r>
                    <w:rPr>
                      <w:bCs/>
                      <w:color w:val="000000"/>
                      <w:szCs w:val="21"/>
                    </w:rPr>
                    <w:t>kw·h/a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933" w:type="dxa"/>
                  <w:tcBorders>
                    <w:tl2br w:val="nil"/>
                    <w:tr2bl w:val="nil"/>
                  </w:tcBorders>
                  <w:vAlign w:val="center"/>
                </w:tcPr>
                <w:p>
                  <w:pPr>
                    <w:snapToGrid w:val="0"/>
                    <w:jc w:val="center"/>
                    <w:rPr>
                      <w:szCs w:val="21"/>
                    </w:rPr>
                  </w:pPr>
                  <w:r>
                    <w:rPr>
                      <w:rFonts w:hint="eastAsia"/>
                      <w:szCs w:val="21"/>
                    </w:rPr>
                    <w:t>4</w:t>
                  </w:r>
                </w:p>
              </w:tc>
              <w:tc>
                <w:tcPr>
                  <w:tcW w:w="2942" w:type="dxa"/>
                  <w:tcBorders>
                    <w:tl2br w:val="nil"/>
                    <w:tr2bl w:val="nil"/>
                  </w:tcBorders>
                  <w:vAlign w:val="center"/>
                </w:tcPr>
                <w:p>
                  <w:pPr>
                    <w:snapToGrid w:val="0"/>
                    <w:jc w:val="center"/>
                    <w:rPr>
                      <w:szCs w:val="21"/>
                    </w:rPr>
                  </w:pPr>
                  <w:r>
                    <w:rPr>
                      <w:rFonts w:hint="eastAsia"/>
                      <w:szCs w:val="21"/>
                    </w:rPr>
                    <w:t>天然气</w:t>
                  </w:r>
                </w:p>
              </w:tc>
              <w:tc>
                <w:tcPr>
                  <w:tcW w:w="3583" w:type="dxa"/>
                  <w:tcBorders>
                    <w:tl2br w:val="nil"/>
                    <w:tr2bl w:val="nil"/>
                  </w:tcBorders>
                  <w:vAlign w:val="center"/>
                </w:tcPr>
                <w:p>
                  <w:pPr>
                    <w:jc w:val="center"/>
                    <w:rPr>
                      <w:szCs w:val="21"/>
                    </w:rPr>
                  </w:pPr>
                  <w:r>
                    <w:rPr>
                      <w:rFonts w:hint="eastAsia"/>
                      <w:szCs w:val="21"/>
                    </w:rPr>
                    <w:t>7.2</w:t>
                  </w:r>
                  <w:r>
                    <w:rPr>
                      <w:szCs w:val="21"/>
                    </w:rPr>
                    <w:t>万</w:t>
                  </w:r>
                  <w:r>
                    <w:rPr>
                      <w:rFonts w:hint="eastAsia"/>
                      <w:szCs w:val="21"/>
                    </w:rPr>
                    <w:t>m³</w:t>
                  </w:r>
                </w:p>
              </w:tc>
            </w:tr>
          </w:tbl>
          <w:p>
            <w:pPr>
              <w:adjustRightInd w:val="0"/>
              <w:snapToGrid w:val="0"/>
              <w:spacing w:line="360" w:lineRule="auto"/>
              <w:ind w:firstLine="482" w:firstLineChars="200"/>
              <w:jc w:val="left"/>
              <w:rPr>
                <w:b/>
                <w:sz w:val="24"/>
              </w:rPr>
            </w:pPr>
            <w:r>
              <w:rPr>
                <w:rFonts w:hint="eastAsia" w:ascii="宋体" w:hAnsi="宋体"/>
                <w:b/>
                <w:sz w:val="24"/>
              </w:rPr>
              <w:t>膨润土：</w:t>
            </w:r>
            <w:r>
              <w:rPr>
                <w:rFonts w:hint="eastAsia" w:ascii="宋体" w:hAnsi="宋体"/>
                <w:sz w:val="24"/>
                <w:szCs w:val="32"/>
              </w:rPr>
              <w:t>膨润土是指含有铁质而带黄褐色、灰白色、红紫色等色调，陶土主要由高岭石、蒙脱石、石英、长石组成的，粉砂质黏土主要化学成分为：氧化硅、三氧化二铝以及少量的三氧化二铁、氧化钙、氧化镁等。它与水、泥或细沙的掺和物具有可塑性和黏结性，项目所用膨润土原料为半成品，内部杂质已去除。</w:t>
            </w:r>
          </w:p>
          <w:p>
            <w:pPr>
              <w:spacing w:line="360" w:lineRule="auto"/>
              <w:ind w:firstLine="482" w:firstLineChars="200"/>
              <w:rPr>
                <w:rFonts w:hint="eastAsia" w:eastAsia="宋体"/>
                <w:b/>
                <w:sz w:val="24"/>
                <w:lang w:eastAsia="zh-CN"/>
              </w:rPr>
            </w:pPr>
            <w:r>
              <w:rPr>
                <w:rFonts w:hint="eastAsia"/>
                <w:b/>
                <w:bCs/>
                <w:sz w:val="24"/>
                <w:lang w:val="en-US" w:eastAsia="zh-CN"/>
              </w:rPr>
              <w:t>天然气用量核算：</w:t>
            </w:r>
            <w:r>
              <w:rPr>
                <w:rFonts w:hint="eastAsia"/>
                <w:b w:val="0"/>
                <w:bCs w:val="0"/>
                <w:sz w:val="24"/>
                <w:lang w:val="en-US" w:eastAsia="zh-CN"/>
              </w:rPr>
              <w:t>据企业提供天然气烘干炉技术参数，烘干炉平均耗气量为30m³/h，项目年生产2400h，则项目天然气年用量为7.2万m³，</w:t>
            </w:r>
            <w:r>
              <w:rPr>
                <w:sz w:val="24"/>
              </w:rPr>
              <w:t>平均每天用量为</w:t>
            </w:r>
            <w:r>
              <w:rPr>
                <w:rFonts w:hint="eastAsia"/>
                <w:sz w:val="24"/>
                <w:lang w:val="en-US" w:eastAsia="zh-CN"/>
              </w:rPr>
              <w:t>240</w:t>
            </w:r>
            <w:r>
              <w:rPr>
                <w:sz w:val="24"/>
              </w:rPr>
              <w:t>m³，天然气的密度</w:t>
            </w:r>
            <w:r>
              <w:rPr>
                <w:rFonts w:hint="eastAsia"/>
                <w:sz w:val="24"/>
                <w:lang w:val="en-US" w:eastAsia="zh-CN"/>
              </w:rPr>
              <w:t>按</w:t>
            </w:r>
            <w:r>
              <w:rPr>
                <w:sz w:val="24"/>
              </w:rPr>
              <w:t>0.7174Kg/m</w:t>
            </w:r>
            <w:r>
              <w:rPr>
                <w:sz w:val="24"/>
                <w:vertAlign w:val="superscript"/>
              </w:rPr>
              <w:t>3</w:t>
            </w:r>
            <w:r>
              <w:rPr>
                <w:rFonts w:hint="eastAsia"/>
                <w:sz w:val="24"/>
                <w:vertAlign w:val="baseline"/>
                <w:lang w:val="en-US" w:eastAsia="zh-CN"/>
              </w:rPr>
              <w:t>计，天然气用量为0.17t/d（约51.65t/a）。企业</w:t>
            </w:r>
            <w:r>
              <w:rPr>
                <w:rFonts w:hint="eastAsia"/>
                <w:sz w:val="24"/>
                <w:lang w:val="en-US" w:eastAsia="zh-CN"/>
              </w:rPr>
              <w:t>外购瓶装天然气暂存于车间内，单罐天然气重约40kg，根据企业提供资料，</w:t>
            </w:r>
            <w:r>
              <w:rPr>
                <w:sz w:val="24"/>
              </w:rPr>
              <w:t>每次外购</w:t>
            </w:r>
            <w:r>
              <w:rPr>
                <w:rFonts w:hint="eastAsia"/>
                <w:sz w:val="24"/>
                <w:lang w:val="en-US" w:eastAsia="zh-CN"/>
              </w:rPr>
              <w:t>两天</w:t>
            </w:r>
            <w:r>
              <w:rPr>
                <w:sz w:val="24"/>
              </w:rPr>
              <w:t>用量，</w:t>
            </w:r>
            <w:r>
              <w:rPr>
                <w:rFonts w:hint="eastAsia"/>
                <w:sz w:val="24"/>
                <w:lang w:val="en-US" w:eastAsia="zh-CN"/>
              </w:rPr>
              <w:t>即天然气</w:t>
            </w:r>
            <w:r>
              <w:rPr>
                <w:sz w:val="24"/>
              </w:rPr>
              <w:t>最大储存量约为0.</w:t>
            </w:r>
            <w:r>
              <w:rPr>
                <w:rFonts w:hint="eastAsia"/>
                <w:sz w:val="24"/>
                <w:lang w:val="en-US" w:eastAsia="zh-CN"/>
              </w:rPr>
              <w:t>36</w:t>
            </w:r>
            <w:r>
              <w:rPr>
                <w:sz w:val="24"/>
              </w:rPr>
              <w:t>t</w:t>
            </w:r>
            <w:r>
              <w:rPr>
                <w:rFonts w:hint="eastAsia"/>
                <w:sz w:val="24"/>
                <w:lang w:eastAsia="zh-CN"/>
              </w:rPr>
              <w:t>。</w:t>
            </w:r>
          </w:p>
          <w:p>
            <w:pPr>
              <w:spacing w:line="360" w:lineRule="auto"/>
              <w:ind w:firstLine="482" w:firstLineChars="200"/>
              <w:rPr>
                <w:b/>
                <w:sz w:val="24"/>
              </w:rPr>
            </w:pPr>
            <w:r>
              <w:rPr>
                <w:rFonts w:hint="eastAsia"/>
                <w:b/>
                <w:sz w:val="24"/>
              </w:rPr>
              <w:t>六</w:t>
            </w:r>
            <w:r>
              <w:rPr>
                <w:b/>
                <w:sz w:val="24"/>
              </w:rPr>
              <w:t>、项目平面布置</w:t>
            </w:r>
          </w:p>
          <w:p>
            <w:pPr>
              <w:spacing w:line="360" w:lineRule="auto"/>
              <w:ind w:firstLine="480" w:firstLineChars="200"/>
              <w:rPr>
                <w:sz w:val="24"/>
              </w:rPr>
            </w:pPr>
            <w:r>
              <w:rPr>
                <w:rStyle w:val="64"/>
                <w:sz w:val="24"/>
              </w:rPr>
              <w:t>本项目所在厂</w:t>
            </w:r>
            <w:r>
              <w:rPr>
                <w:sz w:val="24"/>
              </w:rPr>
              <w:t>根据本产品的工艺、运输、消防、安全的要求，结合地形等因素，按照国家有关标准和规定，对生产、运输、绿化进行了优化，并配有较为完善的供电、供水、排水等基础设施。</w:t>
            </w:r>
          </w:p>
          <w:p>
            <w:pPr>
              <w:spacing w:line="360" w:lineRule="auto"/>
              <w:ind w:firstLine="480" w:firstLineChars="200"/>
              <w:rPr>
                <w:rStyle w:val="64"/>
                <w:sz w:val="24"/>
              </w:rPr>
            </w:pPr>
            <w:r>
              <w:rPr>
                <w:rFonts w:hint="eastAsia"/>
                <w:sz w:val="24"/>
              </w:rPr>
              <w:t>项目办公室位于</w:t>
            </w:r>
            <w:r>
              <w:rPr>
                <w:rFonts w:hint="eastAsia"/>
                <w:sz w:val="24"/>
                <w:lang w:val="en-US" w:eastAsia="zh-CN"/>
              </w:rPr>
              <w:t>厂区东北侧</w:t>
            </w:r>
            <w:r>
              <w:rPr>
                <w:rFonts w:hint="eastAsia"/>
                <w:sz w:val="24"/>
              </w:rPr>
              <w:t>，生产车间自东向西分别为成品区、生产区、原料储存区；</w:t>
            </w:r>
            <w:r>
              <w:rPr>
                <w:sz w:val="24"/>
                <w:lang w:val="zh-CN"/>
              </w:rPr>
              <w:t>总平面布置符合工业企业布置标准、利于产品及原料运输</w:t>
            </w:r>
            <w:r>
              <w:rPr>
                <w:rFonts w:hint="eastAsia"/>
                <w:sz w:val="24"/>
                <w:lang w:val="zh-CN"/>
              </w:rPr>
              <w:t>，</w:t>
            </w:r>
            <w:r>
              <w:rPr>
                <w:rStyle w:val="64"/>
                <w:sz w:val="24"/>
              </w:rPr>
              <w:t>对周边敏感目标影响较小。</w:t>
            </w:r>
          </w:p>
          <w:p>
            <w:pPr>
              <w:spacing w:line="360" w:lineRule="auto"/>
              <w:ind w:firstLine="480" w:firstLineChars="200"/>
              <w:rPr>
                <w:rStyle w:val="64"/>
                <w:sz w:val="24"/>
              </w:rPr>
            </w:pPr>
            <w:r>
              <w:rPr>
                <w:rStyle w:val="64"/>
                <w:sz w:val="24"/>
              </w:rPr>
              <w:t xml:space="preserve">综上，厂区平面布置合理。项目平面布置图见附图。  </w:t>
            </w:r>
          </w:p>
          <w:p>
            <w:pPr>
              <w:spacing w:line="360" w:lineRule="auto"/>
              <w:ind w:firstLine="482" w:firstLineChars="200"/>
              <w:rPr>
                <w:b/>
                <w:sz w:val="24"/>
              </w:rPr>
            </w:pPr>
            <w:r>
              <w:rPr>
                <w:rFonts w:hint="eastAsia"/>
                <w:b/>
                <w:sz w:val="24"/>
              </w:rPr>
              <w:t>七</w:t>
            </w:r>
            <w:r>
              <w:rPr>
                <w:b/>
                <w:sz w:val="24"/>
              </w:rPr>
              <w:t>、工作制度</w:t>
            </w:r>
          </w:p>
          <w:p>
            <w:pPr>
              <w:spacing w:line="360" w:lineRule="auto"/>
              <w:ind w:firstLine="480" w:firstLineChars="200"/>
              <w:rPr>
                <w:b/>
                <w:sz w:val="24"/>
              </w:rPr>
            </w:pPr>
            <w:r>
              <w:rPr>
                <w:sz w:val="24"/>
                <w:lang w:val="zh-CN"/>
              </w:rPr>
              <w:t>本项目劳动定员</w:t>
            </w:r>
            <w:r>
              <w:rPr>
                <w:rFonts w:hint="eastAsia"/>
                <w:sz w:val="24"/>
              </w:rPr>
              <w:t>5</w:t>
            </w:r>
            <w:r>
              <w:rPr>
                <w:sz w:val="24"/>
                <w:lang w:val="zh-CN"/>
              </w:rPr>
              <w:t>人，全年工作300天，</w:t>
            </w:r>
            <w:r>
              <w:rPr>
                <w:rFonts w:hint="eastAsia"/>
                <w:sz w:val="24"/>
                <w:lang w:val="zh-CN"/>
              </w:rPr>
              <w:t>单</w:t>
            </w:r>
            <w:r>
              <w:rPr>
                <w:sz w:val="24"/>
                <w:lang w:val="zh-CN"/>
              </w:rPr>
              <w:t>班</w:t>
            </w:r>
            <w:r>
              <w:rPr>
                <w:rFonts w:hint="eastAsia"/>
                <w:sz w:val="24"/>
                <w:lang w:val="zh-CN"/>
              </w:rPr>
              <w:t>工作</w:t>
            </w:r>
            <w:r>
              <w:rPr>
                <w:sz w:val="24"/>
                <w:lang w:val="zh-CN"/>
              </w:rPr>
              <w:t>制，每班工作8小时。</w:t>
            </w:r>
          </w:p>
          <w:p>
            <w:pPr>
              <w:spacing w:line="360" w:lineRule="auto"/>
              <w:ind w:firstLine="482" w:firstLineChars="200"/>
              <w:rPr>
                <w:b/>
                <w:sz w:val="24"/>
              </w:rPr>
            </w:pPr>
            <w:r>
              <w:rPr>
                <w:rFonts w:hint="eastAsia"/>
                <w:b/>
                <w:sz w:val="24"/>
              </w:rPr>
              <w:t>八</w:t>
            </w:r>
            <w:r>
              <w:rPr>
                <w:b/>
                <w:sz w:val="24"/>
              </w:rPr>
              <w:t>、公用工程</w:t>
            </w:r>
          </w:p>
          <w:p>
            <w:pPr>
              <w:spacing w:line="360" w:lineRule="auto"/>
              <w:ind w:firstLine="480" w:firstLineChars="200"/>
              <w:rPr>
                <w:rFonts w:ascii="宋体" w:hAnsi="宋体" w:cs="宋体"/>
                <w:sz w:val="24"/>
              </w:rPr>
            </w:pPr>
            <w:r>
              <w:rPr>
                <w:rFonts w:hint="eastAsia" w:ascii="宋体" w:hAnsi="宋体" w:cs="宋体"/>
                <w:sz w:val="24"/>
              </w:rPr>
              <w:t>1、给排水</w:t>
            </w:r>
          </w:p>
          <w:p>
            <w:pPr>
              <w:spacing w:line="360" w:lineRule="auto"/>
              <w:ind w:firstLine="480" w:firstLineChars="200"/>
              <w:rPr>
                <w:rFonts w:ascii="宋体" w:hAnsi="宋体" w:cs="宋体"/>
                <w:sz w:val="24"/>
              </w:rPr>
            </w:pPr>
            <w:r>
              <w:rPr>
                <w:rFonts w:hint="eastAsia" w:ascii="宋体" w:hAnsi="宋体" w:cs="宋体"/>
                <w:sz w:val="24"/>
              </w:rPr>
              <w:t>（1）给水</w:t>
            </w:r>
          </w:p>
          <w:p>
            <w:pPr>
              <w:spacing w:line="360" w:lineRule="auto"/>
              <w:ind w:firstLine="480" w:firstLineChars="200"/>
              <w:rPr>
                <w:rFonts w:ascii="宋体" w:hAnsi="宋体" w:cs="宋体"/>
                <w:sz w:val="24"/>
              </w:rPr>
            </w:pPr>
            <w:r>
              <w:rPr>
                <w:rFonts w:hint="eastAsia" w:ascii="宋体" w:hAnsi="宋体" w:cs="宋体"/>
                <w:sz w:val="24"/>
              </w:rPr>
              <w:t>生活用水</w:t>
            </w:r>
          </w:p>
          <w:p>
            <w:pPr>
              <w:spacing w:line="360" w:lineRule="auto"/>
              <w:ind w:firstLine="480" w:firstLineChars="200"/>
              <w:rPr>
                <w:sz w:val="24"/>
              </w:rPr>
            </w:pPr>
            <w:r>
              <w:rPr>
                <w:rFonts w:hint="eastAsia"/>
                <w:sz w:val="24"/>
              </w:rPr>
              <w:t>本项目定员5人</w:t>
            </w:r>
            <w:r>
              <w:rPr>
                <w:sz w:val="24"/>
              </w:rPr>
              <w:t>，</w:t>
            </w:r>
            <w:r>
              <w:rPr>
                <w:rFonts w:hint="eastAsia" w:eastAsia="新宋体"/>
                <w:sz w:val="24"/>
              </w:rPr>
              <w:t>根据</w:t>
            </w:r>
            <w:r>
              <w:rPr>
                <w:rFonts w:hint="eastAsia"/>
                <w:sz w:val="24"/>
              </w:rPr>
              <w:t>《建筑给水排水设计规范》（</w:t>
            </w:r>
            <w:r>
              <w:rPr>
                <w:sz w:val="24"/>
              </w:rPr>
              <w:t>GB50015-20</w:t>
            </w:r>
            <w:r>
              <w:rPr>
                <w:rFonts w:hint="eastAsia"/>
                <w:sz w:val="24"/>
              </w:rPr>
              <w:t>19），</w:t>
            </w:r>
            <w:r>
              <w:rPr>
                <w:rFonts w:hint="eastAsia" w:eastAsia="新宋体"/>
                <w:sz w:val="24"/>
              </w:rPr>
              <w:t>生活用水</w:t>
            </w:r>
            <w:r>
              <w:rPr>
                <w:rFonts w:hint="eastAsia"/>
                <w:sz w:val="24"/>
              </w:rPr>
              <w:t>量按4</w:t>
            </w:r>
            <w:r>
              <w:rPr>
                <w:sz w:val="24"/>
              </w:rPr>
              <w:t>0L/</w:t>
            </w:r>
            <w:r>
              <w:rPr>
                <w:rFonts w:hint="eastAsia"/>
                <w:sz w:val="24"/>
              </w:rPr>
              <w:t>人</w:t>
            </w:r>
            <w:r>
              <w:rPr>
                <w:sz w:val="24"/>
              </w:rPr>
              <w:t>·</w:t>
            </w:r>
            <w:r>
              <w:rPr>
                <w:rFonts w:hint="eastAsia"/>
                <w:sz w:val="24"/>
              </w:rPr>
              <w:t>天计算，年工作300天，用水60</w:t>
            </w:r>
            <w:r>
              <w:rPr>
                <w:sz w:val="24"/>
              </w:rPr>
              <w:t>m</w:t>
            </w:r>
            <w:r>
              <w:rPr>
                <w:sz w:val="24"/>
                <w:vertAlign w:val="superscript"/>
              </w:rPr>
              <w:t>3</w:t>
            </w:r>
            <w:r>
              <w:rPr>
                <w:sz w:val="24"/>
              </w:rPr>
              <w:t>/a</w:t>
            </w:r>
            <w:r>
              <w:rPr>
                <w:rFonts w:hint="eastAsia"/>
                <w:sz w:val="24"/>
              </w:rPr>
              <w:t>（0.2</w:t>
            </w:r>
            <w:r>
              <w:rPr>
                <w:sz w:val="24"/>
              </w:rPr>
              <w:t>m</w:t>
            </w:r>
            <w:r>
              <w:rPr>
                <w:sz w:val="24"/>
                <w:vertAlign w:val="superscript"/>
              </w:rPr>
              <w:t>3</w:t>
            </w:r>
            <w:r>
              <w:rPr>
                <w:sz w:val="24"/>
              </w:rPr>
              <w:t>/d</w:t>
            </w:r>
            <w:r>
              <w:rPr>
                <w:rFonts w:hint="eastAsia"/>
                <w:sz w:val="24"/>
              </w:rPr>
              <w:t>）。</w:t>
            </w:r>
          </w:p>
          <w:p>
            <w:pPr>
              <w:spacing w:line="360" w:lineRule="auto"/>
              <w:ind w:firstLine="480" w:firstLineChars="200"/>
              <w:rPr>
                <w:sz w:val="24"/>
              </w:rPr>
            </w:pPr>
            <w:r>
              <w:rPr>
                <w:rFonts w:hint="eastAsia"/>
                <w:sz w:val="24"/>
              </w:rPr>
              <w:t>生产用水</w:t>
            </w:r>
          </w:p>
          <w:p>
            <w:pPr>
              <w:spacing w:line="360" w:lineRule="auto"/>
              <w:ind w:firstLine="480" w:firstLineChars="200"/>
              <w:rPr>
                <w:sz w:val="24"/>
              </w:rPr>
            </w:pPr>
            <w:r>
              <w:rPr>
                <w:rFonts w:hint="eastAsia"/>
                <w:sz w:val="24"/>
              </w:rPr>
              <w:t>项目造粒过程需添加水，根据企业提供资料年用量为150m³；</w:t>
            </w:r>
          </w:p>
          <w:p>
            <w:pPr>
              <w:spacing w:line="360" w:lineRule="auto"/>
              <w:ind w:firstLine="480" w:firstLineChars="200"/>
              <w:rPr>
                <w:sz w:val="24"/>
              </w:rPr>
            </w:pPr>
            <w:r>
              <w:rPr>
                <w:rFonts w:hint="eastAsia"/>
                <w:sz w:val="24"/>
              </w:rPr>
              <w:t>项目对进出车辆进行清洗，冲洗水经沉淀池沉淀后循环使用，仅需定期补充消耗量，根据企业提供资料，补充损耗量为1m³/d（300m³/a）；</w:t>
            </w:r>
          </w:p>
          <w:p>
            <w:pPr>
              <w:spacing w:line="360" w:lineRule="auto"/>
              <w:ind w:firstLine="480" w:firstLineChars="200"/>
              <w:rPr>
                <w:sz w:val="24"/>
              </w:rPr>
            </w:pPr>
            <w:r>
              <w:rPr>
                <w:rFonts w:hint="eastAsia"/>
                <w:sz w:val="24"/>
              </w:rPr>
              <w:t>本项目原料堆放区每天定期进行喷洒抑尘，根据企业提供资料，堆场喷淋抑尘平均每天使用量为3m³/d，年用量为900m³/a。</w:t>
            </w:r>
          </w:p>
          <w:p>
            <w:pPr>
              <w:spacing w:line="360" w:lineRule="auto"/>
              <w:ind w:firstLine="480" w:firstLineChars="200"/>
              <w:rPr>
                <w:sz w:val="24"/>
              </w:rPr>
            </w:pPr>
            <w:r>
              <w:rPr>
                <w:rFonts w:hint="eastAsia"/>
                <w:sz w:val="24"/>
              </w:rPr>
              <w:t>综上，项目年用新鲜水量为1410m³/a。</w:t>
            </w:r>
          </w:p>
          <w:p>
            <w:pPr>
              <w:numPr>
                <w:ilvl w:val="0"/>
                <w:numId w:val="7"/>
              </w:numPr>
              <w:spacing w:line="360" w:lineRule="auto"/>
              <w:ind w:firstLine="480" w:firstLineChars="200"/>
              <w:rPr>
                <w:rFonts w:ascii="宋体" w:hAnsi="宋体" w:cs="宋体"/>
                <w:sz w:val="24"/>
              </w:rPr>
            </w:pPr>
            <w:r>
              <w:rPr>
                <w:rFonts w:hint="eastAsia" w:ascii="宋体" w:hAnsi="宋体" w:cs="宋体"/>
                <w:sz w:val="24"/>
              </w:rPr>
              <w:t>排水</w:t>
            </w:r>
          </w:p>
          <w:p>
            <w:pPr>
              <w:pStyle w:val="2"/>
              <w:spacing w:line="360" w:lineRule="auto"/>
              <w:ind w:left="0" w:leftChars="0" w:firstLine="480"/>
            </w:pPr>
            <w:r>
              <w:rPr>
                <w:rFonts w:hint="eastAsia"/>
                <w:kern w:val="2"/>
                <w:szCs w:val="24"/>
              </w:rPr>
              <w:t>本项目生活污水产污系数按生活用水的80%计，生活污水产生量为48m³/a，产生的污水经化粪池处理后外运堆肥；造粒用水自然损耗，不外排；车辆清洗水经沉淀池沉淀后循环使用，不外排；抑尘用水均蒸发损耗，不外排。</w:t>
            </w:r>
          </w:p>
          <w:p>
            <w:pPr>
              <w:spacing w:before="156" w:beforeLines="50" w:line="360" w:lineRule="auto"/>
              <w:jc w:val="center"/>
              <w:rPr>
                <w:szCs w:val="21"/>
              </w:rPr>
            </w:pPr>
            <w:r>
              <w:drawing>
                <wp:inline distT="0" distB="0" distL="114300" distR="114300">
                  <wp:extent cx="5777865" cy="3622040"/>
                  <wp:effectExtent l="0" t="0" r="13335" b="1651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8"/>
                          <a:stretch>
                            <a:fillRect/>
                          </a:stretch>
                        </pic:blipFill>
                        <pic:spPr>
                          <a:xfrm>
                            <a:off x="0" y="0"/>
                            <a:ext cx="5777865" cy="3622040"/>
                          </a:xfrm>
                          <a:prstGeom prst="rect">
                            <a:avLst/>
                          </a:prstGeom>
                          <a:noFill/>
                          <a:ln>
                            <a:noFill/>
                          </a:ln>
                        </pic:spPr>
                      </pic:pic>
                    </a:graphicData>
                  </a:graphic>
                </wp:inline>
              </w:drawing>
            </w:r>
          </w:p>
          <w:p>
            <w:pPr>
              <w:adjustRightInd w:val="0"/>
              <w:snapToGrid w:val="0"/>
              <w:jc w:val="center"/>
              <w:rPr>
                <w:sz w:val="24"/>
              </w:rPr>
            </w:pPr>
            <w:r>
              <w:rPr>
                <w:rFonts w:hint="eastAsia"/>
                <w:b/>
                <w:bCs/>
                <w:sz w:val="24"/>
              </w:rPr>
              <w:t>图</w:t>
            </w:r>
            <w:r>
              <w:rPr>
                <w:b/>
                <w:bCs/>
                <w:sz w:val="24"/>
              </w:rPr>
              <w:t>2-</w:t>
            </w:r>
            <w:r>
              <w:rPr>
                <w:rFonts w:hint="eastAsia"/>
                <w:b/>
                <w:bCs/>
                <w:sz w:val="24"/>
              </w:rPr>
              <w:t xml:space="preserve">1 </w:t>
            </w:r>
            <w:r>
              <w:rPr>
                <w:b/>
                <w:bCs/>
                <w:sz w:val="24"/>
              </w:rPr>
              <w:t xml:space="preserve">  项目</w:t>
            </w:r>
            <w:r>
              <w:rPr>
                <w:rFonts w:hint="eastAsia"/>
                <w:b/>
                <w:bCs/>
                <w:sz w:val="24"/>
              </w:rPr>
              <w:t>水平衡图  单位m³/a</w:t>
            </w:r>
          </w:p>
          <w:p>
            <w:pPr>
              <w:spacing w:before="156" w:beforeLines="50" w:line="360" w:lineRule="auto"/>
              <w:ind w:firstLine="480" w:firstLineChars="200"/>
              <w:rPr>
                <w:sz w:val="24"/>
              </w:rPr>
            </w:pPr>
            <w:r>
              <w:rPr>
                <w:sz w:val="24"/>
              </w:rPr>
              <w:t>2、供电</w:t>
            </w:r>
          </w:p>
          <w:p>
            <w:pPr>
              <w:spacing w:line="360" w:lineRule="auto"/>
              <w:ind w:firstLine="480" w:firstLineChars="200"/>
              <w:rPr>
                <w:rFonts w:eastAsia="新宋体"/>
                <w:sz w:val="24"/>
              </w:rPr>
            </w:pPr>
            <w:r>
              <w:rPr>
                <w:sz w:val="24"/>
              </w:rPr>
              <w:t>本项目用电由</w:t>
            </w:r>
            <w:r>
              <w:rPr>
                <w:rFonts w:hint="eastAsia"/>
                <w:sz w:val="24"/>
              </w:rPr>
              <w:t>柘沟镇</w:t>
            </w:r>
            <w:r>
              <w:rPr>
                <w:sz w:val="24"/>
              </w:rPr>
              <w:t>供电线路接入，厂内建设配电室</w:t>
            </w:r>
            <w:r>
              <w:rPr>
                <w:rFonts w:hint="eastAsia"/>
                <w:sz w:val="24"/>
              </w:rPr>
              <w:t>，</w:t>
            </w:r>
            <w:r>
              <w:rPr>
                <w:rFonts w:eastAsia="新宋体"/>
                <w:sz w:val="24"/>
              </w:rPr>
              <w:t>供电能满足生产</w:t>
            </w:r>
            <w:r>
              <w:rPr>
                <w:rFonts w:hint="eastAsia" w:eastAsia="新宋体"/>
                <w:sz w:val="24"/>
              </w:rPr>
              <w:t>、生活</w:t>
            </w:r>
            <w:r>
              <w:rPr>
                <w:rFonts w:eastAsia="新宋体"/>
                <w:sz w:val="24"/>
              </w:rPr>
              <w:t>要求。</w:t>
            </w:r>
          </w:p>
          <w:p>
            <w:pPr>
              <w:spacing w:line="360" w:lineRule="auto"/>
              <w:ind w:left="420" w:leftChars="200"/>
              <w:rPr>
                <w:rFonts w:ascii="宋体" w:hAnsi="宋体" w:cs="宋体"/>
                <w:bCs/>
                <w:sz w:val="24"/>
              </w:rPr>
            </w:pPr>
            <w:r>
              <w:rPr>
                <w:rFonts w:hint="eastAsia" w:ascii="宋体" w:hAnsi="宋体" w:cs="宋体"/>
                <w:bCs/>
                <w:sz w:val="24"/>
              </w:rPr>
              <w:t>3、供热、供气</w:t>
            </w:r>
          </w:p>
          <w:p>
            <w:pPr>
              <w:spacing w:line="360" w:lineRule="auto"/>
              <w:ind w:firstLine="480" w:firstLineChars="200"/>
              <w:rPr>
                <w:rFonts w:ascii="宋体" w:hAnsi="宋体" w:cs="宋体"/>
                <w:bCs/>
                <w:szCs w:val="21"/>
              </w:rPr>
            </w:pPr>
            <w:r>
              <w:rPr>
                <w:rFonts w:hint="eastAsia" w:ascii="宋体" w:hAnsi="宋体" w:cs="宋体"/>
                <w:bCs/>
                <w:sz w:val="24"/>
              </w:rPr>
              <w:t>项目烘干过程使用天然气烘干炉供热。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67" w:hRule="atLeast"/>
          <w:jc w:val="center"/>
        </w:trPr>
        <w:tc>
          <w:tcPr>
            <w:tcW w:w="453" w:type="dxa"/>
            <w:tcBorders>
              <w:tl2br w:val="nil"/>
              <w:tr2bl w:val="nil"/>
            </w:tcBorders>
            <w:vAlign w:val="center"/>
          </w:tcPr>
          <w:p>
            <w:pPr>
              <w:pStyle w:val="32"/>
              <w:adjustRightInd w:val="0"/>
              <w:snapToGrid w:val="0"/>
              <w:spacing w:before="0" w:beforeAutospacing="0" w:after="0" w:afterAutospacing="0"/>
              <w:jc w:val="center"/>
              <w:rPr>
                <w:rFonts w:cs="宋体"/>
                <w:sz w:val="21"/>
                <w:szCs w:val="21"/>
              </w:rPr>
            </w:pPr>
            <w:r>
              <w:rPr>
                <w:rFonts w:hint="eastAsia" w:cs="宋体"/>
                <w:sz w:val="21"/>
                <w:szCs w:val="21"/>
              </w:rPr>
              <w:t>工艺流程和产排污环节</w:t>
            </w:r>
          </w:p>
        </w:tc>
        <w:tc>
          <w:tcPr>
            <w:tcW w:w="9317" w:type="dxa"/>
            <w:tcBorders>
              <w:tl2br w:val="nil"/>
              <w:tr2bl w:val="nil"/>
            </w:tcBorders>
          </w:tcPr>
          <w:p>
            <w:pPr>
              <w:pStyle w:val="95"/>
              <w:snapToGrid w:val="0"/>
              <w:spacing w:before="0" w:after="0" w:line="360" w:lineRule="auto"/>
              <w:ind w:firstLine="482" w:firstLineChars="200"/>
              <w:rPr>
                <w:rFonts w:eastAsia="宋体"/>
                <w:b/>
                <w:color w:val="000000"/>
                <w:sz w:val="24"/>
              </w:rPr>
            </w:pPr>
            <w:r>
              <w:rPr>
                <w:rFonts w:eastAsia="宋体"/>
                <w:b/>
                <w:color w:val="000000"/>
                <w:sz w:val="24"/>
              </w:rPr>
              <w:t>一、施工期工艺流程及产排污环节</w:t>
            </w:r>
          </w:p>
          <w:p>
            <w:pPr>
              <w:spacing w:line="360" w:lineRule="auto"/>
              <w:ind w:firstLine="480" w:firstLineChars="200"/>
              <w:rPr>
                <w:sz w:val="24"/>
              </w:rPr>
            </w:pPr>
            <w:r>
              <w:rPr>
                <w:rFonts w:hint="eastAsia"/>
                <w:sz w:val="24"/>
              </w:rPr>
              <w:t>项目租赁现有车间，施工期仅进行部分设备的安装调试，施工期环境影响较小。</w:t>
            </w:r>
          </w:p>
          <w:p>
            <w:pPr>
              <w:spacing w:line="360" w:lineRule="auto"/>
              <w:ind w:firstLine="482" w:firstLineChars="200"/>
              <w:rPr>
                <w:b/>
                <w:bCs/>
                <w:sz w:val="24"/>
              </w:rPr>
            </w:pPr>
            <w:r>
              <w:rPr>
                <w:rFonts w:hint="eastAsia"/>
                <w:b/>
                <w:bCs/>
                <w:sz w:val="24"/>
              </w:rPr>
              <w:t>二、</w:t>
            </w:r>
            <w:r>
              <w:rPr>
                <w:b/>
                <w:sz w:val="24"/>
              </w:rPr>
              <w:t>营运期</w:t>
            </w:r>
            <w:r>
              <w:rPr>
                <w:b/>
                <w:color w:val="000000"/>
                <w:sz w:val="24"/>
              </w:rPr>
              <w:t>工艺流程及产排污环节</w:t>
            </w:r>
          </w:p>
          <w:p>
            <w:pPr>
              <w:numPr>
                <w:ilvl w:val="0"/>
                <w:numId w:val="8"/>
              </w:numPr>
              <w:spacing w:line="360" w:lineRule="auto"/>
              <w:ind w:firstLine="482" w:firstLineChars="200"/>
              <w:rPr>
                <w:b/>
                <w:bCs/>
                <w:szCs w:val="21"/>
              </w:rPr>
            </w:pPr>
            <w:r>
              <w:rPr>
                <w:rFonts w:hint="eastAsia"/>
                <w:b/>
                <w:bCs/>
                <w:sz w:val="24"/>
              </w:rPr>
              <w:t>工艺流程及产物环节图</w:t>
            </w:r>
          </w:p>
          <w:p>
            <w:pPr>
              <w:pStyle w:val="22"/>
              <w:ind w:left="0" w:firstLine="0"/>
              <w:jc w:val="center"/>
              <w:rPr>
                <w:sz w:val="21"/>
                <w:szCs w:val="21"/>
              </w:rPr>
            </w:pPr>
            <w:r>
              <w:drawing>
                <wp:inline distT="0" distB="0" distL="114300" distR="114300">
                  <wp:extent cx="5770245" cy="1760220"/>
                  <wp:effectExtent l="0" t="0" r="190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770245" cy="1760220"/>
                          </a:xfrm>
                          <a:prstGeom prst="rect">
                            <a:avLst/>
                          </a:prstGeom>
                          <a:noFill/>
                          <a:ln>
                            <a:noFill/>
                          </a:ln>
                        </pic:spPr>
                      </pic:pic>
                    </a:graphicData>
                  </a:graphic>
                </wp:inline>
              </w:drawing>
            </w:r>
          </w:p>
          <w:p>
            <w:pPr>
              <w:pStyle w:val="22"/>
              <w:jc w:val="center"/>
              <w:rPr>
                <w:rFonts w:ascii="Times New Roman"/>
                <w:b/>
                <w:bCs/>
              </w:rPr>
            </w:pPr>
            <w:r>
              <w:rPr>
                <w:rFonts w:ascii="Times New Roman"/>
                <w:b/>
                <w:bCs/>
              </w:rPr>
              <w:t>图2-</w:t>
            </w:r>
            <w:r>
              <w:rPr>
                <w:rFonts w:hint="eastAsia" w:ascii="Times New Roman"/>
                <w:b/>
                <w:bCs/>
              </w:rPr>
              <w:t>2</w:t>
            </w:r>
            <w:r>
              <w:rPr>
                <w:rFonts w:ascii="Times New Roman"/>
                <w:b/>
                <w:bCs/>
              </w:rPr>
              <w:t xml:space="preserve"> </w:t>
            </w:r>
            <w:r>
              <w:rPr>
                <w:rFonts w:hint="eastAsia" w:ascii="Times New Roman"/>
                <w:b/>
                <w:bCs/>
              </w:rPr>
              <w:t>膨润土颗粒</w:t>
            </w:r>
            <w:r>
              <w:rPr>
                <w:rFonts w:ascii="Times New Roman"/>
                <w:b/>
                <w:bCs/>
              </w:rPr>
              <w:t>生产工艺流程及产污环节图</w:t>
            </w:r>
          </w:p>
          <w:p>
            <w:pPr>
              <w:spacing w:line="360" w:lineRule="auto"/>
              <w:ind w:firstLine="480" w:firstLineChars="200"/>
              <w:rPr>
                <w:sz w:val="24"/>
              </w:rPr>
            </w:pPr>
            <w:r>
              <w:rPr>
                <w:rFonts w:hint="eastAsia"/>
                <w:sz w:val="24"/>
              </w:rPr>
              <w:t>上料：用装载机将半成品膨润土投入进料仓送入雷蒙磨粉机内。</w:t>
            </w:r>
          </w:p>
          <w:p>
            <w:pPr>
              <w:spacing w:line="360" w:lineRule="auto"/>
              <w:ind w:firstLine="480" w:firstLineChars="200"/>
              <w:rPr>
                <w:sz w:val="24"/>
              </w:rPr>
            </w:pPr>
            <w:r>
              <w:rPr>
                <w:rFonts w:hint="eastAsia"/>
                <w:sz w:val="24"/>
              </w:rPr>
              <w:t>造粒：加工后的粉磨进入圆盘颗粒机内，圆盘造粒机设置喷水口，原料在圆盘颗粒机内滚动同时，喷水使膨润土形成颗粒。</w:t>
            </w:r>
          </w:p>
          <w:p>
            <w:pPr>
              <w:spacing w:line="360" w:lineRule="auto"/>
              <w:ind w:firstLine="480" w:firstLineChars="200"/>
              <w:rPr>
                <w:sz w:val="24"/>
              </w:rPr>
            </w:pPr>
            <w:r>
              <w:rPr>
                <w:rFonts w:hint="eastAsia"/>
                <w:sz w:val="24"/>
              </w:rPr>
              <w:t>烘干：形成颗粒的膨润土经传送带进入烘干机内，通过燃烧天然气提供热源，烘干膨润土颗粒</w:t>
            </w:r>
            <w:r>
              <w:rPr>
                <w:rFonts w:hint="eastAsia"/>
                <w:sz w:val="24"/>
                <w:lang w:eastAsia="zh-CN"/>
              </w:rPr>
              <w:t>，</w:t>
            </w:r>
            <w:r>
              <w:rPr>
                <w:rFonts w:hint="eastAsia"/>
                <w:sz w:val="24"/>
                <w:lang w:val="en-US" w:eastAsia="zh-CN"/>
              </w:rPr>
              <w:t>温度保持150℃左右</w:t>
            </w:r>
            <w:r>
              <w:rPr>
                <w:rFonts w:hint="eastAsia"/>
                <w:sz w:val="24"/>
              </w:rPr>
              <w:t>。</w:t>
            </w:r>
          </w:p>
          <w:p>
            <w:pPr>
              <w:spacing w:line="360" w:lineRule="auto"/>
              <w:ind w:firstLine="480" w:firstLineChars="200"/>
              <w:rPr>
                <w:sz w:val="24"/>
              </w:rPr>
            </w:pPr>
            <w:r>
              <w:rPr>
                <w:rFonts w:hint="eastAsia"/>
                <w:sz w:val="24"/>
              </w:rPr>
              <w:t>筛分：将烘干后的圆颗粒膨润土通过提升机进入筛粒机内，进行筛分。</w:t>
            </w:r>
          </w:p>
          <w:p>
            <w:pPr>
              <w:spacing w:line="360" w:lineRule="auto"/>
              <w:ind w:firstLine="480" w:firstLineChars="200"/>
              <w:rPr>
                <w:sz w:val="24"/>
              </w:rPr>
            </w:pPr>
            <w:r>
              <w:rPr>
                <w:rFonts w:hint="eastAsia"/>
                <w:sz w:val="24"/>
              </w:rPr>
              <w:t>包装：将筛分合格的圆颗粒膨润土进行包装待售。</w:t>
            </w:r>
          </w:p>
          <w:p>
            <w:pPr>
              <w:spacing w:line="360" w:lineRule="auto"/>
              <w:ind w:firstLine="482" w:firstLineChars="200"/>
              <w:rPr>
                <w:b/>
                <w:bCs/>
                <w:sz w:val="24"/>
              </w:rPr>
            </w:pPr>
            <w:r>
              <w:rPr>
                <w:rFonts w:hint="eastAsia"/>
                <w:b/>
                <w:bCs/>
                <w:sz w:val="24"/>
              </w:rPr>
              <w:t>2、产污环节</w:t>
            </w:r>
          </w:p>
          <w:p>
            <w:pPr>
              <w:ind w:firstLine="482" w:firstLineChars="200"/>
              <w:jc w:val="center"/>
              <w:rPr>
                <w:b/>
                <w:bCs/>
                <w:szCs w:val="21"/>
              </w:rPr>
            </w:pPr>
            <w:r>
              <w:rPr>
                <w:b/>
                <w:bCs/>
                <w:sz w:val="24"/>
              </w:rPr>
              <w:t>表2-</w:t>
            </w:r>
            <w:r>
              <w:rPr>
                <w:rFonts w:hint="eastAsia"/>
                <w:b/>
                <w:bCs/>
                <w:sz w:val="24"/>
              </w:rPr>
              <w:t>5</w:t>
            </w:r>
            <w:r>
              <w:rPr>
                <w:b/>
                <w:bCs/>
                <w:sz w:val="24"/>
              </w:rPr>
              <w:t xml:space="preserve"> 项目营运期产污环节一览表</w:t>
            </w:r>
          </w:p>
          <w:tbl>
            <w:tblPr>
              <w:tblStyle w:val="35"/>
              <w:tblW w:w="91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13"/>
              <w:gridCol w:w="3398"/>
              <w:gridCol w:w="1627"/>
              <w:gridCol w:w="31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6" w:hRule="atLeast"/>
                <w:jc w:val="center"/>
              </w:trPr>
              <w:tc>
                <w:tcPr>
                  <w:tcW w:w="913" w:type="dxa"/>
                  <w:tcBorders>
                    <w:tl2br w:val="nil"/>
                    <w:tr2bl w:val="nil"/>
                  </w:tcBorders>
                  <w:vAlign w:val="center"/>
                </w:tcPr>
                <w:p>
                  <w:pPr>
                    <w:adjustRightInd w:val="0"/>
                    <w:snapToGrid w:val="0"/>
                    <w:jc w:val="center"/>
                    <w:rPr>
                      <w:b/>
                      <w:szCs w:val="21"/>
                    </w:rPr>
                  </w:pPr>
                  <w:r>
                    <w:rPr>
                      <w:b/>
                      <w:bCs/>
                      <w:szCs w:val="21"/>
                    </w:rPr>
                    <w:t>项目</w:t>
                  </w:r>
                </w:p>
              </w:tc>
              <w:tc>
                <w:tcPr>
                  <w:tcW w:w="3398" w:type="dxa"/>
                  <w:tcBorders>
                    <w:tl2br w:val="nil"/>
                    <w:tr2bl w:val="nil"/>
                  </w:tcBorders>
                  <w:vAlign w:val="center"/>
                </w:tcPr>
                <w:p>
                  <w:pPr>
                    <w:adjustRightInd w:val="0"/>
                    <w:snapToGrid w:val="0"/>
                    <w:jc w:val="center"/>
                    <w:rPr>
                      <w:b/>
                      <w:szCs w:val="21"/>
                    </w:rPr>
                  </w:pPr>
                  <w:r>
                    <w:rPr>
                      <w:b/>
                      <w:bCs/>
                      <w:szCs w:val="21"/>
                    </w:rPr>
                    <w:t>产污环节</w:t>
                  </w:r>
                </w:p>
              </w:tc>
              <w:tc>
                <w:tcPr>
                  <w:tcW w:w="1627" w:type="dxa"/>
                  <w:tcBorders>
                    <w:tl2br w:val="nil"/>
                    <w:tr2bl w:val="nil"/>
                  </w:tcBorders>
                  <w:vAlign w:val="center"/>
                </w:tcPr>
                <w:p>
                  <w:pPr>
                    <w:adjustRightInd w:val="0"/>
                    <w:snapToGrid w:val="0"/>
                    <w:jc w:val="center"/>
                    <w:rPr>
                      <w:b/>
                      <w:szCs w:val="21"/>
                    </w:rPr>
                  </w:pPr>
                  <w:r>
                    <w:rPr>
                      <w:b/>
                      <w:bCs/>
                      <w:szCs w:val="21"/>
                    </w:rPr>
                    <w:t>污染物组成</w:t>
                  </w:r>
                </w:p>
              </w:tc>
              <w:tc>
                <w:tcPr>
                  <w:tcW w:w="3180" w:type="dxa"/>
                  <w:tcBorders>
                    <w:tl2br w:val="nil"/>
                    <w:tr2bl w:val="nil"/>
                  </w:tcBorders>
                  <w:vAlign w:val="center"/>
                </w:tcPr>
                <w:p>
                  <w:pPr>
                    <w:adjustRightInd w:val="0"/>
                    <w:snapToGrid w:val="0"/>
                    <w:jc w:val="center"/>
                    <w:rPr>
                      <w:b/>
                      <w:szCs w:val="21"/>
                    </w:rPr>
                  </w:pPr>
                  <w:r>
                    <w:rPr>
                      <w:b/>
                      <w:bCs/>
                      <w:szCs w:val="21"/>
                    </w:rPr>
                    <w:t>治理措施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4" w:hRule="atLeast"/>
                <w:jc w:val="center"/>
              </w:trPr>
              <w:tc>
                <w:tcPr>
                  <w:tcW w:w="913" w:type="dxa"/>
                  <w:vMerge w:val="restart"/>
                  <w:tcBorders>
                    <w:tl2br w:val="nil"/>
                    <w:tr2bl w:val="nil"/>
                  </w:tcBorders>
                  <w:vAlign w:val="center"/>
                </w:tcPr>
                <w:p>
                  <w:pPr>
                    <w:autoSpaceDE w:val="0"/>
                    <w:autoSpaceDN w:val="0"/>
                    <w:adjustRightInd w:val="0"/>
                    <w:jc w:val="center"/>
                    <w:rPr>
                      <w:szCs w:val="21"/>
                    </w:rPr>
                  </w:pPr>
                  <w:r>
                    <w:rPr>
                      <w:szCs w:val="21"/>
                    </w:rPr>
                    <w:t>废气</w:t>
                  </w:r>
                </w:p>
              </w:tc>
              <w:tc>
                <w:tcPr>
                  <w:tcW w:w="3398" w:type="dxa"/>
                  <w:tcBorders>
                    <w:tl2br w:val="nil"/>
                    <w:tr2bl w:val="nil"/>
                  </w:tcBorders>
                  <w:vAlign w:val="center"/>
                </w:tcPr>
                <w:p>
                  <w:pPr>
                    <w:adjustRightInd w:val="0"/>
                    <w:snapToGrid w:val="0"/>
                    <w:jc w:val="center"/>
                    <w:rPr>
                      <w:szCs w:val="21"/>
                    </w:rPr>
                  </w:pPr>
                  <w:r>
                    <w:rPr>
                      <w:rFonts w:hint="eastAsia"/>
                      <w:szCs w:val="21"/>
                    </w:rPr>
                    <w:t>上</w:t>
                  </w:r>
                  <w:r>
                    <w:rPr>
                      <w:szCs w:val="21"/>
                    </w:rPr>
                    <w:t>料废气</w:t>
                  </w:r>
                </w:p>
              </w:tc>
              <w:tc>
                <w:tcPr>
                  <w:tcW w:w="1627" w:type="dxa"/>
                  <w:tcBorders>
                    <w:tl2br w:val="nil"/>
                    <w:tr2bl w:val="nil"/>
                  </w:tcBorders>
                  <w:vAlign w:val="center"/>
                </w:tcPr>
                <w:p>
                  <w:pPr>
                    <w:adjustRightInd w:val="0"/>
                    <w:snapToGrid w:val="0"/>
                    <w:jc w:val="center"/>
                    <w:rPr>
                      <w:szCs w:val="21"/>
                    </w:rPr>
                  </w:pPr>
                  <w:r>
                    <w:rPr>
                      <w:rFonts w:hint="eastAsia"/>
                      <w:szCs w:val="21"/>
                    </w:rPr>
                    <w:t>颗粒物</w:t>
                  </w:r>
                </w:p>
              </w:tc>
              <w:tc>
                <w:tcPr>
                  <w:tcW w:w="3180" w:type="dxa"/>
                  <w:vMerge w:val="restart"/>
                  <w:tcBorders>
                    <w:tl2br w:val="nil"/>
                    <w:tr2bl w:val="nil"/>
                  </w:tcBorders>
                  <w:vAlign w:val="center"/>
                </w:tcPr>
                <w:p>
                  <w:pPr>
                    <w:widowControl/>
                    <w:jc w:val="center"/>
                    <w:textAlignment w:val="center"/>
                    <w:rPr>
                      <w:color w:val="000000"/>
                      <w:szCs w:val="21"/>
                    </w:rPr>
                  </w:pPr>
                  <w:r>
                    <w:rPr>
                      <w:rFonts w:hint="eastAsia"/>
                      <w:color w:val="000000"/>
                      <w:szCs w:val="21"/>
                    </w:rPr>
                    <w:t>集气罩收集后经袋式除尘器后通过15m排气筒DA001排出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 w:hRule="atLeast"/>
                <w:jc w:val="center"/>
              </w:trPr>
              <w:tc>
                <w:tcPr>
                  <w:tcW w:w="913" w:type="dxa"/>
                  <w:vMerge w:val="continue"/>
                  <w:tcBorders>
                    <w:tl2br w:val="nil"/>
                    <w:tr2bl w:val="nil"/>
                  </w:tcBorders>
                  <w:vAlign w:val="center"/>
                </w:tcPr>
                <w:p>
                  <w:pPr>
                    <w:autoSpaceDE w:val="0"/>
                    <w:autoSpaceDN w:val="0"/>
                    <w:adjustRightInd w:val="0"/>
                    <w:jc w:val="center"/>
                    <w:rPr>
                      <w:szCs w:val="21"/>
                    </w:rPr>
                  </w:pPr>
                </w:p>
              </w:tc>
              <w:tc>
                <w:tcPr>
                  <w:tcW w:w="3398" w:type="dxa"/>
                  <w:tcBorders>
                    <w:tl2br w:val="nil"/>
                    <w:tr2bl w:val="nil"/>
                  </w:tcBorders>
                  <w:vAlign w:val="center"/>
                </w:tcPr>
                <w:p>
                  <w:pPr>
                    <w:adjustRightInd w:val="0"/>
                    <w:snapToGrid w:val="0"/>
                    <w:jc w:val="center"/>
                    <w:rPr>
                      <w:szCs w:val="21"/>
                    </w:rPr>
                  </w:pPr>
                  <w:r>
                    <w:rPr>
                      <w:rFonts w:hint="eastAsia"/>
                      <w:szCs w:val="21"/>
                    </w:rPr>
                    <w:t>磨粉</w:t>
                  </w:r>
                  <w:r>
                    <w:rPr>
                      <w:szCs w:val="21"/>
                    </w:rPr>
                    <w:t>废气</w:t>
                  </w:r>
                </w:p>
              </w:tc>
              <w:tc>
                <w:tcPr>
                  <w:tcW w:w="1627" w:type="dxa"/>
                  <w:tcBorders>
                    <w:tl2br w:val="nil"/>
                    <w:tr2bl w:val="nil"/>
                  </w:tcBorders>
                  <w:vAlign w:val="center"/>
                </w:tcPr>
                <w:p>
                  <w:pPr>
                    <w:adjustRightInd w:val="0"/>
                    <w:snapToGrid w:val="0"/>
                    <w:jc w:val="center"/>
                    <w:rPr>
                      <w:szCs w:val="21"/>
                    </w:rPr>
                  </w:pPr>
                  <w:r>
                    <w:rPr>
                      <w:rFonts w:hint="eastAsia"/>
                      <w:szCs w:val="21"/>
                    </w:rPr>
                    <w:t>颗粒物</w:t>
                  </w:r>
                </w:p>
              </w:tc>
              <w:tc>
                <w:tcPr>
                  <w:tcW w:w="3180" w:type="dxa"/>
                  <w:vMerge w:val="continue"/>
                  <w:tcBorders>
                    <w:tl2br w:val="nil"/>
                    <w:tr2bl w:val="nil"/>
                  </w:tcBorders>
                  <w:vAlign w:val="center"/>
                </w:tcPr>
                <w:p>
                  <w:pPr>
                    <w:widowControl/>
                    <w:jc w:val="center"/>
                    <w:textAlignment w:val="center"/>
                    <w:rPr>
                      <w:color w:val="00000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 w:hRule="atLeast"/>
                <w:jc w:val="center"/>
              </w:trPr>
              <w:tc>
                <w:tcPr>
                  <w:tcW w:w="913" w:type="dxa"/>
                  <w:vMerge w:val="continue"/>
                  <w:tcBorders>
                    <w:tl2br w:val="nil"/>
                    <w:tr2bl w:val="nil"/>
                  </w:tcBorders>
                  <w:vAlign w:val="center"/>
                </w:tcPr>
                <w:p>
                  <w:pPr>
                    <w:widowControl/>
                    <w:jc w:val="center"/>
                    <w:textAlignment w:val="center"/>
                  </w:pPr>
                </w:p>
              </w:tc>
              <w:tc>
                <w:tcPr>
                  <w:tcW w:w="3398" w:type="dxa"/>
                  <w:tcBorders>
                    <w:tl2br w:val="nil"/>
                    <w:tr2bl w:val="nil"/>
                  </w:tcBorders>
                  <w:vAlign w:val="center"/>
                </w:tcPr>
                <w:p>
                  <w:pPr>
                    <w:adjustRightInd w:val="0"/>
                    <w:snapToGrid w:val="0"/>
                    <w:jc w:val="center"/>
                    <w:rPr>
                      <w:szCs w:val="21"/>
                    </w:rPr>
                  </w:pPr>
                  <w:r>
                    <w:rPr>
                      <w:rFonts w:hint="eastAsia"/>
                      <w:szCs w:val="21"/>
                    </w:rPr>
                    <w:t>造粒</w:t>
                  </w:r>
                  <w:r>
                    <w:rPr>
                      <w:szCs w:val="21"/>
                    </w:rPr>
                    <w:t>废气</w:t>
                  </w:r>
                </w:p>
              </w:tc>
              <w:tc>
                <w:tcPr>
                  <w:tcW w:w="1627" w:type="dxa"/>
                  <w:tcBorders>
                    <w:tl2br w:val="nil"/>
                    <w:tr2bl w:val="nil"/>
                  </w:tcBorders>
                  <w:vAlign w:val="center"/>
                </w:tcPr>
                <w:p>
                  <w:pPr>
                    <w:adjustRightInd w:val="0"/>
                    <w:snapToGrid w:val="0"/>
                    <w:jc w:val="center"/>
                    <w:rPr>
                      <w:szCs w:val="21"/>
                    </w:rPr>
                  </w:pPr>
                  <w:r>
                    <w:rPr>
                      <w:rFonts w:hint="eastAsia"/>
                      <w:szCs w:val="21"/>
                    </w:rPr>
                    <w:t>颗粒物</w:t>
                  </w:r>
                </w:p>
              </w:tc>
              <w:tc>
                <w:tcPr>
                  <w:tcW w:w="3180" w:type="dxa"/>
                  <w:vMerge w:val="continue"/>
                  <w:tcBorders>
                    <w:tl2br w:val="nil"/>
                    <w:tr2bl w:val="nil"/>
                  </w:tcBorders>
                  <w:vAlign w:val="center"/>
                </w:tcPr>
                <w:p>
                  <w:pPr>
                    <w:widowControl/>
                    <w:jc w:val="center"/>
                    <w:textAlignment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 w:hRule="atLeast"/>
                <w:jc w:val="center"/>
              </w:trPr>
              <w:tc>
                <w:tcPr>
                  <w:tcW w:w="913" w:type="dxa"/>
                  <w:vMerge w:val="continue"/>
                  <w:tcBorders>
                    <w:tl2br w:val="nil"/>
                    <w:tr2bl w:val="nil"/>
                  </w:tcBorders>
                  <w:vAlign w:val="center"/>
                </w:tcPr>
                <w:p>
                  <w:pPr>
                    <w:widowControl/>
                    <w:jc w:val="center"/>
                    <w:textAlignment w:val="center"/>
                    <w:rPr>
                      <w:szCs w:val="21"/>
                    </w:rPr>
                  </w:pPr>
                </w:p>
              </w:tc>
              <w:tc>
                <w:tcPr>
                  <w:tcW w:w="3398" w:type="dxa"/>
                  <w:tcBorders>
                    <w:tl2br w:val="nil"/>
                    <w:tr2bl w:val="nil"/>
                  </w:tcBorders>
                  <w:vAlign w:val="center"/>
                </w:tcPr>
                <w:p>
                  <w:pPr>
                    <w:widowControl/>
                    <w:jc w:val="center"/>
                    <w:textAlignment w:val="center"/>
                    <w:rPr>
                      <w:szCs w:val="21"/>
                    </w:rPr>
                  </w:pPr>
                  <w:r>
                    <w:rPr>
                      <w:rFonts w:hint="eastAsia"/>
                      <w:szCs w:val="21"/>
                    </w:rPr>
                    <w:t>包装废气</w:t>
                  </w:r>
                </w:p>
              </w:tc>
              <w:tc>
                <w:tcPr>
                  <w:tcW w:w="1627" w:type="dxa"/>
                  <w:tcBorders>
                    <w:tl2br w:val="nil"/>
                    <w:tr2bl w:val="nil"/>
                  </w:tcBorders>
                  <w:vAlign w:val="center"/>
                </w:tcPr>
                <w:p>
                  <w:pPr>
                    <w:widowControl/>
                    <w:jc w:val="center"/>
                    <w:textAlignment w:val="center"/>
                    <w:rPr>
                      <w:szCs w:val="21"/>
                    </w:rPr>
                  </w:pPr>
                  <w:r>
                    <w:rPr>
                      <w:rFonts w:hint="eastAsia"/>
                      <w:szCs w:val="21"/>
                    </w:rPr>
                    <w:t>颗粒物</w:t>
                  </w:r>
                </w:p>
              </w:tc>
              <w:tc>
                <w:tcPr>
                  <w:tcW w:w="3180" w:type="dxa"/>
                  <w:vMerge w:val="continue"/>
                  <w:tcBorders>
                    <w:tl2br w:val="nil"/>
                    <w:tr2bl w:val="nil"/>
                  </w:tcBorders>
                  <w:vAlign w:val="center"/>
                </w:tcPr>
                <w:p>
                  <w:pPr>
                    <w:widowControl/>
                    <w:jc w:val="center"/>
                    <w:textAlignment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913" w:type="dxa"/>
                  <w:vMerge w:val="continue"/>
                  <w:tcBorders>
                    <w:tl2br w:val="nil"/>
                    <w:tr2bl w:val="nil"/>
                  </w:tcBorders>
                  <w:vAlign w:val="center"/>
                </w:tcPr>
                <w:p>
                  <w:pPr>
                    <w:widowControl/>
                    <w:jc w:val="center"/>
                    <w:textAlignment w:val="center"/>
                  </w:pPr>
                </w:p>
              </w:tc>
              <w:tc>
                <w:tcPr>
                  <w:tcW w:w="3398" w:type="dxa"/>
                  <w:tcBorders>
                    <w:tl2br w:val="nil"/>
                    <w:tr2bl w:val="nil"/>
                  </w:tcBorders>
                  <w:vAlign w:val="center"/>
                </w:tcPr>
                <w:p>
                  <w:pPr>
                    <w:widowControl/>
                    <w:jc w:val="center"/>
                    <w:textAlignment w:val="center"/>
                    <w:rPr>
                      <w:szCs w:val="21"/>
                    </w:rPr>
                  </w:pPr>
                  <w:r>
                    <w:rPr>
                      <w:rFonts w:hint="eastAsia"/>
                      <w:szCs w:val="21"/>
                    </w:rPr>
                    <w:t>烘干废气、燃烧废气</w:t>
                  </w:r>
                </w:p>
              </w:tc>
              <w:tc>
                <w:tcPr>
                  <w:tcW w:w="1627" w:type="dxa"/>
                  <w:tcBorders>
                    <w:tl2br w:val="nil"/>
                    <w:tr2bl w:val="nil"/>
                  </w:tcBorders>
                  <w:vAlign w:val="center"/>
                </w:tcPr>
                <w:p>
                  <w:pPr>
                    <w:widowControl/>
                    <w:jc w:val="center"/>
                    <w:textAlignment w:val="center"/>
                    <w:rPr>
                      <w:szCs w:val="21"/>
                    </w:rPr>
                  </w:pPr>
                  <w:r>
                    <w:rPr>
                      <w:rFonts w:hint="eastAsia"/>
                      <w:szCs w:val="21"/>
                    </w:rPr>
                    <w:t>颗粒物、二氧化硫、氮氧化物</w:t>
                  </w:r>
                </w:p>
              </w:tc>
              <w:tc>
                <w:tcPr>
                  <w:tcW w:w="3180" w:type="dxa"/>
                  <w:tcBorders>
                    <w:tl2br w:val="nil"/>
                    <w:tr2bl w:val="nil"/>
                  </w:tcBorders>
                  <w:vAlign w:val="center"/>
                </w:tcPr>
                <w:p>
                  <w:pPr>
                    <w:widowControl/>
                    <w:jc w:val="center"/>
                    <w:textAlignment w:val="center"/>
                    <w:rPr>
                      <w:szCs w:val="21"/>
                    </w:rPr>
                  </w:pPr>
                  <w:r>
                    <w:rPr>
                      <w:rFonts w:hint="eastAsia"/>
                      <w:szCs w:val="21"/>
                    </w:rPr>
                    <w:t>低氮燃烧器燃烧后经袋式除尘器处理</w:t>
                  </w:r>
                  <w:r>
                    <w:rPr>
                      <w:rFonts w:hint="eastAsia"/>
                      <w:color w:val="000000"/>
                      <w:szCs w:val="21"/>
                    </w:rPr>
                    <w:t>15m排气筒DA002排出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913" w:type="dxa"/>
                  <w:vMerge w:val="continue"/>
                  <w:tcBorders>
                    <w:tl2br w:val="nil"/>
                    <w:tr2bl w:val="nil"/>
                  </w:tcBorders>
                  <w:vAlign w:val="center"/>
                </w:tcPr>
                <w:p>
                  <w:pPr>
                    <w:widowControl/>
                    <w:jc w:val="center"/>
                    <w:textAlignment w:val="center"/>
                  </w:pPr>
                </w:p>
              </w:tc>
              <w:tc>
                <w:tcPr>
                  <w:tcW w:w="3398" w:type="dxa"/>
                  <w:tcBorders>
                    <w:tl2br w:val="nil"/>
                    <w:tr2bl w:val="nil"/>
                  </w:tcBorders>
                  <w:vAlign w:val="center"/>
                </w:tcPr>
                <w:p>
                  <w:pPr>
                    <w:widowControl/>
                    <w:jc w:val="center"/>
                    <w:textAlignment w:val="center"/>
                    <w:rPr>
                      <w:szCs w:val="21"/>
                    </w:rPr>
                  </w:pPr>
                  <w:r>
                    <w:rPr>
                      <w:rFonts w:hint="eastAsia"/>
                      <w:szCs w:val="21"/>
                    </w:rPr>
                    <w:t>卸料废气</w:t>
                  </w:r>
                </w:p>
              </w:tc>
              <w:tc>
                <w:tcPr>
                  <w:tcW w:w="1627" w:type="dxa"/>
                  <w:tcBorders>
                    <w:tl2br w:val="nil"/>
                    <w:tr2bl w:val="nil"/>
                  </w:tcBorders>
                  <w:vAlign w:val="center"/>
                </w:tcPr>
                <w:p>
                  <w:pPr>
                    <w:widowControl/>
                    <w:jc w:val="center"/>
                    <w:textAlignment w:val="center"/>
                    <w:rPr>
                      <w:szCs w:val="21"/>
                    </w:rPr>
                  </w:pPr>
                  <w:r>
                    <w:rPr>
                      <w:rFonts w:hint="eastAsia"/>
                      <w:szCs w:val="21"/>
                    </w:rPr>
                    <w:t>颗粒物</w:t>
                  </w:r>
                </w:p>
              </w:tc>
              <w:tc>
                <w:tcPr>
                  <w:tcW w:w="3180" w:type="dxa"/>
                  <w:tcBorders>
                    <w:tl2br w:val="nil"/>
                    <w:tr2bl w:val="nil"/>
                  </w:tcBorders>
                  <w:vAlign w:val="center"/>
                </w:tcPr>
                <w:p>
                  <w:pPr>
                    <w:widowControl/>
                    <w:jc w:val="center"/>
                    <w:textAlignment w:val="center"/>
                    <w:rPr>
                      <w:szCs w:val="21"/>
                    </w:rPr>
                  </w:pPr>
                  <w:r>
                    <w:rPr>
                      <w:rFonts w:hint="eastAsia"/>
                      <w:szCs w:val="21"/>
                    </w:rPr>
                    <w:t>洒水抑尘、车间密闭无组织排放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4" w:hRule="atLeast"/>
                <w:jc w:val="center"/>
              </w:trPr>
              <w:tc>
                <w:tcPr>
                  <w:tcW w:w="913" w:type="dxa"/>
                  <w:tcBorders>
                    <w:tl2br w:val="nil"/>
                    <w:tr2bl w:val="nil"/>
                  </w:tcBorders>
                  <w:vAlign w:val="center"/>
                </w:tcPr>
                <w:p>
                  <w:pPr>
                    <w:autoSpaceDE w:val="0"/>
                    <w:autoSpaceDN w:val="0"/>
                    <w:adjustRightInd w:val="0"/>
                    <w:jc w:val="center"/>
                    <w:rPr>
                      <w:szCs w:val="21"/>
                    </w:rPr>
                  </w:pPr>
                  <w:r>
                    <w:rPr>
                      <w:szCs w:val="21"/>
                    </w:rPr>
                    <w:t>废水</w:t>
                  </w:r>
                </w:p>
              </w:tc>
              <w:tc>
                <w:tcPr>
                  <w:tcW w:w="3398" w:type="dxa"/>
                  <w:tcBorders>
                    <w:tl2br w:val="nil"/>
                    <w:tr2bl w:val="nil"/>
                  </w:tcBorders>
                  <w:vAlign w:val="center"/>
                </w:tcPr>
                <w:p>
                  <w:pPr>
                    <w:autoSpaceDE w:val="0"/>
                    <w:autoSpaceDN w:val="0"/>
                    <w:adjustRightInd w:val="0"/>
                    <w:jc w:val="center"/>
                    <w:rPr>
                      <w:szCs w:val="21"/>
                    </w:rPr>
                  </w:pPr>
                  <w:r>
                    <w:rPr>
                      <w:szCs w:val="21"/>
                    </w:rPr>
                    <w:t>生活污水</w:t>
                  </w:r>
                </w:p>
              </w:tc>
              <w:tc>
                <w:tcPr>
                  <w:tcW w:w="1627" w:type="dxa"/>
                  <w:tcBorders>
                    <w:tl2br w:val="nil"/>
                    <w:tr2bl w:val="nil"/>
                  </w:tcBorders>
                  <w:vAlign w:val="center"/>
                </w:tcPr>
                <w:p>
                  <w:pPr>
                    <w:autoSpaceDE w:val="0"/>
                    <w:autoSpaceDN w:val="0"/>
                    <w:adjustRightInd w:val="0"/>
                    <w:jc w:val="center"/>
                    <w:rPr>
                      <w:szCs w:val="21"/>
                    </w:rPr>
                  </w:pPr>
                  <w:r>
                    <w:rPr>
                      <w:szCs w:val="21"/>
                    </w:rPr>
                    <w:t>COD</w:t>
                  </w:r>
                  <w:r>
                    <w:rPr>
                      <w:szCs w:val="21"/>
                      <w:vertAlign w:val="subscript"/>
                    </w:rPr>
                    <w:t>Cr</w:t>
                  </w:r>
                  <w:r>
                    <w:rPr>
                      <w:szCs w:val="21"/>
                    </w:rPr>
                    <w:t>、BOD</w:t>
                  </w:r>
                  <w:r>
                    <w:rPr>
                      <w:szCs w:val="21"/>
                      <w:vertAlign w:val="subscript"/>
                    </w:rPr>
                    <w:t>5</w:t>
                  </w:r>
                  <w:r>
                    <w:rPr>
                      <w:szCs w:val="21"/>
                    </w:rPr>
                    <w:t>、NH</w:t>
                  </w:r>
                  <w:r>
                    <w:rPr>
                      <w:szCs w:val="21"/>
                      <w:vertAlign w:val="subscript"/>
                    </w:rPr>
                    <w:t>3</w:t>
                  </w:r>
                  <w:r>
                    <w:rPr>
                      <w:szCs w:val="21"/>
                    </w:rPr>
                    <w:t>-N、SS等</w:t>
                  </w:r>
                </w:p>
              </w:tc>
              <w:tc>
                <w:tcPr>
                  <w:tcW w:w="3180" w:type="dxa"/>
                  <w:tcBorders>
                    <w:tl2br w:val="nil"/>
                    <w:tr2bl w:val="nil"/>
                  </w:tcBorders>
                  <w:vAlign w:val="center"/>
                </w:tcPr>
                <w:p>
                  <w:pPr>
                    <w:jc w:val="center"/>
                    <w:rPr>
                      <w:szCs w:val="21"/>
                    </w:rPr>
                  </w:pPr>
                  <w:r>
                    <w:rPr>
                      <w:rFonts w:hint="eastAsia"/>
                      <w:szCs w:val="21"/>
                    </w:rPr>
                    <w:t>经厂区化粪池处理后外运堆肥，不外排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2" w:hRule="atLeast"/>
                <w:jc w:val="center"/>
              </w:trPr>
              <w:tc>
                <w:tcPr>
                  <w:tcW w:w="913" w:type="dxa"/>
                  <w:vMerge w:val="restart"/>
                  <w:tcBorders>
                    <w:tl2br w:val="nil"/>
                    <w:tr2bl w:val="nil"/>
                  </w:tcBorders>
                  <w:vAlign w:val="center"/>
                </w:tcPr>
                <w:p>
                  <w:pPr>
                    <w:autoSpaceDE w:val="0"/>
                    <w:autoSpaceDN w:val="0"/>
                    <w:adjustRightInd w:val="0"/>
                    <w:snapToGrid w:val="0"/>
                    <w:jc w:val="center"/>
                    <w:rPr>
                      <w:szCs w:val="21"/>
                    </w:rPr>
                  </w:pPr>
                  <w:r>
                    <w:rPr>
                      <w:szCs w:val="21"/>
                    </w:rPr>
                    <w:t>固废</w:t>
                  </w:r>
                </w:p>
              </w:tc>
              <w:tc>
                <w:tcPr>
                  <w:tcW w:w="3398" w:type="dxa"/>
                  <w:tcBorders>
                    <w:tl2br w:val="nil"/>
                    <w:tr2bl w:val="nil"/>
                  </w:tcBorders>
                  <w:vAlign w:val="center"/>
                </w:tcPr>
                <w:p>
                  <w:pPr>
                    <w:adjustRightInd w:val="0"/>
                    <w:snapToGrid w:val="0"/>
                    <w:jc w:val="center"/>
                    <w:rPr>
                      <w:szCs w:val="21"/>
                    </w:rPr>
                  </w:pPr>
                  <w:r>
                    <w:rPr>
                      <w:szCs w:val="21"/>
                    </w:rPr>
                    <w:t>职工生活</w:t>
                  </w:r>
                </w:p>
              </w:tc>
              <w:tc>
                <w:tcPr>
                  <w:tcW w:w="1627" w:type="dxa"/>
                  <w:tcBorders>
                    <w:tl2br w:val="nil"/>
                    <w:tr2bl w:val="nil"/>
                  </w:tcBorders>
                  <w:vAlign w:val="center"/>
                </w:tcPr>
                <w:p>
                  <w:pPr>
                    <w:adjustRightInd w:val="0"/>
                    <w:snapToGrid w:val="0"/>
                    <w:jc w:val="center"/>
                    <w:rPr>
                      <w:szCs w:val="21"/>
                    </w:rPr>
                  </w:pPr>
                  <w:r>
                    <w:rPr>
                      <w:szCs w:val="21"/>
                    </w:rPr>
                    <w:t>生活垃圾</w:t>
                  </w:r>
                </w:p>
              </w:tc>
              <w:tc>
                <w:tcPr>
                  <w:tcW w:w="3180" w:type="dxa"/>
                  <w:tcBorders>
                    <w:tl2br w:val="nil"/>
                    <w:tr2bl w:val="nil"/>
                  </w:tcBorders>
                  <w:vAlign w:val="center"/>
                </w:tcPr>
                <w:p>
                  <w:pPr>
                    <w:adjustRightInd w:val="0"/>
                    <w:snapToGrid w:val="0"/>
                    <w:jc w:val="center"/>
                    <w:rPr>
                      <w:szCs w:val="21"/>
                    </w:rPr>
                  </w:pPr>
                  <w:r>
                    <w:rPr>
                      <w:szCs w:val="21"/>
                    </w:rPr>
                    <w:t>统一收集，环卫清运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4" w:hRule="atLeast"/>
                <w:jc w:val="center"/>
              </w:trPr>
              <w:tc>
                <w:tcPr>
                  <w:tcW w:w="913" w:type="dxa"/>
                  <w:vMerge w:val="continue"/>
                  <w:tcBorders>
                    <w:tl2br w:val="nil"/>
                    <w:tr2bl w:val="nil"/>
                  </w:tcBorders>
                  <w:vAlign w:val="center"/>
                </w:tcPr>
                <w:p>
                  <w:pPr>
                    <w:autoSpaceDE w:val="0"/>
                    <w:autoSpaceDN w:val="0"/>
                    <w:adjustRightInd w:val="0"/>
                    <w:snapToGrid w:val="0"/>
                    <w:jc w:val="center"/>
                    <w:rPr>
                      <w:szCs w:val="21"/>
                    </w:rPr>
                  </w:pPr>
                </w:p>
              </w:tc>
              <w:tc>
                <w:tcPr>
                  <w:tcW w:w="3398" w:type="dxa"/>
                  <w:tcBorders>
                    <w:tl2br w:val="nil"/>
                    <w:tr2bl w:val="nil"/>
                  </w:tcBorders>
                  <w:vAlign w:val="center"/>
                </w:tcPr>
                <w:p>
                  <w:pPr>
                    <w:adjustRightInd w:val="0"/>
                    <w:snapToGrid w:val="0"/>
                    <w:jc w:val="center"/>
                    <w:rPr>
                      <w:rFonts w:ascii="宋体" w:hAnsi="宋体" w:cs="宋体"/>
                      <w:szCs w:val="21"/>
                    </w:rPr>
                  </w:pPr>
                  <w:r>
                    <w:rPr>
                      <w:rFonts w:hint="eastAsia" w:ascii="宋体" w:hAnsi="宋体" w:cs="宋体"/>
                      <w:szCs w:val="21"/>
                    </w:rPr>
                    <w:t>除尘器收集粉尘</w:t>
                  </w:r>
                </w:p>
              </w:tc>
              <w:tc>
                <w:tcPr>
                  <w:tcW w:w="1627" w:type="dxa"/>
                  <w:tcBorders>
                    <w:tl2br w:val="nil"/>
                    <w:tr2bl w:val="nil"/>
                  </w:tcBorders>
                  <w:vAlign w:val="center"/>
                </w:tcPr>
                <w:p>
                  <w:pPr>
                    <w:widowControl/>
                    <w:adjustRightInd w:val="0"/>
                    <w:snapToGrid w:val="0"/>
                    <w:jc w:val="center"/>
                    <w:rPr>
                      <w:szCs w:val="21"/>
                    </w:rPr>
                  </w:pPr>
                  <w:r>
                    <w:rPr>
                      <w:rFonts w:hint="eastAsia"/>
                      <w:szCs w:val="21"/>
                    </w:rPr>
                    <w:t>粉尘</w:t>
                  </w:r>
                </w:p>
              </w:tc>
              <w:tc>
                <w:tcPr>
                  <w:tcW w:w="3180" w:type="dxa"/>
                  <w:tcBorders>
                    <w:tl2br w:val="nil"/>
                    <w:tr2bl w:val="nil"/>
                  </w:tcBorders>
                  <w:vAlign w:val="center"/>
                </w:tcPr>
                <w:p>
                  <w:pPr>
                    <w:adjustRightInd w:val="0"/>
                    <w:snapToGrid w:val="0"/>
                    <w:jc w:val="center"/>
                    <w:rPr>
                      <w:snapToGrid w:val="0"/>
                      <w:kern w:val="0"/>
                      <w:szCs w:val="21"/>
                    </w:rPr>
                  </w:pPr>
                  <w:r>
                    <w:rPr>
                      <w:rFonts w:hint="eastAsia"/>
                      <w:szCs w:val="21"/>
                    </w:rPr>
                    <w:t>回用于生产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4" w:hRule="atLeast"/>
                <w:jc w:val="center"/>
              </w:trPr>
              <w:tc>
                <w:tcPr>
                  <w:tcW w:w="913" w:type="dxa"/>
                  <w:vMerge w:val="continue"/>
                  <w:tcBorders>
                    <w:tl2br w:val="nil"/>
                    <w:tr2bl w:val="nil"/>
                  </w:tcBorders>
                  <w:vAlign w:val="center"/>
                </w:tcPr>
                <w:p>
                  <w:pPr>
                    <w:autoSpaceDE w:val="0"/>
                    <w:autoSpaceDN w:val="0"/>
                    <w:adjustRightInd w:val="0"/>
                    <w:snapToGrid w:val="0"/>
                    <w:jc w:val="center"/>
                    <w:rPr>
                      <w:szCs w:val="21"/>
                    </w:rPr>
                  </w:pPr>
                </w:p>
              </w:tc>
              <w:tc>
                <w:tcPr>
                  <w:tcW w:w="3398" w:type="dxa"/>
                  <w:tcBorders>
                    <w:tl2br w:val="nil"/>
                    <w:tr2bl w:val="nil"/>
                  </w:tcBorders>
                  <w:vAlign w:val="center"/>
                </w:tcPr>
                <w:p>
                  <w:pPr>
                    <w:adjustRightInd w:val="0"/>
                    <w:snapToGrid w:val="0"/>
                    <w:jc w:val="center"/>
                    <w:rPr>
                      <w:rFonts w:ascii="宋体" w:hAnsi="宋体" w:cs="宋体"/>
                      <w:szCs w:val="21"/>
                    </w:rPr>
                  </w:pPr>
                  <w:r>
                    <w:rPr>
                      <w:rFonts w:hint="eastAsia"/>
                      <w:szCs w:val="21"/>
                    </w:rPr>
                    <w:t>筛上物</w:t>
                  </w:r>
                </w:p>
              </w:tc>
              <w:tc>
                <w:tcPr>
                  <w:tcW w:w="1627" w:type="dxa"/>
                  <w:tcBorders>
                    <w:tl2br w:val="nil"/>
                    <w:tr2bl w:val="nil"/>
                  </w:tcBorders>
                  <w:vAlign w:val="center"/>
                </w:tcPr>
                <w:p>
                  <w:pPr>
                    <w:widowControl/>
                    <w:adjustRightInd w:val="0"/>
                    <w:snapToGrid w:val="0"/>
                    <w:jc w:val="center"/>
                    <w:rPr>
                      <w:szCs w:val="21"/>
                    </w:rPr>
                  </w:pPr>
                  <w:r>
                    <w:rPr>
                      <w:rFonts w:hint="eastAsia"/>
                      <w:szCs w:val="21"/>
                    </w:rPr>
                    <w:t>颗粒</w:t>
                  </w:r>
                </w:p>
              </w:tc>
              <w:tc>
                <w:tcPr>
                  <w:tcW w:w="3180" w:type="dxa"/>
                  <w:tcBorders>
                    <w:tl2br w:val="nil"/>
                    <w:tr2bl w:val="nil"/>
                  </w:tcBorders>
                  <w:vAlign w:val="center"/>
                </w:tcPr>
                <w:p>
                  <w:pPr>
                    <w:adjustRightInd w:val="0"/>
                    <w:snapToGrid w:val="0"/>
                    <w:jc w:val="center"/>
                    <w:rPr>
                      <w:snapToGrid w:val="0"/>
                      <w:kern w:val="0"/>
                      <w:szCs w:val="21"/>
                    </w:rPr>
                  </w:pPr>
                  <w:r>
                    <w:rPr>
                      <w:rFonts w:hint="eastAsia"/>
                      <w:szCs w:val="21"/>
                    </w:rPr>
                    <w:t>回用于生产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913" w:type="dxa"/>
                  <w:tcBorders>
                    <w:tl2br w:val="nil"/>
                    <w:tr2bl w:val="nil"/>
                  </w:tcBorders>
                  <w:vAlign w:val="center"/>
                </w:tcPr>
                <w:p>
                  <w:pPr>
                    <w:jc w:val="center"/>
                    <w:rPr>
                      <w:szCs w:val="21"/>
                    </w:rPr>
                  </w:pPr>
                  <w:r>
                    <w:rPr>
                      <w:szCs w:val="21"/>
                    </w:rPr>
                    <w:t>噪声</w:t>
                  </w:r>
                </w:p>
              </w:tc>
              <w:tc>
                <w:tcPr>
                  <w:tcW w:w="3398" w:type="dxa"/>
                  <w:tcBorders>
                    <w:tl2br w:val="nil"/>
                    <w:tr2bl w:val="nil"/>
                  </w:tcBorders>
                  <w:vAlign w:val="center"/>
                </w:tcPr>
                <w:p>
                  <w:pPr>
                    <w:jc w:val="center"/>
                    <w:rPr>
                      <w:szCs w:val="21"/>
                    </w:rPr>
                  </w:pPr>
                  <w:r>
                    <w:rPr>
                      <w:rFonts w:hint="eastAsia"/>
                      <w:szCs w:val="21"/>
                    </w:rPr>
                    <w:t>设备运行</w:t>
                  </w:r>
                </w:p>
              </w:tc>
              <w:tc>
                <w:tcPr>
                  <w:tcW w:w="1627" w:type="dxa"/>
                  <w:tcBorders>
                    <w:tl2br w:val="nil"/>
                    <w:tr2bl w:val="nil"/>
                  </w:tcBorders>
                  <w:vAlign w:val="center"/>
                </w:tcPr>
                <w:p>
                  <w:pPr>
                    <w:adjustRightInd w:val="0"/>
                    <w:snapToGrid w:val="0"/>
                    <w:jc w:val="center"/>
                    <w:rPr>
                      <w:szCs w:val="21"/>
                    </w:rPr>
                  </w:pPr>
                  <w:r>
                    <w:rPr>
                      <w:szCs w:val="21"/>
                    </w:rPr>
                    <w:t>—</w:t>
                  </w:r>
                </w:p>
              </w:tc>
              <w:tc>
                <w:tcPr>
                  <w:tcW w:w="3180" w:type="dxa"/>
                  <w:tcBorders>
                    <w:tl2br w:val="nil"/>
                    <w:tr2bl w:val="nil"/>
                  </w:tcBorders>
                  <w:vAlign w:val="center"/>
                </w:tcPr>
                <w:p>
                  <w:pPr>
                    <w:adjustRightInd w:val="0"/>
                    <w:snapToGrid w:val="0"/>
                    <w:jc w:val="center"/>
                    <w:rPr>
                      <w:szCs w:val="21"/>
                    </w:rPr>
                  </w:pPr>
                  <w:r>
                    <w:rPr>
                      <w:szCs w:val="21"/>
                    </w:rPr>
                    <w:t>减震、室内布置</w:t>
                  </w:r>
                </w:p>
              </w:tc>
            </w:tr>
          </w:tbl>
          <w:p>
            <w:pP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01" w:hRule="atLeast"/>
          <w:jc w:val="center"/>
        </w:trPr>
        <w:tc>
          <w:tcPr>
            <w:tcW w:w="453" w:type="dxa"/>
            <w:tcBorders>
              <w:tl2br w:val="nil"/>
              <w:tr2bl w:val="nil"/>
            </w:tcBorders>
            <w:vAlign w:val="center"/>
          </w:tcPr>
          <w:p>
            <w:pPr>
              <w:pStyle w:val="32"/>
              <w:adjustRightInd w:val="0"/>
              <w:snapToGrid w:val="0"/>
              <w:spacing w:before="0" w:beforeAutospacing="0" w:after="0" w:afterAutospacing="0"/>
              <w:jc w:val="center"/>
              <w:rPr>
                <w:rFonts w:cs="宋体"/>
                <w:sz w:val="21"/>
                <w:szCs w:val="21"/>
              </w:rPr>
            </w:pPr>
            <w:r>
              <w:rPr>
                <w:rFonts w:hint="eastAsia" w:cs="宋体"/>
                <w:bCs/>
                <w:kern w:val="2"/>
                <w:sz w:val="21"/>
                <w:szCs w:val="21"/>
              </w:rPr>
              <w:t>与项目有关的原有环境污染问题</w:t>
            </w:r>
          </w:p>
        </w:tc>
        <w:tc>
          <w:tcPr>
            <w:tcW w:w="9317" w:type="dxa"/>
            <w:tcBorders>
              <w:tl2br w:val="nil"/>
              <w:tr2bl w:val="nil"/>
            </w:tcBorders>
          </w:tcPr>
          <w:p>
            <w:pPr>
              <w:adjustRightInd w:val="0"/>
              <w:snapToGrid w:val="0"/>
              <w:spacing w:line="360" w:lineRule="auto"/>
              <w:ind w:firstLine="480" w:firstLineChars="200"/>
              <w:rPr>
                <w:szCs w:val="21"/>
              </w:rPr>
            </w:pPr>
            <w:r>
              <w:rPr>
                <w:rFonts w:hint="eastAsia" w:ascii="宋体" w:hAnsi="宋体"/>
                <w:bCs/>
                <w:sz w:val="24"/>
              </w:rPr>
              <w:t>本项目为新建项目，租赁现有闲置车间，不存在于本项目有关的原有污染问题，通过现场勘查，车间内仅有部分废弃设备，项目现状图如下：</w:t>
            </w:r>
          </w:p>
          <w:tbl>
            <w:tblPr>
              <w:tblStyle w:val="36"/>
              <w:tblW w:w="91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0"/>
              <w:gridCol w:w="4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0" w:type="dxa"/>
                </w:tcPr>
                <w:p>
                  <w:pPr>
                    <w:adjustRightInd w:val="0"/>
                    <w:snapToGrid w:val="0"/>
                    <w:spacing w:line="360" w:lineRule="auto"/>
                    <w:rPr>
                      <w:szCs w:val="21"/>
                    </w:rPr>
                  </w:pPr>
                  <w:r>
                    <w:rPr>
                      <w:szCs w:val="21"/>
                    </w:rPr>
                    <w:drawing>
                      <wp:inline distT="0" distB="0" distL="114300" distR="114300">
                        <wp:extent cx="2743200" cy="1691005"/>
                        <wp:effectExtent l="0" t="0" r="0" b="4445"/>
                        <wp:docPr id="36" name="图片 36" descr="552c8f52e96f804b57c8f959f8a4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52c8f52e96f804b57c8f959f8a42b0"/>
                                <pic:cNvPicPr>
                                  <a:picLocks noChangeAspect="1"/>
                                </pic:cNvPicPr>
                              </pic:nvPicPr>
                              <pic:blipFill>
                                <a:blip r:embed="rId10"/>
                                <a:stretch>
                                  <a:fillRect/>
                                </a:stretch>
                              </pic:blipFill>
                              <pic:spPr>
                                <a:xfrm>
                                  <a:off x="0" y="0"/>
                                  <a:ext cx="2743200" cy="1691005"/>
                                </a:xfrm>
                                <a:prstGeom prst="rect">
                                  <a:avLst/>
                                </a:prstGeom>
                              </pic:spPr>
                            </pic:pic>
                          </a:graphicData>
                        </a:graphic>
                      </wp:inline>
                    </w:drawing>
                  </w:r>
                </w:p>
              </w:tc>
              <w:tc>
                <w:tcPr>
                  <w:tcW w:w="4551" w:type="dxa"/>
                </w:tcPr>
                <w:p>
                  <w:pPr>
                    <w:adjustRightInd w:val="0"/>
                    <w:snapToGrid w:val="0"/>
                    <w:spacing w:line="360" w:lineRule="auto"/>
                    <w:rPr>
                      <w:szCs w:val="21"/>
                    </w:rPr>
                  </w:pPr>
                  <w:r>
                    <w:rPr>
                      <w:szCs w:val="21"/>
                    </w:rPr>
                    <w:drawing>
                      <wp:inline distT="0" distB="0" distL="114300" distR="114300">
                        <wp:extent cx="2743200" cy="1690370"/>
                        <wp:effectExtent l="0" t="0" r="0" b="5080"/>
                        <wp:docPr id="37" name="图片 37" descr="e3639d8d878943167b0fdec88c21c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3639d8d878943167b0fdec88c21cb4"/>
                                <pic:cNvPicPr>
                                  <a:picLocks noChangeAspect="1"/>
                                </pic:cNvPicPr>
                              </pic:nvPicPr>
                              <pic:blipFill>
                                <a:blip r:embed="rId11"/>
                                <a:stretch>
                                  <a:fillRect/>
                                </a:stretch>
                              </pic:blipFill>
                              <pic:spPr>
                                <a:xfrm>
                                  <a:off x="0" y="0"/>
                                  <a:ext cx="2743200" cy="16903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0" w:type="dxa"/>
                </w:tcPr>
                <w:p>
                  <w:pPr>
                    <w:adjustRightInd w:val="0"/>
                    <w:snapToGrid w:val="0"/>
                    <w:spacing w:line="360" w:lineRule="auto"/>
                    <w:rPr>
                      <w:szCs w:val="21"/>
                    </w:rPr>
                  </w:pPr>
                  <w:r>
                    <w:rPr>
                      <w:szCs w:val="21"/>
                    </w:rPr>
                    <w:drawing>
                      <wp:inline distT="0" distB="0" distL="114300" distR="114300">
                        <wp:extent cx="2743200" cy="1817370"/>
                        <wp:effectExtent l="0" t="0" r="0" b="11430"/>
                        <wp:docPr id="38" name="图片 38" descr="e98cb9e42adb832e78b463032e8a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98cb9e42adb832e78b463032e8adad"/>
                                <pic:cNvPicPr>
                                  <a:picLocks noChangeAspect="1"/>
                                </pic:cNvPicPr>
                              </pic:nvPicPr>
                              <pic:blipFill>
                                <a:blip r:embed="rId12"/>
                                <a:stretch>
                                  <a:fillRect/>
                                </a:stretch>
                              </pic:blipFill>
                              <pic:spPr>
                                <a:xfrm>
                                  <a:off x="0" y="0"/>
                                  <a:ext cx="2743200" cy="1817370"/>
                                </a:xfrm>
                                <a:prstGeom prst="rect">
                                  <a:avLst/>
                                </a:prstGeom>
                              </pic:spPr>
                            </pic:pic>
                          </a:graphicData>
                        </a:graphic>
                      </wp:inline>
                    </w:drawing>
                  </w:r>
                </w:p>
              </w:tc>
              <w:tc>
                <w:tcPr>
                  <w:tcW w:w="4551" w:type="dxa"/>
                </w:tcPr>
                <w:p>
                  <w:pPr>
                    <w:adjustRightInd w:val="0"/>
                    <w:snapToGrid w:val="0"/>
                    <w:spacing w:line="360" w:lineRule="auto"/>
                    <w:rPr>
                      <w:szCs w:val="21"/>
                    </w:rPr>
                  </w:pPr>
                  <w:r>
                    <w:rPr>
                      <w:szCs w:val="21"/>
                    </w:rPr>
                    <w:drawing>
                      <wp:inline distT="0" distB="0" distL="114300" distR="114300">
                        <wp:extent cx="2743200" cy="1838960"/>
                        <wp:effectExtent l="0" t="0" r="0" b="8890"/>
                        <wp:docPr id="39" name="图片 39" descr="a7a7e7fa6f86fcfaf3c240dc2e1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7a7e7fa6f86fcfaf3c240dc2e14264"/>
                                <pic:cNvPicPr>
                                  <a:picLocks noChangeAspect="1"/>
                                </pic:cNvPicPr>
                              </pic:nvPicPr>
                              <pic:blipFill>
                                <a:blip r:embed="rId13"/>
                                <a:stretch>
                                  <a:fillRect/>
                                </a:stretch>
                              </pic:blipFill>
                              <pic:spPr>
                                <a:xfrm>
                                  <a:off x="0" y="0"/>
                                  <a:ext cx="2743200" cy="1838960"/>
                                </a:xfrm>
                                <a:prstGeom prst="rect">
                                  <a:avLst/>
                                </a:prstGeom>
                              </pic:spPr>
                            </pic:pic>
                          </a:graphicData>
                        </a:graphic>
                      </wp:inline>
                    </w:drawing>
                  </w:r>
                </w:p>
              </w:tc>
            </w:tr>
          </w:tbl>
          <w:p>
            <w:pPr>
              <w:adjustRightInd w:val="0"/>
              <w:snapToGrid w:val="0"/>
              <w:spacing w:line="360" w:lineRule="auto"/>
              <w:ind w:firstLine="420" w:firstLineChars="200"/>
              <w:rPr>
                <w:szCs w:val="21"/>
              </w:rPr>
            </w:pPr>
          </w:p>
        </w:tc>
      </w:tr>
    </w:tbl>
    <w:p>
      <w:pPr>
        <w:pStyle w:val="32"/>
        <w:jc w:val="center"/>
        <w:rPr>
          <w:rFonts w:ascii="黑体" w:hAnsi="黑体" w:eastAsia="黑体"/>
          <w:snapToGrid w:val="0"/>
          <w:sz w:val="21"/>
          <w:szCs w:val="21"/>
        </w:rPr>
        <w:sectPr>
          <w:pgSz w:w="11906" w:h="16838"/>
          <w:pgMar w:top="1440" w:right="1440" w:bottom="1440" w:left="1440" w:header="851" w:footer="850" w:gutter="0"/>
          <w:cols w:space="720" w:num="1"/>
          <w:docGrid w:type="lines" w:linePitch="312" w:charSpace="0"/>
        </w:sectPr>
      </w:pPr>
    </w:p>
    <w:p>
      <w:pPr>
        <w:pStyle w:val="32"/>
        <w:adjustRightInd w:val="0"/>
        <w:snapToGrid w:val="0"/>
        <w:spacing w:before="0" w:beforeAutospacing="0" w:after="0" w:afterAutospacing="0" w:line="14" w:lineRule="auto"/>
        <w:jc w:val="center"/>
        <w:outlineLvl w:val="0"/>
        <w:rPr>
          <w:rFonts w:ascii="黑体" w:hAnsi="黑体" w:eastAsia="黑体"/>
          <w:snapToGrid w:val="0"/>
          <w:sz w:val="21"/>
          <w:szCs w:val="21"/>
        </w:rPr>
      </w:pPr>
    </w:p>
    <w:p>
      <w:pPr>
        <w:pStyle w:val="32"/>
        <w:spacing w:before="0" w:beforeAutospacing="0" w:after="0" w:afterAutospacing="0"/>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w:t>
      </w:r>
    </w:p>
    <w:tbl>
      <w:tblPr>
        <w:tblStyle w:val="35"/>
        <w:tblW w:w="97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5"/>
        <w:gridCol w:w="93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dxa"/>
            <w:tcBorders>
              <w:tl2br w:val="nil"/>
              <w:tr2bl w:val="nil"/>
            </w:tcBorders>
            <w:vAlign w:val="center"/>
          </w:tcPr>
          <w:p>
            <w:pPr>
              <w:adjustRightInd w:val="0"/>
              <w:snapToGrid w:val="0"/>
              <w:jc w:val="center"/>
              <w:rPr>
                <w:rFonts w:ascii="宋体" w:hAnsi="宋体" w:cs="宋体"/>
                <w:kern w:val="0"/>
                <w:szCs w:val="21"/>
              </w:rPr>
            </w:pPr>
            <w:r>
              <w:rPr>
                <w:rFonts w:hint="eastAsia" w:ascii="宋体" w:hAnsi="宋体" w:cs="宋体"/>
                <w:kern w:val="0"/>
                <w:szCs w:val="21"/>
              </w:rPr>
              <w:t>区域</w:t>
            </w:r>
          </w:p>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9316" w:type="dxa"/>
            <w:tcBorders>
              <w:tl2br w:val="nil"/>
              <w:tr2bl w:val="nil"/>
            </w:tcBorders>
          </w:tcPr>
          <w:p>
            <w:pPr>
              <w:numPr>
                <w:ilvl w:val="0"/>
                <w:numId w:val="9"/>
              </w:numPr>
              <w:spacing w:line="360" w:lineRule="auto"/>
              <w:ind w:firstLine="482" w:firstLineChars="200"/>
              <w:rPr>
                <w:b/>
                <w:sz w:val="24"/>
              </w:rPr>
            </w:pPr>
            <w:r>
              <w:rPr>
                <w:b/>
                <w:sz w:val="24"/>
              </w:rPr>
              <w:t>环境空气</w:t>
            </w:r>
          </w:p>
          <w:p>
            <w:pPr>
              <w:spacing w:line="360" w:lineRule="auto"/>
              <w:ind w:firstLine="488" w:firstLineChars="200"/>
              <w:rPr>
                <w:sz w:val="24"/>
              </w:rPr>
            </w:pPr>
            <w:r>
              <w:rPr>
                <w:spacing w:val="2"/>
                <w:sz w:val="24"/>
              </w:rPr>
              <w:t>项目所在区大气环境质量标准执行《环境空气质量标准》（GB3095—2012）二级标准。</w:t>
            </w:r>
            <w:r>
              <w:rPr>
                <w:spacing w:val="-6"/>
                <w:sz w:val="24"/>
              </w:rPr>
              <w:t>本评价采用济宁市生态环境局公开发布的环境空气质量现状数据，根据其2021年每月公布的“全市环境空气质量状况及14县市区排名”，</w:t>
            </w:r>
            <w:r>
              <w:rPr>
                <w:sz w:val="24"/>
              </w:rPr>
              <w:t>泗水县连续1年的统计结果见表3-1。</w:t>
            </w:r>
          </w:p>
          <w:p>
            <w:pPr>
              <w:pStyle w:val="16"/>
              <w:tabs>
                <w:tab w:val="left" w:pos="1038"/>
              </w:tabs>
              <w:adjustRightInd w:val="0"/>
              <w:spacing w:before="0" w:after="0" w:line="240" w:lineRule="auto"/>
              <w:ind w:right="0"/>
              <w:jc w:val="center"/>
              <w:rPr>
                <w:b/>
                <w:bCs/>
                <w:sz w:val="21"/>
                <w:szCs w:val="21"/>
              </w:rPr>
            </w:pPr>
            <w:r>
              <w:rPr>
                <w:b/>
                <w:bCs/>
                <w:sz w:val="24"/>
                <w:szCs w:val="24"/>
              </w:rPr>
              <w:t>表3-1</w:t>
            </w:r>
            <w:r>
              <w:rPr>
                <w:rFonts w:hint="eastAsia"/>
                <w:b/>
                <w:bCs/>
                <w:sz w:val="24"/>
                <w:szCs w:val="24"/>
              </w:rPr>
              <w:t xml:space="preserve">    </w:t>
            </w:r>
            <w:r>
              <w:rPr>
                <w:b/>
                <w:bCs/>
                <w:sz w:val="24"/>
                <w:szCs w:val="24"/>
              </w:rPr>
              <w:t xml:space="preserve"> 2021年1月-2021年12月泗水县基本污染物监测数据</w:t>
            </w:r>
          </w:p>
          <w:tbl>
            <w:tblPr>
              <w:tblStyle w:val="35"/>
              <w:tblW w:w="909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228"/>
              <w:gridCol w:w="1690"/>
              <w:gridCol w:w="1786"/>
              <w:gridCol w:w="1697"/>
              <w:gridCol w:w="169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61" w:hRule="atLeast"/>
                <w:jc w:val="center"/>
              </w:trPr>
              <w:tc>
                <w:tcPr>
                  <w:tcW w:w="2228" w:type="dxa"/>
                  <w:vMerge w:val="restart"/>
                  <w:noWrap/>
                  <w:vAlign w:val="center"/>
                </w:tcPr>
                <w:p>
                  <w:pPr>
                    <w:jc w:val="center"/>
                    <w:rPr>
                      <w:szCs w:val="21"/>
                    </w:rPr>
                  </w:pPr>
                  <w:r>
                    <w:rPr>
                      <w:szCs w:val="21"/>
                    </w:rPr>
                    <w:t>时间</w:t>
                  </w:r>
                </w:p>
              </w:tc>
              <w:tc>
                <w:tcPr>
                  <w:tcW w:w="6869" w:type="dxa"/>
                  <w:gridSpan w:val="4"/>
                  <w:noWrap/>
                  <w:vAlign w:val="center"/>
                </w:tcPr>
                <w:p>
                  <w:pPr>
                    <w:jc w:val="center"/>
                    <w:rPr>
                      <w:szCs w:val="21"/>
                    </w:rPr>
                  </w:pPr>
                  <w:r>
                    <w:rPr>
                      <w:szCs w:val="21"/>
                    </w:rPr>
                    <w:t>检测项目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2228" w:type="dxa"/>
                  <w:vMerge w:val="continue"/>
                  <w:noWrap/>
                  <w:vAlign w:val="center"/>
                </w:tcPr>
                <w:p>
                  <w:pPr>
                    <w:jc w:val="center"/>
                    <w:rPr>
                      <w:szCs w:val="21"/>
                    </w:rPr>
                  </w:pPr>
                </w:p>
              </w:tc>
              <w:tc>
                <w:tcPr>
                  <w:tcW w:w="1690" w:type="dxa"/>
                  <w:noWrap/>
                  <w:vAlign w:val="center"/>
                </w:tcPr>
                <w:p>
                  <w:pPr>
                    <w:jc w:val="center"/>
                    <w:rPr>
                      <w:szCs w:val="21"/>
                    </w:rPr>
                  </w:pPr>
                  <w:r>
                    <w:rPr>
                      <w:szCs w:val="21"/>
                    </w:rPr>
                    <w:t>二氧化硫(μg/m</w:t>
                  </w:r>
                  <w:r>
                    <w:rPr>
                      <w:szCs w:val="21"/>
                      <w:vertAlign w:val="superscript"/>
                    </w:rPr>
                    <w:t>3</w:t>
                  </w:r>
                  <w:r>
                    <w:rPr>
                      <w:szCs w:val="21"/>
                    </w:rPr>
                    <w:t>)</w:t>
                  </w:r>
                </w:p>
              </w:tc>
              <w:tc>
                <w:tcPr>
                  <w:tcW w:w="1786" w:type="dxa"/>
                  <w:noWrap/>
                  <w:vAlign w:val="center"/>
                </w:tcPr>
                <w:p>
                  <w:pPr>
                    <w:jc w:val="center"/>
                    <w:rPr>
                      <w:szCs w:val="21"/>
                    </w:rPr>
                  </w:pPr>
                  <w:r>
                    <w:rPr>
                      <w:szCs w:val="21"/>
                    </w:rPr>
                    <w:t>二氧化氮 (μg/m</w:t>
                  </w:r>
                  <w:r>
                    <w:rPr>
                      <w:szCs w:val="21"/>
                      <w:vertAlign w:val="superscript"/>
                    </w:rPr>
                    <w:t>3</w:t>
                  </w:r>
                  <w:r>
                    <w:rPr>
                      <w:szCs w:val="21"/>
                    </w:rPr>
                    <w:t>)</w:t>
                  </w:r>
                </w:p>
              </w:tc>
              <w:tc>
                <w:tcPr>
                  <w:tcW w:w="1697" w:type="dxa"/>
                  <w:noWrap/>
                  <w:vAlign w:val="center"/>
                </w:tcPr>
                <w:p>
                  <w:pPr>
                    <w:jc w:val="center"/>
                    <w:rPr>
                      <w:szCs w:val="21"/>
                    </w:rPr>
                  </w:pPr>
                  <w:r>
                    <w:rPr>
                      <w:szCs w:val="21"/>
                    </w:rPr>
                    <w:t>PM</w:t>
                  </w:r>
                  <w:r>
                    <w:rPr>
                      <w:szCs w:val="21"/>
                      <w:vertAlign w:val="subscript"/>
                    </w:rPr>
                    <w:t>10</w:t>
                  </w:r>
                  <w:r>
                    <w:rPr>
                      <w:szCs w:val="21"/>
                    </w:rPr>
                    <w:t>(μg/m</w:t>
                  </w:r>
                  <w:r>
                    <w:rPr>
                      <w:szCs w:val="21"/>
                      <w:vertAlign w:val="superscript"/>
                    </w:rPr>
                    <w:t>3</w:t>
                  </w:r>
                  <w:r>
                    <w:rPr>
                      <w:szCs w:val="21"/>
                    </w:rPr>
                    <w:t>)</w:t>
                  </w:r>
                </w:p>
              </w:tc>
              <w:tc>
                <w:tcPr>
                  <w:tcW w:w="1696" w:type="dxa"/>
                  <w:noWrap/>
                  <w:vAlign w:val="center"/>
                </w:tcPr>
                <w:p>
                  <w:pPr>
                    <w:jc w:val="center"/>
                    <w:rPr>
                      <w:szCs w:val="21"/>
                    </w:rPr>
                  </w:pPr>
                  <w:r>
                    <w:rPr>
                      <w:szCs w:val="21"/>
                    </w:rPr>
                    <w:t>PM</w:t>
                  </w:r>
                  <w:r>
                    <w:rPr>
                      <w:szCs w:val="21"/>
                      <w:vertAlign w:val="subscript"/>
                    </w:rPr>
                    <w:t>2.5</w:t>
                  </w:r>
                  <w:r>
                    <w:rPr>
                      <w:szCs w:val="21"/>
                    </w:rPr>
                    <w:t>(μg/m</w:t>
                  </w:r>
                  <w:r>
                    <w:rPr>
                      <w:szCs w:val="21"/>
                      <w:vertAlign w:val="superscript"/>
                    </w:rPr>
                    <w:t>3</w:t>
                  </w:r>
                  <w:r>
                    <w:rPr>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2228" w:type="dxa"/>
                  <w:noWrap/>
                  <w:vAlign w:val="center"/>
                </w:tcPr>
                <w:p>
                  <w:pPr>
                    <w:jc w:val="center"/>
                    <w:rPr>
                      <w:szCs w:val="21"/>
                    </w:rPr>
                  </w:pPr>
                  <w:r>
                    <w:rPr>
                      <w:szCs w:val="21"/>
                    </w:rPr>
                    <w:t>2021年1月</w:t>
                  </w:r>
                </w:p>
              </w:tc>
              <w:tc>
                <w:tcPr>
                  <w:tcW w:w="1690" w:type="dxa"/>
                  <w:noWrap/>
                  <w:vAlign w:val="center"/>
                </w:tcPr>
                <w:p>
                  <w:pPr>
                    <w:jc w:val="center"/>
                    <w:rPr>
                      <w:szCs w:val="21"/>
                    </w:rPr>
                  </w:pPr>
                  <w:r>
                    <w:rPr>
                      <w:szCs w:val="21"/>
                    </w:rPr>
                    <w:t>21</w:t>
                  </w:r>
                </w:p>
              </w:tc>
              <w:tc>
                <w:tcPr>
                  <w:tcW w:w="1786" w:type="dxa"/>
                  <w:noWrap/>
                  <w:vAlign w:val="center"/>
                </w:tcPr>
                <w:p>
                  <w:pPr>
                    <w:jc w:val="center"/>
                    <w:rPr>
                      <w:szCs w:val="21"/>
                    </w:rPr>
                  </w:pPr>
                  <w:r>
                    <w:rPr>
                      <w:szCs w:val="21"/>
                    </w:rPr>
                    <w:t>46</w:t>
                  </w:r>
                </w:p>
              </w:tc>
              <w:tc>
                <w:tcPr>
                  <w:tcW w:w="1697" w:type="dxa"/>
                  <w:noWrap/>
                  <w:vAlign w:val="center"/>
                </w:tcPr>
                <w:p>
                  <w:pPr>
                    <w:jc w:val="center"/>
                    <w:rPr>
                      <w:szCs w:val="21"/>
                    </w:rPr>
                  </w:pPr>
                  <w:r>
                    <w:rPr>
                      <w:szCs w:val="21"/>
                    </w:rPr>
                    <w:t>175</w:t>
                  </w:r>
                </w:p>
              </w:tc>
              <w:tc>
                <w:tcPr>
                  <w:tcW w:w="1696" w:type="dxa"/>
                  <w:noWrap/>
                  <w:vAlign w:val="center"/>
                </w:tcPr>
                <w:p>
                  <w:pPr>
                    <w:jc w:val="center"/>
                    <w:rPr>
                      <w:szCs w:val="21"/>
                    </w:rPr>
                  </w:pPr>
                  <w:r>
                    <w:rPr>
                      <w:szCs w:val="21"/>
                    </w:rPr>
                    <w:t>112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2228" w:type="dxa"/>
                  <w:noWrap/>
                  <w:vAlign w:val="center"/>
                </w:tcPr>
                <w:p>
                  <w:pPr>
                    <w:jc w:val="center"/>
                    <w:rPr>
                      <w:szCs w:val="21"/>
                    </w:rPr>
                  </w:pPr>
                  <w:r>
                    <w:rPr>
                      <w:szCs w:val="21"/>
                    </w:rPr>
                    <w:t>2021年2月</w:t>
                  </w:r>
                </w:p>
              </w:tc>
              <w:tc>
                <w:tcPr>
                  <w:tcW w:w="1690" w:type="dxa"/>
                  <w:noWrap/>
                  <w:vAlign w:val="center"/>
                </w:tcPr>
                <w:p>
                  <w:pPr>
                    <w:jc w:val="center"/>
                    <w:rPr>
                      <w:szCs w:val="21"/>
                    </w:rPr>
                  </w:pPr>
                  <w:r>
                    <w:rPr>
                      <w:szCs w:val="21"/>
                    </w:rPr>
                    <w:t>15</w:t>
                  </w:r>
                </w:p>
              </w:tc>
              <w:tc>
                <w:tcPr>
                  <w:tcW w:w="1786" w:type="dxa"/>
                  <w:noWrap/>
                  <w:vAlign w:val="center"/>
                </w:tcPr>
                <w:p>
                  <w:pPr>
                    <w:jc w:val="center"/>
                    <w:rPr>
                      <w:szCs w:val="21"/>
                    </w:rPr>
                  </w:pPr>
                  <w:r>
                    <w:rPr>
                      <w:szCs w:val="21"/>
                    </w:rPr>
                    <w:t>28</w:t>
                  </w:r>
                </w:p>
              </w:tc>
              <w:tc>
                <w:tcPr>
                  <w:tcW w:w="1697" w:type="dxa"/>
                  <w:noWrap/>
                  <w:vAlign w:val="center"/>
                </w:tcPr>
                <w:p>
                  <w:pPr>
                    <w:jc w:val="center"/>
                    <w:rPr>
                      <w:szCs w:val="21"/>
                    </w:rPr>
                  </w:pPr>
                  <w:r>
                    <w:rPr>
                      <w:szCs w:val="21"/>
                    </w:rPr>
                    <w:t>104</w:t>
                  </w:r>
                </w:p>
              </w:tc>
              <w:tc>
                <w:tcPr>
                  <w:tcW w:w="1696" w:type="dxa"/>
                  <w:noWrap/>
                  <w:vAlign w:val="center"/>
                </w:tcPr>
                <w:p>
                  <w:pPr>
                    <w:jc w:val="center"/>
                    <w:rPr>
                      <w:szCs w:val="21"/>
                    </w:rPr>
                  </w:pPr>
                  <w:r>
                    <w:rPr>
                      <w:szCs w:val="21"/>
                    </w:rPr>
                    <w:t>70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2228" w:type="dxa"/>
                  <w:noWrap/>
                  <w:vAlign w:val="center"/>
                </w:tcPr>
                <w:p>
                  <w:pPr>
                    <w:jc w:val="center"/>
                    <w:rPr>
                      <w:szCs w:val="21"/>
                    </w:rPr>
                  </w:pPr>
                  <w:r>
                    <w:rPr>
                      <w:szCs w:val="21"/>
                    </w:rPr>
                    <w:t>2021年3月</w:t>
                  </w:r>
                </w:p>
              </w:tc>
              <w:tc>
                <w:tcPr>
                  <w:tcW w:w="1690" w:type="dxa"/>
                  <w:noWrap/>
                  <w:vAlign w:val="center"/>
                </w:tcPr>
                <w:p>
                  <w:pPr>
                    <w:jc w:val="center"/>
                    <w:rPr>
                      <w:szCs w:val="21"/>
                    </w:rPr>
                  </w:pPr>
                  <w:r>
                    <w:rPr>
                      <w:szCs w:val="21"/>
                    </w:rPr>
                    <w:t>13</w:t>
                  </w:r>
                </w:p>
              </w:tc>
              <w:tc>
                <w:tcPr>
                  <w:tcW w:w="1786" w:type="dxa"/>
                  <w:noWrap/>
                  <w:vAlign w:val="center"/>
                </w:tcPr>
                <w:p>
                  <w:pPr>
                    <w:jc w:val="center"/>
                    <w:rPr>
                      <w:szCs w:val="21"/>
                    </w:rPr>
                  </w:pPr>
                  <w:r>
                    <w:rPr>
                      <w:szCs w:val="21"/>
                    </w:rPr>
                    <w:t>31</w:t>
                  </w:r>
                </w:p>
              </w:tc>
              <w:tc>
                <w:tcPr>
                  <w:tcW w:w="1697" w:type="dxa"/>
                  <w:noWrap/>
                  <w:vAlign w:val="center"/>
                </w:tcPr>
                <w:p>
                  <w:pPr>
                    <w:jc w:val="center"/>
                    <w:rPr>
                      <w:szCs w:val="21"/>
                    </w:rPr>
                  </w:pPr>
                  <w:r>
                    <w:rPr>
                      <w:szCs w:val="21"/>
                    </w:rPr>
                    <w:t>100</w:t>
                  </w:r>
                </w:p>
              </w:tc>
              <w:tc>
                <w:tcPr>
                  <w:tcW w:w="1696" w:type="dxa"/>
                  <w:noWrap/>
                  <w:vAlign w:val="center"/>
                </w:tcPr>
                <w:p>
                  <w:pPr>
                    <w:jc w:val="center"/>
                    <w:rPr>
                      <w:szCs w:val="21"/>
                    </w:rPr>
                  </w:pPr>
                  <w:r>
                    <w:rPr>
                      <w:szCs w:val="21"/>
                    </w:rPr>
                    <w:t>57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2228" w:type="dxa"/>
                  <w:noWrap/>
                  <w:vAlign w:val="center"/>
                </w:tcPr>
                <w:p>
                  <w:pPr>
                    <w:jc w:val="center"/>
                    <w:rPr>
                      <w:szCs w:val="21"/>
                    </w:rPr>
                  </w:pPr>
                  <w:r>
                    <w:rPr>
                      <w:szCs w:val="21"/>
                    </w:rPr>
                    <w:t>2021年4月</w:t>
                  </w:r>
                </w:p>
              </w:tc>
              <w:tc>
                <w:tcPr>
                  <w:tcW w:w="1690" w:type="dxa"/>
                  <w:noWrap/>
                  <w:vAlign w:val="center"/>
                </w:tcPr>
                <w:p>
                  <w:pPr>
                    <w:jc w:val="center"/>
                    <w:rPr>
                      <w:szCs w:val="21"/>
                    </w:rPr>
                  </w:pPr>
                  <w:r>
                    <w:rPr>
                      <w:szCs w:val="21"/>
                    </w:rPr>
                    <w:t>11</w:t>
                  </w:r>
                </w:p>
              </w:tc>
              <w:tc>
                <w:tcPr>
                  <w:tcW w:w="1786" w:type="dxa"/>
                  <w:noWrap/>
                  <w:vAlign w:val="center"/>
                </w:tcPr>
                <w:p>
                  <w:pPr>
                    <w:jc w:val="center"/>
                    <w:rPr>
                      <w:szCs w:val="21"/>
                    </w:rPr>
                  </w:pPr>
                  <w:r>
                    <w:rPr>
                      <w:szCs w:val="21"/>
                    </w:rPr>
                    <w:t>27</w:t>
                  </w:r>
                </w:p>
              </w:tc>
              <w:tc>
                <w:tcPr>
                  <w:tcW w:w="1697" w:type="dxa"/>
                  <w:noWrap/>
                  <w:vAlign w:val="center"/>
                </w:tcPr>
                <w:p>
                  <w:pPr>
                    <w:jc w:val="center"/>
                    <w:rPr>
                      <w:szCs w:val="21"/>
                    </w:rPr>
                  </w:pPr>
                  <w:r>
                    <w:rPr>
                      <w:szCs w:val="21"/>
                    </w:rPr>
                    <w:t>71</w:t>
                  </w:r>
                </w:p>
              </w:tc>
              <w:tc>
                <w:tcPr>
                  <w:tcW w:w="1696" w:type="dxa"/>
                  <w:noWrap/>
                  <w:vAlign w:val="center"/>
                </w:tcPr>
                <w:p>
                  <w:pPr>
                    <w:jc w:val="center"/>
                    <w:rPr>
                      <w:szCs w:val="21"/>
                    </w:rPr>
                  </w:pPr>
                  <w:r>
                    <w:rPr>
                      <w:szCs w:val="21"/>
                    </w:rPr>
                    <w:t>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2228" w:type="dxa"/>
                  <w:noWrap/>
                  <w:vAlign w:val="center"/>
                </w:tcPr>
                <w:p>
                  <w:pPr>
                    <w:jc w:val="center"/>
                    <w:rPr>
                      <w:szCs w:val="21"/>
                    </w:rPr>
                  </w:pPr>
                  <w:r>
                    <w:rPr>
                      <w:szCs w:val="21"/>
                    </w:rPr>
                    <w:t>2021年5月</w:t>
                  </w:r>
                </w:p>
              </w:tc>
              <w:tc>
                <w:tcPr>
                  <w:tcW w:w="1690" w:type="dxa"/>
                  <w:noWrap/>
                  <w:vAlign w:val="center"/>
                </w:tcPr>
                <w:p>
                  <w:pPr>
                    <w:jc w:val="center"/>
                    <w:rPr>
                      <w:szCs w:val="21"/>
                    </w:rPr>
                  </w:pPr>
                  <w:r>
                    <w:rPr>
                      <w:szCs w:val="21"/>
                    </w:rPr>
                    <w:t>10</w:t>
                  </w:r>
                </w:p>
              </w:tc>
              <w:tc>
                <w:tcPr>
                  <w:tcW w:w="1786" w:type="dxa"/>
                  <w:noWrap/>
                  <w:vAlign w:val="center"/>
                </w:tcPr>
                <w:p>
                  <w:pPr>
                    <w:jc w:val="center"/>
                    <w:rPr>
                      <w:szCs w:val="21"/>
                    </w:rPr>
                  </w:pPr>
                  <w:r>
                    <w:rPr>
                      <w:szCs w:val="21"/>
                    </w:rPr>
                    <w:t>20</w:t>
                  </w:r>
                </w:p>
              </w:tc>
              <w:tc>
                <w:tcPr>
                  <w:tcW w:w="1697" w:type="dxa"/>
                  <w:noWrap/>
                  <w:vAlign w:val="center"/>
                </w:tcPr>
                <w:p>
                  <w:pPr>
                    <w:jc w:val="center"/>
                    <w:rPr>
                      <w:szCs w:val="21"/>
                    </w:rPr>
                  </w:pPr>
                  <w:r>
                    <w:rPr>
                      <w:szCs w:val="21"/>
                    </w:rPr>
                    <w:t>57</w:t>
                  </w:r>
                </w:p>
              </w:tc>
              <w:tc>
                <w:tcPr>
                  <w:tcW w:w="1696" w:type="dxa"/>
                  <w:noWrap/>
                  <w:vAlign w:val="center"/>
                </w:tcPr>
                <w:p>
                  <w:pPr>
                    <w:jc w:val="center"/>
                    <w:rPr>
                      <w:szCs w:val="21"/>
                    </w:rPr>
                  </w:pPr>
                  <w:r>
                    <w:rPr>
                      <w:szCs w:val="21"/>
                    </w:rPr>
                    <w:t>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2228" w:type="dxa"/>
                  <w:noWrap/>
                  <w:vAlign w:val="center"/>
                </w:tcPr>
                <w:p>
                  <w:pPr>
                    <w:jc w:val="center"/>
                    <w:rPr>
                      <w:szCs w:val="21"/>
                    </w:rPr>
                  </w:pPr>
                  <w:r>
                    <w:rPr>
                      <w:szCs w:val="21"/>
                    </w:rPr>
                    <w:t>2021年6月</w:t>
                  </w:r>
                </w:p>
              </w:tc>
              <w:tc>
                <w:tcPr>
                  <w:tcW w:w="1690" w:type="dxa"/>
                  <w:noWrap/>
                  <w:vAlign w:val="center"/>
                </w:tcPr>
                <w:p>
                  <w:pPr>
                    <w:jc w:val="center"/>
                    <w:rPr>
                      <w:szCs w:val="21"/>
                    </w:rPr>
                  </w:pPr>
                  <w:r>
                    <w:rPr>
                      <w:szCs w:val="21"/>
                    </w:rPr>
                    <w:t>9</w:t>
                  </w:r>
                </w:p>
              </w:tc>
              <w:tc>
                <w:tcPr>
                  <w:tcW w:w="1786" w:type="dxa"/>
                  <w:noWrap/>
                  <w:vAlign w:val="center"/>
                </w:tcPr>
                <w:p>
                  <w:pPr>
                    <w:jc w:val="center"/>
                    <w:rPr>
                      <w:szCs w:val="21"/>
                    </w:rPr>
                  </w:pPr>
                  <w:r>
                    <w:rPr>
                      <w:szCs w:val="21"/>
                    </w:rPr>
                    <w:t>20</w:t>
                  </w:r>
                </w:p>
              </w:tc>
              <w:tc>
                <w:tcPr>
                  <w:tcW w:w="1697" w:type="dxa"/>
                  <w:noWrap/>
                  <w:vAlign w:val="center"/>
                </w:tcPr>
                <w:p>
                  <w:pPr>
                    <w:jc w:val="center"/>
                    <w:rPr>
                      <w:szCs w:val="21"/>
                    </w:rPr>
                  </w:pPr>
                  <w:r>
                    <w:rPr>
                      <w:szCs w:val="21"/>
                    </w:rPr>
                    <w:t>55</w:t>
                  </w:r>
                </w:p>
              </w:tc>
              <w:tc>
                <w:tcPr>
                  <w:tcW w:w="1696" w:type="dxa"/>
                  <w:noWrap/>
                  <w:vAlign w:val="center"/>
                </w:tcPr>
                <w:p>
                  <w:pPr>
                    <w:jc w:val="center"/>
                    <w:rPr>
                      <w:szCs w:val="21"/>
                    </w:rPr>
                  </w:pPr>
                  <w:r>
                    <w:rPr>
                      <w:szCs w:val="21"/>
                    </w:rPr>
                    <w:t>28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2228" w:type="dxa"/>
                  <w:noWrap/>
                  <w:vAlign w:val="center"/>
                </w:tcPr>
                <w:p>
                  <w:pPr>
                    <w:jc w:val="center"/>
                    <w:rPr>
                      <w:szCs w:val="21"/>
                    </w:rPr>
                  </w:pPr>
                  <w:r>
                    <w:rPr>
                      <w:szCs w:val="21"/>
                    </w:rPr>
                    <w:t>2021年7月</w:t>
                  </w:r>
                </w:p>
              </w:tc>
              <w:tc>
                <w:tcPr>
                  <w:tcW w:w="1690" w:type="dxa"/>
                  <w:noWrap/>
                  <w:vAlign w:val="center"/>
                </w:tcPr>
                <w:p>
                  <w:pPr>
                    <w:jc w:val="center"/>
                    <w:rPr>
                      <w:szCs w:val="21"/>
                    </w:rPr>
                  </w:pPr>
                  <w:r>
                    <w:rPr>
                      <w:szCs w:val="21"/>
                    </w:rPr>
                    <w:t>6</w:t>
                  </w:r>
                </w:p>
              </w:tc>
              <w:tc>
                <w:tcPr>
                  <w:tcW w:w="1786" w:type="dxa"/>
                  <w:noWrap/>
                  <w:vAlign w:val="center"/>
                </w:tcPr>
                <w:p>
                  <w:pPr>
                    <w:jc w:val="center"/>
                    <w:rPr>
                      <w:szCs w:val="21"/>
                    </w:rPr>
                  </w:pPr>
                  <w:r>
                    <w:rPr>
                      <w:szCs w:val="21"/>
                    </w:rPr>
                    <w:t>14</w:t>
                  </w:r>
                </w:p>
              </w:tc>
              <w:tc>
                <w:tcPr>
                  <w:tcW w:w="1697" w:type="dxa"/>
                  <w:noWrap/>
                  <w:vAlign w:val="center"/>
                </w:tcPr>
                <w:p>
                  <w:pPr>
                    <w:jc w:val="center"/>
                    <w:rPr>
                      <w:szCs w:val="21"/>
                    </w:rPr>
                  </w:pPr>
                  <w:r>
                    <w:rPr>
                      <w:szCs w:val="21"/>
                    </w:rPr>
                    <w:t>33</w:t>
                  </w:r>
                </w:p>
              </w:tc>
              <w:tc>
                <w:tcPr>
                  <w:tcW w:w="1696" w:type="dxa"/>
                  <w:noWrap/>
                  <w:vAlign w:val="center"/>
                </w:tcPr>
                <w:p>
                  <w:pPr>
                    <w:jc w:val="center"/>
                    <w:rPr>
                      <w:szCs w:val="21"/>
                    </w:rPr>
                  </w:pPr>
                  <w:r>
                    <w:rPr>
                      <w:szCs w:val="21"/>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2228" w:type="dxa"/>
                  <w:noWrap/>
                  <w:vAlign w:val="center"/>
                </w:tcPr>
                <w:p>
                  <w:pPr>
                    <w:jc w:val="center"/>
                    <w:rPr>
                      <w:szCs w:val="21"/>
                    </w:rPr>
                  </w:pPr>
                  <w:r>
                    <w:rPr>
                      <w:szCs w:val="21"/>
                    </w:rPr>
                    <w:t>2021年8月</w:t>
                  </w:r>
                </w:p>
              </w:tc>
              <w:tc>
                <w:tcPr>
                  <w:tcW w:w="1690" w:type="dxa"/>
                  <w:noWrap/>
                  <w:vAlign w:val="center"/>
                </w:tcPr>
                <w:p>
                  <w:pPr>
                    <w:jc w:val="center"/>
                    <w:rPr>
                      <w:szCs w:val="21"/>
                    </w:rPr>
                  </w:pPr>
                  <w:r>
                    <w:rPr>
                      <w:szCs w:val="21"/>
                    </w:rPr>
                    <w:t>7</w:t>
                  </w:r>
                </w:p>
              </w:tc>
              <w:tc>
                <w:tcPr>
                  <w:tcW w:w="1786" w:type="dxa"/>
                  <w:noWrap/>
                  <w:vAlign w:val="center"/>
                </w:tcPr>
                <w:p>
                  <w:pPr>
                    <w:jc w:val="center"/>
                    <w:rPr>
                      <w:szCs w:val="21"/>
                    </w:rPr>
                  </w:pPr>
                  <w:r>
                    <w:rPr>
                      <w:szCs w:val="21"/>
                    </w:rPr>
                    <w:t>21</w:t>
                  </w:r>
                </w:p>
              </w:tc>
              <w:tc>
                <w:tcPr>
                  <w:tcW w:w="1697" w:type="dxa"/>
                  <w:noWrap/>
                  <w:vAlign w:val="center"/>
                </w:tcPr>
                <w:p>
                  <w:pPr>
                    <w:jc w:val="center"/>
                    <w:rPr>
                      <w:szCs w:val="21"/>
                    </w:rPr>
                  </w:pPr>
                  <w:r>
                    <w:rPr>
                      <w:szCs w:val="21"/>
                    </w:rPr>
                    <w:t>41</w:t>
                  </w:r>
                </w:p>
              </w:tc>
              <w:tc>
                <w:tcPr>
                  <w:tcW w:w="1696" w:type="dxa"/>
                  <w:noWrap/>
                  <w:vAlign w:val="center"/>
                </w:tcPr>
                <w:p>
                  <w:pPr>
                    <w:jc w:val="center"/>
                    <w:rPr>
                      <w:szCs w:val="21"/>
                    </w:rPr>
                  </w:pPr>
                  <w:r>
                    <w:rPr>
                      <w:szCs w:val="21"/>
                    </w:rPr>
                    <w:t>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2228" w:type="dxa"/>
                  <w:noWrap/>
                  <w:vAlign w:val="center"/>
                </w:tcPr>
                <w:p>
                  <w:pPr>
                    <w:jc w:val="center"/>
                    <w:rPr>
                      <w:szCs w:val="21"/>
                    </w:rPr>
                  </w:pPr>
                  <w:r>
                    <w:rPr>
                      <w:szCs w:val="21"/>
                    </w:rPr>
                    <w:t>2021年9月</w:t>
                  </w:r>
                </w:p>
              </w:tc>
              <w:tc>
                <w:tcPr>
                  <w:tcW w:w="1690" w:type="dxa"/>
                  <w:noWrap/>
                  <w:vAlign w:val="center"/>
                </w:tcPr>
                <w:p>
                  <w:pPr>
                    <w:jc w:val="center"/>
                    <w:rPr>
                      <w:szCs w:val="21"/>
                    </w:rPr>
                  </w:pPr>
                  <w:r>
                    <w:rPr>
                      <w:szCs w:val="21"/>
                    </w:rPr>
                    <w:t>8</w:t>
                  </w:r>
                </w:p>
              </w:tc>
              <w:tc>
                <w:tcPr>
                  <w:tcW w:w="1786" w:type="dxa"/>
                  <w:noWrap/>
                  <w:vAlign w:val="center"/>
                </w:tcPr>
                <w:p>
                  <w:pPr>
                    <w:jc w:val="center"/>
                    <w:rPr>
                      <w:szCs w:val="21"/>
                    </w:rPr>
                  </w:pPr>
                  <w:r>
                    <w:rPr>
                      <w:szCs w:val="21"/>
                    </w:rPr>
                    <w:t>19</w:t>
                  </w:r>
                </w:p>
              </w:tc>
              <w:tc>
                <w:tcPr>
                  <w:tcW w:w="1697" w:type="dxa"/>
                  <w:noWrap/>
                  <w:vAlign w:val="center"/>
                </w:tcPr>
                <w:p>
                  <w:pPr>
                    <w:jc w:val="center"/>
                    <w:rPr>
                      <w:szCs w:val="21"/>
                    </w:rPr>
                  </w:pPr>
                  <w:r>
                    <w:rPr>
                      <w:szCs w:val="21"/>
                    </w:rPr>
                    <w:t>37</w:t>
                  </w:r>
                </w:p>
              </w:tc>
              <w:tc>
                <w:tcPr>
                  <w:tcW w:w="1696" w:type="dxa"/>
                  <w:noWrap/>
                  <w:vAlign w:val="center"/>
                </w:tcPr>
                <w:p>
                  <w:pPr>
                    <w:jc w:val="center"/>
                    <w:rPr>
                      <w:szCs w:val="21"/>
                    </w:rPr>
                  </w:pPr>
                  <w:r>
                    <w:rPr>
                      <w:szCs w:val="21"/>
                    </w:rPr>
                    <w:t>22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2228" w:type="dxa"/>
                  <w:noWrap/>
                  <w:vAlign w:val="center"/>
                </w:tcPr>
                <w:p>
                  <w:pPr>
                    <w:jc w:val="center"/>
                    <w:rPr>
                      <w:szCs w:val="21"/>
                    </w:rPr>
                  </w:pPr>
                  <w:r>
                    <w:rPr>
                      <w:szCs w:val="21"/>
                    </w:rPr>
                    <w:t>2021年10月</w:t>
                  </w:r>
                </w:p>
              </w:tc>
              <w:tc>
                <w:tcPr>
                  <w:tcW w:w="1690" w:type="dxa"/>
                  <w:noWrap/>
                  <w:vAlign w:val="center"/>
                </w:tcPr>
                <w:p>
                  <w:pPr>
                    <w:jc w:val="center"/>
                    <w:rPr>
                      <w:szCs w:val="21"/>
                    </w:rPr>
                  </w:pPr>
                  <w:r>
                    <w:rPr>
                      <w:szCs w:val="21"/>
                    </w:rPr>
                    <w:t>11</w:t>
                  </w:r>
                </w:p>
              </w:tc>
              <w:tc>
                <w:tcPr>
                  <w:tcW w:w="1786" w:type="dxa"/>
                  <w:noWrap/>
                  <w:vAlign w:val="center"/>
                </w:tcPr>
                <w:p>
                  <w:pPr>
                    <w:jc w:val="center"/>
                    <w:rPr>
                      <w:szCs w:val="21"/>
                    </w:rPr>
                  </w:pPr>
                  <w:r>
                    <w:rPr>
                      <w:szCs w:val="21"/>
                    </w:rPr>
                    <w:t>31</w:t>
                  </w:r>
                </w:p>
              </w:tc>
              <w:tc>
                <w:tcPr>
                  <w:tcW w:w="1697" w:type="dxa"/>
                  <w:noWrap/>
                  <w:vAlign w:val="center"/>
                </w:tcPr>
                <w:p>
                  <w:pPr>
                    <w:jc w:val="center"/>
                    <w:rPr>
                      <w:szCs w:val="21"/>
                    </w:rPr>
                  </w:pPr>
                  <w:r>
                    <w:rPr>
                      <w:szCs w:val="21"/>
                    </w:rPr>
                    <w:t>73</w:t>
                  </w:r>
                </w:p>
              </w:tc>
              <w:tc>
                <w:tcPr>
                  <w:tcW w:w="1696" w:type="dxa"/>
                  <w:noWrap/>
                  <w:vAlign w:val="center"/>
                </w:tcPr>
                <w:p>
                  <w:pPr>
                    <w:jc w:val="center"/>
                    <w:rPr>
                      <w:szCs w:val="21"/>
                    </w:rPr>
                  </w:pPr>
                  <w:r>
                    <w:rPr>
                      <w:szCs w:val="21"/>
                    </w:rPr>
                    <w:t>45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2228" w:type="dxa"/>
                  <w:noWrap/>
                  <w:vAlign w:val="center"/>
                </w:tcPr>
                <w:p>
                  <w:pPr>
                    <w:jc w:val="center"/>
                    <w:rPr>
                      <w:szCs w:val="21"/>
                    </w:rPr>
                  </w:pPr>
                  <w:r>
                    <w:rPr>
                      <w:szCs w:val="21"/>
                    </w:rPr>
                    <w:t>2021年11月</w:t>
                  </w:r>
                </w:p>
              </w:tc>
              <w:tc>
                <w:tcPr>
                  <w:tcW w:w="1690" w:type="dxa"/>
                  <w:noWrap/>
                  <w:vAlign w:val="center"/>
                </w:tcPr>
                <w:p>
                  <w:pPr>
                    <w:jc w:val="center"/>
                    <w:rPr>
                      <w:szCs w:val="21"/>
                    </w:rPr>
                  </w:pPr>
                  <w:r>
                    <w:rPr>
                      <w:szCs w:val="21"/>
                    </w:rPr>
                    <w:t>13</w:t>
                  </w:r>
                </w:p>
              </w:tc>
              <w:tc>
                <w:tcPr>
                  <w:tcW w:w="1786" w:type="dxa"/>
                  <w:noWrap/>
                  <w:vAlign w:val="center"/>
                </w:tcPr>
                <w:p>
                  <w:pPr>
                    <w:jc w:val="center"/>
                    <w:rPr>
                      <w:szCs w:val="21"/>
                    </w:rPr>
                  </w:pPr>
                  <w:r>
                    <w:rPr>
                      <w:szCs w:val="21"/>
                    </w:rPr>
                    <w:t>42</w:t>
                  </w:r>
                </w:p>
              </w:tc>
              <w:tc>
                <w:tcPr>
                  <w:tcW w:w="1697" w:type="dxa"/>
                  <w:noWrap/>
                  <w:vAlign w:val="center"/>
                </w:tcPr>
                <w:p>
                  <w:pPr>
                    <w:jc w:val="center"/>
                    <w:rPr>
                      <w:szCs w:val="21"/>
                    </w:rPr>
                  </w:pPr>
                  <w:r>
                    <w:rPr>
                      <w:szCs w:val="21"/>
                    </w:rPr>
                    <w:t>109</w:t>
                  </w:r>
                </w:p>
              </w:tc>
              <w:tc>
                <w:tcPr>
                  <w:tcW w:w="1696" w:type="dxa"/>
                  <w:noWrap/>
                  <w:vAlign w:val="center"/>
                </w:tcPr>
                <w:p>
                  <w:pPr>
                    <w:jc w:val="center"/>
                    <w:rPr>
                      <w:szCs w:val="21"/>
                    </w:rPr>
                  </w:pPr>
                  <w:r>
                    <w:rPr>
                      <w:szCs w:val="21"/>
                    </w:rPr>
                    <w:t>66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2228" w:type="dxa"/>
                  <w:noWrap/>
                  <w:vAlign w:val="center"/>
                </w:tcPr>
                <w:p>
                  <w:pPr>
                    <w:jc w:val="center"/>
                    <w:rPr>
                      <w:szCs w:val="21"/>
                    </w:rPr>
                  </w:pPr>
                  <w:r>
                    <w:rPr>
                      <w:szCs w:val="21"/>
                    </w:rPr>
                    <w:t>2021年12月</w:t>
                  </w:r>
                </w:p>
              </w:tc>
              <w:tc>
                <w:tcPr>
                  <w:tcW w:w="1690" w:type="dxa"/>
                  <w:noWrap/>
                  <w:vAlign w:val="center"/>
                </w:tcPr>
                <w:p>
                  <w:pPr>
                    <w:jc w:val="center"/>
                    <w:rPr>
                      <w:szCs w:val="21"/>
                    </w:rPr>
                  </w:pPr>
                  <w:r>
                    <w:rPr>
                      <w:szCs w:val="21"/>
                    </w:rPr>
                    <w:t>18</w:t>
                  </w:r>
                </w:p>
              </w:tc>
              <w:tc>
                <w:tcPr>
                  <w:tcW w:w="1786" w:type="dxa"/>
                  <w:noWrap/>
                  <w:vAlign w:val="center"/>
                </w:tcPr>
                <w:p>
                  <w:pPr>
                    <w:jc w:val="center"/>
                    <w:rPr>
                      <w:szCs w:val="21"/>
                    </w:rPr>
                  </w:pPr>
                  <w:r>
                    <w:rPr>
                      <w:szCs w:val="21"/>
                    </w:rPr>
                    <w:t>44</w:t>
                  </w:r>
                </w:p>
              </w:tc>
              <w:tc>
                <w:tcPr>
                  <w:tcW w:w="1697" w:type="dxa"/>
                  <w:noWrap/>
                  <w:vAlign w:val="center"/>
                </w:tcPr>
                <w:p>
                  <w:pPr>
                    <w:jc w:val="center"/>
                    <w:rPr>
                      <w:szCs w:val="21"/>
                    </w:rPr>
                  </w:pPr>
                  <w:r>
                    <w:rPr>
                      <w:szCs w:val="21"/>
                    </w:rPr>
                    <w:t>124</w:t>
                  </w:r>
                </w:p>
              </w:tc>
              <w:tc>
                <w:tcPr>
                  <w:tcW w:w="1696" w:type="dxa"/>
                  <w:noWrap/>
                  <w:vAlign w:val="center"/>
                </w:tcPr>
                <w:p>
                  <w:pPr>
                    <w:jc w:val="center"/>
                    <w:rPr>
                      <w:szCs w:val="21"/>
                    </w:rPr>
                  </w:pPr>
                  <w:r>
                    <w:rPr>
                      <w:szCs w:val="21"/>
                    </w:rPr>
                    <w:t>83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2228" w:type="dxa"/>
                  <w:noWrap/>
                  <w:vAlign w:val="center"/>
                </w:tcPr>
                <w:p>
                  <w:pPr>
                    <w:jc w:val="center"/>
                    <w:rPr>
                      <w:szCs w:val="21"/>
                    </w:rPr>
                  </w:pPr>
                  <w:r>
                    <w:rPr>
                      <w:szCs w:val="21"/>
                    </w:rPr>
                    <w:t>2021年全年</w:t>
                  </w:r>
                </w:p>
              </w:tc>
              <w:tc>
                <w:tcPr>
                  <w:tcW w:w="1690" w:type="dxa"/>
                  <w:noWrap/>
                  <w:vAlign w:val="center"/>
                </w:tcPr>
                <w:p>
                  <w:pPr>
                    <w:jc w:val="center"/>
                    <w:rPr>
                      <w:szCs w:val="21"/>
                    </w:rPr>
                  </w:pPr>
                  <w:r>
                    <w:rPr>
                      <w:szCs w:val="21"/>
                    </w:rPr>
                    <w:t>12</w:t>
                  </w:r>
                </w:p>
              </w:tc>
              <w:tc>
                <w:tcPr>
                  <w:tcW w:w="1786" w:type="dxa"/>
                  <w:noWrap/>
                  <w:vAlign w:val="center"/>
                </w:tcPr>
                <w:p>
                  <w:pPr>
                    <w:jc w:val="center"/>
                    <w:rPr>
                      <w:szCs w:val="21"/>
                    </w:rPr>
                  </w:pPr>
                  <w:r>
                    <w:rPr>
                      <w:szCs w:val="21"/>
                    </w:rPr>
                    <w:t>29</w:t>
                  </w:r>
                </w:p>
              </w:tc>
              <w:tc>
                <w:tcPr>
                  <w:tcW w:w="1697" w:type="dxa"/>
                  <w:noWrap/>
                  <w:vAlign w:val="center"/>
                </w:tcPr>
                <w:p>
                  <w:pPr>
                    <w:jc w:val="center"/>
                    <w:rPr>
                      <w:szCs w:val="21"/>
                    </w:rPr>
                  </w:pPr>
                  <w:r>
                    <w:rPr>
                      <w:szCs w:val="21"/>
                    </w:rPr>
                    <w:t>82</w:t>
                  </w:r>
                </w:p>
              </w:tc>
              <w:tc>
                <w:tcPr>
                  <w:tcW w:w="1696" w:type="dxa"/>
                  <w:noWrap/>
                  <w:vAlign w:val="center"/>
                </w:tcPr>
                <w:p>
                  <w:pPr>
                    <w:jc w:val="center"/>
                    <w:rPr>
                      <w:szCs w:val="21"/>
                    </w:rPr>
                  </w:pPr>
                  <w:r>
                    <w:rPr>
                      <w:szCs w:val="21"/>
                    </w:rPr>
                    <w:t>50</w:t>
                  </w:r>
                </w:p>
              </w:tc>
            </w:tr>
          </w:tbl>
          <w:p>
            <w:pPr>
              <w:pStyle w:val="32"/>
              <w:tabs>
                <w:tab w:val="left" w:pos="5154"/>
              </w:tabs>
              <w:adjustRightInd w:val="0"/>
              <w:snapToGrid w:val="0"/>
              <w:spacing w:before="156" w:beforeLines="50" w:beforeAutospacing="0" w:after="0" w:afterAutospacing="0" w:line="360" w:lineRule="auto"/>
              <w:ind w:firstLine="480" w:firstLineChars="200"/>
              <w:jc w:val="both"/>
              <w:rPr>
                <w:rFonts w:ascii="Times New Roman" w:hAnsi="Times New Roman"/>
                <w:szCs w:val="24"/>
              </w:rPr>
            </w:pPr>
            <w:r>
              <w:rPr>
                <w:rFonts w:ascii="Times New Roman" w:hAnsi="Times New Roman"/>
                <w:szCs w:val="24"/>
              </w:rPr>
              <w:t>泗水县2021年大气环境质量现状评价见表3-2。</w:t>
            </w:r>
          </w:p>
          <w:p>
            <w:pPr>
              <w:jc w:val="center"/>
              <w:outlineLvl w:val="0"/>
              <w:rPr>
                <w:b/>
                <w:bCs/>
                <w:szCs w:val="21"/>
              </w:rPr>
            </w:pPr>
            <w:r>
              <w:rPr>
                <w:b/>
                <w:bCs/>
                <w:sz w:val="24"/>
              </w:rPr>
              <w:t>表3-2  泗水县大气环境质量现状评价表</w:t>
            </w:r>
          </w:p>
          <w:tbl>
            <w:tblPr>
              <w:tblStyle w:val="35"/>
              <w:tblW w:w="90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90"/>
              <w:gridCol w:w="1032"/>
              <w:gridCol w:w="1757"/>
              <w:gridCol w:w="1208"/>
              <w:gridCol w:w="1254"/>
              <w:gridCol w:w="1254"/>
              <w:gridCol w:w="17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76" w:hRule="atLeast"/>
                <w:jc w:val="center"/>
              </w:trPr>
              <w:tc>
                <w:tcPr>
                  <w:tcW w:w="790" w:type="dxa"/>
                  <w:noWrap/>
                  <w:vAlign w:val="center"/>
                </w:tcPr>
                <w:p>
                  <w:pPr>
                    <w:adjustRightInd w:val="0"/>
                    <w:snapToGrid w:val="0"/>
                    <w:jc w:val="center"/>
                    <w:rPr>
                      <w:szCs w:val="21"/>
                    </w:rPr>
                  </w:pPr>
                  <w:r>
                    <w:rPr>
                      <w:szCs w:val="21"/>
                    </w:rPr>
                    <w:t>序号</w:t>
                  </w:r>
                </w:p>
              </w:tc>
              <w:tc>
                <w:tcPr>
                  <w:tcW w:w="1032" w:type="dxa"/>
                  <w:noWrap/>
                  <w:vAlign w:val="center"/>
                </w:tcPr>
                <w:p>
                  <w:pPr>
                    <w:adjustRightInd w:val="0"/>
                    <w:snapToGrid w:val="0"/>
                    <w:jc w:val="center"/>
                    <w:rPr>
                      <w:szCs w:val="21"/>
                    </w:rPr>
                  </w:pPr>
                  <w:r>
                    <w:rPr>
                      <w:szCs w:val="21"/>
                    </w:rPr>
                    <w:t>污染物</w:t>
                  </w:r>
                </w:p>
              </w:tc>
              <w:tc>
                <w:tcPr>
                  <w:tcW w:w="1757" w:type="dxa"/>
                  <w:noWrap/>
                  <w:vAlign w:val="center"/>
                </w:tcPr>
                <w:p>
                  <w:pPr>
                    <w:adjustRightInd w:val="0"/>
                    <w:snapToGrid w:val="0"/>
                    <w:jc w:val="center"/>
                    <w:rPr>
                      <w:szCs w:val="21"/>
                    </w:rPr>
                  </w:pPr>
                  <w:r>
                    <w:rPr>
                      <w:szCs w:val="21"/>
                    </w:rPr>
                    <w:t>年评价指标</w:t>
                  </w:r>
                </w:p>
              </w:tc>
              <w:tc>
                <w:tcPr>
                  <w:tcW w:w="1208" w:type="dxa"/>
                  <w:noWrap/>
                  <w:vAlign w:val="center"/>
                </w:tcPr>
                <w:p>
                  <w:pPr>
                    <w:adjustRightInd w:val="0"/>
                    <w:snapToGrid w:val="0"/>
                    <w:jc w:val="center"/>
                    <w:rPr>
                      <w:szCs w:val="21"/>
                    </w:rPr>
                  </w:pPr>
                  <w:r>
                    <w:rPr>
                      <w:szCs w:val="21"/>
                    </w:rPr>
                    <w:t>现状浓度μg/m</w:t>
                  </w:r>
                  <w:r>
                    <w:rPr>
                      <w:szCs w:val="21"/>
                      <w:vertAlign w:val="superscript"/>
                    </w:rPr>
                    <w:t>3</w:t>
                  </w:r>
                </w:p>
              </w:tc>
              <w:tc>
                <w:tcPr>
                  <w:tcW w:w="1254" w:type="dxa"/>
                  <w:noWrap/>
                  <w:vAlign w:val="center"/>
                </w:tcPr>
                <w:p>
                  <w:pPr>
                    <w:adjustRightInd w:val="0"/>
                    <w:snapToGrid w:val="0"/>
                    <w:jc w:val="center"/>
                    <w:rPr>
                      <w:szCs w:val="21"/>
                    </w:rPr>
                  </w:pPr>
                  <w:r>
                    <w:rPr>
                      <w:szCs w:val="21"/>
                    </w:rPr>
                    <w:t>标准值μg/m</w:t>
                  </w:r>
                  <w:r>
                    <w:rPr>
                      <w:szCs w:val="21"/>
                      <w:vertAlign w:val="superscript"/>
                    </w:rPr>
                    <w:t>3</w:t>
                  </w:r>
                </w:p>
              </w:tc>
              <w:tc>
                <w:tcPr>
                  <w:tcW w:w="1254" w:type="dxa"/>
                  <w:noWrap/>
                  <w:vAlign w:val="center"/>
                </w:tcPr>
                <w:p>
                  <w:pPr>
                    <w:adjustRightInd w:val="0"/>
                    <w:snapToGrid w:val="0"/>
                    <w:jc w:val="center"/>
                    <w:rPr>
                      <w:szCs w:val="21"/>
                    </w:rPr>
                  </w:pPr>
                  <w:r>
                    <w:rPr>
                      <w:szCs w:val="21"/>
                    </w:rPr>
                    <w:t>占标率</w:t>
                  </w:r>
                </w:p>
              </w:tc>
              <w:tc>
                <w:tcPr>
                  <w:tcW w:w="1732" w:type="dxa"/>
                  <w:noWrap/>
                  <w:vAlign w:val="center"/>
                </w:tcPr>
                <w:p>
                  <w:pPr>
                    <w:autoSpaceDE w:val="0"/>
                    <w:autoSpaceDN w:val="0"/>
                    <w:adjustRightInd w:val="0"/>
                    <w:snapToGrid w:val="0"/>
                    <w:jc w:val="center"/>
                    <w:rPr>
                      <w:szCs w:val="21"/>
                    </w:rPr>
                  </w:pPr>
                  <w:r>
                    <w:rPr>
                      <w:szCs w:val="21"/>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81" w:hRule="atLeast"/>
                <w:jc w:val="center"/>
              </w:trPr>
              <w:tc>
                <w:tcPr>
                  <w:tcW w:w="790" w:type="dxa"/>
                  <w:noWrap/>
                  <w:vAlign w:val="center"/>
                </w:tcPr>
                <w:p>
                  <w:pPr>
                    <w:adjustRightInd w:val="0"/>
                    <w:snapToGrid w:val="0"/>
                    <w:jc w:val="center"/>
                    <w:rPr>
                      <w:szCs w:val="21"/>
                    </w:rPr>
                  </w:pPr>
                  <w:r>
                    <w:rPr>
                      <w:szCs w:val="21"/>
                    </w:rPr>
                    <w:t>1</w:t>
                  </w:r>
                </w:p>
              </w:tc>
              <w:tc>
                <w:tcPr>
                  <w:tcW w:w="1032" w:type="dxa"/>
                  <w:noWrap/>
                  <w:vAlign w:val="center"/>
                </w:tcPr>
                <w:p>
                  <w:pPr>
                    <w:adjustRightInd w:val="0"/>
                    <w:snapToGrid w:val="0"/>
                    <w:jc w:val="center"/>
                    <w:rPr>
                      <w:szCs w:val="21"/>
                    </w:rPr>
                  </w:pPr>
                  <w:r>
                    <w:rPr>
                      <w:szCs w:val="21"/>
                    </w:rPr>
                    <w:t>SO</w:t>
                  </w:r>
                  <w:r>
                    <w:rPr>
                      <w:szCs w:val="21"/>
                      <w:vertAlign w:val="subscript"/>
                    </w:rPr>
                    <w:t>2</w:t>
                  </w:r>
                </w:p>
              </w:tc>
              <w:tc>
                <w:tcPr>
                  <w:tcW w:w="1757" w:type="dxa"/>
                  <w:noWrap/>
                  <w:vAlign w:val="center"/>
                </w:tcPr>
                <w:p>
                  <w:pPr>
                    <w:adjustRightInd w:val="0"/>
                    <w:snapToGrid w:val="0"/>
                    <w:jc w:val="center"/>
                    <w:rPr>
                      <w:szCs w:val="21"/>
                    </w:rPr>
                  </w:pPr>
                  <w:r>
                    <w:rPr>
                      <w:szCs w:val="21"/>
                    </w:rPr>
                    <w:t>年平均质量浓度</w:t>
                  </w:r>
                </w:p>
              </w:tc>
              <w:tc>
                <w:tcPr>
                  <w:tcW w:w="1208" w:type="dxa"/>
                  <w:noWrap/>
                  <w:vAlign w:val="center"/>
                </w:tcPr>
                <w:p>
                  <w:pPr>
                    <w:adjustRightInd w:val="0"/>
                    <w:snapToGrid w:val="0"/>
                    <w:jc w:val="center"/>
                    <w:rPr>
                      <w:szCs w:val="21"/>
                    </w:rPr>
                  </w:pPr>
                  <w:r>
                    <w:rPr>
                      <w:szCs w:val="21"/>
                    </w:rPr>
                    <w:t>12</w:t>
                  </w:r>
                </w:p>
              </w:tc>
              <w:tc>
                <w:tcPr>
                  <w:tcW w:w="1254" w:type="dxa"/>
                  <w:noWrap/>
                  <w:vAlign w:val="center"/>
                </w:tcPr>
                <w:p>
                  <w:pPr>
                    <w:adjustRightInd w:val="0"/>
                    <w:snapToGrid w:val="0"/>
                    <w:jc w:val="center"/>
                    <w:rPr>
                      <w:szCs w:val="21"/>
                    </w:rPr>
                  </w:pPr>
                  <w:r>
                    <w:rPr>
                      <w:szCs w:val="21"/>
                    </w:rPr>
                    <w:t>60</w:t>
                  </w:r>
                </w:p>
              </w:tc>
              <w:tc>
                <w:tcPr>
                  <w:tcW w:w="1254" w:type="dxa"/>
                  <w:noWrap/>
                  <w:vAlign w:val="center"/>
                </w:tcPr>
                <w:p>
                  <w:pPr>
                    <w:adjustRightInd w:val="0"/>
                    <w:snapToGrid w:val="0"/>
                    <w:jc w:val="center"/>
                    <w:rPr>
                      <w:szCs w:val="21"/>
                    </w:rPr>
                  </w:pPr>
                  <w:r>
                    <w:rPr>
                      <w:szCs w:val="21"/>
                    </w:rPr>
                    <w:t>20%</w:t>
                  </w:r>
                </w:p>
              </w:tc>
              <w:tc>
                <w:tcPr>
                  <w:tcW w:w="1732"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88" w:hRule="atLeast"/>
                <w:jc w:val="center"/>
              </w:trPr>
              <w:tc>
                <w:tcPr>
                  <w:tcW w:w="790" w:type="dxa"/>
                  <w:noWrap/>
                  <w:vAlign w:val="center"/>
                </w:tcPr>
                <w:p>
                  <w:pPr>
                    <w:adjustRightInd w:val="0"/>
                    <w:snapToGrid w:val="0"/>
                    <w:jc w:val="center"/>
                    <w:rPr>
                      <w:szCs w:val="21"/>
                    </w:rPr>
                  </w:pPr>
                  <w:r>
                    <w:rPr>
                      <w:szCs w:val="21"/>
                    </w:rPr>
                    <w:t>2</w:t>
                  </w:r>
                </w:p>
              </w:tc>
              <w:tc>
                <w:tcPr>
                  <w:tcW w:w="1032" w:type="dxa"/>
                  <w:noWrap/>
                  <w:vAlign w:val="center"/>
                </w:tcPr>
                <w:p>
                  <w:pPr>
                    <w:adjustRightInd w:val="0"/>
                    <w:snapToGrid w:val="0"/>
                    <w:jc w:val="center"/>
                    <w:rPr>
                      <w:szCs w:val="21"/>
                    </w:rPr>
                  </w:pPr>
                  <w:r>
                    <w:rPr>
                      <w:szCs w:val="21"/>
                    </w:rPr>
                    <w:t>NO</w:t>
                  </w:r>
                  <w:r>
                    <w:rPr>
                      <w:szCs w:val="21"/>
                      <w:vertAlign w:val="subscript"/>
                    </w:rPr>
                    <w:t>2</w:t>
                  </w:r>
                </w:p>
              </w:tc>
              <w:tc>
                <w:tcPr>
                  <w:tcW w:w="1757" w:type="dxa"/>
                  <w:noWrap/>
                  <w:vAlign w:val="center"/>
                </w:tcPr>
                <w:p>
                  <w:pPr>
                    <w:adjustRightInd w:val="0"/>
                    <w:snapToGrid w:val="0"/>
                    <w:jc w:val="center"/>
                    <w:rPr>
                      <w:szCs w:val="21"/>
                    </w:rPr>
                  </w:pPr>
                  <w:r>
                    <w:rPr>
                      <w:szCs w:val="21"/>
                    </w:rPr>
                    <w:t>年平均质量浓度</w:t>
                  </w:r>
                </w:p>
              </w:tc>
              <w:tc>
                <w:tcPr>
                  <w:tcW w:w="1208" w:type="dxa"/>
                  <w:noWrap/>
                  <w:vAlign w:val="center"/>
                </w:tcPr>
                <w:p>
                  <w:pPr>
                    <w:adjustRightInd w:val="0"/>
                    <w:snapToGrid w:val="0"/>
                    <w:jc w:val="center"/>
                    <w:rPr>
                      <w:szCs w:val="21"/>
                    </w:rPr>
                  </w:pPr>
                  <w:r>
                    <w:rPr>
                      <w:szCs w:val="21"/>
                    </w:rPr>
                    <w:t>29</w:t>
                  </w:r>
                </w:p>
              </w:tc>
              <w:tc>
                <w:tcPr>
                  <w:tcW w:w="1254" w:type="dxa"/>
                  <w:noWrap/>
                  <w:vAlign w:val="center"/>
                </w:tcPr>
                <w:p>
                  <w:pPr>
                    <w:adjustRightInd w:val="0"/>
                    <w:snapToGrid w:val="0"/>
                    <w:jc w:val="center"/>
                    <w:rPr>
                      <w:szCs w:val="21"/>
                    </w:rPr>
                  </w:pPr>
                  <w:r>
                    <w:rPr>
                      <w:szCs w:val="21"/>
                    </w:rPr>
                    <w:t>40</w:t>
                  </w:r>
                </w:p>
              </w:tc>
              <w:tc>
                <w:tcPr>
                  <w:tcW w:w="1254" w:type="dxa"/>
                  <w:noWrap/>
                  <w:vAlign w:val="center"/>
                </w:tcPr>
                <w:p>
                  <w:pPr>
                    <w:adjustRightInd w:val="0"/>
                    <w:snapToGrid w:val="0"/>
                    <w:jc w:val="center"/>
                    <w:rPr>
                      <w:szCs w:val="21"/>
                    </w:rPr>
                  </w:pPr>
                  <w:r>
                    <w:rPr>
                      <w:szCs w:val="21"/>
                    </w:rPr>
                    <w:t>72.5%</w:t>
                  </w:r>
                </w:p>
              </w:tc>
              <w:tc>
                <w:tcPr>
                  <w:tcW w:w="1732"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2" w:hRule="atLeast"/>
                <w:jc w:val="center"/>
              </w:trPr>
              <w:tc>
                <w:tcPr>
                  <w:tcW w:w="790" w:type="dxa"/>
                  <w:noWrap/>
                  <w:vAlign w:val="center"/>
                </w:tcPr>
                <w:p>
                  <w:pPr>
                    <w:adjustRightInd w:val="0"/>
                    <w:snapToGrid w:val="0"/>
                    <w:jc w:val="center"/>
                    <w:rPr>
                      <w:szCs w:val="21"/>
                    </w:rPr>
                  </w:pPr>
                  <w:r>
                    <w:rPr>
                      <w:szCs w:val="21"/>
                    </w:rPr>
                    <w:t>3</w:t>
                  </w:r>
                </w:p>
              </w:tc>
              <w:tc>
                <w:tcPr>
                  <w:tcW w:w="1032" w:type="dxa"/>
                  <w:noWrap/>
                  <w:vAlign w:val="center"/>
                </w:tcPr>
                <w:p>
                  <w:pPr>
                    <w:adjustRightInd w:val="0"/>
                    <w:snapToGrid w:val="0"/>
                    <w:jc w:val="center"/>
                    <w:rPr>
                      <w:szCs w:val="21"/>
                    </w:rPr>
                  </w:pPr>
                  <w:r>
                    <w:rPr>
                      <w:szCs w:val="21"/>
                    </w:rPr>
                    <w:t>PM</w:t>
                  </w:r>
                  <w:r>
                    <w:rPr>
                      <w:szCs w:val="21"/>
                      <w:vertAlign w:val="subscript"/>
                    </w:rPr>
                    <w:t>10</w:t>
                  </w:r>
                </w:p>
              </w:tc>
              <w:tc>
                <w:tcPr>
                  <w:tcW w:w="1757" w:type="dxa"/>
                  <w:noWrap/>
                  <w:vAlign w:val="center"/>
                </w:tcPr>
                <w:p>
                  <w:pPr>
                    <w:adjustRightInd w:val="0"/>
                    <w:snapToGrid w:val="0"/>
                    <w:jc w:val="center"/>
                    <w:rPr>
                      <w:szCs w:val="21"/>
                    </w:rPr>
                  </w:pPr>
                  <w:r>
                    <w:rPr>
                      <w:szCs w:val="21"/>
                    </w:rPr>
                    <w:t>年平均质量浓度</w:t>
                  </w:r>
                </w:p>
              </w:tc>
              <w:tc>
                <w:tcPr>
                  <w:tcW w:w="1208" w:type="dxa"/>
                  <w:noWrap/>
                  <w:vAlign w:val="center"/>
                </w:tcPr>
                <w:p>
                  <w:pPr>
                    <w:adjustRightInd w:val="0"/>
                    <w:snapToGrid w:val="0"/>
                    <w:jc w:val="center"/>
                    <w:rPr>
                      <w:szCs w:val="21"/>
                    </w:rPr>
                  </w:pPr>
                  <w:r>
                    <w:rPr>
                      <w:szCs w:val="21"/>
                    </w:rPr>
                    <w:t>82</w:t>
                  </w:r>
                </w:p>
              </w:tc>
              <w:tc>
                <w:tcPr>
                  <w:tcW w:w="1254" w:type="dxa"/>
                  <w:noWrap/>
                  <w:vAlign w:val="center"/>
                </w:tcPr>
                <w:p>
                  <w:pPr>
                    <w:adjustRightInd w:val="0"/>
                    <w:snapToGrid w:val="0"/>
                    <w:jc w:val="center"/>
                    <w:rPr>
                      <w:szCs w:val="21"/>
                    </w:rPr>
                  </w:pPr>
                  <w:r>
                    <w:rPr>
                      <w:szCs w:val="21"/>
                    </w:rPr>
                    <w:t>70</w:t>
                  </w:r>
                </w:p>
              </w:tc>
              <w:tc>
                <w:tcPr>
                  <w:tcW w:w="1254" w:type="dxa"/>
                  <w:noWrap/>
                  <w:vAlign w:val="center"/>
                </w:tcPr>
                <w:p>
                  <w:pPr>
                    <w:adjustRightInd w:val="0"/>
                    <w:snapToGrid w:val="0"/>
                    <w:jc w:val="center"/>
                    <w:rPr>
                      <w:szCs w:val="21"/>
                    </w:rPr>
                  </w:pPr>
                  <w:r>
                    <w:rPr>
                      <w:szCs w:val="21"/>
                    </w:rPr>
                    <w:t>117.1%</w:t>
                  </w:r>
                </w:p>
              </w:tc>
              <w:tc>
                <w:tcPr>
                  <w:tcW w:w="1732" w:type="dxa"/>
                  <w:noWrap/>
                  <w:vAlign w:val="center"/>
                </w:tcPr>
                <w:p>
                  <w:pPr>
                    <w:adjustRightInd w:val="0"/>
                    <w:snapToGrid w:val="0"/>
                    <w:jc w:val="center"/>
                    <w:rPr>
                      <w:szCs w:val="21"/>
                    </w:rPr>
                  </w:pPr>
                  <w:r>
                    <w:rPr>
                      <w:szCs w:val="21"/>
                    </w:rPr>
                    <w:t>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5" w:hRule="atLeast"/>
                <w:jc w:val="center"/>
              </w:trPr>
              <w:tc>
                <w:tcPr>
                  <w:tcW w:w="790" w:type="dxa"/>
                  <w:noWrap/>
                  <w:vAlign w:val="center"/>
                </w:tcPr>
                <w:p>
                  <w:pPr>
                    <w:adjustRightInd w:val="0"/>
                    <w:snapToGrid w:val="0"/>
                    <w:jc w:val="center"/>
                    <w:rPr>
                      <w:szCs w:val="21"/>
                    </w:rPr>
                  </w:pPr>
                  <w:r>
                    <w:rPr>
                      <w:szCs w:val="21"/>
                    </w:rPr>
                    <w:t>4</w:t>
                  </w:r>
                </w:p>
              </w:tc>
              <w:tc>
                <w:tcPr>
                  <w:tcW w:w="1032" w:type="dxa"/>
                  <w:noWrap/>
                  <w:vAlign w:val="center"/>
                </w:tcPr>
                <w:p>
                  <w:pPr>
                    <w:adjustRightInd w:val="0"/>
                    <w:snapToGrid w:val="0"/>
                    <w:jc w:val="center"/>
                    <w:rPr>
                      <w:szCs w:val="21"/>
                    </w:rPr>
                  </w:pPr>
                  <w:r>
                    <w:rPr>
                      <w:szCs w:val="21"/>
                    </w:rPr>
                    <w:t>PM</w:t>
                  </w:r>
                  <w:r>
                    <w:rPr>
                      <w:szCs w:val="21"/>
                      <w:vertAlign w:val="subscript"/>
                    </w:rPr>
                    <w:t>2.5</w:t>
                  </w:r>
                </w:p>
              </w:tc>
              <w:tc>
                <w:tcPr>
                  <w:tcW w:w="1757" w:type="dxa"/>
                  <w:noWrap/>
                  <w:vAlign w:val="center"/>
                </w:tcPr>
                <w:p>
                  <w:pPr>
                    <w:adjustRightInd w:val="0"/>
                    <w:snapToGrid w:val="0"/>
                    <w:jc w:val="center"/>
                    <w:rPr>
                      <w:szCs w:val="21"/>
                    </w:rPr>
                  </w:pPr>
                  <w:r>
                    <w:rPr>
                      <w:szCs w:val="21"/>
                    </w:rPr>
                    <w:t>年平均质量浓度</w:t>
                  </w:r>
                </w:p>
              </w:tc>
              <w:tc>
                <w:tcPr>
                  <w:tcW w:w="1208" w:type="dxa"/>
                  <w:noWrap/>
                  <w:vAlign w:val="center"/>
                </w:tcPr>
                <w:p>
                  <w:pPr>
                    <w:adjustRightInd w:val="0"/>
                    <w:snapToGrid w:val="0"/>
                    <w:jc w:val="center"/>
                    <w:rPr>
                      <w:szCs w:val="21"/>
                    </w:rPr>
                  </w:pPr>
                  <w:r>
                    <w:rPr>
                      <w:szCs w:val="21"/>
                    </w:rPr>
                    <w:t>50</w:t>
                  </w:r>
                </w:p>
              </w:tc>
              <w:tc>
                <w:tcPr>
                  <w:tcW w:w="1254" w:type="dxa"/>
                  <w:noWrap/>
                  <w:vAlign w:val="center"/>
                </w:tcPr>
                <w:p>
                  <w:pPr>
                    <w:adjustRightInd w:val="0"/>
                    <w:snapToGrid w:val="0"/>
                    <w:jc w:val="center"/>
                    <w:rPr>
                      <w:szCs w:val="21"/>
                    </w:rPr>
                  </w:pPr>
                  <w:r>
                    <w:rPr>
                      <w:szCs w:val="21"/>
                    </w:rPr>
                    <w:t>35</w:t>
                  </w:r>
                </w:p>
              </w:tc>
              <w:tc>
                <w:tcPr>
                  <w:tcW w:w="1254" w:type="dxa"/>
                  <w:noWrap/>
                  <w:vAlign w:val="center"/>
                </w:tcPr>
                <w:p>
                  <w:pPr>
                    <w:adjustRightInd w:val="0"/>
                    <w:snapToGrid w:val="0"/>
                    <w:jc w:val="center"/>
                    <w:rPr>
                      <w:szCs w:val="21"/>
                    </w:rPr>
                  </w:pPr>
                  <w:r>
                    <w:rPr>
                      <w:szCs w:val="21"/>
                    </w:rPr>
                    <w:t>142.9%</w:t>
                  </w:r>
                </w:p>
              </w:tc>
              <w:tc>
                <w:tcPr>
                  <w:tcW w:w="1732" w:type="dxa"/>
                  <w:noWrap/>
                  <w:vAlign w:val="center"/>
                </w:tcPr>
                <w:p>
                  <w:pPr>
                    <w:adjustRightInd w:val="0"/>
                    <w:snapToGrid w:val="0"/>
                    <w:jc w:val="center"/>
                    <w:rPr>
                      <w:szCs w:val="21"/>
                    </w:rPr>
                  </w:pPr>
                  <w:r>
                    <w:rPr>
                      <w:szCs w:val="21"/>
                    </w:rPr>
                    <w:t>不达标</w:t>
                  </w:r>
                </w:p>
              </w:tc>
            </w:tr>
          </w:tbl>
          <w:p>
            <w:pPr>
              <w:spacing w:line="360" w:lineRule="auto"/>
              <w:ind w:firstLine="480" w:firstLineChars="200"/>
              <w:rPr>
                <w:sz w:val="24"/>
              </w:rPr>
            </w:pPr>
            <w:r>
              <w:rPr>
                <w:sz w:val="24"/>
              </w:rPr>
              <w:t>根据济宁市生态环境局公布的2021年全市环境空气质量状况及14县市区排名情况，泗水县PM</w:t>
            </w:r>
            <w:r>
              <w:rPr>
                <w:sz w:val="24"/>
                <w:vertAlign w:val="subscript"/>
              </w:rPr>
              <w:t>10</w:t>
            </w:r>
            <w:r>
              <w:rPr>
                <w:sz w:val="24"/>
              </w:rPr>
              <w:t>年均浓度为82μg/m</w:t>
            </w:r>
            <w:r>
              <w:rPr>
                <w:sz w:val="24"/>
                <w:vertAlign w:val="superscript"/>
              </w:rPr>
              <w:t>3</w:t>
            </w:r>
            <w:r>
              <w:rPr>
                <w:sz w:val="24"/>
              </w:rPr>
              <w:t>、PM</w:t>
            </w:r>
            <w:r>
              <w:rPr>
                <w:sz w:val="24"/>
                <w:vertAlign w:val="subscript"/>
              </w:rPr>
              <w:t>2.5</w:t>
            </w:r>
            <w:r>
              <w:rPr>
                <w:sz w:val="24"/>
              </w:rPr>
              <w:t>年均浓度为50μg/m</w:t>
            </w:r>
            <w:r>
              <w:rPr>
                <w:sz w:val="24"/>
                <w:vertAlign w:val="superscript"/>
              </w:rPr>
              <w:t>3</w:t>
            </w:r>
            <w:r>
              <w:rPr>
                <w:sz w:val="24"/>
              </w:rPr>
              <w:t>、SO</w:t>
            </w:r>
            <w:r>
              <w:rPr>
                <w:sz w:val="24"/>
                <w:vertAlign w:val="subscript"/>
              </w:rPr>
              <w:t>2</w:t>
            </w:r>
            <w:r>
              <w:rPr>
                <w:sz w:val="24"/>
              </w:rPr>
              <w:t>年均浓度为12μg/m</w:t>
            </w:r>
            <w:r>
              <w:rPr>
                <w:sz w:val="24"/>
                <w:vertAlign w:val="superscript"/>
              </w:rPr>
              <w:t>3</w:t>
            </w:r>
            <w:r>
              <w:rPr>
                <w:sz w:val="24"/>
              </w:rPr>
              <w:t>、NO</w:t>
            </w:r>
            <w:r>
              <w:rPr>
                <w:sz w:val="24"/>
                <w:vertAlign w:val="subscript"/>
              </w:rPr>
              <w:t>2</w:t>
            </w:r>
            <w:r>
              <w:rPr>
                <w:sz w:val="24"/>
              </w:rPr>
              <w:t>年均浓度为29μg/m</w:t>
            </w:r>
            <w:r>
              <w:rPr>
                <w:sz w:val="24"/>
                <w:vertAlign w:val="superscript"/>
              </w:rPr>
              <w:t>3</w:t>
            </w:r>
            <w:r>
              <w:rPr>
                <w:sz w:val="24"/>
              </w:rPr>
              <w:t>，SO</w:t>
            </w:r>
            <w:r>
              <w:rPr>
                <w:sz w:val="24"/>
                <w:vertAlign w:val="subscript"/>
              </w:rPr>
              <w:t>2</w:t>
            </w:r>
            <w:r>
              <w:rPr>
                <w:sz w:val="24"/>
              </w:rPr>
              <w:t>、NO</w:t>
            </w:r>
            <w:r>
              <w:rPr>
                <w:sz w:val="24"/>
                <w:vertAlign w:val="subscript"/>
              </w:rPr>
              <w:t>2</w:t>
            </w:r>
            <w:r>
              <w:rPr>
                <w:sz w:val="24"/>
              </w:rPr>
              <w:t>年均浓度符合《环境空气质量标准》（GB3095-2012）中二级标准要求，PM</w:t>
            </w:r>
            <w:r>
              <w:rPr>
                <w:sz w:val="24"/>
                <w:vertAlign w:val="subscript"/>
              </w:rPr>
              <w:t>10</w:t>
            </w:r>
            <w:r>
              <w:rPr>
                <w:sz w:val="24"/>
              </w:rPr>
              <w:t>、PM</w:t>
            </w:r>
            <w:r>
              <w:rPr>
                <w:sz w:val="24"/>
                <w:vertAlign w:val="subscript"/>
              </w:rPr>
              <w:t>2.5</w:t>
            </w:r>
            <w:r>
              <w:rPr>
                <w:sz w:val="24"/>
              </w:rPr>
              <w:t>年均浓度超标，可吸入颗粒物及细颗粒物为影响该区域空气质量的首要污染物。</w:t>
            </w:r>
          </w:p>
          <w:p>
            <w:pPr>
              <w:spacing w:line="360" w:lineRule="auto"/>
              <w:ind w:firstLine="480" w:firstLineChars="200"/>
              <w:rPr>
                <w:sz w:val="24"/>
                <w:szCs w:val="32"/>
              </w:rPr>
            </w:pPr>
            <w:r>
              <w:rPr>
                <w:sz w:val="24"/>
              </w:rPr>
              <w:t>目前泗水县人民政府正积极落实《山东省新一轮“四减四增”三年行动方案（2021—2023年）》、《山东省深入打好蓝天保卫战行动计划（2021—2025年）》、《山东省生态环境厅关于印发山东建设项目主要大气污染物排放总量替代指标核算及管理办法的通知》等文件要求，通过实行大气污染物排放总量指标2倍削减替代，优化产业结构与布局，减少煤炭消费，推进工业污染源提标改造，强化工业企业无组织排放控制管理，加强VOCs专项整治，控制机动车污染，实施秋冬季重点行业错峰生产等方面的行动，加快以细颗粒物为重点的大气污染治理，项目所在区域大气环境质量将会逐步得到改善。</w:t>
            </w:r>
          </w:p>
          <w:p>
            <w:pPr>
              <w:spacing w:line="360" w:lineRule="auto"/>
              <w:ind w:firstLine="482" w:firstLineChars="200"/>
              <w:rPr>
                <w:b/>
                <w:sz w:val="24"/>
              </w:rPr>
            </w:pPr>
            <w:r>
              <w:rPr>
                <w:b/>
                <w:sz w:val="24"/>
              </w:rPr>
              <w:t>2</w:t>
            </w:r>
            <w:r>
              <w:rPr>
                <w:rFonts w:hint="eastAsia"/>
                <w:b/>
                <w:sz w:val="24"/>
              </w:rPr>
              <w:t>、</w:t>
            </w:r>
            <w:r>
              <w:rPr>
                <w:b/>
                <w:sz w:val="24"/>
              </w:rPr>
              <w:t>地表水</w:t>
            </w:r>
            <w:r>
              <w:rPr>
                <w:rFonts w:hint="eastAsia"/>
                <w:b/>
                <w:sz w:val="24"/>
              </w:rPr>
              <w:t>环境</w:t>
            </w:r>
          </w:p>
          <w:p>
            <w:pPr>
              <w:spacing w:line="360" w:lineRule="auto"/>
              <w:jc w:val="left"/>
              <w:rPr>
                <w:sz w:val="24"/>
              </w:rPr>
            </w:pPr>
            <w:r>
              <w:rPr>
                <w:rFonts w:hint="eastAsia"/>
                <w:sz w:val="24"/>
              </w:rPr>
              <w:t>项目所在地表水环境质量功能区属</w:t>
            </w:r>
            <w:r>
              <w:rPr>
                <w:sz w:val="24"/>
              </w:rPr>
              <w:t>Ⅲ</w:t>
            </w:r>
            <w:r>
              <w:rPr>
                <w:rFonts w:hint="eastAsia"/>
                <w:sz w:val="24"/>
              </w:rPr>
              <w:t>类区，距离本项目最近的地表水体为芦城河（泗河支流），根据</w:t>
            </w:r>
            <w:r>
              <w:rPr>
                <w:sz w:val="24"/>
              </w:rPr>
              <w:t>山东省省控重点河流水质状况（202</w:t>
            </w:r>
            <w:r>
              <w:rPr>
                <w:rFonts w:hint="eastAsia"/>
                <w:sz w:val="24"/>
              </w:rPr>
              <w:t>3</w:t>
            </w:r>
            <w:r>
              <w:rPr>
                <w:sz w:val="24"/>
              </w:rPr>
              <w:t>年</w:t>
            </w:r>
            <w:r>
              <w:rPr>
                <w:rFonts w:hint="eastAsia"/>
                <w:sz w:val="24"/>
              </w:rPr>
              <w:t>5</w:t>
            </w:r>
            <w:r>
              <w:rPr>
                <w:sz w:val="24"/>
              </w:rPr>
              <w:t>月）</w:t>
            </w:r>
            <w:r>
              <w:rPr>
                <w:rFonts w:hint="eastAsia"/>
                <w:sz w:val="24"/>
              </w:rPr>
              <w:t>，尹沟断面水质能够满足</w:t>
            </w:r>
            <w:r>
              <w:rPr>
                <w:sz w:val="24"/>
              </w:rPr>
              <w:t>《地表水环境质量标准》（GB3838-2002）Ⅲ类标准</w:t>
            </w:r>
            <w:r>
              <w:rPr>
                <w:rFonts w:hint="eastAsia"/>
                <w:sz w:val="24"/>
              </w:rPr>
              <w:t>。</w:t>
            </w:r>
          </w:p>
          <w:p>
            <w:pPr>
              <w:spacing w:line="360" w:lineRule="auto"/>
              <w:jc w:val="center"/>
              <w:rPr>
                <w:bCs/>
                <w:szCs w:val="21"/>
              </w:rPr>
            </w:pPr>
            <w:r>
              <w:rPr>
                <w:b/>
                <w:bCs/>
                <w:snapToGrid w:val="0"/>
                <w:kern w:val="0"/>
                <w:sz w:val="24"/>
              </w:rPr>
              <w:t>图3-1</w:t>
            </w:r>
            <w:r>
              <w:rPr>
                <w:rFonts w:hint="eastAsia"/>
                <w:b/>
                <w:bCs/>
                <w:snapToGrid w:val="0"/>
                <w:kern w:val="0"/>
                <w:sz w:val="24"/>
              </w:rPr>
              <w:t xml:space="preserve"> </w:t>
            </w:r>
            <w:r>
              <w:rPr>
                <w:b/>
                <w:bCs/>
                <w:snapToGrid w:val="0"/>
                <w:kern w:val="0"/>
                <w:sz w:val="24"/>
              </w:rPr>
              <w:t>地表水水质状况</w:t>
            </w:r>
          </w:p>
          <w:p>
            <w:pPr>
              <w:spacing w:line="360" w:lineRule="auto"/>
              <w:jc w:val="center"/>
              <w:rPr>
                <w:bCs/>
                <w:szCs w:val="21"/>
              </w:rPr>
            </w:pPr>
            <w:r>
              <w:drawing>
                <wp:inline distT="0" distB="0" distL="114300" distR="114300">
                  <wp:extent cx="5773420" cy="3868420"/>
                  <wp:effectExtent l="0" t="0" r="17780" b="177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5773420" cy="3868420"/>
                          </a:xfrm>
                          <a:prstGeom prst="rect">
                            <a:avLst/>
                          </a:prstGeom>
                          <a:noFill/>
                          <a:ln>
                            <a:noFill/>
                          </a:ln>
                        </pic:spPr>
                      </pic:pic>
                    </a:graphicData>
                  </a:graphic>
                </wp:inline>
              </w:drawing>
            </w:r>
          </w:p>
          <w:p>
            <w:pPr>
              <w:spacing w:line="360" w:lineRule="auto"/>
              <w:ind w:firstLine="482" w:firstLineChars="200"/>
              <w:rPr>
                <w:b/>
                <w:sz w:val="24"/>
              </w:rPr>
            </w:pPr>
            <w:r>
              <w:rPr>
                <w:b/>
                <w:sz w:val="24"/>
              </w:rPr>
              <w:t>3</w:t>
            </w:r>
            <w:r>
              <w:rPr>
                <w:rFonts w:hint="eastAsia"/>
                <w:b/>
                <w:sz w:val="24"/>
              </w:rPr>
              <w:t>、</w:t>
            </w:r>
            <w:r>
              <w:rPr>
                <w:b/>
                <w:sz w:val="24"/>
              </w:rPr>
              <w:t>声环境</w:t>
            </w:r>
          </w:p>
          <w:p>
            <w:pPr>
              <w:spacing w:line="360" w:lineRule="auto"/>
              <w:ind w:firstLine="480" w:firstLineChars="200"/>
              <w:rPr>
                <w:rStyle w:val="64"/>
                <w:rFonts w:eastAsia="新宋体"/>
                <w:sz w:val="24"/>
              </w:rPr>
            </w:pPr>
            <w:r>
              <w:rPr>
                <w:rStyle w:val="64"/>
                <w:rFonts w:eastAsia="新宋体"/>
                <w:sz w:val="24"/>
              </w:rPr>
              <w:t>项目所在地声环境功能为</w:t>
            </w:r>
            <w:r>
              <w:rPr>
                <w:rStyle w:val="64"/>
                <w:rFonts w:hint="eastAsia" w:eastAsia="新宋体"/>
                <w:sz w:val="24"/>
              </w:rPr>
              <w:t>2</w:t>
            </w:r>
            <w:r>
              <w:rPr>
                <w:rStyle w:val="64"/>
                <w:rFonts w:eastAsia="新宋体"/>
                <w:sz w:val="24"/>
              </w:rPr>
              <w:t>类功能区，声环境质量标准参照执行《声环境质量标准》（GB3096-2008）</w:t>
            </w:r>
            <w:r>
              <w:rPr>
                <w:rStyle w:val="64"/>
                <w:rFonts w:hint="eastAsia" w:eastAsia="新宋体"/>
                <w:sz w:val="24"/>
              </w:rPr>
              <w:t>2</w:t>
            </w:r>
            <w:r>
              <w:rPr>
                <w:rStyle w:val="64"/>
                <w:rFonts w:eastAsia="新宋体"/>
                <w:sz w:val="24"/>
              </w:rPr>
              <w:t>类标准</w:t>
            </w:r>
            <w:r>
              <w:rPr>
                <w:rStyle w:val="64"/>
                <w:rFonts w:hint="eastAsia" w:eastAsia="新宋体"/>
                <w:sz w:val="24"/>
              </w:rPr>
              <w:t>。</w:t>
            </w:r>
          </w:p>
          <w:p>
            <w:pPr>
              <w:spacing w:line="360" w:lineRule="auto"/>
              <w:ind w:firstLine="482" w:firstLineChars="200"/>
              <w:rPr>
                <w:b/>
                <w:sz w:val="24"/>
              </w:rPr>
            </w:pPr>
            <w:r>
              <w:rPr>
                <w:rFonts w:hint="eastAsia"/>
                <w:b/>
                <w:sz w:val="24"/>
              </w:rPr>
              <w:t>4、地下水、土壤环境</w:t>
            </w:r>
          </w:p>
          <w:p>
            <w:pPr>
              <w:spacing w:line="360" w:lineRule="auto"/>
              <w:ind w:firstLine="480" w:firstLineChars="200"/>
              <w:rPr>
                <w:b/>
                <w:sz w:val="24"/>
              </w:rPr>
            </w:pPr>
            <w:r>
              <w:rPr>
                <w:rFonts w:hint="eastAsia"/>
                <w:bCs/>
                <w:sz w:val="24"/>
              </w:rPr>
              <w:t>项目厂区按要求进行分区防渗，无地下水、土壤污染途径，根据编制指南要求，不进行厂区附近地下水和土壤环境质量现状调查。</w:t>
            </w:r>
          </w:p>
          <w:p>
            <w:pPr>
              <w:spacing w:line="360" w:lineRule="auto"/>
              <w:ind w:firstLine="482" w:firstLineChars="200"/>
              <w:rPr>
                <w:b/>
                <w:sz w:val="24"/>
              </w:rPr>
            </w:pPr>
            <w:r>
              <w:rPr>
                <w:rFonts w:hint="eastAsia"/>
                <w:b/>
                <w:sz w:val="24"/>
              </w:rPr>
              <w:t>5、</w:t>
            </w:r>
            <w:r>
              <w:rPr>
                <w:b/>
                <w:sz w:val="24"/>
              </w:rPr>
              <w:t>生态环境</w:t>
            </w:r>
          </w:p>
          <w:p>
            <w:pPr>
              <w:spacing w:line="360" w:lineRule="auto"/>
              <w:ind w:firstLine="480" w:firstLineChars="200"/>
              <w:rPr>
                <w:bCs/>
                <w:szCs w:val="21"/>
              </w:rPr>
            </w:pPr>
            <w:r>
              <w:rPr>
                <w:rStyle w:val="64"/>
                <w:rFonts w:hint="eastAsia" w:eastAsia="新宋体"/>
                <w:sz w:val="24"/>
              </w:rPr>
              <w:t>本项目租赁现有生产车间，不新增占地，项目区内无珍稀动植物和文物保护区，无重大环境制约因素。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3" w:hRule="atLeast"/>
          <w:jc w:val="center"/>
        </w:trPr>
        <w:tc>
          <w:tcPr>
            <w:tcW w:w="455" w:type="dxa"/>
            <w:tcBorders>
              <w:tl2br w:val="nil"/>
              <w:tr2bl w:val="nil"/>
            </w:tcBorders>
            <w:vAlign w:val="center"/>
          </w:tcPr>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保护</w:t>
            </w:r>
          </w:p>
          <w:p>
            <w:pPr>
              <w:adjustRightInd w:val="0"/>
              <w:snapToGrid w:val="0"/>
              <w:jc w:val="center"/>
              <w:rPr>
                <w:rFonts w:ascii="宋体" w:hAnsi="宋体" w:cs="宋体"/>
                <w:kern w:val="0"/>
                <w:szCs w:val="21"/>
              </w:rPr>
            </w:pPr>
            <w:r>
              <w:rPr>
                <w:rFonts w:hint="eastAsia" w:ascii="宋体" w:hAnsi="宋体" w:cs="宋体"/>
                <w:kern w:val="0"/>
                <w:szCs w:val="21"/>
              </w:rPr>
              <w:t>目标</w:t>
            </w:r>
          </w:p>
        </w:tc>
        <w:tc>
          <w:tcPr>
            <w:tcW w:w="9316" w:type="dxa"/>
            <w:tcBorders>
              <w:tl2br w:val="nil"/>
              <w:tr2bl w:val="nil"/>
            </w:tcBorders>
            <w:vAlign w:val="center"/>
          </w:tcPr>
          <w:p>
            <w:pPr>
              <w:spacing w:line="312" w:lineRule="auto"/>
              <w:ind w:firstLine="480" w:firstLineChars="200"/>
              <w:rPr>
                <w:sz w:val="24"/>
              </w:rPr>
            </w:pPr>
            <w:r>
              <w:rPr>
                <w:sz w:val="24"/>
              </w:rPr>
              <w:t>经现场调查，调查范围内的大气环境、声环境、地下水和生态环境分布情况见表</w:t>
            </w:r>
            <w:r>
              <w:rPr>
                <w:rFonts w:hint="eastAsia"/>
                <w:sz w:val="24"/>
              </w:rPr>
              <w:t>3-3，</w:t>
            </w:r>
            <w:r>
              <w:rPr>
                <w:sz w:val="24"/>
              </w:rPr>
              <w:t>分布情况见附图。</w:t>
            </w:r>
          </w:p>
          <w:p>
            <w:pPr>
              <w:pStyle w:val="84"/>
              <w:spacing w:line="240" w:lineRule="auto"/>
              <w:rPr>
                <w:sz w:val="21"/>
              </w:rPr>
            </w:pPr>
            <w:r>
              <w:rPr>
                <w:szCs w:val="24"/>
              </w:rPr>
              <w:t>表3-3  项目主要保护目标及保护级别一览表</w:t>
            </w:r>
          </w:p>
          <w:tbl>
            <w:tblPr>
              <w:tblStyle w:val="35"/>
              <w:tblW w:w="4993"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93"/>
              <w:gridCol w:w="1011"/>
              <w:gridCol w:w="1112"/>
              <w:gridCol w:w="1324"/>
              <w:gridCol w:w="34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209" w:type="pct"/>
                  <w:tcBorders>
                    <w:tl2br w:val="nil"/>
                    <w:tr2bl w:val="nil"/>
                  </w:tcBorders>
                  <w:vAlign w:val="center"/>
                </w:tcPr>
                <w:p>
                  <w:pPr>
                    <w:pStyle w:val="110"/>
                    <w:ind w:left="420" w:hanging="420"/>
                    <w:jc w:val="center"/>
                    <w:rPr>
                      <w:sz w:val="21"/>
                      <w:szCs w:val="21"/>
                    </w:rPr>
                  </w:pPr>
                  <w:r>
                    <w:rPr>
                      <w:sz w:val="21"/>
                      <w:szCs w:val="21"/>
                    </w:rPr>
                    <w:t>主要环境保护目标</w:t>
                  </w:r>
                </w:p>
              </w:tc>
              <w:tc>
                <w:tcPr>
                  <w:tcW w:w="557" w:type="pct"/>
                  <w:tcBorders>
                    <w:tl2br w:val="nil"/>
                    <w:tr2bl w:val="nil"/>
                  </w:tcBorders>
                  <w:vAlign w:val="center"/>
                </w:tcPr>
                <w:p>
                  <w:pPr>
                    <w:pStyle w:val="110"/>
                    <w:ind w:left="420" w:hanging="420"/>
                    <w:jc w:val="center"/>
                    <w:rPr>
                      <w:sz w:val="21"/>
                      <w:szCs w:val="21"/>
                    </w:rPr>
                  </w:pPr>
                  <w:r>
                    <w:rPr>
                      <w:sz w:val="21"/>
                      <w:szCs w:val="21"/>
                    </w:rPr>
                    <w:t>方位</w:t>
                  </w:r>
                </w:p>
              </w:tc>
              <w:tc>
                <w:tcPr>
                  <w:tcW w:w="612" w:type="pct"/>
                  <w:tcBorders>
                    <w:tl2br w:val="nil"/>
                    <w:tr2bl w:val="nil"/>
                  </w:tcBorders>
                  <w:vAlign w:val="center"/>
                </w:tcPr>
                <w:p>
                  <w:pPr>
                    <w:pStyle w:val="110"/>
                    <w:ind w:left="420" w:hanging="420"/>
                    <w:jc w:val="center"/>
                    <w:rPr>
                      <w:sz w:val="21"/>
                      <w:szCs w:val="21"/>
                    </w:rPr>
                  </w:pPr>
                  <w:r>
                    <w:rPr>
                      <w:sz w:val="21"/>
                      <w:szCs w:val="21"/>
                    </w:rPr>
                    <w:t>距离（m）</w:t>
                  </w:r>
                </w:p>
              </w:tc>
              <w:tc>
                <w:tcPr>
                  <w:tcW w:w="730" w:type="pct"/>
                  <w:tcBorders>
                    <w:tl2br w:val="nil"/>
                    <w:tr2bl w:val="nil"/>
                  </w:tcBorders>
                  <w:vAlign w:val="center"/>
                </w:tcPr>
                <w:p>
                  <w:pPr>
                    <w:pStyle w:val="110"/>
                    <w:ind w:left="420" w:hanging="420"/>
                    <w:jc w:val="center"/>
                    <w:rPr>
                      <w:sz w:val="21"/>
                      <w:szCs w:val="21"/>
                    </w:rPr>
                  </w:pPr>
                  <w:r>
                    <w:rPr>
                      <w:sz w:val="21"/>
                      <w:szCs w:val="21"/>
                    </w:rPr>
                    <w:t>环境要素</w:t>
                  </w:r>
                </w:p>
              </w:tc>
              <w:tc>
                <w:tcPr>
                  <w:tcW w:w="1890" w:type="pct"/>
                  <w:tcBorders>
                    <w:tl2br w:val="nil"/>
                    <w:tr2bl w:val="nil"/>
                  </w:tcBorders>
                  <w:vAlign w:val="center"/>
                </w:tcPr>
                <w:p>
                  <w:pPr>
                    <w:pStyle w:val="110"/>
                    <w:ind w:left="420" w:hanging="420"/>
                    <w:jc w:val="center"/>
                    <w:rPr>
                      <w:sz w:val="21"/>
                      <w:szCs w:val="21"/>
                    </w:rPr>
                  </w:pPr>
                  <w:r>
                    <w:rPr>
                      <w:sz w:val="21"/>
                      <w:szCs w:val="21"/>
                    </w:rPr>
                    <w:t>保护级别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 w:hRule="atLeast"/>
              </w:trPr>
              <w:tc>
                <w:tcPr>
                  <w:tcW w:w="1209" w:type="pct"/>
                  <w:tcBorders>
                    <w:tl2br w:val="nil"/>
                    <w:tr2bl w:val="nil"/>
                  </w:tcBorders>
                  <w:vAlign w:val="center"/>
                </w:tcPr>
                <w:p>
                  <w:pPr>
                    <w:pStyle w:val="110"/>
                    <w:ind w:left="420" w:hanging="420"/>
                    <w:jc w:val="center"/>
                    <w:rPr>
                      <w:sz w:val="21"/>
                      <w:szCs w:val="21"/>
                    </w:rPr>
                  </w:pPr>
                  <w:r>
                    <w:rPr>
                      <w:rFonts w:hint="eastAsia"/>
                      <w:sz w:val="21"/>
                      <w:szCs w:val="21"/>
                    </w:rPr>
                    <w:t>西大厂村</w:t>
                  </w:r>
                </w:p>
              </w:tc>
              <w:tc>
                <w:tcPr>
                  <w:tcW w:w="557" w:type="pct"/>
                  <w:tcBorders>
                    <w:tl2br w:val="nil"/>
                    <w:tr2bl w:val="nil"/>
                  </w:tcBorders>
                  <w:vAlign w:val="center"/>
                </w:tcPr>
                <w:p>
                  <w:pPr>
                    <w:pStyle w:val="110"/>
                    <w:ind w:left="420" w:hanging="420"/>
                    <w:jc w:val="center"/>
                    <w:rPr>
                      <w:sz w:val="21"/>
                      <w:szCs w:val="21"/>
                    </w:rPr>
                  </w:pPr>
                  <w:r>
                    <w:rPr>
                      <w:rFonts w:hint="eastAsia"/>
                      <w:sz w:val="21"/>
                      <w:szCs w:val="21"/>
                    </w:rPr>
                    <w:t>W</w:t>
                  </w:r>
                </w:p>
              </w:tc>
              <w:tc>
                <w:tcPr>
                  <w:tcW w:w="612" w:type="pct"/>
                  <w:tcBorders>
                    <w:tl2br w:val="nil"/>
                    <w:tr2bl w:val="nil"/>
                  </w:tcBorders>
                  <w:vAlign w:val="center"/>
                </w:tcPr>
                <w:p>
                  <w:pPr>
                    <w:pStyle w:val="110"/>
                    <w:ind w:left="420" w:hanging="420"/>
                    <w:jc w:val="center"/>
                    <w:rPr>
                      <w:sz w:val="21"/>
                      <w:szCs w:val="21"/>
                    </w:rPr>
                  </w:pPr>
                  <w:r>
                    <w:rPr>
                      <w:rFonts w:hint="eastAsia"/>
                      <w:sz w:val="21"/>
                      <w:szCs w:val="21"/>
                    </w:rPr>
                    <w:t>150</w:t>
                  </w:r>
                </w:p>
              </w:tc>
              <w:tc>
                <w:tcPr>
                  <w:tcW w:w="730" w:type="pct"/>
                  <w:vMerge w:val="restart"/>
                  <w:tcBorders>
                    <w:tl2br w:val="nil"/>
                    <w:tr2bl w:val="nil"/>
                  </w:tcBorders>
                  <w:vAlign w:val="center"/>
                </w:tcPr>
                <w:p>
                  <w:pPr>
                    <w:pStyle w:val="110"/>
                    <w:ind w:left="420" w:hanging="420"/>
                    <w:jc w:val="center"/>
                    <w:rPr>
                      <w:sz w:val="21"/>
                      <w:szCs w:val="21"/>
                    </w:rPr>
                  </w:pPr>
                  <w:r>
                    <w:rPr>
                      <w:sz w:val="21"/>
                      <w:szCs w:val="21"/>
                    </w:rPr>
                    <w:t>大气环境</w:t>
                  </w:r>
                </w:p>
              </w:tc>
              <w:tc>
                <w:tcPr>
                  <w:tcW w:w="1890" w:type="pct"/>
                  <w:vMerge w:val="restart"/>
                  <w:tcBorders>
                    <w:tl2br w:val="nil"/>
                    <w:tr2bl w:val="nil"/>
                  </w:tcBorders>
                  <w:vAlign w:val="center"/>
                </w:tcPr>
                <w:p>
                  <w:pPr>
                    <w:pStyle w:val="110"/>
                    <w:ind w:left="420" w:hanging="420"/>
                    <w:jc w:val="center"/>
                    <w:rPr>
                      <w:sz w:val="21"/>
                      <w:szCs w:val="21"/>
                    </w:rPr>
                  </w:pPr>
                  <w:r>
                    <w:rPr>
                      <w:sz w:val="21"/>
                      <w:szCs w:val="21"/>
                    </w:rPr>
                    <w:t>《环境空气质量标准》（GB3095-2012）二级标准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 w:hRule="atLeast"/>
              </w:trPr>
              <w:tc>
                <w:tcPr>
                  <w:tcW w:w="1209" w:type="pct"/>
                  <w:tcBorders>
                    <w:tl2br w:val="nil"/>
                    <w:tr2bl w:val="nil"/>
                  </w:tcBorders>
                  <w:vAlign w:val="center"/>
                </w:tcPr>
                <w:p>
                  <w:pPr>
                    <w:pStyle w:val="110"/>
                    <w:ind w:left="420" w:hanging="420"/>
                    <w:jc w:val="center"/>
                    <w:rPr>
                      <w:sz w:val="21"/>
                      <w:szCs w:val="21"/>
                    </w:rPr>
                  </w:pPr>
                  <w:r>
                    <w:rPr>
                      <w:rFonts w:hint="eastAsia"/>
                      <w:sz w:val="21"/>
                      <w:szCs w:val="21"/>
                    </w:rPr>
                    <w:t>魏南村</w:t>
                  </w:r>
                </w:p>
              </w:tc>
              <w:tc>
                <w:tcPr>
                  <w:tcW w:w="557" w:type="pct"/>
                  <w:tcBorders>
                    <w:tl2br w:val="nil"/>
                    <w:tr2bl w:val="nil"/>
                  </w:tcBorders>
                  <w:vAlign w:val="center"/>
                </w:tcPr>
                <w:p>
                  <w:pPr>
                    <w:pStyle w:val="110"/>
                    <w:ind w:left="420" w:hanging="420"/>
                    <w:jc w:val="center"/>
                    <w:rPr>
                      <w:sz w:val="21"/>
                      <w:szCs w:val="21"/>
                    </w:rPr>
                  </w:pPr>
                  <w:r>
                    <w:rPr>
                      <w:rFonts w:hint="eastAsia"/>
                      <w:sz w:val="21"/>
                      <w:szCs w:val="21"/>
                    </w:rPr>
                    <w:t>E</w:t>
                  </w:r>
                </w:p>
              </w:tc>
              <w:tc>
                <w:tcPr>
                  <w:tcW w:w="612" w:type="pct"/>
                  <w:tcBorders>
                    <w:tl2br w:val="nil"/>
                    <w:tr2bl w:val="nil"/>
                  </w:tcBorders>
                  <w:vAlign w:val="center"/>
                </w:tcPr>
                <w:p>
                  <w:pPr>
                    <w:pStyle w:val="110"/>
                    <w:ind w:left="420" w:hanging="420"/>
                    <w:jc w:val="center"/>
                    <w:rPr>
                      <w:sz w:val="21"/>
                      <w:szCs w:val="21"/>
                    </w:rPr>
                  </w:pPr>
                  <w:r>
                    <w:rPr>
                      <w:rFonts w:hint="eastAsia"/>
                      <w:sz w:val="21"/>
                      <w:szCs w:val="21"/>
                    </w:rPr>
                    <w:t>90</w:t>
                  </w:r>
                </w:p>
              </w:tc>
              <w:tc>
                <w:tcPr>
                  <w:tcW w:w="730" w:type="pct"/>
                  <w:vMerge w:val="continue"/>
                  <w:tcBorders>
                    <w:tl2br w:val="nil"/>
                    <w:tr2bl w:val="nil"/>
                  </w:tcBorders>
                  <w:vAlign w:val="center"/>
                </w:tcPr>
                <w:p>
                  <w:pPr>
                    <w:pStyle w:val="110"/>
                    <w:ind w:left="420" w:hanging="420"/>
                    <w:jc w:val="center"/>
                    <w:rPr>
                      <w:sz w:val="21"/>
                      <w:szCs w:val="21"/>
                    </w:rPr>
                  </w:pPr>
                </w:p>
              </w:tc>
              <w:tc>
                <w:tcPr>
                  <w:tcW w:w="1890" w:type="pct"/>
                  <w:vMerge w:val="continue"/>
                  <w:tcBorders>
                    <w:tl2br w:val="nil"/>
                    <w:tr2bl w:val="nil"/>
                  </w:tcBorders>
                  <w:vAlign w:val="center"/>
                </w:tcPr>
                <w:p>
                  <w:pPr>
                    <w:pStyle w:val="110"/>
                    <w:ind w:left="420" w:hanging="420"/>
                    <w:jc w:val="center"/>
                    <w:rPr>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 w:hRule="atLeast"/>
              </w:trPr>
              <w:tc>
                <w:tcPr>
                  <w:tcW w:w="1209" w:type="pct"/>
                  <w:tcBorders>
                    <w:tl2br w:val="nil"/>
                    <w:tr2bl w:val="nil"/>
                  </w:tcBorders>
                  <w:vAlign w:val="center"/>
                </w:tcPr>
                <w:p>
                  <w:pPr>
                    <w:pStyle w:val="110"/>
                    <w:ind w:left="420" w:hanging="420"/>
                    <w:jc w:val="center"/>
                    <w:rPr>
                      <w:sz w:val="21"/>
                      <w:szCs w:val="21"/>
                    </w:rPr>
                  </w:pPr>
                  <w:r>
                    <w:rPr>
                      <w:rFonts w:hint="eastAsia"/>
                      <w:sz w:val="21"/>
                      <w:szCs w:val="21"/>
                    </w:rPr>
                    <w:t>魏南小学</w:t>
                  </w:r>
                </w:p>
              </w:tc>
              <w:tc>
                <w:tcPr>
                  <w:tcW w:w="557" w:type="pct"/>
                  <w:tcBorders>
                    <w:tl2br w:val="nil"/>
                    <w:tr2bl w:val="nil"/>
                  </w:tcBorders>
                  <w:vAlign w:val="center"/>
                </w:tcPr>
                <w:p>
                  <w:pPr>
                    <w:pStyle w:val="110"/>
                    <w:ind w:left="420" w:hanging="420"/>
                    <w:jc w:val="center"/>
                    <w:rPr>
                      <w:sz w:val="21"/>
                      <w:szCs w:val="21"/>
                    </w:rPr>
                  </w:pPr>
                  <w:r>
                    <w:rPr>
                      <w:rFonts w:hint="eastAsia"/>
                      <w:sz w:val="21"/>
                      <w:szCs w:val="21"/>
                    </w:rPr>
                    <w:t>NE</w:t>
                  </w:r>
                </w:p>
              </w:tc>
              <w:tc>
                <w:tcPr>
                  <w:tcW w:w="612" w:type="pct"/>
                  <w:tcBorders>
                    <w:tl2br w:val="nil"/>
                    <w:tr2bl w:val="nil"/>
                  </w:tcBorders>
                  <w:vAlign w:val="center"/>
                </w:tcPr>
                <w:p>
                  <w:pPr>
                    <w:pStyle w:val="110"/>
                    <w:ind w:left="420" w:hanging="420"/>
                    <w:jc w:val="center"/>
                    <w:rPr>
                      <w:sz w:val="21"/>
                      <w:szCs w:val="21"/>
                    </w:rPr>
                  </w:pPr>
                  <w:r>
                    <w:rPr>
                      <w:rFonts w:hint="eastAsia"/>
                      <w:sz w:val="21"/>
                      <w:szCs w:val="21"/>
                    </w:rPr>
                    <w:t>350</w:t>
                  </w:r>
                </w:p>
              </w:tc>
              <w:tc>
                <w:tcPr>
                  <w:tcW w:w="730" w:type="pct"/>
                  <w:vMerge w:val="continue"/>
                  <w:tcBorders>
                    <w:tl2br w:val="nil"/>
                    <w:tr2bl w:val="nil"/>
                  </w:tcBorders>
                  <w:vAlign w:val="center"/>
                </w:tcPr>
                <w:p>
                  <w:pPr>
                    <w:pStyle w:val="110"/>
                    <w:ind w:left="420" w:hanging="420"/>
                    <w:jc w:val="center"/>
                    <w:rPr>
                      <w:sz w:val="21"/>
                      <w:szCs w:val="21"/>
                    </w:rPr>
                  </w:pPr>
                </w:p>
              </w:tc>
              <w:tc>
                <w:tcPr>
                  <w:tcW w:w="1890" w:type="pct"/>
                  <w:vMerge w:val="continue"/>
                  <w:tcBorders>
                    <w:tl2br w:val="nil"/>
                    <w:tr2bl w:val="nil"/>
                  </w:tcBorders>
                  <w:vAlign w:val="center"/>
                </w:tcPr>
                <w:p>
                  <w:pPr>
                    <w:pStyle w:val="110"/>
                    <w:ind w:left="420" w:hanging="420"/>
                    <w:jc w:val="center"/>
                    <w:rPr>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79" w:type="pct"/>
                  <w:gridSpan w:val="3"/>
                  <w:tcBorders>
                    <w:tl2br w:val="nil"/>
                    <w:tr2bl w:val="nil"/>
                  </w:tcBorders>
                  <w:vAlign w:val="center"/>
                </w:tcPr>
                <w:p>
                  <w:pPr>
                    <w:pStyle w:val="110"/>
                    <w:ind w:left="420" w:hanging="420"/>
                    <w:jc w:val="center"/>
                    <w:rPr>
                      <w:sz w:val="21"/>
                      <w:szCs w:val="21"/>
                    </w:rPr>
                  </w:pPr>
                  <w:r>
                    <w:rPr>
                      <w:sz w:val="21"/>
                      <w:szCs w:val="21"/>
                    </w:rPr>
                    <w:t>项目周边50m无敏感保护目标</w:t>
                  </w:r>
                </w:p>
              </w:tc>
              <w:tc>
                <w:tcPr>
                  <w:tcW w:w="730" w:type="pct"/>
                  <w:tcBorders>
                    <w:tl2br w:val="nil"/>
                    <w:tr2bl w:val="nil"/>
                  </w:tcBorders>
                  <w:vAlign w:val="center"/>
                </w:tcPr>
                <w:p>
                  <w:pPr>
                    <w:pStyle w:val="110"/>
                    <w:ind w:left="420" w:hanging="420"/>
                    <w:jc w:val="center"/>
                    <w:rPr>
                      <w:sz w:val="21"/>
                      <w:szCs w:val="21"/>
                    </w:rPr>
                  </w:pPr>
                  <w:r>
                    <w:rPr>
                      <w:sz w:val="21"/>
                      <w:szCs w:val="21"/>
                    </w:rPr>
                    <w:t>声环境</w:t>
                  </w:r>
                </w:p>
              </w:tc>
              <w:tc>
                <w:tcPr>
                  <w:tcW w:w="1890" w:type="pct"/>
                  <w:tcBorders>
                    <w:tl2br w:val="nil"/>
                    <w:tr2bl w:val="nil"/>
                  </w:tcBorders>
                  <w:vAlign w:val="center"/>
                </w:tcPr>
                <w:p>
                  <w:pPr>
                    <w:pStyle w:val="110"/>
                    <w:ind w:left="420" w:hanging="420"/>
                    <w:jc w:val="center"/>
                    <w:rPr>
                      <w:sz w:val="21"/>
                      <w:szCs w:val="21"/>
                    </w:rPr>
                  </w:pPr>
                  <w:r>
                    <w:rPr>
                      <w:sz w:val="21"/>
                      <w:szCs w:val="21"/>
                    </w:rPr>
                    <w:t>《声环境质量标准》（GB3096-2008）2类标准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79" w:type="pct"/>
                  <w:gridSpan w:val="3"/>
                  <w:tcBorders>
                    <w:tl2br w:val="nil"/>
                    <w:tr2bl w:val="nil"/>
                  </w:tcBorders>
                  <w:vAlign w:val="center"/>
                </w:tcPr>
                <w:p>
                  <w:pPr>
                    <w:pStyle w:val="110"/>
                    <w:ind w:left="420" w:hanging="420"/>
                    <w:jc w:val="center"/>
                    <w:rPr>
                      <w:sz w:val="21"/>
                      <w:szCs w:val="21"/>
                    </w:rPr>
                  </w:pPr>
                  <w:r>
                    <w:rPr>
                      <w:sz w:val="21"/>
                      <w:szCs w:val="21"/>
                    </w:rPr>
                    <w:t>厂界周边500m无特殊地下水资源</w:t>
                  </w:r>
                </w:p>
              </w:tc>
              <w:tc>
                <w:tcPr>
                  <w:tcW w:w="730" w:type="pct"/>
                  <w:tcBorders>
                    <w:tl2br w:val="nil"/>
                    <w:tr2bl w:val="nil"/>
                  </w:tcBorders>
                  <w:vAlign w:val="center"/>
                </w:tcPr>
                <w:p>
                  <w:pPr>
                    <w:pStyle w:val="110"/>
                    <w:ind w:left="420" w:hanging="420"/>
                    <w:jc w:val="center"/>
                    <w:rPr>
                      <w:sz w:val="21"/>
                      <w:szCs w:val="21"/>
                    </w:rPr>
                  </w:pPr>
                  <w:r>
                    <w:rPr>
                      <w:sz w:val="21"/>
                      <w:szCs w:val="21"/>
                    </w:rPr>
                    <w:t>地下水环境</w:t>
                  </w:r>
                </w:p>
              </w:tc>
              <w:tc>
                <w:tcPr>
                  <w:tcW w:w="1890" w:type="pct"/>
                  <w:tcBorders>
                    <w:tl2br w:val="nil"/>
                    <w:tr2bl w:val="nil"/>
                  </w:tcBorders>
                  <w:vAlign w:val="center"/>
                </w:tcPr>
                <w:p>
                  <w:pPr>
                    <w:pStyle w:val="110"/>
                    <w:ind w:left="420" w:hanging="420"/>
                    <w:jc w:val="center"/>
                    <w:rPr>
                      <w:sz w:val="21"/>
                      <w:szCs w:val="21"/>
                    </w:rPr>
                  </w:pPr>
                  <w:r>
                    <w:rPr>
                      <w:sz w:val="21"/>
                      <w:szCs w:val="21"/>
                    </w:rPr>
                    <w:t>《地下水质量标准》（GB/T14848-2017）Ⅲ类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79" w:type="pct"/>
                  <w:gridSpan w:val="3"/>
                  <w:tcBorders>
                    <w:tl2br w:val="nil"/>
                    <w:tr2bl w:val="nil"/>
                  </w:tcBorders>
                  <w:vAlign w:val="center"/>
                </w:tcPr>
                <w:p>
                  <w:pPr>
                    <w:pStyle w:val="110"/>
                    <w:ind w:left="420" w:hanging="420"/>
                    <w:jc w:val="center"/>
                    <w:rPr>
                      <w:sz w:val="21"/>
                      <w:szCs w:val="21"/>
                    </w:rPr>
                  </w:pPr>
                  <w:r>
                    <w:rPr>
                      <w:sz w:val="21"/>
                      <w:szCs w:val="21"/>
                    </w:rPr>
                    <w:t>项目占地范围内无生态环境保护目标</w:t>
                  </w:r>
                </w:p>
              </w:tc>
              <w:tc>
                <w:tcPr>
                  <w:tcW w:w="730" w:type="pct"/>
                  <w:tcBorders>
                    <w:tl2br w:val="nil"/>
                    <w:tr2bl w:val="nil"/>
                  </w:tcBorders>
                  <w:vAlign w:val="center"/>
                </w:tcPr>
                <w:p>
                  <w:pPr>
                    <w:pStyle w:val="110"/>
                    <w:ind w:left="420" w:hanging="420"/>
                    <w:jc w:val="center"/>
                    <w:rPr>
                      <w:sz w:val="21"/>
                      <w:szCs w:val="21"/>
                    </w:rPr>
                  </w:pPr>
                  <w:r>
                    <w:rPr>
                      <w:sz w:val="21"/>
                      <w:szCs w:val="21"/>
                    </w:rPr>
                    <w:t>生态环境</w:t>
                  </w:r>
                </w:p>
              </w:tc>
              <w:tc>
                <w:tcPr>
                  <w:tcW w:w="1890" w:type="pct"/>
                  <w:tcBorders>
                    <w:tl2br w:val="nil"/>
                    <w:tr2bl w:val="nil"/>
                  </w:tcBorders>
                  <w:vAlign w:val="center"/>
                </w:tcPr>
                <w:p>
                  <w:pPr>
                    <w:pStyle w:val="110"/>
                    <w:ind w:left="420" w:hanging="420"/>
                    <w:jc w:val="center"/>
                    <w:rPr>
                      <w:sz w:val="21"/>
                      <w:szCs w:val="21"/>
                    </w:rPr>
                  </w:pPr>
                  <w:r>
                    <w:rPr>
                      <w:sz w:val="21"/>
                      <w:szCs w:val="21"/>
                    </w:rPr>
                    <w:t>/</w:t>
                  </w:r>
                </w:p>
              </w:tc>
            </w:tr>
          </w:tbl>
          <w:p>
            <w:pPr>
              <w:pStyle w:val="2"/>
              <w:ind w:left="0" w:leftChars="0" w:firstLine="0" w:firstLineChars="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6" w:hRule="atLeast"/>
          <w:jc w:val="center"/>
        </w:trPr>
        <w:tc>
          <w:tcPr>
            <w:tcW w:w="455" w:type="dxa"/>
            <w:tcBorders>
              <w:tl2br w:val="nil"/>
              <w:tr2bl w:val="nil"/>
            </w:tcBorders>
            <w:tcMar>
              <w:left w:w="28" w:type="dxa"/>
              <w:right w:w="28" w:type="dxa"/>
            </w:tcMar>
            <w:vAlign w:val="center"/>
          </w:tcPr>
          <w:p>
            <w:pPr>
              <w:adjustRightInd w:val="0"/>
              <w:snapToGrid w:val="0"/>
              <w:jc w:val="center"/>
              <w:rPr>
                <w:rFonts w:ascii="宋体" w:hAnsi="宋体" w:cs="宋体"/>
                <w:kern w:val="0"/>
                <w:szCs w:val="21"/>
              </w:rPr>
            </w:pPr>
            <w:r>
              <w:rPr>
                <w:rFonts w:hint="eastAsia" w:ascii="宋体" w:hAnsi="宋体" w:cs="宋体"/>
                <w:kern w:val="0"/>
                <w:szCs w:val="21"/>
              </w:rPr>
              <w:t>污染</w:t>
            </w:r>
          </w:p>
          <w:p>
            <w:pPr>
              <w:adjustRightInd w:val="0"/>
              <w:snapToGrid w:val="0"/>
              <w:jc w:val="center"/>
              <w:rPr>
                <w:rFonts w:ascii="宋体" w:hAnsi="宋体" w:cs="宋体"/>
                <w:kern w:val="0"/>
                <w:szCs w:val="21"/>
              </w:rPr>
            </w:pPr>
            <w:r>
              <w:rPr>
                <w:rFonts w:hint="eastAsia" w:ascii="宋体" w:hAnsi="宋体" w:cs="宋体"/>
                <w:kern w:val="0"/>
                <w:szCs w:val="21"/>
              </w:rPr>
              <w:t>物排</w:t>
            </w:r>
          </w:p>
          <w:p>
            <w:pPr>
              <w:adjustRightInd w:val="0"/>
              <w:snapToGrid w:val="0"/>
              <w:jc w:val="center"/>
              <w:rPr>
                <w:rFonts w:ascii="宋体" w:hAnsi="宋体" w:cs="宋体"/>
                <w:kern w:val="0"/>
                <w:szCs w:val="21"/>
              </w:rPr>
            </w:pPr>
            <w:r>
              <w:rPr>
                <w:rFonts w:hint="eastAsia" w:ascii="宋体" w:hAnsi="宋体" w:cs="宋体"/>
                <w:kern w:val="0"/>
                <w:szCs w:val="21"/>
              </w:rPr>
              <w:t>放控</w:t>
            </w:r>
          </w:p>
          <w:p>
            <w:pPr>
              <w:adjustRightInd w:val="0"/>
              <w:snapToGrid w:val="0"/>
              <w:jc w:val="center"/>
              <w:rPr>
                <w:rFonts w:ascii="宋体" w:hAnsi="宋体" w:cs="宋体"/>
                <w:kern w:val="0"/>
                <w:szCs w:val="21"/>
              </w:rPr>
            </w:pPr>
            <w:r>
              <w:rPr>
                <w:rFonts w:hint="eastAsia" w:ascii="宋体" w:hAnsi="宋体" w:cs="宋体"/>
                <w:kern w:val="0"/>
                <w:szCs w:val="21"/>
              </w:rPr>
              <w:t>制标</w:t>
            </w:r>
          </w:p>
          <w:p>
            <w:pPr>
              <w:adjustRightInd w:val="0"/>
              <w:snapToGrid w:val="0"/>
              <w:jc w:val="center"/>
              <w:rPr>
                <w:rFonts w:ascii="宋体" w:hAnsi="宋体" w:cs="宋体"/>
                <w:kern w:val="0"/>
                <w:szCs w:val="21"/>
              </w:rPr>
            </w:pPr>
            <w:r>
              <w:rPr>
                <w:rFonts w:hint="eastAsia" w:ascii="宋体" w:hAnsi="宋体" w:cs="宋体"/>
                <w:kern w:val="0"/>
                <w:szCs w:val="21"/>
              </w:rPr>
              <w:t>准</w:t>
            </w:r>
          </w:p>
        </w:tc>
        <w:tc>
          <w:tcPr>
            <w:tcW w:w="9316" w:type="dxa"/>
            <w:tcBorders>
              <w:tl2br w:val="nil"/>
              <w:tr2bl w:val="nil"/>
            </w:tcBorders>
            <w:vAlign w:val="center"/>
          </w:tcPr>
          <w:p>
            <w:pPr>
              <w:widowControl/>
              <w:tabs>
                <w:tab w:val="left" w:pos="6301"/>
              </w:tabs>
              <w:adjustRightInd w:val="0"/>
              <w:snapToGrid w:val="0"/>
              <w:spacing w:line="360" w:lineRule="auto"/>
              <w:rPr>
                <w:b/>
                <w:bCs/>
                <w:sz w:val="24"/>
              </w:rPr>
            </w:pPr>
            <w:r>
              <w:rPr>
                <w:b/>
                <w:bCs/>
                <w:sz w:val="24"/>
              </w:rPr>
              <w:t>营运期：</w:t>
            </w:r>
          </w:p>
          <w:p>
            <w:pPr>
              <w:adjustRightInd w:val="0"/>
              <w:snapToGrid w:val="0"/>
              <w:spacing w:line="360" w:lineRule="auto"/>
              <w:ind w:firstLine="482" w:firstLineChars="200"/>
              <w:rPr>
                <w:b/>
                <w:color w:val="000000"/>
                <w:sz w:val="24"/>
              </w:rPr>
            </w:pPr>
            <w:r>
              <w:rPr>
                <w:b/>
                <w:color w:val="000000"/>
                <w:sz w:val="24"/>
              </w:rPr>
              <w:t>1、废气</w:t>
            </w:r>
          </w:p>
          <w:p>
            <w:pPr>
              <w:spacing w:line="360" w:lineRule="auto"/>
              <w:ind w:firstLine="480" w:firstLineChars="200"/>
              <w:rPr>
                <w:color w:val="000000"/>
                <w:sz w:val="24"/>
              </w:rPr>
            </w:pPr>
            <w:r>
              <w:rPr>
                <w:color w:val="000000"/>
                <w:sz w:val="24"/>
              </w:rPr>
              <w:t>本项目颗粒物</w:t>
            </w:r>
            <w:r>
              <w:rPr>
                <w:rFonts w:hint="eastAsia"/>
                <w:color w:val="000000"/>
                <w:sz w:val="24"/>
              </w:rPr>
              <w:t>、二氧化硫、氮氧化物</w:t>
            </w:r>
            <w:r>
              <w:rPr>
                <w:color w:val="000000"/>
                <w:sz w:val="24"/>
              </w:rPr>
              <w:t>有组织排放浓度执行《区域性大气污染物综合排放标准》（DB37/2376-2019）表1中</w:t>
            </w:r>
            <w:r>
              <w:rPr>
                <w:rFonts w:hint="eastAsia"/>
                <w:color w:val="000000"/>
                <w:sz w:val="24"/>
              </w:rPr>
              <w:t>一般</w:t>
            </w:r>
            <w:r>
              <w:rPr>
                <w:color w:val="000000"/>
                <w:sz w:val="24"/>
              </w:rPr>
              <w:t>控制区排放浓度限值，排放速率执行《大气污染物综合排放标准》(GB16297-1996)表2中的标准要求</w:t>
            </w:r>
            <w:r>
              <w:rPr>
                <w:rFonts w:hint="eastAsia"/>
                <w:color w:val="000000"/>
                <w:sz w:val="24"/>
              </w:rPr>
              <w:t>。</w:t>
            </w:r>
            <w:r>
              <w:rPr>
                <w:color w:val="000000"/>
                <w:sz w:val="24"/>
              </w:rPr>
              <w:t>无组织</w:t>
            </w:r>
            <w:r>
              <w:rPr>
                <w:rFonts w:hint="eastAsia"/>
                <w:color w:val="000000"/>
                <w:sz w:val="24"/>
              </w:rPr>
              <w:t>颗粒物</w:t>
            </w:r>
            <w:r>
              <w:rPr>
                <w:color w:val="000000"/>
                <w:sz w:val="24"/>
              </w:rPr>
              <w:t>排放浓度执行《大气污染物综合排放标准》(GB16297-1996)表2中的标准要求</w:t>
            </w:r>
          </w:p>
          <w:p>
            <w:pPr>
              <w:tabs>
                <w:tab w:val="left" w:pos="2803"/>
                <w:tab w:val="center" w:pos="4680"/>
              </w:tabs>
              <w:jc w:val="center"/>
              <w:rPr>
                <w:b/>
                <w:bCs/>
                <w:color w:val="000000"/>
                <w:sz w:val="24"/>
              </w:rPr>
            </w:pPr>
            <w:r>
              <w:rPr>
                <w:b/>
                <w:bCs/>
                <w:color w:val="000000"/>
                <w:sz w:val="24"/>
              </w:rPr>
              <w:t>表3-</w:t>
            </w:r>
            <w:r>
              <w:rPr>
                <w:rFonts w:hint="eastAsia"/>
                <w:b/>
                <w:bCs/>
                <w:color w:val="000000"/>
                <w:sz w:val="24"/>
              </w:rPr>
              <w:t>4</w:t>
            </w:r>
            <w:r>
              <w:rPr>
                <w:b/>
                <w:bCs/>
                <w:color w:val="000000"/>
                <w:sz w:val="24"/>
              </w:rPr>
              <w:t xml:space="preserve">  废气排放标准一览表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1253"/>
              <w:gridCol w:w="1471"/>
              <w:gridCol w:w="1313"/>
              <w:gridCol w:w="1105"/>
              <w:gridCol w:w="2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6" w:type="pct"/>
                  <w:vAlign w:val="center"/>
                </w:tcPr>
                <w:p>
                  <w:pPr>
                    <w:adjustRightInd w:val="0"/>
                    <w:snapToGrid w:val="0"/>
                    <w:jc w:val="center"/>
                    <w:rPr>
                      <w:b/>
                      <w:color w:val="000000"/>
                      <w:szCs w:val="21"/>
                    </w:rPr>
                  </w:pPr>
                  <w:r>
                    <w:rPr>
                      <w:b/>
                      <w:color w:val="000000"/>
                      <w:szCs w:val="21"/>
                    </w:rPr>
                    <w:t>排放方式</w:t>
                  </w:r>
                </w:p>
              </w:tc>
              <w:tc>
                <w:tcPr>
                  <w:tcW w:w="689" w:type="pct"/>
                  <w:vAlign w:val="center"/>
                </w:tcPr>
                <w:p>
                  <w:pPr>
                    <w:adjustRightInd w:val="0"/>
                    <w:snapToGrid w:val="0"/>
                    <w:jc w:val="center"/>
                    <w:rPr>
                      <w:b/>
                      <w:color w:val="000000"/>
                      <w:szCs w:val="21"/>
                    </w:rPr>
                  </w:pPr>
                  <w:r>
                    <w:rPr>
                      <w:b/>
                      <w:color w:val="000000"/>
                      <w:szCs w:val="21"/>
                    </w:rPr>
                    <w:t>污染物</w:t>
                  </w:r>
                </w:p>
              </w:tc>
              <w:tc>
                <w:tcPr>
                  <w:tcW w:w="809" w:type="pct"/>
                  <w:vAlign w:val="center"/>
                </w:tcPr>
                <w:p>
                  <w:pPr>
                    <w:adjustRightInd w:val="0"/>
                    <w:snapToGrid w:val="0"/>
                    <w:jc w:val="center"/>
                    <w:rPr>
                      <w:b/>
                      <w:color w:val="000000"/>
                      <w:szCs w:val="21"/>
                    </w:rPr>
                  </w:pPr>
                  <w:r>
                    <w:rPr>
                      <w:b/>
                      <w:color w:val="000000"/>
                      <w:szCs w:val="21"/>
                    </w:rPr>
                    <w:t>最高允许排放浓度（mg/m3）</w:t>
                  </w:r>
                </w:p>
              </w:tc>
              <w:tc>
                <w:tcPr>
                  <w:tcW w:w="722" w:type="pct"/>
                  <w:vAlign w:val="center"/>
                </w:tcPr>
                <w:p>
                  <w:pPr>
                    <w:adjustRightInd w:val="0"/>
                    <w:snapToGrid w:val="0"/>
                    <w:jc w:val="center"/>
                    <w:rPr>
                      <w:b/>
                      <w:color w:val="000000"/>
                      <w:szCs w:val="21"/>
                    </w:rPr>
                  </w:pPr>
                  <w:r>
                    <w:rPr>
                      <w:b/>
                      <w:color w:val="000000"/>
                      <w:szCs w:val="21"/>
                    </w:rPr>
                    <w:t>最高允许排放速率（kg/h）</w:t>
                  </w:r>
                </w:p>
              </w:tc>
              <w:tc>
                <w:tcPr>
                  <w:tcW w:w="608" w:type="pct"/>
                  <w:vAlign w:val="center"/>
                </w:tcPr>
                <w:p>
                  <w:pPr>
                    <w:adjustRightInd w:val="0"/>
                    <w:snapToGrid w:val="0"/>
                    <w:jc w:val="center"/>
                    <w:rPr>
                      <w:b/>
                      <w:color w:val="000000"/>
                      <w:szCs w:val="21"/>
                    </w:rPr>
                  </w:pPr>
                  <w:r>
                    <w:rPr>
                      <w:b/>
                      <w:color w:val="000000"/>
                      <w:szCs w:val="21"/>
                    </w:rPr>
                    <w:t>排气筒高度（m）</w:t>
                  </w:r>
                </w:p>
              </w:tc>
              <w:tc>
                <w:tcPr>
                  <w:tcW w:w="1273" w:type="pct"/>
                  <w:vAlign w:val="center"/>
                </w:tcPr>
                <w:p>
                  <w:pPr>
                    <w:adjustRightInd w:val="0"/>
                    <w:snapToGrid w:val="0"/>
                    <w:jc w:val="center"/>
                    <w:rPr>
                      <w:b/>
                      <w:color w:val="000000"/>
                      <w:szCs w:val="21"/>
                    </w:rPr>
                  </w:pPr>
                  <w:r>
                    <w:rPr>
                      <w:b/>
                      <w:color w:val="000000"/>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6" w:type="pct"/>
                  <w:vAlign w:val="center"/>
                </w:tcPr>
                <w:p>
                  <w:pPr>
                    <w:adjustRightInd w:val="0"/>
                    <w:snapToGrid w:val="0"/>
                    <w:jc w:val="center"/>
                    <w:rPr>
                      <w:rFonts w:hint="default" w:eastAsia="宋体"/>
                      <w:bCs/>
                      <w:color w:val="000000"/>
                      <w:szCs w:val="21"/>
                      <w:lang w:val="en-US" w:eastAsia="zh-CN"/>
                    </w:rPr>
                  </w:pPr>
                  <w:r>
                    <w:rPr>
                      <w:rFonts w:hint="eastAsia"/>
                      <w:bCs/>
                      <w:color w:val="000000"/>
                      <w:szCs w:val="21"/>
                      <w:lang w:val="en-US" w:eastAsia="zh-CN"/>
                    </w:rPr>
                    <w:t>DA001排放口</w:t>
                  </w:r>
                </w:p>
              </w:tc>
              <w:tc>
                <w:tcPr>
                  <w:tcW w:w="689" w:type="pct"/>
                  <w:vAlign w:val="center"/>
                </w:tcPr>
                <w:p>
                  <w:pPr>
                    <w:adjustRightInd w:val="0"/>
                    <w:snapToGrid w:val="0"/>
                    <w:jc w:val="center"/>
                    <w:rPr>
                      <w:bCs/>
                      <w:color w:val="000000"/>
                      <w:szCs w:val="21"/>
                    </w:rPr>
                  </w:pPr>
                  <w:r>
                    <w:rPr>
                      <w:rFonts w:hint="eastAsia"/>
                      <w:bCs/>
                      <w:color w:val="000000"/>
                      <w:szCs w:val="21"/>
                    </w:rPr>
                    <w:t>颗粒物</w:t>
                  </w:r>
                </w:p>
              </w:tc>
              <w:tc>
                <w:tcPr>
                  <w:tcW w:w="809" w:type="pct"/>
                  <w:vAlign w:val="center"/>
                </w:tcPr>
                <w:p>
                  <w:pPr>
                    <w:adjustRightInd w:val="0"/>
                    <w:snapToGrid w:val="0"/>
                    <w:jc w:val="center"/>
                    <w:rPr>
                      <w:bCs/>
                      <w:color w:val="000000"/>
                      <w:szCs w:val="21"/>
                    </w:rPr>
                  </w:pPr>
                  <w:r>
                    <w:rPr>
                      <w:rFonts w:hint="eastAsia"/>
                      <w:bCs/>
                      <w:color w:val="000000"/>
                      <w:szCs w:val="21"/>
                    </w:rPr>
                    <w:t>20</w:t>
                  </w:r>
                </w:p>
              </w:tc>
              <w:tc>
                <w:tcPr>
                  <w:tcW w:w="722" w:type="pct"/>
                  <w:vAlign w:val="center"/>
                </w:tcPr>
                <w:p>
                  <w:pPr>
                    <w:adjustRightInd w:val="0"/>
                    <w:snapToGrid w:val="0"/>
                    <w:jc w:val="center"/>
                    <w:rPr>
                      <w:rFonts w:hint="default" w:eastAsia="宋体"/>
                      <w:bCs/>
                      <w:color w:val="000000"/>
                      <w:szCs w:val="21"/>
                      <w:lang w:val="en-US" w:eastAsia="zh-CN"/>
                    </w:rPr>
                  </w:pPr>
                  <w:r>
                    <w:rPr>
                      <w:rFonts w:hint="eastAsia"/>
                      <w:bCs/>
                      <w:color w:val="000000"/>
                      <w:szCs w:val="21"/>
                      <w:lang w:val="en-US" w:eastAsia="zh-CN"/>
                    </w:rPr>
                    <w:t>3.5</w:t>
                  </w:r>
                </w:p>
              </w:tc>
              <w:tc>
                <w:tcPr>
                  <w:tcW w:w="608" w:type="pct"/>
                  <w:vAlign w:val="center"/>
                </w:tcPr>
                <w:p>
                  <w:pPr>
                    <w:adjustRightInd w:val="0"/>
                    <w:snapToGrid w:val="0"/>
                    <w:jc w:val="center"/>
                    <w:rPr>
                      <w:bCs/>
                      <w:color w:val="000000"/>
                      <w:szCs w:val="21"/>
                    </w:rPr>
                  </w:pPr>
                  <w:r>
                    <w:rPr>
                      <w:rFonts w:hint="eastAsia"/>
                      <w:bCs/>
                      <w:color w:val="000000"/>
                      <w:szCs w:val="21"/>
                    </w:rPr>
                    <w:t>15</w:t>
                  </w:r>
                </w:p>
              </w:tc>
              <w:tc>
                <w:tcPr>
                  <w:tcW w:w="1273" w:type="pct"/>
                  <w:vMerge w:val="restart"/>
                  <w:vAlign w:val="center"/>
                </w:tcPr>
                <w:p>
                  <w:pPr>
                    <w:adjustRightInd w:val="0"/>
                    <w:snapToGrid w:val="0"/>
                    <w:jc w:val="center"/>
                    <w:rPr>
                      <w:bCs/>
                      <w:color w:val="000000"/>
                      <w:szCs w:val="21"/>
                    </w:rPr>
                  </w:pPr>
                  <w:r>
                    <w:rPr>
                      <w:bCs/>
                      <w:color w:val="000000"/>
                      <w:szCs w:val="21"/>
                    </w:rPr>
                    <w:t>DB37/2376-2019表1</w:t>
                  </w:r>
                  <w:r>
                    <w:rPr>
                      <w:rFonts w:hint="eastAsia"/>
                      <w:bCs/>
                      <w:color w:val="000000"/>
                      <w:szCs w:val="21"/>
                    </w:rPr>
                    <w:t>；</w:t>
                  </w:r>
                  <w:r>
                    <w:rPr>
                      <w:bCs/>
                      <w:color w:val="000000"/>
                      <w:szCs w:val="21"/>
                    </w:rPr>
                    <w:t>GB16297-1996表2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6" w:type="pct"/>
                  <w:vMerge w:val="restart"/>
                  <w:vAlign w:val="center"/>
                </w:tcPr>
                <w:p>
                  <w:pPr>
                    <w:adjustRightInd w:val="0"/>
                    <w:snapToGrid w:val="0"/>
                    <w:jc w:val="center"/>
                    <w:rPr>
                      <w:rFonts w:hint="default" w:eastAsia="宋体"/>
                      <w:bCs/>
                      <w:color w:val="000000"/>
                      <w:szCs w:val="21"/>
                      <w:lang w:val="en-US" w:eastAsia="zh-CN"/>
                    </w:rPr>
                  </w:pPr>
                  <w:r>
                    <w:rPr>
                      <w:rFonts w:hint="eastAsia"/>
                      <w:bCs/>
                      <w:color w:val="000000"/>
                      <w:szCs w:val="21"/>
                      <w:lang w:val="en-US" w:eastAsia="zh-CN"/>
                    </w:rPr>
                    <w:t>DA002排放口</w:t>
                  </w:r>
                </w:p>
              </w:tc>
              <w:tc>
                <w:tcPr>
                  <w:tcW w:w="689" w:type="pct"/>
                  <w:vAlign w:val="center"/>
                </w:tcPr>
                <w:p>
                  <w:pPr>
                    <w:adjustRightInd w:val="0"/>
                    <w:snapToGrid w:val="0"/>
                    <w:jc w:val="center"/>
                    <w:rPr>
                      <w:bCs/>
                      <w:color w:val="000000"/>
                      <w:szCs w:val="21"/>
                    </w:rPr>
                  </w:pPr>
                  <w:r>
                    <w:rPr>
                      <w:rFonts w:hint="eastAsia"/>
                      <w:bCs/>
                      <w:color w:val="000000"/>
                      <w:szCs w:val="21"/>
                    </w:rPr>
                    <w:t>颗粒物</w:t>
                  </w:r>
                </w:p>
              </w:tc>
              <w:tc>
                <w:tcPr>
                  <w:tcW w:w="809" w:type="pct"/>
                  <w:vAlign w:val="center"/>
                </w:tcPr>
                <w:p>
                  <w:pPr>
                    <w:adjustRightInd w:val="0"/>
                    <w:snapToGrid w:val="0"/>
                    <w:jc w:val="center"/>
                    <w:rPr>
                      <w:bCs/>
                      <w:color w:val="000000"/>
                      <w:szCs w:val="21"/>
                    </w:rPr>
                  </w:pPr>
                  <w:r>
                    <w:rPr>
                      <w:rFonts w:hint="eastAsia"/>
                      <w:bCs/>
                      <w:color w:val="000000"/>
                      <w:szCs w:val="21"/>
                    </w:rPr>
                    <w:t>20</w:t>
                  </w:r>
                </w:p>
              </w:tc>
              <w:tc>
                <w:tcPr>
                  <w:tcW w:w="722" w:type="pct"/>
                  <w:vAlign w:val="center"/>
                </w:tcPr>
                <w:p>
                  <w:pPr>
                    <w:adjustRightInd w:val="0"/>
                    <w:snapToGrid w:val="0"/>
                    <w:jc w:val="center"/>
                    <w:rPr>
                      <w:rFonts w:hint="default" w:eastAsia="宋体"/>
                      <w:bCs/>
                      <w:color w:val="000000"/>
                      <w:szCs w:val="21"/>
                      <w:lang w:val="en-US" w:eastAsia="zh-CN"/>
                    </w:rPr>
                  </w:pPr>
                  <w:r>
                    <w:rPr>
                      <w:rFonts w:hint="eastAsia"/>
                      <w:bCs/>
                      <w:color w:val="000000"/>
                      <w:szCs w:val="21"/>
                      <w:lang w:val="en-US" w:eastAsia="zh-CN"/>
                    </w:rPr>
                    <w:t>3.5</w:t>
                  </w:r>
                </w:p>
              </w:tc>
              <w:tc>
                <w:tcPr>
                  <w:tcW w:w="608" w:type="pct"/>
                  <w:vAlign w:val="center"/>
                </w:tcPr>
                <w:p>
                  <w:pPr>
                    <w:adjustRightInd w:val="0"/>
                    <w:snapToGrid w:val="0"/>
                    <w:jc w:val="center"/>
                    <w:rPr>
                      <w:bCs/>
                      <w:color w:val="000000"/>
                      <w:szCs w:val="21"/>
                    </w:rPr>
                  </w:pPr>
                  <w:r>
                    <w:rPr>
                      <w:rFonts w:hint="eastAsia"/>
                      <w:bCs/>
                      <w:color w:val="000000"/>
                      <w:szCs w:val="21"/>
                    </w:rPr>
                    <w:t>15</w:t>
                  </w:r>
                </w:p>
              </w:tc>
              <w:tc>
                <w:tcPr>
                  <w:tcW w:w="1273" w:type="pct"/>
                  <w:vMerge w:val="continue"/>
                  <w:vAlign w:val="center"/>
                </w:tcPr>
                <w:p>
                  <w:pPr>
                    <w:adjustRightInd w:val="0"/>
                    <w:snapToGrid w:val="0"/>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6" w:type="pct"/>
                  <w:vMerge w:val="continue"/>
                  <w:vAlign w:val="center"/>
                </w:tcPr>
                <w:p>
                  <w:pPr>
                    <w:widowControl/>
                    <w:tabs>
                      <w:tab w:val="left" w:pos="6301"/>
                    </w:tabs>
                    <w:adjustRightInd w:val="0"/>
                    <w:snapToGrid w:val="0"/>
                    <w:jc w:val="center"/>
                  </w:pPr>
                </w:p>
              </w:tc>
              <w:tc>
                <w:tcPr>
                  <w:tcW w:w="689" w:type="pct"/>
                  <w:vAlign w:val="center"/>
                </w:tcPr>
                <w:p>
                  <w:pPr>
                    <w:adjustRightInd w:val="0"/>
                    <w:snapToGrid w:val="0"/>
                    <w:jc w:val="center"/>
                    <w:rPr>
                      <w:bCs/>
                      <w:color w:val="000000"/>
                      <w:szCs w:val="21"/>
                    </w:rPr>
                  </w:pPr>
                  <w:r>
                    <w:rPr>
                      <w:rFonts w:hint="eastAsia"/>
                      <w:bCs/>
                      <w:color w:val="000000"/>
                      <w:szCs w:val="21"/>
                    </w:rPr>
                    <w:t>二氧化硫</w:t>
                  </w:r>
                </w:p>
              </w:tc>
              <w:tc>
                <w:tcPr>
                  <w:tcW w:w="809" w:type="pct"/>
                  <w:vAlign w:val="center"/>
                </w:tcPr>
                <w:p>
                  <w:pPr>
                    <w:adjustRightInd w:val="0"/>
                    <w:snapToGrid w:val="0"/>
                    <w:jc w:val="center"/>
                    <w:rPr>
                      <w:bCs/>
                      <w:color w:val="000000"/>
                      <w:szCs w:val="21"/>
                    </w:rPr>
                  </w:pPr>
                  <w:r>
                    <w:rPr>
                      <w:rFonts w:hint="eastAsia"/>
                      <w:bCs/>
                      <w:color w:val="000000"/>
                      <w:szCs w:val="21"/>
                    </w:rPr>
                    <w:t>100</w:t>
                  </w:r>
                </w:p>
              </w:tc>
              <w:tc>
                <w:tcPr>
                  <w:tcW w:w="722" w:type="pct"/>
                  <w:vAlign w:val="center"/>
                </w:tcPr>
                <w:p>
                  <w:pPr>
                    <w:adjustRightInd w:val="0"/>
                    <w:snapToGrid w:val="0"/>
                    <w:jc w:val="center"/>
                    <w:rPr>
                      <w:bCs/>
                      <w:color w:val="000000"/>
                      <w:szCs w:val="21"/>
                    </w:rPr>
                  </w:pPr>
                  <w:r>
                    <w:rPr>
                      <w:rFonts w:hint="eastAsia"/>
                      <w:bCs/>
                      <w:color w:val="000000"/>
                      <w:szCs w:val="21"/>
                    </w:rPr>
                    <w:t>2.6</w:t>
                  </w:r>
                </w:p>
              </w:tc>
              <w:tc>
                <w:tcPr>
                  <w:tcW w:w="608" w:type="pct"/>
                  <w:vAlign w:val="center"/>
                </w:tcPr>
                <w:p>
                  <w:pPr>
                    <w:adjustRightInd w:val="0"/>
                    <w:snapToGrid w:val="0"/>
                    <w:jc w:val="center"/>
                    <w:rPr>
                      <w:rFonts w:hint="default" w:eastAsia="宋体"/>
                      <w:bCs/>
                      <w:color w:val="000000"/>
                      <w:szCs w:val="21"/>
                      <w:lang w:val="en-US" w:eastAsia="zh-CN"/>
                    </w:rPr>
                  </w:pPr>
                  <w:r>
                    <w:rPr>
                      <w:rFonts w:hint="eastAsia"/>
                      <w:bCs/>
                      <w:color w:val="000000"/>
                      <w:szCs w:val="21"/>
                      <w:lang w:val="en-US" w:eastAsia="zh-CN"/>
                    </w:rPr>
                    <w:t>15</w:t>
                  </w:r>
                </w:p>
              </w:tc>
              <w:tc>
                <w:tcPr>
                  <w:tcW w:w="1273" w:type="pct"/>
                  <w:vMerge w:val="continue"/>
                  <w:vAlign w:val="center"/>
                </w:tcPr>
                <w:p>
                  <w:pPr>
                    <w:adjustRightInd w:val="0"/>
                    <w:snapToGrid w:val="0"/>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6" w:type="pct"/>
                  <w:vMerge w:val="continue"/>
                  <w:vAlign w:val="center"/>
                </w:tcPr>
                <w:p>
                  <w:pPr>
                    <w:widowControl/>
                    <w:tabs>
                      <w:tab w:val="left" w:pos="6301"/>
                    </w:tabs>
                    <w:adjustRightInd w:val="0"/>
                    <w:snapToGrid w:val="0"/>
                    <w:jc w:val="center"/>
                  </w:pPr>
                </w:p>
              </w:tc>
              <w:tc>
                <w:tcPr>
                  <w:tcW w:w="689" w:type="pct"/>
                  <w:vAlign w:val="center"/>
                </w:tcPr>
                <w:p>
                  <w:pPr>
                    <w:tabs>
                      <w:tab w:val="left" w:pos="6301"/>
                    </w:tabs>
                    <w:adjustRightInd w:val="0"/>
                    <w:snapToGrid w:val="0"/>
                    <w:jc w:val="center"/>
                  </w:pPr>
                  <w:r>
                    <w:rPr>
                      <w:rFonts w:hint="eastAsia"/>
                    </w:rPr>
                    <w:t>氮氧化物</w:t>
                  </w:r>
                </w:p>
              </w:tc>
              <w:tc>
                <w:tcPr>
                  <w:tcW w:w="809" w:type="pct"/>
                  <w:vAlign w:val="center"/>
                </w:tcPr>
                <w:p>
                  <w:pPr>
                    <w:pStyle w:val="19"/>
                    <w:snapToGrid w:val="0"/>
                    <w:jc w:val="center"/>
                    <w:rPr>
                      <w:rFonts w:ascii="Times New Roman" w:hAnsi="Times New Roman" w:cs="Times New Roman"/>
                    </w:rPr>
                  </w:pPr>
                  <w:r>
                    <w:rPr>
                      <w:rFonts w:hint="eastAsia" w:ascii="Times New Roman" w:hAnsi="Times New Roman" w:cs="Times New Roman"/>
                    </w:rPr>
                    <w:t>200</w:t>
                  </w:r>
                </w:p>
              </w:tc>
              <w:tc>
                <w:tcPr>
                  <w:tcW w:w="722" w:type="pct"/>
                  <w:vAlign w:val="center"/>
                </w:tcPr>
                <w:p>
                  <w:pPr>
                    <w:pStyle w:val="19"/>
                    <w:snapToGrid w:val="0"/>
                    <w:jc w:val="center"/>
                    <w:rPr>
                      <w:rFonts w:ascii="Times New Roman" w:hAnsi="Times New Roman" w:cs="Times New Roman"/>
                    </w:rPr>
                  </w:pPr>
                  <w:r>
                    <w:rPr>
                      <w:rFonts w:hint="eastAsia" w:ascii="Times New Roman" w:hAnsi="Times New Roman" w:cs="Times New Roman"/>
                    </w:rPr>
                    <w:t>0.77</w:t>
                  </w:r>
                </w:p>
              </w:tc>
              <w:tc>
                <w:tcPr>
                  <w:tcW w:w="608" w:type="pct"/>
                  <w:vAlign w:val="center"/>
                </w:tcPr>
                <w:p>
                  <w:pPr>
                    <w:snapToGrid w:val="0"/>
                    <w:jc w:val="center"/>
                    <w:rPr>
                      <w:rFonts w:hint="default" w:eastAsia="宋体"/>
                      <w:lang w:val="en-US" w:eastAsia="zh-CN"/>
                    </w:rPr>
                  </w:pPr>
                  <w:r>
                    <w:rPr>
                      <w:rFonts w:hint="eastAsia"/>
                      <w:lang w:val="en-US" w:eastAsia="zh-CN"/>
                    </w:rPr>
                    <w:t>15</w:t>
                  </w:r>
                </w:p>
              </w:tc>
              <w:tc>
                <w:tcPr>
                  <w:tcW w:w="1273" w:type="pct"/>
                  <w:vMerge w:val="continue"/>
                  <w:vAlign w:val="center"/>
                </w:tcPr>
                <w:p>
                  <w:pPr>
                    <w:widowControl/>
                    <w:tabs>
                      <w:tab w:val="left" w:pos="6301"/>
                    </w:tabs>
                    <w:adjustRightInd w:val="0"/>
                    <w:snapToGrid w:val="0"/>
                    <w:jc w:val="center"/>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6" w:type="pct"/>
                  <w:vAlign w:val="center"/>
                </w:tcPr>
                <w:p>
                  <w:pPr>
                    <w:widowControl/>
                    <w:tabs>
                      <w:tab w:val="left" w:pos="6301"/>
                    </w:tabs>
                    <w:adjustRightInd w:val="0"/>
                    <w:snapToGrid w:val="0"/>
                    <w:jc w:val="center"/>
                  </w:pPr>
                  <w:r>
                    <w:rPr>
                      <w:rFonts w:hint="eastAsia"/>
                    </w:rPr>
                    <w:t>无组织</w:t>
                  </w:r>
                </w:p>
              </w:tc>
              <w:tc>
                <w:tcPr>
                  <w:tcW w:w="689" w:type="pct"/>
                  <w:vAlign w:val="center"/>
                </w:tcPr>
                <w:p>
                  <w:pPr>
                    <w:adjustRightInd w:val="0"/>
                    <w:snapToGrid w:val="0"/>
                    <w:jc w:val="center"/>
                    <w:rPr>
                      <w:bCs/>
                      <w:color w:val="000000"/>
                      <w:szCs w:val="21"/>
                    </w:rPr>
                  </w:pPr>
                  <w:r>
                    <w:rPr>
                      <w:rFonts w:hint="eastAsia"/>
                      <w:bCs/>
                      <w:color w:val="000000"/>
                      <w:szCs w:val="21"/>
                    </w:rPr>
                    <w:t>颗粒物</w:t>
                  </w:r>
                </w:p>
              </w:tc>
              <w:tc>
                <w:tcPr>
                  <w:tcW w:w="809" w:type="pct"/>
                  <w:vAlign w:val="center"/>
                </w:tcPr>
                <w:p>
                  <w:pPr>
                    <w:adjustRightInd w:val="0"/>
                    <w:snapToGrid w:val="0"/>
                    <w:jc w:val="center"/>
                    <w:rPr>
                      <w:bCs/>
                      <w:color w:val="000000"/>
                      <w:szCs w:val="21"/>
                    </w:rPr>
                  </w:pPr>
                  <w:r>
                    <w:rPr>
                      <w:rFonts w:hint="eastAsia"/>
                      <w:bCs/>
                      <w:color w:val="000000"/>
                      <w:szCs w:val="21"/>
                    </w:rPr>
                    <w:t>1.0</w:t>
                  </w:r>
                </w:p>
              </w:tc>
              <w:tc>
                <w:tcPr>
                  <w:tcW w:w="722" w:type="pct"/>
                  <w:vAlign w:val="center"/>
                </w:tcPr>
                <w:p>
                  <w:pPr>
                    <w:adjustRightInd w:val="0"/>
                    <w:snapToGrid w:val="0"/>
                    <w:jc w:val="center"/>
                    <w:rPr>
                      <w:bCs/>
                      <w:color w:val="000000"/>
                      <w:szCs w:val="21"/>
                    </w:rPr>
                  </w:pPr>
                  <w:r>
                    <w:rPr>
                      <w:rFonts w:hint="eastAsia"/>
                      <w:bCs/>
                      <w:color w:val="000000"/>
                      <w:szCs w:val="21"/>
                    </w:rPr>
                    <w:t>/</w:t>
                  </w:r>
                </w:p>
              </w:tc>
              <w:tc>
                <w:tcPr>
                  <w:tcW w:w="608" w:type="pct"/>
                  <w:vAlign w:val="center"/>
                </w:tcPr>
                <w:p>
                  <w:pPr>
                    <w:adjustRightInd w:val="0"/>
                    <w:snapToGrid w:val="0"/>
                    <w:jc w:val="center"/>
                    <w:rPr>
                      <w:bCs/>
                      <w:color w:val="000000"/>
                      <w:szCs w:val="21"/>
                    </w:rPr>
                  </w:pPr>
                  <w:r>
                    <w:rPr>
                      <w:rFonts w:hint="eastAsia"/>
                      <w:bCs/>
                      <w:color w:val="000000"/>
                      <w:szCs w:val="21"/>
                    </w:rPr>
                    <w:t>/</w:t>
                  </w:r>
                </w:p>
              </w:tc>
              <w:tc>
                <w:tcPr>
                  <w:tcW w:w="1273" w:type="pct"/>
                  <w:vAlign w:val="center"/>
                </w:tcPr>
                <w:p>
                  <w:pPr>
                    <w:adjustRightInd w:val="0"/>
                    <w:snapToGrid w:val="0"/>
                    <w:jc w:val="center"/>
                    <w:rPr>
                      <w:bCs/>
                      <w:color w:val="000000"/>
                      <w:szCs w:val="21"/>
                    </w:rPr>
                  </w:pPr>
                  <w:r>
                    <w:rPr>
                      <w:bCs/>
                      <w:color w:val="000000"/>
                      <w:szCs w:val="21"/>
                    </w:rPr>
                    <w:t>GB16297-1996表2</w:t>
                  </w:r>
                </w:p>
              </w:tc>
            </w:tr>
          </w:tbl>
          <w:p>
            <w:pPr>
              <w:adjustRightInd w:val="0"/>
              <w:snapToGrid w:val="0"/>
              <w:spacing w:line="360" w:lineRule="auto"/>
              <w:ind w:left="420" w:leftChars="200"/>
              <w:jc w:val="left"/>
              <w:rPr>
                <w:b/>
                <w:color w:val="000000"/>
                <w:sz w:val="24"/>
              </w:rPr>
            </w:pPr>
            <w:r>
              <w:rPr>
                <w:b/>
                <w:color w:val="000000"/>
                <w:sz w:val="24"/>
              </w:rPr>
              <w:t>2、废水</w:t>
            </w:r>
          </w:p>
          <w:p>
            <w:pPr>
              <w:spacing w:line="360" w:lineRule="auto"/>
              <w:ind w:firstLine="480" w:firstLineChars="200"/>
              <w:rPr>
                <w:color w:val="000000"/>
                <w:sz w:val="24"/>
              </w:rPr>
            </w:pPr>
            <w:r>
              <w:rPr>
                <w:color w:val="000000"/>
                <w:sz w:val="24"/>
              </w:rPr>
              <w:t>项目</w:t>
            </w:r>
            <w:r>
              <w:rPr>
                <w:rFonts w:hint="eastAsia"/>
                <w:color w:val="000000"/>
                <w:sz w:val="24"/>
              </w:rPr>
              <w:t>无废水外排。</w:t>
            </w:r>
          </w:p>
          <w:p>
            <w:pPr>
              <w:spacing w:line="360" w:lineRule="auto"/>
              <w:ind w:firstLine="482" w:firstLineChars="200"/>
              <w:rPr>
                <w:b/>
                <w:color w:val="000000"/>
                <w:sz w:val="24"/>
              </w:rPr>
            </w:pPr>
            <w:r>
              <w:rPr>
                <w:b/>
                <w:color w:val="000000"/>
                <w:sz w:val="24"/>
              </w:rPr>
              <w:t>3、噪声</w:t>
            </w:r>
          </w:p>
          <w:p>
            <w:pPr>
              <w:pStyle w:val="117"/>
              <w:rPr>
                <w:color w:val="000000"/>
              </w:rPr>
            </w:pPr>
            <w:r>
              <w:rPr>
                <w:color w:val="000000"/>
              </w:rPr>
              <w:t>项目运营期厂界噪声执行《工业企业厂界环境噪声排放标准》（GB12348-2008）中</w:t>
            </w:r>
            <w:r>
              <w:rPr>
                <w:rFonts w:hint="eastAsia"/>
                <w:color w:val="000000"/>
              </w:rPr>
              <w:t>2</w:t>
            </w:r>
            <w:r>
              <w:rPr>
                <w:color w:val="000000"/>
              </w:rPr>
              <w:t>类标准，具体标准值见表</w:t>
            </w:r>
            <w:r>
              <w:rPr>
                <w:rFonts w:hint="eastAsia"/>
                <w:color w:val="000000"/>
              </w:rPr>
              <w:t>3-5</w:t>
            </w:r>
            <w:r>
              <w:rPr>
                <w:color w:val="000000"/>
              </w:rPr>
              <w:t>。</w:t>
            </w:r>
          </w:p>
          <w:p>
            <w:pPr>
              <w:adjustRightInd w:val="0"/>
              <w:snapToGrid w:val="0"/>
              <w:jc w:val="center"/>
              <w:rPr>
                <w:bCs/>
                <w:color w:val="000000"/>
                <w:sz w:val="24"/>
              </w:rPr>
            </w:pPr>
            <w:r>
              <w:rPr>
                <w:b/>
                <w:color w:val="000000"/>
                <w:kern w:val="21"/>
                <w:sz w:val="24"/>
                <w:lang w:val="zh-CN"/>
              </w:rPr>
              <w:t>表</w:t>
            </w:r>
            <w:r>
              <w:rPr>
                <w:rFonts w:hint="eastAsia"/>
                <w:b/>
                <w:color w:val="000000"/>
                <w:kern w:val="21"/>
                <w:sz w:val="24"/>
              </w:rPr>
              <w:t>3-5</w:t>
            </w:r>
            <w:r>
              <w:rPr>
                <w:b/>
                <w:color w:val="000000"/>
                <w:kern w:val="21"/>
                <w:sz w:val="24"/>
                <w:lang w:val="zh-CN"/>
              </w:rPr>
              <w:t>工业企业厂界环境噪声排放标准</w:t>
            </w:r>
            <w:r>
              <w:rPr>
                <w:color w:val="000000"/>
                <w:kern w:val="21"/>
                <w:sz w:val="24"/>
                <w:lang w:val="zh-CN"/>
              </w:rPr>
              <w:t>单位：dB(A)</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77"/>
              <w:gridCol w:w="2513"/>
              <w:gridCol w:w="30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677" w:type="dxa"/>
                  <w:vAlign w:val="center"/>
                </w:tcPr>
                <w:p>
                  <w:pPr>
                    <w:adjustRightInd w:val="0"/>
                    <w:snapToGrid w:val="0"/>
                    <w:jc w:val="center"/>
                    <w:rPr>
                      <w:b/>
                      <w:bCs/>
                      <w:color w:val="000000"/>
                      <w:szCs w:val="21"/>
                    </w:rPr>
                  </w:pPr>
                  <w:r>
                    <w:rPr>
                      <w:b/>
                      <w:bCs/>
                      <w:color w:val="000000"/>
                      <w:szCs w:val="21"/>
                    </w:rPr>
                    <w:t>类别</w:t>
                  </w:r>
                </w:p>
              </w:tc>
              <w:tc>
                <w:tcPr>
                  <w:tcW w:w="2513" w:type="dxa"/>
                  <w:vAlign w:val="center"/>
                </w:tcPr>
                <w:p>
                  <w:pPr>
                    <w:adjustRightInd w:val="0"/>
                    <w:snapToGrid w:val="0"/>
                    <w:jc w:val="center"/>
                    <w:rPr>
                      <w:b/>
                      <w:bCs/>
                      <w:color w:val="000000"/>
                      <w:szCs w:val="21"/>
                    </w:rPr>
                  </w:pPr>
                  <w:r>
                    <w:rPr>
                      <w:b/>
                      <w:bCs/>
                      <w:color w:val="000000"/>
                      <w:szCs w:val="21"/>
                    </w:rPr>
                    <w:t>昼间</w:t>
                  </w:r>
                </w:p>
              </w:tc>
              <w:tc>
                <w:tcPr>
                  <w:tcW w:w="3032" w:type="dxa"/>
                  <w:vAlign w:val="center"/>
                </w:tcPr>
                <w:p>
                  <w:pPr>
                    <w:adjustRightInd w:val="0"/>
                    <w:snapToGrid w:val="0"/>
                    <w:jc w:val="center"/>
                    <w:rPr>
                      <w:b/>
                      <w:bCs/>
                      <w:color w:val="000000"/>
                      <w:szCs w:val="21"/>
                    </w:rPr>
                  </w:pPr>
                  <w:r>
                    <w:rPr>
                      <w:b/>
                      <w:bCs/>
                      <w:color w:val="000000"/>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677" w:type="dxa"/>
                  <w:vAlign w:val="center"/>
                </w:tcPr>
                <w:p>
                  <w:pPr>
                    <w:adjustRightInd w:val="0"/>
                    <w:snapToGrid w:val="0"/>
                    <w:jc w:val="center"/>
                    <w:rPr>
                      <w:bCs/>
                      <w:color w:val="000000"/>
                      <w:szCs w:val="21"/>
                    </w:rPr>
                  </w:pPr>
                  <w:r>
                    <w:rPr>
                      <w:rFonts w:hint="eastAsia"/>
                      <w:bCs/>
                      <w:color w:val="000000"/>
                      <w:szCs w:val="21"/>
                    </w:rPr>
                    <w:t>2</w:t>
                  </w:r>
                  <w:r>
                    <w:rPr>
                      <w:bCs/>
                      <w:color w:val="000000"/>
                      <w:szCs w:val="21"/>
                    </w:rPr>
                    <w:t>类</w:t>
                  </w:r>
                </w:p>
              </w:tc>
              <w:tc>
                <w:tcPr>
                  <w:tcW w:w="2513" w:type="dxa"/>
                  <w:vAlign w:val="center"/>
                </w:tcPr>
                <w:p>
                  <w:pPr>
                    <w:adjustRightInd w:val="0"/>
                    <w:snapToGrid w:val="0"/>
                    <w:jc w:val="center"/>
                    <w:rPr>
                      <w:bCs/>
                      <w:color w:val="000000"/>
                      <w:szCs w:val="21"/>
                    </w:rPr>
                  </w:pPr>
                  <w:r>
                    <w:rPr>
                      <w:rFonts w:hint="eastAsia"/>
                      <w:bCs/>
                      <w:color w:val="000000"/>
                      <w:szCs w:val="21"/>
                    </w:rPr>
                    <w:t>60</w:t>
                  </w:r>
                </w:p>
              </w:tc>
              <w:tc>
                <w:tcPr>
                  <w:tcW w:w="3032" w:type="dxa"/>
                  <w:vAlign w:val="center"/>
                </w:tcPr>
                <w:p>
                  <w:pPr>
                    <w:adjustRightInd w:val="0"/>
                    <w:snapToGrid w:val="0"/>
                    <w:jc w:val="center"/>
                    <w:rPr>
                      <w:bCs/>
                      <w:color w:val="000000"/>
                      <w:szCs w:val="21"/>
                    </w:rPr>
                  </w:pPr>
                  <w:r>
                    <w:rPr>
                      <w:rFonts w:hint="eastAsia"/>
                      <w:bCs/>
                      <w:color w:val="000000"/>
                      <w:szCs w:val="21"/>
                    </w:rPr>
                    <w:t>50</w:t>
                  </w:r>
                </w:p>
              </w:tc>
            </w:tr>
          </w:tbl>
          <w:p>
            <w:pPr>
              <w:adjustRightInd w:val="0"/>
              <w:snapToGrid w:val="0"/>
              <w:spacing w:line="360" w:lineRule="auto"/>
              <w:ind w:firstLine="482" w:firstLineChars="200"/>
              <w:rPr>
                <w:b/>
                <w:color w:val="000000"/>
                <w:sz w:val="24"/>
              </w:rPr>
            </w:pPr>
            <w:r>
              <w:rPr>
                <w:b/>
                <w:color w:val="000000"/>
                <w:sz w:val="24"/>
              </w:rPr>
              <w:t>4、固废</w:t>
            </w:r>
          </w:p>
          <w:p>
            <w:pPr>
              <w:adjustRightInd w:val="0"/>
              <w:spacing w:line="360" w:lineRule="auto"/>
              <w:ind w:firstLine="480" w:firstLineChars="200"/>
              <w:rPr>
                <w:rFonts w:ascii="宋体" w:hAnsi="宋体" w:cs="宋体"/>
                <w:kern w:val="0"/>
                <w:szCs w:val="21"/>
              </w:rPr>
            </w:pPr>
            <w:r>
              <w:rPr>
                <w:color w:val="000000"/>
                <w:sz w:val="24"/>
              </w:rPr>
              <w:t>执行《一般工业固体废物贮存</w:t>
            </w:r>
            <w:r>
              <w:rPr>
                <w:rFonts w:hint="eastAsia"/>
                <w:color w:val="000000"/>
                <w:sz w:val="24"/>
              </w:rPr>
              <w:t>与填埋</w:t>
            </w:r>
            <w:r>
              <w:rPr>
                <w:color w:val="000000"/>
                <w:sz w:val="24"/>
              </w:rPr>
              <w:t>污染控制标准》（GB18599-20</w:t>
            </w:r>
            <w:r>
              <w:rPr>
                <w:rFonts w:hint="eastAsia"/>
                <w:color w:val="000000"/>
                <w:sz w:val="24"/>
              </w:rPr>
              <w:t>20</w:t>
            </w:r>
            <w:r>
              <w:rPr>
                <w:color w:val="000000"/>
                <w:sz w:val="24"/>
              </w:rPr>
              <w:t>）的要求。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85" w:hRule="atLeast"/>
          <w:jc w:val="center"/>
        </w:trPr>
        <w:tc>
          <w:tcPr>
            <w:tcW w:w="455" w:type="dxa"/>
            <w:tcBorders>
              <w:tl2br w:val="nil"/>
              <w:tr2bl w:val="nil"/>
            </w:tcBorders>
            <w:vAlign w:val="center"/>
          </w:tcPr>
          <w:p>
            <w:pPr>
              <w:adjustRightInd w:val="0"/>
              <w:snapToGrid w:val="0"/>
              <w:jc w:val="center"/>
              <w:rPr>
                <w:rFonts w:ascii="宋体" w:hAnsi="宋体" w:cs="宋体"/>
                <w:kern w:val="0"/>
                <w:szCs w:val="21"/>
              </w:rPr>
            </w:pPr>
            <w:r>
              <w:rPr>
                <w:rFonts w:hint="eastAsia" w:ascii="宋体" w:hAnsi="宋体" w:cs="宋体"/>
                <w:kern w:val="0"/>
                <w:szCs w:val="21"/>
              </w:rPr>
              <w:t>总量</w:t>
            </w:r>
          </w:p>
          <w:p>
            <w:pPr>
              <w:adjustRightInd w:val="0"/>
              <w:snapToGrid w:val="0"/>
              <w:jc w:val="center"/>
              <w:rPr>
                <w:rFonts w:ascii="宋体" w:hAnsi="宋体" w:cs="宋体"/>
                <w:kern w:val="0"/>
                <w:szCs w:val="21"/>
              </w:rPr>
            </w:pPr>
            <w:r>
              <w:rPr>
                <w:rFonts w:hint="eastAsia" w:ascii="宋体" w:hAnsi="宋体" w:cs="宋体"/>
                <w:kern w:val="0"/>
                <w:szCs w:val="21"/>
              </w:rPr>
              <w:t>控制</w:t>
            </w:r>
          </w:p>
          <w:p>
            <w:pPr>
              <w:adjustRightInd w:val="0"/>
              <w:snapToGrid w:val="0"/>
              <w:jc w:val="center"/>
              <w:rPr>
                <w:rFonts w:ascii="宋体" w:hAnsi="宋体" w:cs="宋体"/>
                <w:kern w:val="0"/>
                <w:szCs w:val="21"/>
              </w:rPr>
            </w:pPr>
            <w:r>
              <w:rPr>
                <w:rFonts w:hint="eastAsia" w:ascii="宋体" w:hAnsi="宋体" w:cs="宋体"/>
                <w:kern w:val="0"/>
                <w:szCs w:val="21"/>
              </w:rPr>
              <w:t>指标</w:t>
            </w:r>
          </w:p>
        </w:tc>
        <w:tc>
          <w:tcPr>
            <w:tcW w:w="9316" w:type="dxa"/>
            <w:tcBorders>
              <w:tl2br w:val="nil"/>
              <w:tr2bl w:val="nil"/>
            </w:tcBorders>
            <w:vAlign w:val="center"/>
          </w:tcPr>
          <w:p>
            <w:pPr>
              <w:adjustRightInd w:val="0"/>
              <w:spacing w:line="360" w:lineRule="auto"/>
              <w:ind w:firstLine="422" w:firstLineChars="200"/>
              <w:rPr>
                <w:rFonts w:eastAsia="新宋体"/>
                <w:b/>
                <w:bCs/>
                <w:sz w:val="24"/>
              </w:rPr>
            </w:pPr>
            <w:r>
              <w:rPr>
                <w:rFonts w:eastAsia="新宋体"/>
                <w:b/>
                <w:bCs/>
                <w:szCs w:val="21"/>
              </w:rPr>
              <w:t>1</w:t>
            </w:r>
            <w:r>
              <w:rPr>
                <w:rFonts w:eastAsia="新宋体"/>
                <w:b/>
                <w:bCs/>
                <w:sz w:val="24"/>
              </w:rPr>
              <w:t>、总量控制原则</w:t>
            </w:r>
          </w:p>
          <w:p>
            <w:pPr>
              <w:adjustRightInd w:val="0"/>
              <w:spacing w:line="360" w:lineRule="auto"/>
              <w:ind w:firstLine="480" w:firstLineChars="200"/>
              <w:rPr>
                <w:rFonts w:eastAsia="新宋体"/>
                <w:sz w:val="24"/>
              </w:rPr>
            </w:pPr>
            <w:r>
              <w:rPr>
                <w:rFonts w:eastAsia="新宋体"/>
                <w:sz w:val="24"/>
              </w:rPr>
              <w:t>主要控制污染物为颗粒物、VOCs、SO</w:t>
            </w:r>
            <w:r>
              <w:rPr>
                <w:rFonts w:eastAsia="新宋体"/>
                <w:sz w:val="24"/>
                <w:vertAlign w:val="subscript"/>
              </w:rPr>
              <w:t>2</w:t>
            </w:r>
            <w:r>
              <w:rPr>
                <w:rFonts w:eastAsia="新宋体"/>
                <w:sz w:val="24"/>
              </w:rPr>
              <w:t>、NO</w:t>
            </w:r>
            <w:r>
              <w:rPr>
                <w:rFonts w:eastAsia="新宋体"/>
                <w:sz w:val="24"/>
                <w:vertAlign w:val="subscript"/>
              </w:rPr>
              <w:t>x</w:t>
            </w:r>
            <w:r>
              <w:rPr>
                <w:rFonts w:eastAsia="新宋体"/>
                <w:sz w:val="24"/>
              </w:rPr>
              <w:t>、COD及氨氮6项指标，根据《山东省建设项目主要大气污染物排放总量替代指标核算及管理办法》（鲁环发[2019]132号），将颗粒物、VOCs、SO</w:t>
            </w:r>
            <w:r>
              <w:rPr>
                <w:rFonts w:eastAsia="新宋体"/>
                <w:sz w:val="24"/>
                <w:vertAlign w:val="subscript"/>
              </w:rPr>
              <w:t>2</w:t>
            </w:r>
            <w:r>
              <w:rPr>
                <w:rFonts w:eastAsia="新宋体"/>
                <w:sz w:val="24"/>
              </w:rPr>
              <w:t>、NO</w:t>
            </w:r>
            <w:r>
              <w:rPr>
                <w:rFonts w:eastAsia="新宋体"/>
                <w:sz w:val="24"/>
                <w:vertAlign w:val="subscript"/>
              </w:rPr>
              <w:t>x</w:t>
            </w:r>
            <w:r>
              <w:rPr>
                <w:rFonts w:eastAsia="新宋体"/>
                <w:sz w:val="24"/>
              </w:rPr>
              <w:t>纳入大气污染物排放总量替代指标体系。</w:t>
            </w:r>
          </w:p>
          <w:p>
            <w:pPr>
              <w:adjustRightInd w:val="0"/>
              <w:spacing w:line="360" w:lineRule="auto"/>
              <w:ind w:firstLine="482" w:firstLineChars="200"/>
              <w:rPr>
                <w:rFonts w:eastAsia="新宋体"/>
                <w:b/>
                <w:bCs/>
                <w:sz w:val="24"/>
              </w:rPr>
            </w:pPr>
            <w:r>
              <w:rPr>
                <w:rFonts w:eastAsia="新宋体"/>
                <w:b/>
                <w:bCs/>
                <w:sz w:val="24"/>
              </w:rPr>
              <w:t>2、总量控制建议值</w:t>
            </w:r>
          </w:p>
          <w:p>
            <w:pPr>
              <w:adjustRightInd w:val="0"/>
              <w:snapToGrid w:val="0"/>
              <w:spacing w:line="360" w:lineRule="auto"/>
              <w:ind w:firstLine="480" w:firstLineChars="200"/>
              <w:rPr>
                <w:rFonts w:eastAsia="新宋体"/>
                <w:sz w:val="24"/>
              </w:rPr>
            </w:pPr>
            <w:r>
              <w:rPr>
                <w:rFonts w:eastAsia="新宋体"/>
                <w:sz w:val="24"/>
              </w:rPr>
              <w:t>（1）水污染物</w:t>
            </w:r>
          </w:p>
          <w:p>
            <w:pPr>
              <w:spacing w:line="360" w:lineRule="auto"/>
              <w:ind w:firstLine="480" w:firstLineChars="200"/>
              <w:rPr>
                <w:rFonts w:eastAsia="新宋体"/>
                <w:sz w:val="24"/>
              </w:rPr>
            </w:pPr>
            <w:r>
              <w:rPr>
                <w:sz w:val="24"/>
              </w:rPr>
              <w:t>项目</w:t>
            </w:r>
            <w:r>
              <w:rPr>
                <w:rFonts w:hint="eastAsia"/>
                <w:sz w:val="24"/>
              </w:rPr>
              <w:t>无废水外排</w:t>
            </w:r>
            <w:r>
              <w:rPr>
                <w:rFonts w:hint="eastAsia"/>
                <w:spacing w:val="6"/>
                <w:sz w:val="24"/>
              </w:rPr>
              <w:t>，</w:t>
            </w:r>
            <w:r>
              <w:rPr>
                <w:rFonts w:eastAsia="新宋体"/>
                <w:sz w:val="24"/>
              </w:rPr>
              <w:t>因此项目不需要申请CODcr 、NH</w:t>
            </w:r>
            <w:r>
              <w:rPr>
                <w:rFonts w:eastAsia="新宋体"/>
                <w:sz w:val="24"/>
                <w:vertAlign w:val="subscript"/>
              </w:rPr>
              <w:t>3</w:t>
            </w:r>
            <w:r>
              <w:rPr>
                <w:rFonts w:eastAsia="新宋体"/>
                <w:sz w:val="24"/>
              </w:rPr>
              <w:t>-N总量控制指标。</w:t>
            </w:r>
          </w:p>
          <w:p>
            <w:pPr>
              <w:adjustRightInd w:val="0"/>
              <w:snapToGrid w:val="0"/>
              <w:spacing w:line="360" w:lineRule="auto"/>
              <w:ind w:firstLine="480" w:firstLineChars="200"/>
              <w:rPr>
                <w:rFonts w:eastAsia="新宋体"/>
                <w:sz w:val="24"/>
              </w:rPr>
            </w:pPr>
            <w:r>
              <w:rPr>
                <w:rFonts w:eastAsia="新宋体"/>
                <w:sz w:val="24"/>
              </w:rPr>
              <w:t>（2）大气污染物</w:t>
            </w:r>
          </w:p>
          <w:p>
            <w:pPr>
              <w:adjustRightInd w:val="0"/>
              <w:spacing w:line="360" w:lineRule="auto"/>
              <w:ind w:firstLine="480" w:firstLineChars="200"/>
              <w:rPr>
                <w:sz w:val="24"/>
              </w:rPr>
            </w:pPr>
            <w:r>
              <w:rPr>
                <w:sz w:val="24"/>
              </w:rPr>
              <w:t>根据工程分析</w:t>
            </w:r>
            <w:r>
              <w:rPr>
                <w:rFonts w:hint="eastAsia"/>
                <w:sz w:val="24"/>
              </w:rPr>
              <w:t>可知</w:t>
            </w:r>
            <w:r>
              <w:rPr>
                <w:sz w:val="24"/>
              </w:rPr>
              <w:t>，本项目大气污染物</w:t>
            </w:r>
            <w:r>
              <w:rPr>
                <w:rFonts w:hint="eastAsia"/>
                <w:sz w:val="24"/>
              </w:rPr>
              <w:t>颗粒物</w:t>
            </w:r>
            <w:r>
              <w:rPr>
                <w:sz w:val="24"/>
              </w:rPr>
              <w:t>年有组织排放量为</w:t>
            </w:r>
            <w:r>
              <w:rPr>
                <w:rFonts w:hint="eastAsia"/>
                <w:sz w:val="24"/>
              </w:rPr>
              <w:t>0.</w:t>
            </w:r>
            <w:r>
              <w:rPr>
                <w:rFonts w:hint="eastAsia"/>
                <w:sz w:val="24"/>
                <w:lang w:val="en-US" w:eastAsia="zh-CN"/>
              </w:rPr>
              <w:t>059</w:t>
            </w:r>
            <w:r>
              <w:rPr>
                <w:sz w:val="24"/>
              </w:rPr>
              <w:t>t/a</w:t>
            </w:r>
            <w:r>
              <w:rPr>
                <w:rFonts w:hint="eastAsia"/>
                <w:sz w:val="24"/>
              </w:rPr>
              <w:t>，二氧化硫</w:t>
            </w:r>
            <w:r>
              <w:rPr>
                <w:sz w:val="24"/>
              </w:rPr>
              <w:t>年有组织排放量为</w:t>
            </w:r>
            <w:r>
              <w:rPr>
                <w:rFonts w:hint="eastAsia"/>
                <w:sz w:val="24"/>
              </w:rPr>
              <w:t>0.029</w:t>
            </w:r>
            <w:r>
              <w:rPr>
                <w:sz w:val="24"/>
              </w:rPr>
              <w:t>t/a</w:t>
            </w:r>
            <w:r>
              <w:rPr>
                <w:rFonts w:hint="eastAsia"/>
                <w:sz w:val="24"/>
              </w:rPr>
              <w:t>，氮氧化物</w:t>
            </w:r>
            <w:r>
              <w:rPr>
                <w:sz w:val="24"/>
              </w:rPr>
              <w:t>年有组织排放量为</w:t>
            </w:r>
            <w:r>
              <w:rPr>
                <w:rFonts w:hint="eastAsia"/>
                <w:sz w:val="24"/>
              </w:rPr>
              <w:t>0.022</w:t>
            </w:r>
            <w:r>
              <w:rPr>
                <w:sz w:val="24"/>
              </w:rPr>
              <w:t>t/a；</w:t>
            </w:r>
          </w:p>
          <w:p>
            <w:pPr>
              <w:adjustRightInd w:val="0"/>
              <w:spacing w:line="360" w:lineRule="auto"/>
              <w:ind w:firstLine="480" w:firstLineChars="200"/>
              <w:rPr>
                <w:sz w:val="24"/>
              </w:rPr>
            </w:pPr>
            <w:r>
              <w:rPr>
                <w:sz w:val="24"/>
              </w:rPr>
              <w:t>根据《关于印发&lt;山东省建设项目主要大气污染物排放总量替代指标核算及管理办法&gt;的通知》（鲁环发[2019]132号）2倍替代原则，拟建项目需要的总量指标为：</w:t>
            </w:r>
            <w:r>
              <w:rPr>
                <w:rFonts w:hint="eastAsia"/>
                <w:sz w:val="24"/>
              </w:rPr>
              <w:t>颗粒物 0.</w:t>
            </w:r>
            <w:r>
              <w:rPr>
                <w:rFonts w:hint="eastAsia"/>
                <w:sz w:val="24"/>
                <w:lang w:val="en-US" w:eastAsia="zh-CN"/>
              </w:rPr>
              <w:t>118</w:t>
            </w:r>
            <w:r>
              <w:rPr>
                <w:sz w:val="24"/>
              </w:rPr>
              <w:t>t/a</w:t>
            </w:r>
            <w:r>
              <w:rPr>
                <w:rFonts w:hint="eastAsia"/>
                <w:sz w:val="24"/>
              </w:rPr>
              <w:t>，二氧化硫0.058t/a，氮氧化物0.044t/a</w:t>
            </w:r>
            <w:r>
              <w:rPr>
                <w:sz w:val="24"/>
              </w:rPr>
              <w:t>。</w:t>
            </w:r>
          </w:p>
          <w:p>
            <w:pPr>
              <w:adjustRightInd w:val="0"/>
              <w:spacing w:line="360" w:lineRule="auto"/>
              <w:ind w:firstLine="420" w:firstLineChars="200"/>
              <w:rPr>
                <w:rFonts w:ascii="宋体" w:hAnsi="宋体" w:cs="宋体"/>
                <w:kern w:val="0"/>
                <w:szCs w:val="21"/>
              </w:rPr>
            </w:pPr>
            <w:r>
              <w:rPr>
                <w:rFonts w:hint="eastAsia" w:ascii="宋体" w:hAnsi="宋体" w:cs="宋体"/>
                <w:kern w:val="0"/>
                <w:szCs w:val="21"/>
              </w:rPr>
              <w:t xml:space="preserve">                                                                                                               </w:t>
            </w:r>
          </w:p>
        </w:tc>
      </w:tr>
    </w:tbl>
    <w:p>
      <w:pPr>
        <w:pStyle w:val="32"/>
        <w:spacing w:before="0" w:beforeAutospacing="0" w:after="0" w:afterAutospacing="0"/>
        <w:jc w:val="center"/>
        <w:outlineLvl w:val="0"/>
        <w:rPr>
          <w:rFonts w:ascii="黑体" w:hAnsi="黑体" w:eastAsia="黑体"/>
          <w:snapToGrid w:val="0"/>
          <w:sz w:val="21"/>
          <w:szCs w:val="21"/>
        </w:rPr>
      </w:pPr>
      <w:r>
        <w:rPr>
          <w:rFonts w:ascii="黑体" w:hAnsi="黑体" w:eastAsia="黑体"/>
          <w:snapToGrid w:val="0"/>
          <w:sz w:val="21"/>
          <w:szCs w:val="21"/>
        </w:rPr>
        <w:br w:type="page"/>
      </w:r>
      <w:r>
        <w:rPr>
          <w:rFonts w:hint="eastAsia" w:ascii="黑体" w:hAnsi="黑体" w:eastAsia="黑体"/>
          <w:snapToGrid w:val="0"/>
          <w:sz w:val="30"/>
          <w:szCs w:val="30"/>
        </w:rPr>
        <w:t>四、主要环境影响和保护措施</w:t>
      </w:r>
    </w:p>
    <w:tbl>
      <w:tblPr>
        <w:tblStyle w:val="35"/>
        <w:tblW w:w="98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4"/>
        <w:gridCol w:w="93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49" w:hRule="atLeast"/>
          <w:jc w:val="center"/>
        </w:trPr>
        <w:tc>
          <w:tcPr>
            <w:tcW w:w="514" w:type="dxa"/>
            <w:tcBorders>
              <w:tl2br w:val="nil"/>
              <w:tr2bl w:val="nil"/>
            </w:tcBorders>
            <w:tcMar>
              <w:left w:w="28" w:type="dxa"/>
              <w:right w:w="28" w:type="dxa"/>
            </w:tcMar>
            <w:vAlign w:val="center"/>
          </w:tcPr>
          <w:p>
            <w:pPr>
              <w:pStyle w:val="32"/>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施工</w:t>
            </w:r>
          </w:p>
          <w:p>
            <w:pPr>
              <w:pStyle w:val="32"/>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期环</w:t>
            </w:r>
          </w:p>
          <w:p>
            <w:pPr>
              <w:pStyle w:val="32"/>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境保</w:t>
            </w:r>
          </w:p>
          <w:p>
            <w:pPr>
              <w:pStyle w:val="32"/>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护措</w:t>
            </w:r>
          </w:p>
          <w:p>
            <w:pPr>
              <w:pStyle w:val="32"/>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1"/>
                <w:szCs w:val="21"/>
              </w:rPr>
              <w:t>施</w:t>
            </w:r>
          </w:p>
        </w:tc>
        <w:tc>
          <w:tcPr>
            <w:tcW w:w="9317" w:type="dxa"/>
            <w:tcBorders>
              <w:tl2br w:val="nil"/>
              <w:tr2bl w:val="nil"/>
            </w:tcBorders>
            <w:vAlign w:val="center"/>
          </w:tcPr>
          <w:p>
            <w:pPr>
              <w:adjustRightInd w:val="0"/>
              <w:snapToGrid w:val="0"/>
              <w:spacing w:line="360" w:lineRule="auto"/>
              <w:ind w:firstLine="480" w:firstLineChars="200"/>
              <w:rPr>
                <w:bCs/>
                <w:spacing w:val="-10"/>
                <w:szCs w:val="21"/>
              </w:rPr>
            </w:pPr>
            <w:r>
              <w:rPr>
                <w:color w:val="000000"/>
                <w:sz w:val="24"/>
                <w:szCs w:val="32"/>
              </w:rPr>
              <w:t>本项目租赁现有车间，仅进行内部设备安装和调试，施工期影响较小。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96" w:hRule="atLeast"/>
          <w:jc w:val="center"/>
        </w:trPr>
        <w:tc>
          <w:tcPr>
            <w:tcW w:w="514" w:type="dxa"/>
            <w:tcBorders>
              <w:tl2br w:val="nil"/>
              <w:tr2bl w:val="nil"/>
            </w:tcBorders>
            <w:tcMar>
              <w:left w:w="28" w:type="dxa"/>
              <w:right w:w="28" w:type="dxa"/>
            </w:tcMar>
            <w:vAlign w:val="center"/>
          </w:tcPr>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tc>
        <w:tc>
          <w:tcPr>
            <w:tcW w:w="9317" w:type="dxa"/>
            <w:tcBorders>
              <w:tl2br w:val="nil"/>
              <w:tr2bl w:val="nil"/>
            </w:tcBorders>
          </w:tcPr>
          <w:p>
            <w:pPr>
              <w:adjustRightInd w:val="0"/>
              <w:snapToGrid w:val="0"/>
              <w:spacing w:line="348" w:lineRule="auto"/>
              <w:ind w:firstLine="482" w:firstLineChars="200"/>
              <w:rPr>
                <w:b/>
                <w:bCs/>
                <w:sz w:val="24"/>
                <w:highlight w:val="yellow"/>
              </w:rPr>
            </w:pPr>
            <w:r>
              <w:rPr>
                <w:b/>
                <w:bCs/>
                <w:sz w:val="24"/>
              </w:rPr>
              <w:t>一、废气环境影响分析</w:t>
            </w:r>
          </w:p>
          <w:p>
            <w:pPr>
              <w:adjustRightInd w:val="0"/>
              <w:snapToGrid w:val="0"/>
              <w:spacing w:line="348" w:lineRule="auto"/>
              <w:ind w:firstLine="482" w:firstLineChars="200"/>
              <w:rPr>
                <w:b/>
                <w:bCs/>
                <w:sz w:val="24"/>
              </w:rPr>
            </w:pPr>
            <w:r>
              <w:rPr>
                <w:b/>
                <w:bCs/>
                <w:sz w:val="24"/>
              </w:rPr>
              <w:t>1、废气产生及排放情况</w:t>
            </w:r>
          </w:p>
          <w:p>
            <w:pPr>
              <w:adjustRightInd w:val="0"/>
              <w:snapToGrid w:val="0"/>
              <w:spacing w:line="348" w:lineRule="auto"/>
              <w:ind w:firstLine="480" w:firstLineChars="200"/>
              <w:rPr>
                <w:sz w:val="24"/>
              </w:rPr>
            </w:pPr>
            <w:r>
              <w:rPr>
                <w:sz w:val="24"/>
              </w:rPr>
              <w:t>根据工程分析，本项目营运期产生的大气污染物主要为上料，磨粉废气、造粒，筛分废气、包装废气、天然气燃烧及烘干废气，其中上料，磨粉废气、造粒，筛分废气、包装废气收集后经袋式除尘器处理后由15m排气筒DA001排出，天然气燃烧及烘干废气经袋式除尘器处理后由15m排气筒DA002排出，其余废气经降尘措施处理后无组织排放。</w:t>
            </w:r>
          </w:p>
          <w:p>
            <w:pPr>
              <w:adjustRightInd w:val="0"/>
              <w:snapToGrid w:val="0"/>
              <w:spacing w:line="348" w:lineRule="auto"/>
              <w:ind w:firstLine="482" w:firstLineChars="200"/>
              <w:rPr>
                <w:b/>
                <w:color w:val="000000"/>
                <w:sz w:val="24"/>
              </w:rPr>
            </w:pPr>
            <w:r>
              <w:rPr>
                <w:b/>
                <w:color w:val="000000"/>
                <w:sz w:val="24"/>
              </w:rPr>
              <w:t>（1）DA001排放口废气</w:t>
            </w:r>
          </w:p>
          <w:p>
            <w:pPr>
              <w:adjustRightInd w:val="0"/>
              <w:snapToGrid w:val="0"/>
              <w:spacing w:line="348" w:lineRule="auto"/>
              <w:ind w:firstLine="480" w:firstLineChars="200"/>
              <w:rPr>
                <w:bCs/>
                <w:color w:val="000000"/>
                <w:sz w:val="24"/>
              </w:rPr>
            </w:pPr>
            <w:r>
              <w:rPr>
                <w:bCs/>
                <w:color w:val="000000"/>
                <w:sz w:val="24"/>
              </w:rPr>
              <w:t>1）上料粉尘、磨粉粉尘</w:t>
            </w:r>
          </w:p>
          <w:p>
            <w:pPr>
              <w:adjustRightInd w:val="0"/>
              <w:snapToGrid w:val="0"/>
              <w:spacing w:line="348" w:lineRule="auto"/>
              <w:ind w:firstLine="480" w:firstLineChars="200"/>
              <w:rPr>
                <w:bCs/>
                <w:color w:val="000000"/>
                <w:sz w:val="24"/>
              </w:rPr>
            </w:pPr>
            <w:r>
              <w:rPr>
                <w:bCs/>
                <w:color w:val="000000"/>
                <w:sz w:val="24"/>
              </w:rPr>
              <w:t>项目原料为膨润土、水，在上料、磨粉过程中会产生粉尘。核算方法参照《污染源源强核算技术指南 准则》（HJ 884-2018）中推荐的产污系数法，产污系数参照《排放源统计调查产排污核算方法和系数手册》，“3099 其他非金属矿物制品制造行业系数手册  粉磨”，产污系数为1.19kg/吨-产品。膨润土上料粉尘、粉磨粉尘原料使用量约2000t/a，则上料粉尘、磨粉粉尘产生量约为2.38t/a，该工序通过集气罩+软帘收集引至布袋除尘器处理。</w:t>
            </w:r>
          </w:p>
          <w:p>
            <w:pPr>
              <w:adjustRightInd w:val="0"/>
              <w:snapToGrid w:val="0"/>
              <w:spacing w:line="348" w:lineRule="auto"/>
              <w:ind w:firstLine="480" w:firstLineChars="200"/>
              <w:rPr>
                <w:bCs/>
                <w:color w:val="000000"/>
                <w:sz w:val="24"/>
              </w:rPr>
            </w:pPr>
            <w:r>
              <w:rPr>
                <w:bCs/>
                <w:color w:val="000000"/>
                <w:sz w:val="24"/>
              </w:rPr>
              <w:t>2）造粒、筛分废气</w:t>
            </w:r>
          </w:p>
          <w:p>
            <w:pPr>
              <w:adjustRightInd w:val="0"/>
              <w:snapToGrid w:val="0"/>
              <w:spacing w:line="348" w:lineRule="auto"/>
              <w:ind w:firstLine="480" w:firstLineChars="200"/>
              <w:rPr>
                <w:bCs/>
                <w:color w:val="000000"/>
                <w:sz w:val="24"/>
              </w:rPr>
            </w:pPr>
            <w:r>
              <w:rPr>
                <w:bCs/>
                <w:color w:val="000000"/>
                <w:sz w:val="24"/>
              </w:rPr>
              <w:t>项目造粒、筛分工序均在密闭设备中进行，在造粒、筛分过程中会产生粉尘废气。核算方法参照《污染源源强核算技术指南 准则》（HJ 884-2018）中推荐的产污系数法，产污系数参照《排放源统计调查产排污核算方法和系数手册》，“3099 其他非金属矿物制品制造行业系数手册  筛分”，产污系数为1.13kg/吨-产品，生产车间膨润土加工原料使用量约2000t/a，则筛分粉尘产生量约为2.26t/a。该工序通过密闭管道收集后引至布袋除尘器处理。</w:t>
            </w:r>
          </w:p>
          <w:p>
            <w:pPr>
              <w:adjustRightInd w:val="0"/>
              <w:snapToGrid w:val="0"/>
              <w:spacing w:line="348" w:lineRule="auto"/>
              <w:ind w:firstLine="480" w:firstLineChars="200"/>
              <w:rPr>
                <w:bCs/>
                <w:color w:val="000000"/>
                <w:sz w:val="24"/>
              </w:rPr>
            </w:pPr>
            <w:r>
              <w:rPr>
                <w:bCs/>
                <w:color w:val="000000"/>
                <w:sz w:val="24"/>
              </w:rPr>
              <w:t>3）产品包装废气</w:t>
            </w:r>
          </w:p>
          <w:p>
            <w:pPr>
              <w:adjustRightInd w:val="0"/>
              <w:snapToGrid w:val="0"/>
              <w:spacing w:line="348" w:lineRule="auto"/>
              <w:ind w:firstLine="480" w:firstLineChars="200"/>
              <w:rPr>
                <w:bCs/>
                <w:color w:val="000000"/>
                <w:sz w:val="24"/>
              </w:rPr>
            </w:pPr>
            <w:r>
              <w:rPr>
                <w:bCs/>
                <w:color w:val="000000"/>
                <w:sz w:val="24"/>
              </w:rPr>
              <w:t>项目膨润土颗粒包装过程中颗粒物，产生量参考《逸散性工业粉尘控制技术》水泥生产中装料系数，包装过程产尘系数为0.118kg/t产品，项目年生产产品合计为2000t/a，产生的颗粒物为0.236t/a。该工序出料口设置密封圈，在包装袋内部撑圆包装袋口，使之与包装袋外的箍圈紧密贴合，使包装袋与包装机间形成密闭环境，保证粉尘不扩散，包装时产生的呼吸粉尘经呼吸口由管道引至布袋除尘器处理。</w:t>
            </w:r>
          </w:p>
          <w:p>
            <w:pPr>
              <w:spacing w:line="360" w:lineRule="auto"/>
              <w:ind w:firstLine="482" w:firstLineChars="200"/>
              <w:rPr>
                <w:b/>
                <w:bCs/>
                <w:color w:val="000000"/>
                <w:sz w:val="24"/>
              </w:rPr>
            </w:pPr>
            <w:r>
              <w:rPr>
                <w:b/>
                <w:bCs/>
                <w:color w:val="000000"/>
                <w:sz w:val="24"/>
              </w:rPr>
              <w:t>风量核算：</w:t>
            </w:r>
          </w:p>
          <w:p>
            <w:pPr>
              <w:spacing w:line="360" w:lineRule="auto"/>
              <w:ind w:firstLine="480" w:firstLineChars="200"/>
              <w:rPr>
                <w:color w:val="000000"/>
                <w:sz w:val="24"/>
              </w:rPr>
            </w:pPr>
            <w:r>
              <w:rPr>
                <w:color w:val="000000"/>
                <w:sz w:val="24"/>
              </w:rPr>
              <w:t>根据企业提供的参数，车间内设5个集气罩，其中1个磨粉上料口</w:t>
            </w:r>
            <w:r>
              <w:rPr>
                <w:rFonts w:hint="eastAsia"/>
                <w:color w:val="000000"/>
                <w:sz w:val="24"/>
              </w:rPr>
              <w:t>上方</w:t>
            </w:r>
            <w:r>
              <w:rPr>
                <w:color w:val="000000"/>
                <w:sz w:val="24"/>
              </w:rPr>
              <w:t>集气罩规格设置为1.5m×1.8m；包装废气及造粒废气</w:t>
            </w:r>
            <w:r>
              <w:rPr>
                <w:rFonts w:hint="eastAsia"/>
                <w:color w:val="000000"/>
                <w:sz w:val="24"/>
              </w:rPr>
              <w:t>在物料出口设置</w:t>
            </w:r>
            <w:r>
              <w:rPr>
                <w:color w:val="000000"/>
                <w:sz w:val="24"/>
              </w:rPr>
              <w:t>集气罩共3个，规格均设置为0.7m×1.0m；1个筛分废气集气罩设置在设备上方，规格设置为2.0m×2.0m</w:t>
            </w:r>
          </w:p>
          <w:p>
            <w:pPr>
              <w:spacing w:line="360" w:lineRule="auto"/>
              <w:ind w:firstLine="480" w:firstLineChars="200"/>
              <w:rPr>
                <w:color w:val="000000"/>
                <w:sz w:val="24"/>
              </w:rPr>
            </w:pPr>
            <w:r>
              <w:rPr>
                <w:color w:val="000000"/>
                <w:sz w:val="24"/>
              </w:rPr>
              <w:t>结合生产车间产污工段的规格大小和《环境工程设计手册》中的有关公式，根据以下经验公式计算得出治污设备所需的风量（L）。</w:t>
            </w:r>
          </w:p>
          <w:p>
            <w:pPr>
              <w:spacing w:line="360" w:lineRule="auto"/>
              <w:ind w:firstLine="480" w:firstLineChars="200"/>
              <w:jc w:val="center"/>
              <w:rPr>
                <w:color w:val="000000"/>
                <w:sz w:val="24"/>
              </w:rPr>
            </w:pPr>
            <w:r>
              <w:rPr>
                <w:color w:val="000000"/>
                <w:sz w:val="24"/>
              </w:rPr>
              <w:t>L=3600（5X</w:t>
            </w:r>
            <w:r>
              <w:rPr>
                <w:color w:val="000000"/>
                <w:sz w:val="24"/>
                <w:vertAlign w:val="superscript"/>
              </w:rPr>
              <w:t>2</w:t>
            </w:r>
            <w:r>
              <w:rPr>
                <w:color w:val="000000"/>
                <w:sz w:val="24"/>
              </w:rPr>
              <w:t>+F）×Vx</w:t>
            </w:r>
          </w:p>
          <w:p>
            <w:pPr>
              <w:spacing w:line="360" w:lineRule="auto"/>
              <w:ind w:firstLine="480" w:firstLineChars="200"/>
              <w:rPr>
                <w:color w:val="000000"/>
                <w:sz w:val="24"/>
              </w:rPr>
            </w:pPr>
            <w:r>
              <w:rPr>
                <w:color w:val="000000"/>
                <w:sz w:val="24"/>
              </w:rPr>
              <w:t>其中：X—集气罩至污染源的距离，m；本项目取0.4m；</w:t>
            </w:r>
          </w:p>
          <w:p>
            <w:pPr>
              <w:spacing w:line="360" w:lineRule="auto"/>
              <w:ind w:firstLine="480" w:firstLineChars="200"/>
              <w:rPr>
                <w:color w:val="000000"/>
                <w:sz w:val="24"/>
              </w:rPr>
            </w:pPr>
            <w:r>
              <w:rPr>
                <w:color w:val="000000"/>
                <w:sz w:val="24"/>
              </w:rPr>
              <w:t>F—集气罩口面积m</w:t>
            </w:r>
            <w:r>
              <w:rPr>
                <w:color w:val="000000"/>
                <w:sz w:val="24"/>
                <w:vertAlign w:val="superscript"/>
              </w:rPr>
              <w:t>2</w:t>
            </w:r>
            <w:r>
              <w:rPr>
                <w:color w:val="000000"/>
                <w:sz w:val="24"/>
              </w:rPr>
              <w:t>；</w:t>
            </w:r>
          </w:p>
          <w:p>
            <w:pPr>
              <w:spacing w:line="360" w:lineRule="auto"/>
              <w:ind w:firstLine="480" w:firstLineChars="200"/>
              <w:rPr>
                <w:color w:val="000000"/>
                <w:sz w:val="24"/>
              </w:rPr>
            </w:pPr>
            <w:r>
              <w:rPr>
                <w:color w:val="000000"/>
                <w:sz w:val="24"/>
              </w:rPr>
              <w:t>V</w:t>
            </w:r>
            <w:r>
              <w:rPr>
                <w:color w:val="000000"/>
                <w:sz w:val="24"/>
                <w:vertAlign w:val="subscript"/>
              </w:rPr>
              <w:t>X</w:t>
            </w:r>
            <w:r>
              <w:rPr>
                <w:color w:val="000000"/>
                <w:sz w:val="24"/>
              </w:rPr>
              <w:t>—控制风速，m/s；本项目取0.4m/s。</w:t>
            </w:r>
          </w:p>
          <w:p>
            <w:pPr>
              <w:adjustRightInd w:val="0"/>
              <w:snapToGrid w:val="0"/>
              <w:spacing w:line="348" w:lineRule="auto"/>
              <w:ind w:firstLine="480" w:firstLineChars="200"/>
              <w:rPr>
                <w:sz w:val="24"/>
              </w:rPr>
            </w:pPr>
            <w:r>
              <w:rPr>
                <w:color w:val="000000"/>
                <w:sz w:val="24"/>
              </w:rPr>
              <w:t>经计算，风机合计所需风量为13824m</w:t>
            </w:r>
            <w:r>
              <w:rPr>
                <w:color w:val="000000"/>
                <w:sz w:val="24"/>
                <w:vertAlign w:val="superscript"/>
              </w:rPr>
              <w:t>3</w:t>
            </w:r>
            <w:r>
              <w:rPr>
                <w:color w:val="000000"/>
                <w:sz w:val="24"/>
              </w:rPr>
              <w:t>/h，考虑漏风损失，设计风量为15000m</w:t>
            </w:r>
            <w:r>
              <w:rPr>
                <w:color w:val="000000"/>
                <w:sz w:val="24"/>
                <w:vertAlign w:val="superscript"/>
              </w:rPr>
              <w:t>3</w:t>
            </w:r>
            <w:r>
              <w:rPr>
                <w:color w:val="000000"/>
                <w:sz w:val="24"/>
              </w:rPr>
              <w:t>/h；</w:t>
            </w:r>
          </w:p>
          <w:p>
            <w:pPr>
              <w:adjustRightInd w:val="0"/>
              <w:snapToGrid w:val="0"/>
              <w:spacing w:line="348" w:lineRule="auto"/>
              <w:ind w:firstLine="480" w:firstLineChars="200"/>
              <w:rPr>
                <w:bCs/>
                <w:color w:val="000000"/>
                <w:sz w:val="24"/>
              </w:rPr>
            </w:pPr>
            <w:r>
              <w:rPr>
                <w:sz w:val="24"/>
              </w:rPr>
              <w:t>根据前文分析，项目上料，磨粉废气、造粒，筛分废气、包装废气颗粒物产生量为4.876t/a，风机风量为15000m³/h，收集效率按90%计，处理效率按9</w:t>
            </w:r>
            <w:r>
              <w:rPr>
                <w:rFonts w:hint="eastAsia"/>
                <w:sz w:val="24"/>
                <w:lang w:val="en-US" w:eastAsia="zh-CN"/>
              </w:rPr>
              <w:t>9</w:t>
            </w:r>
            <w:r>
              <w:rPr>
                <w:sz w:val="24"/>
              </w:rPr>
              <w:t>%计，则颗粒物产生速率为2.03kg/h，产生浓度为135.33mg/m³，经袋式除尘器处理后颗粒物有组织排放量约为0.</w:t>
            </w:r>
            <w:r>
              <w:rPr>
                <w:rFonts w:hint="eastAsia"/>
                <w:sz w:val="24"/>
                <w:lang w:val="en-US" w:eastAsia="zh-CN"/>
              </w:rPr>
              <w:t>044</w:t>
            </w:r>
            <w:r>
              <w:rPr>
                <w:sz w:val="24"/>
              </w:rPr>
              <w:t>t/a，排放速率为0.0</w:t>
            </w:r>
            <w:r>
              <w:rPr>
                <w:rFonts w:hint="eastAsia"/>
                <w:sz w:val="24"/>
                <w:lang w:val="en-US" w:eastAsia="zh-CN"/>
              </w:rPr>
              <w:t>18</w:t>
            </w:r>
            <w:r>
              <w:rPr>
                <w:sz w:val="24"/>
              </w:rPr>
              <w:t>kg/h，排放浓度为</w:t>
            </w:r>
            <w:r>
              <w:rPr>
                <w:rFonts w:hint="eastAsia"/>
                <w:sz w:val="24"/>
                <w:lang w:val="en-US" w:eastAsia="zh-CN"/>
              </w:rPr>
              <w:t>1.2</w:t>
            </w:r>
            <w:r>
              <w:rPr>
                <w:sz w:val="24"/>
              </w:rPr>
              <w:t>mg/m³。颗粒物有组织排放浓度满足《区域性大气污染物综合排放标准》（DB37/2376-2019）表1中一般控制区排放浓度限值，排放速率满足《大气污染物综合排放标准》(GB16297-1996)表2中的标准要求。</w:t>
            </w:r>
          </w:p>
          <w:p>
            <w:pPr>
              <w:adjustRightInd w:val="0"/>
              <w:snapToGrid w:val="0"/>
              <w:spacing w:line="348" w:lineRule="auto"/>
              <w:ind w:firstLine="482" w:firstLineChars="200"/>
              <w:rPr>
                <w:b/>
                <w:color w:val="000000"/>
                <w:sz w:val="24"/>
              </w:rPr>
            </w:pPr>
            <w:r>
              <w:rPr>
                <w:b/>
                <w:color w:val="000000"/>
                <w:sz w:val="24"/>
              </w:rPr>
              <w:t>（2）DA002排放口废气</w:t>
            </w:r>
          </w:p>
          <w:p>
            <w:pPr>
              <w:adjustRightInd w:val="0"/>
              <w:snapToGrid w:val="0"/>
              <w:spacing w:line="348" w:lineRule="auto"/>
              <w:ind w:firstLine="480" w:firstLineChars="200"/>
              <w:rPr>
                <w:bCs/>
                <w:color w:val="000000"/>
                <w:sz w:val="24"/>
              </w:rPr>
            </w:pPr>
            <w:r>
              <w:rPr>
                <w:bCs/>
                <w:color w:val="000000"/>
                <w:sz w:val="24"/>
              </w:rPr>
              <w:t>天然气燃烧及烘干废气</w:t>
            </w:r>
          </w:p>
          <w:p>
            <w:pPr>
              <w:pStyle w:val="22"/>
              <w:tabs>
                <w:tab w:val="left" w:pos="360"/>
                <w:tab w:val="left" w:pos="540"/>
              </w:tabs>
              <w:ind w:left="0" w:firstLine="480" w:firstLineChars="200"/>
              <w:rPr>
                <w:rFonts w:ascii="Times New Roman"/>
              </w:rPr>
            </w:pPr>
            <w:r>
              <w:rPr>
                <w:rFonts w:ascii="Times New Roman"/>
              </w:rPr>
              <w:t>烘干机滚筒运转时原料随着滚筒的转动翻转，翻转过程会产生一定量的粉尘，产污系数参照《排放源统计调查产排污核算方法和系数手册》，“3099 其他非金属矿物制品制造行业系数手册  干燥”，产污系数为0.763kg/吨-产品，膨润土颗粒加工量约2000t/a，则烘干粉尘产生量约为1.526t/a。该工序处于封闭设备内由管道引至布袋除尘器处理。</w:t>
            </w:r>
          </w:p>
          <w:p>
            <w:pPr>
              <w:spacing w:line="360" w:lineRule="auto"/>
              <w:ind w:firstLine="480" w:firstLineChars="200"/>
              <w:rPr>
                <w:sz w:val="24"/>
              </w:rPr>
            </w:pPr>
            <w:r>
              <w:rPr>
                <w:sz w:val="24"/>
              </w:rPr>
              <w:t>本项目烘干热源</w:t>
            </w:r>
            <w:r>
              <w:rPr>
                <w:rFonts w:hint="eastAsia"/>
                <w:sz w:val="24"/>
              </w:rPr>
              <w:t>由</w:t>
            </w:r>
            <w:r>
              <w:rPr>
                <w:sz w:val="24"/>
              </w:rPr>
              <w:t>1台天然气热风炉供给，天然气用量为</w:t>
            </w:r>
            <w:r>
              <w:rPr>
                <w:rFonts w:hint="eastAsia"/>
                <w:sz w:val="24"/>
              </w:rPr>
              <w:t>30m³/h（</w:t>
            </w:r>
            <w:r>
              <w:rPr>
                <w:sz w:val="24"/>
              </w:rPr>
              <w:t>7.2万m³</w:t>
            </w:r>
            <w:r>
              <w:rPr>
                <w:rFonts w:hint="eastAsia"/>
                <w:sz w:val="24"/>
              </w:rPr>
              <w:t>/a）</w:t>
            </w:r>
            <w:r>
              <w:rPr>
                <w:sz w:val="24"/>
              </w:rPr>
              <w:t>。根据《排污许可证申请与核发技术规范 工业炉窑》（HJ1121-2020）表14，确定热风炉烟气中主要污染物为颗粒物、二氧化硫和氮氧化物。由于目前无工业炉窑源强核算指南，因此本项目</w:t>
            </w:r>
            <w:r>
              <w:rPr>
                <w:bCs/>
                <w:sz w:val="24"/>
              </w:rPr>
              <w:t>参照</w:t>
            </w:r>
            <w:r>
              <w:rPr>
                <w:sz w:val="24"/>
              </w:rPr>
              <w:t>《排放源统计调查产排污核算方法和系数手册》（4430工业锅炉（热力生产和供应行业）产排污系数表-燃气工业锅炉）计算，NO</w:t>
            </w:r>
            <w:r>
              <w:rPr>
                <w:sz w:val="24"/>
                <w:vertAlign w:val="subscript"/>
              </w:rPr>
              <w:t>X</w:t>
            </w:r>
            <w:r>
              <w:rPr>
                <w:sz w:val="24"/>
              </w:rPr>
              <w:t>产污系数为3.03kg/万m</w:t>
            </w:r>
            <w:r>
              <w:rPr>
                <w:sz w:val="24"/>
                <w:vertAlign w:val="superscript"/>
              </w:rPr>
              <w:t>3</w:t>
            </w:r>
            <w:r>
              <w:rPr>
                <w:sz w:val="24"/>
              </w:rPr>
              <w:t>-原料（低氮燃烧器）；SO</w:t>
            </w:r>
            <w:r>
              <w:rPr>
                <w:sz w:val="24"/>
                <w:vertAlign w:val="subscript"/>
              </w:rPr>
              <w:t>2</w:t>
            </w:r>
            <w:r>
              <w:rPr>
                <w:sz w:val="24"/>
              </w:rPr>
              <w:t>产污系数为0.02Skg/万m</w:t>
            </w:r>
            <w:r>
              <w:rPr>
                <w:sz w:val="24"/>
                <w:vertAlign w:val="superscript"/>
              </w:rPr>
              <w:t>3</w:t>
            </w:r>
            <w:r>
              <w:rPr>
                <w:sz w:val="24"/>
              </w:rPr>
              <w:t>-原料（S为含硫量，以200mg/m</w:t>
            </w:r>
            <w:r>
              <w:rPr>
                <w:sz w:val="24"/>
                <w:vertAlign w:val="superscript"/>
              </w:rPr>
              <w:t>3</w:t>
            </w:r>
            <w:r>
              <w:rPr>
                <w:sz w:val="24"/>
              </w:rPr>
              <w:t>计）；工业废气量产污系数为107753 Nm</w:t>
            </w:r>
            <w:r>
              <w:rPr>
                <w:sz w:val="24"/>
                <w:vertAlign w:val="superscript"/>
              </w:rPr>
              <w:t>3</w:t>
            </w:r>
            <w:r>
              <w:rPr>
                <w:sz w:val="24"/>
              </w:rPr>
              <w:t>/万m</w:t>
            </w:r>
            <w:r>
              <w:rPr>
                <w:sz w:val="24"/>
                <w:vertAlign w:val="superscript"/>
              </w:rPr>
              <w:t>3</w:t>
            </w:r>
            <w:r>
              <w:rPr>
                <w:sz w:val="24"/>
              </w:rPr>
              <w:t>-原料，可知，工业废气量约为77.58万m</w:t>
            </w:r>
            <w:r>
              <w:rPr>
                <w:sz w:val="24"/>
                <w:vertAlign w:val="superscript"/>
              </w:rPr>
              <w:t>3</w:t>
            </w:r>
            <w:r>
              <w:rPr>
                <w:sz w:val="24"/>
              </w:rPr>
              <w:t>/a（约合645m³/h）；SO</w:t>
            </w:r>
            <w:r>
              <w:rPr>
                <w:sz w:val="24"/>
                <w:vertAlign w:val="subscript"/>
              </w:rPr>
              <w:t>2</w:t>
            </w:r>
            <w:r>
              <w:rPr>
                <w:sz w:val="24"/>
              </w:rPr>
              <w:t>的产生量为0.029t/a，</w:t>
            </w:r>
            <w:r>
              <w:rPr>
                <w:bCs/>
                <w:sz w:val="24"/>
              </w:rPr>
              <w:t>产生速率为</w:t>
            </w:r>
            <w:r>
              <w:rPr>
                <w:sz w:val="24"/>
              </w:rPr>
              <w:t>0.012kg/h</w:t>
            </w:r>
            <w:r>
              <w:rPr>
                <w:bCs/>
                <w:sz w:val="24"/>
              </w:rPr>
              <w:t>，</w:t>
            </w:r>
            <w:r>
              <w:rPr>
                <w:sz w:val="24"/>
              </w:rPr>
              <w:t>产生浓度为18.6mg/m</w:t>
            </w:r>
            <w:r>
              <w:rPr>
                <w:sz w:val="24"/>
                <w:vertAlign w:val="superscript"/>
              </w:rPr>
              <w:t>3</w:t>
            </w:r>
            <w:r>
              <w:rPr>
                <w:sz w:val="24"/>
              </w:rPr>
              <w:t>；</w:t>
            </w:r>
            <w:r>
              <w:rPr>
                <w:rFonts w:hint="eastAsia"/>
                <w:sz w:val="24"/>
              </w:rPr>
              <w:t>烘干炉</w:t>
            </w:r>
            <w:r>
              <w:rPr>
                <w:sz w:val="24"/>
              </w:rPr>
              <w:t>采用低氮燃烧器，NO</w:t>
            </w:r>
            <w:r>
              <w:rPr>
                <w:sz w:val="24"/>
                <w:vertAlign w:val="subscript"/>
              </w:rPr>
              <w:t>X</w:t>
            </w:r>
            <w:r>
              <w:rPr>
                <w:sz w:val="24"/>
              </w:rPr>
              <w:t>的产生量为0.022t/a，</w:t>
            </w:r>
            <w:r>
              <w:rPr>
                <w:rFonts w:hint="eastAsia"/>
                <w:bCs/>
                <w:sz w:val="24"/>
              </w:rPr>
              <w:t>产生</w:t>
            </w:r>
            <w:r>
              <w:rPr>
                <w:bCs/>
                <w:sz w:val="24"/>
              </w:rPr>
              <w:t>速率为</w:t>
            </w:r>
            <w:r>
              <w:rPr>
                <w:sz w:val="24"/>
              </w:rPr>
              <w:t>0.009kg/h，</w:t>
            </w:r>
            <w:r>
              <w:rPr>
                <w:rFonts w:hint="eastAsia"/>
                <w:sz w:val="24"/>
              </w:rPr>
              <w:t>产生</w:t>
            </w:r>
            <w:r>
              <w:rPr>
                <w:sz w:val="24"/>
              </w:rPr>
              <w:t>浓度为13.95mg/m</w:t>
            </w:r>
            <w:r>
              <w:rPr>
                <w:sz w:val="24"/>
                <w:vertAlign w:val="superscript"/>
              </w:rPr>
              <w:t>3</w:t>
            </w:r>
            <w:r>
              <w:rPr>
                <w:sz w:val="24"/>
              </w:rPr>
              <w:t>。</w:t>
            </w:r>
            <w:r>
              <w:rPr>
                <w:bCs/>
                <w:sz w:val="24"/>
              </w:rPr>
              <w:t>天然气燃烧产生烟尘按</w:t>
            </w:r>
            <w:r>
              <w:rPr>
                <w:sz w:val="24"/>
              </w:rPr>
              <w:t>103.9mg/m</w:t>
            </w:r>
            <w:r>
              <w:rPr>
                <w:sz w:val="24"/>
                <w:vertAlign w:val="superscript"/>
              </w:rPr>
              <w:t>3</w:t>
            </w:r>
            <w:r>
              <w:rPr>
                <w:sz w:val="24"/>
              </w:rPr>
              <w:t>-原料计算。则烟尘的产生量为0.0075t/a，</w:t>
            </w:r>
            <w:r>
              <w:rPr>
                <w:bCs/>
                <w:sz w:val="24"/>
              </w:rPr>
              <w:t>产生速率为</w:t>
            </w:r>
            <w:r>
              <w:rPr>
                <w:sz w:val="24"/>
              </w:rPr>
              <w:t>0.0031kg/h</w:t>
            </w:r>
            <w:r>
              <w:rPr>
                <w:bCs/>
                <w:sz w:val="24"/>
              </w:rPr>
              <w:t>，</w:t>
            </w:r>
            <w:r>
              <w:rPr>
                <w:sz w:val="24"/>
              </w:rPr>
              <w:t>产生浓度为4.8mg/m</w:t>
            </w:r>
            <w:r>
              <w:rPr>
                <w:sz w:val="24"/>
                <w:vertAlign w:val="superscript"/>
              </w:rPr>
              <w:t>3</w:t>
            </w:r>
            <w:r>
              <w:rPr>
                <w:sz w:val="24"/>
              </w:rPr>
              <w:t>。</w:t>
            </w:r>
          </w:p>
          <w:p>
            <w:pPr>
              <w:spacing w:line="360" w:lineRule="auto"/>
              <w:ind w:firstLine="480" w:firstLineChars="200"/>
              <w:rPr>
                <w:sz w:val="24"/>
              </w:rPr>
            </w:pPr>
            <w:r>
              <w:rPr>
                <w:sz w:val="24"/>
              </w:rPr>
              <w:t>烘干废气及天然气燃烧废气经引风机输送至袋式除尘器处理，风机风量为2000m³/h，处理后由15m排气筒DA002排出，生产过程设备密闭，收集效率为100%，根据前文分析，废气量为2645m³/h（天然气燃烧烟气量为645m³/h，引风机设计风量为2000m³/h），颗粒物</w:t>
            </w:r>
            <w:r>
              <w:rPr>
                <w:rFonts w:hint="eastAsia"/>
                <w:sz w:val="24"/>
              </w:rPr>
              <w:t>收集量</w:t>
            </w:r>
            <w:r>
              <w:rPr>
                <w:sz w:val="24"/>
              </w:rPr>
              <w:t>约为1.5335t/a，速率0.639kg/h，浓度241.59mg/m</w:t>
            </w:r>
            <w:r>
              <w:rPr>
                <w:sz w:val="24"/>
                <w:vertAlign w:val="superscript"/>
              </w:rPr>
              <w:t>3</w:t>
            </w:r>
            <w:r>
              <w:rPr>
                <w:sz w:val="24"/>
              </w:rPr>
              <w:t>；二氧化硫</w:t>
            </w:r>
            <w:r>
              <w:rPr>
                <w:rFonts w:hint="eastAsia"/>
                <w:sz w:val="24"/>
              </w:rPr>
              <w:t>收集</w:t>
            </w:r>
            <w:r>
              <w:rPr>
                <w:sz w:val="24"/>
              </w:rPr>
              <w:t>量为0.029t/a，速率0.012kg/h，浓度4.54mg/m</w:t>
            </w:r>
            <w:r>
              <w:rPr>
                <w:sz w:val="24"/>
                <w:vertAlign w:val="superscript"/>
              </w:rPr>
              <w:t>3</w:t>
            </w:r>
            <w:r>
              <w:rPr>
                <w:sz w:val="24"/>
              </w:rPr>
              <w:t>；氮氧化物</w:t>
            </w:r>
            <w:r>
              <w:rPr>
                <w:rFonts w:hint="eastAsia"/>
                <w:sz w:val="24"/>
              </w:rPr>
              <w:t>收集</w:t>
            </w:r>
            <w:r>
              <w:rPr>
                <w:sz w:val="24"/>
              </w:rPr>
              <w:t>量为0.022t/a，速率0.009kg/h，浓度3.4mg/m</w:t>
            </w:r>
            <w:r>
              <w:rPr>
                <w:sz w:val="24"/>
                <w:vertAlign w:val="superscript"/>
              </w:rPr>
              <w:t>3</w:t>
            </w:r>
            <w:r>
              <w:rPr>
                <w:sz w:val="24"/>
              </w:rPr>
              <w:t>；颗粒物处理效率</w:t>
            </w:r>
            <w:r>
              <w:rPr>
                <w:rFonts w:hint="eastAsia"/>
                <w:sz w:val="24"/>
              </w:rPr>
              <w:t>按</w:t>
            </w:r>
            <w:r>
              <w:rPr>
                <w:rFonts w:hint="eastAsia"/>
                <w:sz w:val="24"/>
                <w:lang w:eastAsia="zh-CN"/>
              </w:rPr>
              <w:t>99%</w:t>
            </w:r>
            <w:r>
              <w:rPr>
                <w:rFonts w:hint="eastAsia"/>
                <w:sz w:val="24"/>
              </w:rPr>
              <w:t>计，</w:t>
            </w:r>
            <w:r>
              <w:rPr>
                <w:sz w:val="24"/>
              </w:rPr>
              <w:t>则烘干</w:t>
            </w:r>
            <w:r>
              <w:rPr>
                <w:rFonts w:hint="eastAsia"/>
                <w:sz w:val="24"/>
              </w:rPr>
              <w:t>废气</w:t>
            </w:r>
            <w:r>
              <w:rPr>
                <w:sz w:val="24"/>
              </w:rPr>
              <w:t>、燃烧废气颗粒物有组织排放量为</w:t>
            </w:r>
            <w:r>
              <w:rPr>
                <w:rFonts w:hint="eastAsia"/>
                <w:sz w:val="24"/>
              </w:rPr>
              <w:t>0.0</w:t>
            </w:r>
            <w:r>
              <w:rPr>
                <w:rFonts w:hint="eastAsia"/>
                <w:sz w:val="24"/>
                <w:lang w:val="en-US" w:eastAsia="zh-CN"/>
              </w:rPr>
              <w:t>153</w:t>
            </w:r>
            <w:r>
              <w:rPr>
                <w:sz w:val="24"/>
              </w:rPr>
              <w:t>t/a，排放速率为</w:t>
            </w:r>
            <w:r>
              <w:rPr>
                <w:rFonts w:hint="eastAsia"/>
                <w:sz w:val="24"/>
              </w:rPr>
              <w:t>0.0</w:t>
            </w:r>
            <w:r>
              <w:rPr>
                <w:rFonts w:hint="eastAsia"/>
                <w:sz w:val="24"/>
                <w:lang w:val="en-US" w:eastAsia="zh-CN"/>
              </w:rPr>
              <w:t>06</w:t>
            </w:r>
            <w:r>
              <w:rPr>
                <w:sz w:val="24"/>
              </w:rPr>
              <w:t>kg/h</w:t>
            </w:r>
            <w:r>
              <w:rPr>
                <w:rFonts w:hint="eastAsia"/>
                <w:sz w:val="24"/>
              </w:rPr>
              <w:t>，</w:t>
            </w:r>
            <w:r>
              <w:rPr>
                <w:sz w:val="24"/>
              </w:rPr>
              <w:t>排放浓度为</w:t>
            </w:r>
            <w:r>
              <w:rPr>
                <w:rFonts w:hint="eastAsia"/>
                <w:sz w:val="24"/>
                <w:lang w:val="en-US" w:eastAsia="zh-CN"/>
              </w:rPr>
              <w:t>2.27</w:t>
            </w:r>
            <w:r>
              <w:rPr>
                <w:sz w:val="24"/>
              </w:rPr>
              <w:t>mg/m³，二氧化硫排放量为0.02</w:t>
            </w:r>
            <w:r>
              <w:rPr>
                <w:rFonts w:hint="eastAsia"/>
                <w:sz w:val="24"/>
              </w:rPr>
              <w:t>9</w:t>
            </w:r>
            <w:r>
              <w:rPr>
                <w:sz w:val="24"/>
              </w:rPr>
              <w:t>t/a</w:t>
            </w:r>
            <w:r>
              <w:rPr>
                <w:rFonts w:hint="eastAsia"/>
                <w:sz w:val="24"/>
              </w:rPr>
              <w:t>，</w:t>
            </w:r>
            <w:r>
              <w:rPr>
                <w:sz w:val="24"/>
              </w:rPr>
              <w:t>排放速率0.0</w:t>
            </w:r>
            <w:r>
              <w:rPr>
                <w:rFonts w:hint="eastAsia"/>
                <w:sz w:val="24"/>
              </w:rPr>
              <w:t>12</w:t>
            </w:r>
            <w:r>
              <w:rPr>
                <w:sz w:val="24"/>
              </w:rPr>
              <w:t>kg/h，排放浓度4.54mg/m</w:t>
            </w:r>
            <w:r>
              <w:rPr>
                <w:sz w:val="24"/>
                <w:vertAlign w:val="superscript"/>
              </w:rPr>
              <w:t>3</w:t>
            </w:r>
            <w:r>
              <w:rPr>
                <w:sz w:val="24"/>
              </w:rPr>
              <w:t>；氮氧化物排放量为0.0</w:t>
            </w:r>
            <w:r>
              <w:rPr>
                <w:rFonts w:hint="eastAsia"/>
                <w:sz w:val="24"/>
              </w:rPr>
              <w:t>22</w:t>
            </w:r>
            <w:r>
              <w:rPr>
                <w:sz w:val="24"/>
              </w:rPr>
              <w:t>t/a，排放速率0.00</w:t>
            </w:r>
            <w:r>
              <w:rPr>
                <w:rFonts w:hint="eastAsia"/>
                <w:sz w:val="24"/>
              </w:rPr>
              <w:t>9</w:t>
            </w:r>
            <w:r>
              <w:rPr>
                <w:sz w:val="24"/>
              </w:rPr>
              <w:t>kg/h，排放浓度</w:t>
            </w:r>
            <w:r>
              <w:rPr>
                <w:rFonts w:hint="eastAsia"/>
                <w:sz w:val="24"/>
              </w:rPr>
              <w:t>3.4</w:t>
            </w:r>
            <w:r>
              <w:rPr>
                <w:sz w:val="24"/>
              </w:rPr>
              <w:t>mg/m</w:t>
            </w:r>
            <w:r>
              <w:rPr>
                <w:sz w:val="24"/>
                <w:vertAlign w:val="superscript"/>
              </w:rPr>
              <w:t>3</w:t>
            </w:r>
            <w:r>
              <w:rPr>
                <w:sz w:val="24"/>
              </w:rPr>
              <w:t>，颗粒物、二氧化硫、氮氧化物有组织排放浓度满足《区域性大气污染物综合排放标准》（DB37/2376-2019）表1中一般控制区排放浓度限值，排放速率满足《大气污染物综合排放标准》(GB16297-1996)表2中的标准要求。</w:t>
            </w:r>
          </w:p>
          <w:p>
            <w:pPr>
              <w:adjustRightInd w:val="0"/>
              <w:snapToGrid w:val="0"/>
              <w:spacing w:line="348" w:lineRule="auto"/>
              <w:ind w:firstLine="482" w:firstLineChars="200"/>
              <w:rPr>
                <w:b/>
                <w:color w:val="000000"/>
                <w:sz w:val="24"/>
              </w:rPr>
            </w:pPr>
            <w:r>
              <w:rPr>
                <w:b/>
                <w:color w:val="000000"/>
                <w:sz w:val="24"/>
              </w:rPr>
              <w:t>（3）无组织废气</w:t>
            </w:r>
          </w:p>
          <w:p>
            <w:pPr>
              <w:spacing w:line="360" w:lineRule="auto"/>
              <w:ind w:firstLine="480" w:firstLineChars="200"/>
              <w:rPr>
                <w:sz w:val="24"/>
              </w:rPr>
            </w:pPr>
            <w:r>
              <w:rPr>
                <w:sz w:val="24"/>
              </w:rPr>
              <w:t>项目无组织废气包括未收集废气、原料卸料及存放废气。</w:t>
            </w:r>
          </w:p>
          <w:p>
            <w:pPr>
              <w:adjustRightInd w:val="0"/>
              <w:snapToGrid w:val="0"/>
              <w:spacing w:line="348" w:lineRule="auto"/>
              <w:ind w:firstLine="480" w:firstLineChars="200"/>
              <w:rPr>
                <w:bCs/>
                <w:color w:val="000000"/>
                <w:sz w:val="24"/>
              </w:rPr>
            </w:pPr>
            <w:r>
              <w:rPr>
                <w:bCs/>
                <w:color w:val="000000"/>
                <w:sz w:val="24"/>
              </w:rPr>
              <w:t>将外购的半成品膨润土通过装载机运送至原料车间内，卸料时会产生一定量的粉尘。参考《逸散性工业粉尘控制技术》中粉尘产污因子，本次评价卸料、储存过程的排放因子取值0.11kg/t。本项目膨润土原料年用量2000t/a，则卸料、存放粉尘产生量约为</w:t>
            </w:r>
            <w:r>
              <w:rPr>
                <w:rFonts w:hint="eastAsia"/>
                <w:bCs/>
                <w:color w:val="000000"/>
                <w:sz w:val="24"/>
                <w:lang w:eastAsia="zh-CN"/>
              </w:rPr>
              <w:t>0.044</w:t>
            </w:r>
            <w:r>
              <w:rPr>
                <w:bCs/>
                <w:color w:val="000000"/>
                <w:sz w:val="24"/>
              </w:rPr>
              <w:t>t/a。该工序粉尘经洒水抑尘后无组织排放。</w:t>
            </w:r>
          </w:p>
          <w:p>
            <w:pPr>
              <w:adjustRightInd w:val="0"/>
              <w:snapToGrid w:val="0"/>
              <w:spacing w:line="348" w:lineRule="auto"/>
              <w:ind w:firstLine="480" w:firstLineChars="200"/>
              <w:rPr>
                <w:bCs/>
                <w:color w:val="000000"/>
                <w:sz w:val="24"/>
              </w:rPr>
            </w:pPr>
            <w:r>
              <w:rPr>
                <w:bCs/>
                <w:color w:val="000000"/>
                <w:sz w:val="24"/>
              </w:rPr>
              <w:t>根据前文分析，颗粒物未收集废气量为0.4876t/a，则项目颗粒物无组织排放量为0.7076t/a，排放速率为0.295kg/h。</w:t>
            </w:r>
          </w:p>
          <w:p>
            <w:pPr>
              <w:adjustRightInd w:val="0"/>
              <w:snapToGrid w:val="0"/>
              <w:spacing w:line="348" w:lineRule="auto"/>
              <w:ind w:firstLine="480" w:firstLineChars="200"/>
              <w:rPr>
                <w:b/>
                <w:bCs/>
                <w:sz w:val="24"/>
              </w:rPr>
            </w:pPr>
            <w:r>
              <w:rPr>
                <w:rFonts w:hint="eastAsia"/>
                <w:sz w:val="24"/>
              </w:rPr>
              <w:t>车间内无组织粉尘主要采取密闭车间阻挡，车间内沉降，喷淋降尘，喷淋范围覆盖整个料堆；车间外无组织粉尘主要为运输扬尘，</w:t>
            </w:r>
            <w:r>
              <w:rPr>
                <w:snapToGrid w:val="0"/>
                <w:kern w:val="0"/>
                <w:sz w:val="24"/>
              </w:rPr>
              <w:t>厂区内运输场地全部硬化处理，厂区设置洗车台，厂区定期进行洒水抑尘，进出车辆定期清洗</w:t>
            </w:r>
            <w:r>
              <w:rPr>
                <w:rFonts w:hint="eastAsia"/>
                <w:snapToGrid w:val="0"/>
                <w:kern w:val="0"/>
                <w:sz w:val="24"/>
              </w:rPr>
              <w:t>，</w:t>
            </w:r>
            <w:r>
              <w:rPr>
                <w:rFonts w:hint="eastAsia"/>
                <w:sz w:val="24"/>
              </w:rPr>
              <w:t>建设防风抑尘网、建设洗车平台等措施，</w:t>
            </w:r>
            <w:r>
              <w:rPr>
                <w:snapToGrid w:val="0"/>
                <w:kern w:val="0"/>
                <w:sz w:val="24"/>
              </w:rPr>
              <w:t>可大大减少运输扬尘，</w:t>
            </w:r>
            <w:r>
              <w:rPr>
                <w:sz w:val="24"/>
              </w:rPr>
              <w:t>通过</w:t>
            </w:r>
            <w:r>
              <w:rPr>
                <w:rFonts w:hint="eastAsia"/>
                <w:sz w:val="24"/>
              </w:rPr>
              <w:t>采取以上措施</w:t>
            </w:r>
            <w:r>
              <w:rPr>
                <w:sz w:val="24"/>
              </w:rPr>
              <w:t>，</w:t>
            </w:r>
            <w:r>
              <w:rPr>
                <w:rFonts w:hint="eastAsia"/>
                <w:sz w:val="24"/>
              </w:rPr>
              <w:t>无组织颗粒物</w:t>
            </w:r>
            <w:r>
              <w:rPr>
                <w:sz w:val="24"/>
              </w:rPr>
              <w:t>可满足《大气污染物综合排放标准》(GB16297-1996)表2中无组织颗粒物排放浓度标准要求</w:t>
            </w:r>
          </w:p>
          <w:p>
            <w:pPr>
              <w:adjustRightInd w:val="0"/>
              <w:snapToGrid w:val="0"/>
              <w:spacing w:line="348" w:lineRule="auto"/>
              <w:ind w:firstLine="482" w:firstLineChars="200"/>
              <w:rPr>
                <w:b/>
                <w:bCs/>
                <w:sz w:val="24"/>
              </w:rPr>
            </w:pPr>
            <w:r>
              <w:rPr>
                <w:b/>
                <w:bCs/>
                <w:sz w:val="24"/>
              </w:rPr>
              <w:t>2、废气排放源统计</w:t>
            </w:r>
          </w:p>
          <w:p>
            <w:pPr>
              <w:pStyle w:val="2"/>
              <w:adjustRightInd w:val="0"/>
              <w:snapToGrid w:val="0"/>
              <w:spacing w:after="0" w:line="360" w:lineRule="auto"/>
              <w:ind w:left="0" w:leftChars="0" w:firstLine="480"/>
              <w:jc w:val="left"/>
              <w:rPr>
                <w:rFonts w:eastAsia="新宋体"/>
                <w:b/>
                <w:bCs/>
                <w:szCs w:val="24"/>
              </w:rPr>
            </w:pPr>
            <w:r>
              <w:rPr>
                <w:color w:val="000000"/>
                <w:szCs w:val="24"/>
              </w:rPr>
              <w:t>废气污染物排放源一览表见表4-1</w:t>
            </w:r>
          </w:p>
          <w:p>
            <w:pPr>
              <w:pStyle w:val="2"/>
              <w:adjustRightInd w:val="0"/>
              <w:snapToGrid w:val="0"/>
              <w:spacing w:after="0"/>
              <w:ind w:left="0" w:leftChars="0" w:firstLine="0" w:firstLineChars="0"/>
              <w:jc w:val="center"/>
              <w:rPr>
                <w:rFonts w:eastAsia="新宋体"/>
                <w:b/>
                <w:bCs/>
                <w:sz w:val="21"/>
                <w:szCs w:val="21"/>
              </w:rPr>
            </w:pPr>
            <w:r>
              <w:rPr>
                <w:rFonts w:eastAsia="新宋体"/>
                <w:b/>
                <w:bCs/>
                <w:szCs w:val="24"/>
              </w:rPr>
              <w:t>表4-1  废气产生工序及处理设施、对应排气筒情况一览表</w:t>
            </w:r>
          </w:p>
          <w:tbl>
            <w:tblPr>
              <w:tblStyle w:val="36"/>
              <w:tblW w:w="90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08"/>
              <w:gridCol w:w="870"/>
              <w:gridCol w:w="866"/>
              <w:gridCol w:w="800"/>
              <w:gridCol w:w="671"/>
              <w:gridCol w:w="651"/>
              <w:gridCol w:w="636"/>
              <w:gridCol w:w="663"/>
              <w:gridCol w:w="706"/>
              <w:gridCol w:w="1076"/>
              <w:gridCol w:w="6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位置</w:t>
                  </w:r>
                </w:p>
              </w:tc>
              <w:tc>
                <w:tcPr>
                  <w:tcW w:w="708"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产污</w:t>
                  </w:r>
                </w:p>
                <w:p>
                  <w:pPr>
                    <w:pStyle w:val="2"/>
                    <w:snapToGrid w:val="0"/>
                    <w:spacing w:after="0"/>
                    <w:ind w:left="0" w:leftChars="0" w:firstLine="0" w:firstLineChars="0"/>
                    <w:jc w:val="center"/>
                    <w:rPr>
                      <w:rFonts w:eastAsia="新宋体"/>
                      <w:sz w:val="21"/>
                      <w:szCs w:val="21"/>
                    </w:rPr>
                  </w:pPr>
                  <w:r>
                    <w:rPr>
                      <w:rFonts w:eastAsia="新宋体"/>
                      <w:sz w:val="21"/>
                      <w:szCs w:val="21"/>
                    </w:rPr>
                    <w:t>环节</w:t>
                  </w:r>
                </w:p>
              </w:tc>
              <w:tc>
                <w:tcPr>
                  <w:tcW w:w="870"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污染物种类</w:t>
                  </w:r>
                </w:p>
              </w:tc>
              <w:tc>
                <w:tcPr>
                  <w:tcW w:w="866"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拟采取措施</w:t>
                  </w:r>
                </w:p>
              </w:tc>
              <w:tc>
                <w:tcPr>
                  <w:tcW w:w="800"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设计风量m</w:t>
                  </w:r>
                  <w:r>
                    <w:rPr>
                      <w:rFonts w:eastAsia="新宋体"/>
                      <w:sz w:val="21"/>
                      <w:szCs w:val="21"/>
                      <w:vertAlign w:val="superscript"/>
                    </w:rPr>
                    <w:t>3</w:t>
                  </w:r>
                  <w:r>
                    <w:rPr>
                      <w:rFonts w:eastAsia="新宋体"/>
                      <w:sz w:val="21"/>
                      <w:szCs w:val="21"/>
                    </w:rPr>
                    <w:t>/h</w:t>
                  </w:r>
                </w:p>
              </w:tc>
              <w:tc>
                <w:tcPr>
                  <w:tcW w:w="671"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对应排放口编号</w:t>
                  </w:r>
                </w:p>
              </w:tc>
              <w:tc>
                <w:tcPr>
                  <w:tcW w:w="651"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排气筒高度m</w:t>
                  </w:r>
                </w:p>
              </w:tc>
              <w:tc>
                <w:tcPr>
                  <w:tcW w:w="636"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排气筒内径m</w:t>
                  </w:r>
                </w:p>
              </w:tc>
              <w:tc>
                <w:tcPr>
                  <w:tcW w:w="663"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排气筒温度℃</w:t>
                  </w:r>
                </w:p>
              </w:tc>
              <w:tc>
                <w:tcPr>
                  <w:tcW w:w="706"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排放口类型</w:t>
                  </w:r>
                </w:p>
              </w:tc>
              <w:tc>
                <w:tcPr>
                  <w:tcW w:w="1076"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坐标</w:t>
                  </w:r>
                </w:p>
              </w:tc>
              <w:tc>
                <w:tcPr>
                  <w:tcW w:w="690"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是否为可行性技术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1#排气筒</w:t>
                  </w:r>
                </w:p>
              </w:tc>
              <w:tc>
                <w:tcPr>
                  <w:tcW w:w="708"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上料磨粉造粒筛分包装</w:t>
                  </w:r>
                </w:p>
              </w:tc>
              <w:tc>
                <w:tcPr>
                  <w:tcW w:w="870"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bCs/>
                      <w:sz w:val="21"/>
                      <w:szCs w:val="21"/>
                    </w:rPr>
                    <w:t>颗粒物</w:t>
                  </w:r>
                </w:p>
              </w:tc>
              <w:tc>
                <w:tcPr>
                  <w:tcW w:w="866"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袋式除尘器</w:t>
                  </w:r>
                </w:p>
              </w:tc>
              <w:tc>
                <w:tcPr>
                  <w:tcW w:w="800"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hint="eastAsia" w:eastAsia="新宋体"/>
                      <w:sz w:val="21"/>
                      <w:szCs w:val="21"/>
                    </w:rPr>
                    <w:t>15</w:t>
                  </w:r>
                  <w:r>
                    <w:rPr>
                      <w:rFonts w:eastAsia="新宋体"/>
                      <w:sz w:val="21"/>
                      <w:szCs w:val="21"/>
                    </w:rPr>
                    <w:t>000</w:t>
                  </w:r>
                </w:p>
              </w:tc>
              <w:tc>
                <w:tcPr>
                  <w:tcW w:w="671" w:type="dxa"/>
                  <w:tcBorders>
                    <w:tl2br w:val="nil"/>
                    <w:tr2bl w:val="nil"/>
                  </w:tcBorders>
                  <w:vAlign w:val="center"/>
                </w:tcPr>
                <w:p>
                  <w:pPr>
                    <w:pStyle w:val="2"/>
                    <w:snapToGrid w:val="0"/>
                    <w:spacing w:after="0"/>
                    <w:ind w:left="0" w:leftChars="0" w:firstLine="0" w:firstLineChars="0"/>
                    <w:jc w:val="center"/>
                    <w:rPr>
                      <w:sz w:val="21"/>
                      <w:szCs w:val="21"/>
                    </w:rPr>
                  </w:pPr>
                  <w:r>
                    <w:rPr>
                      <w:sz w:val="21"/>
                      <w:szCs w:val="21"/>
                    </w:rPr>
                    <w:t>DA001</w:t>
                  </w:r>
                </w:p>
              </w:tc>
              <w:tc>
                <w:tcPr>
                  <w:tcW w:w="651"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15</w:t>
                  </w:r>
                </w:p>
              </w:tc>
              <w:tc>
                <w:tcPr>
                  <w:tcW w:w="636"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0.3</w:t>
                  </w:r>
                </w:p>
              </w:tc>
              <w:tc>
                <w:tcPr>
                  <w:tcW w:w="663"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25</w:t>
                  </w:r>
                </w:p>
              </w:tc>
              <w:tc>
                <w:tcPr>
                  <w:tcW w:w="706"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一般排放口</w:t>
                  </w:r>
                </w:p>
              </w:tc>
              <w:tc>
                <w:tcPr>
                  <w:tcW w:w="1076"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color w:val="000000"/>
                      <w:kern w:val="2"/>
                      <w:sz w:val="21"/>
                      <w:szCs w:val="21"/>
                    </w:rPr>
                    <w:t>E:117°8′11.149″，N：35°43′44.526″</w:t>
                  </w:r>
                </w:p>
              </w:tc>
              <w:tc>
                <w:tcPr>
                  <w:tcW w:w="690"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2#排气筒</w:t>
                  </w:r>
                </w:p>
              </w:tc>
              <w:tc>
                <w:tcPr>
                  <w:tcW w:w="708"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燃烧烘干</w:t>
                  </w:r>
                </w:p>
              </w:tc>
              <w:tc>
                <w:tcPr>
                  <w:tcW w:w="870" w:type="dxa"/>
                  <w:tcBorders>
                    <w:tl2br w:val="nil"/>
                    <w:tr2bl w:val="nil"/>
                  </w:tcBorders>
                  <w:vAlign w:val="center"/>
                </w:tcPr>
                <w:p>
                  <w:pPr>
                    <w:pStyle w:val="2"/>
                    <w:snapToGrid w:val="0"/>
                    <w:spacing w:after="0"/>
                    <w:ind w:left="0" w:leftChars="0" w:firstLine="0" w:firstLineChars="0"/>
                    <w:jc w:val="center"/>
                    <w:rPr>
                      <w:bCs/>
                      <w:sz w:val="21"/>
                      <w:szCs w:val="21"/>
                    </w:rPr>
                  </w:pPr>
                  <w:r>
                    <w:rPr>
                      <w:bCs/>
                      <w:sz w:val="21"/>
                      <w:szCs w:val="21"/>
                    </w:rPr>
                    <w:t>颗粒物、二氧化硫、氮氧化物</w:t>
                  </w:r>
                </w:p>
              </w:tc>
              <w:tc>
                <w:tcPr>
                  <w:tcW w:w="866"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低氮燃烧器+袋式除尘器</w:t>
                  </w:r>
                </w:p>
              </w:tc>
              <w:tc>
                <w:tcPr>
                  <w:tcW w:w="800"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2</w:t>
                  </w:r>
                  <w:r>
                    <w:rPr>
                      <w:rFonts w:hint="eastAsia" w:eastAsia="新宋体"/>
                      <w:sz w:val="21"/>
                      <w:szCs w:val="21"/>
                    </w:rPr>
                    <w:t>6</w:t>
                  </w:r>
                  <w:r>
                    <w:rPr>
                      <w:rFonts w:eastAsia="新宋体"/>
                      <w:sz w:val="21"/>
                      <w:szCs w:val="21"/>
                    </w:rPr>
                    <w:t>45</w:t>
                  </w:r>
                </w:p>
              </w:tc>
              <w:tc>
                <w:tcPr>
                  <w:tcW w:w="671" w:type="dxa"/>
                  <w:tcBorders>
                    <w:tl2br w:val="nil"/>
                    <w:tr2bl w:val="nil"/>
                  </w:tcBorders>
                  <w:vAlign w:val="center"/>
                </w:tcPr>
                <w:p>
                  <w:pPr>
                    <w:pStyle w:val="2"/>
                    <w:snapToGrid w:val="0"/>
                    <w:spacing w:after="0"/>
                    <w:ind w:left="0" w:leftChars="0" w:firstLine="0" w:firstLineChars="0"/>
                    <w:jc w:val="center"/>
                    <w:rPr>
                      <w:sz w:val="21"/>
                      <w:szCs w:val="21"/>
                    </w:rPr>
                  </w:pPr>
                  <w:r>
                    <w:rPr>
                      <w:sz w:val="21"/>
                      <w:szCs w:val="21"/>
                    </w:rPr>
                    <w:t>DA002</w:t>
                  </w:r>
                </w:p>
              </w:tc>
              <w:tc>
                <w:tcPr>
                  <w:tcW w:w="651"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15</w:t>
                  </w:r>
                </w:p>
              </w:tc>
              <w:tc>
                <w:tcPr>
                  <w:tcW w:w="636"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0.3</w:t>
                  </w:r>
                </w:p>
              </w:tc>
              <w:tc>
                <w:tcPr>
                  <w:tcW w:w="663"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25</w:t>
                  </w:r>
                </w:p>
              </w:tc>
              <w:tc>
                <w:tcPr>
                  <w:tcW w:w="706"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一般排放口</w:t>
                  </w:r>
                </w:p>
              </w:tc>
              <w:tc>
                <w:tcPr>
                  <w:tcW w:w="1076" w:type="dxa"/>
                  <w:tcBorders>
                    <w:tl2br w:val="nil"/>
                    <w:tr2bl w:val="nil"/>
                  </w:tcBorders>
                  <w:vAlign w:val="center"/>
                </w:tcPr>
                <w:p>
                  <w:pPr>
                    <w:pStyle w:val="2"/>
                    <w:snapToGrid w:val="0"/>
                    <w:spacing w:after="0"/>
                    <w:ind w:left="0" w:leftChars="0" w:firstLine="0" w:firstLineChars="0"/>
                    <w:jc w:val="center"/>
                    <w:rPr>
                      <w:sz w:val="21"/>
                      <w:szCs w:val="21"/>
                    </w:rPr>
                  </w:pPr>
                  <w:r>
                    <w:rPr>
                      <w:color w:val="000000"/>
                      <w:kern w:val="2"/>
                      <w:sz w:val="21"/>
                      <w:szCs w:val="21"/>
                    </w:rPr>
                    <w:t>E:117°8′11.152″，N：35°43′44.516″</w:t>
                  </w:r>
                </w:p>
              </w:tc>
              <w:tc>
                <w:tcPr>
                  <w:tcW w:w="690" w:type="dxa"/>
                  <w:tcBorders>
                    <w:tl2br w:val="nil"/>
                    <w:tr2bl w:val="nil"/>
                  </w:tcBorders>
                  <w:vAlign w:val="center"/>
                </w:tcPr>
                <w:p>
                  <w:pPr>
                    <w:pStyle w:val="2"/>
                    <w:snapToGrid w:val="0"/>
                    <w:spacing w:after="0"/>
                    <w:ind w:left="0" w:leftChars="0" w:firstLine="0" w:firstLineChars="0"/>
                    <w:jc w:val="center"/>
                    <w:rPr>
                      <w:rFonts w:eastAsia="新宋体"/>
                      <w:sz w:val="21"/>
                      <w:szCs w:val="21"/>
                    </w:rPr>
                  </w:pPr>
                  <w:r>
                    <w:rPr>
                      <w:rFonts w:eastAsia="新宋体"/>
                      <w:sz w:val="21"/>
                      <w:szCs w:val="21"/>
                    </w:rPr>
                    <w:t>是</w:t>
                  </w:r>
                </w:p>
              </w:tc>
            </w:tr>
          </w:tbl>
          <w:p>
            <w:pPr>
              <w:adjustRightInd w:val="0"/>
              <w:jc w:val="center"/>
              <w:rPr>
                <w:b/>
                <w:snapToGrid w:val="0"/>
                <w:kern w:val="0"/>
                <w:szCs w:val="21"/>
              </w:rPr>
            </w:pPr>
            <w:r>
              <w:rPr>
                <w:b/>
                <w:snapToGrid w:val="0"/>
                <w:kern w:val="0"/>
                <w:sz w:val="24"/>
              </w:rPr>
              <w:t>表4-2  项目废气</w:t>
            </w:r>
            <w:r>
              <w:rPr>
                <w:rFonts w:eastAsia="新宋体"/>
                <w:b/>
                <w:bCs/>
                <w:sz w:val="24"/>
              </w:rPr>
              <w:t>产生及排放情况一览表</w:t>
            </w:r>
          </w:p>
          <w:tbl>
            <w:tblPr>
              <w:tblStyle w:val="35"/>
              <w:tblW w:w="87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091"/>
              <w:gridCol w:w="859"/>
              <w:gridCol w:w="1040"/>
              <w:gridCol w:w="1125"/>
              <w:gridCol w:w="1140"/>
              <w:gridCol w:w="855"/>
              <w:gridCol w:w="990"/>
              <w:gridCol w:w="9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restart"/>
                  <w:vAlign w:val="center"/>
                </w:tcPr>
                <w:p>
                  <w:pPr>
                    <w:snapToGrid w:val="0"/>
                    <w:jc w:val="center"/>
                    <w:rPr>
                      <w:bCs/>
                      <w:kern w:val="0"/>
                      <w:szCs w:val="21"/>
                    </w:rPr>
                  </w:pPr>
                  <w:r>
                    <w:rPr>
                      <w:bCs/>
                      <w:kern w:val="0"/>
                      <w:szCs w:val="21"/>
                    </w:rPr>
                    <w:t>产排污</w:t>
                  </w:r>
                </w:p>
                <w:p>
                  <w:pPr>
                    <w:snapToGrid w:val="0"/>
                    <w:jc w:val="center"/>
                    <w:rPr>
                      <w:bCs/>
                      <w:kern w:val="0"/>
                      <w:szCs w:val="21"/>
                    </w:rPr>
                  </w:pPr>
                  <w:r>
                    <w:rPr>
                      <w:bCs/>
                      <w:kern w:val="0"/>
                      <w:szCs w:val="21"/>
                    </w:rPr>
                    <w:t>环节</w:t>
                  </w:r>
                </w:p>
              </w:tc>
              <w:tc>
                <w:tcPr>
                  <w:tcW w:w="1091" w:type="dxa"/>
                  <w:vMerge w:val="restart"/>
                  <w:vAlign w:val="center"/>
                </w:tcPr>
                <w:p>
                  <w:pPr>
                    <w:snapToGrid w:val="0"/>
                    <w:jc w:val="center"/>
                    <w:rPr>
                      <w:bCs/>
                      <w:kern w:val="0"/>
                      <w:szCs w:val="21"/>
                    </w:rPr>
                  </w:pPr>
                  <w:r>
                    <w:rPr>
                      <w:bCs/>
                      <w:kern w:val="0"/>
                      <w:szCs w:val="21"/>
                    </w:rPr>
                    <w:t>污染物种类</w:t>
                  </w:r>
                </w:p>
              </w:tc>
              <w:tc>
                <w:tcPr>
                  <w:tcW w:w="3024" w:type="dxa"/>
                  <w:gridSpan w:val="3"/>
                  <w:vAlign w:val="center"/>
                </w:tcPr>
                <w:p>
                  <w:pPr>
                    <w:snapToGrid w:val="0"/>
                    <w:jc w:val="center"/>
                    <w:rPr>
                      <w:bCs/>
                      <w:kern w:val="0"/>
                      <w:szCs w:val="21"/>
                      <w:lang w:val="en-GB"/>
                    </w:rPr>
                  </w:pPr>
                  <w:r>
                    <w:rPr>
                      <w:bCs/>
                      <w:kern w:val="0"/>
                      <w:szCs w:val="21"/>
                      <w:lang w:val="en-GB"/>
                    </w:rPr>
                    <w:t>产生情况</w:t>
                  </w:r>
                </w:p>
              </w:tc>
              <w:tc>
                <w:tcPr>
                  <w:tcW w:w="1140" w:type="dxa"/>
                  <w:vAlign w:val="center"/>
                </w:tcPr>
                <w:p>
                  <w:pPr>
                    <w:pStyle w:val="58"/>
                    <w:jc w:val="center"/>
                    <w:rPr>
                      <w:rFonts w:ascii="Times New Roman" w:cs="Times New Roman"/>
                      <w:bCs/>
                      <w:color w:val="auto"/>
                      <w:kern w:val="0"/>
                      <w:sz w:val="21"/>
                      <w:szCs w:val="21"/>
                    </w:rPr>
                  </w:pPr>
                  <w:r>
                    <w:rPr>
                      <w:rFonts w:ascii="Times New Roman" w:cs="Times New Roman"/>
                      <w:bCs/>
                      <w:color w:val="auto"/>
                      <w:kern w:val="0"/>
                      <w:sz w:val="21"/>
                      <w:szCs w:val="21"/>
                      <w:lang w:val="en-GB"/>
                    </w:rPr>
                    <w:t>治理设施</w:t>
                  </w:r>
                </w:p>
              </w:tc>
              <w:tc>
                <w:tcPr>
                  <w:tcW w:w="2837" w:type="dxa"/>
                  <w:gridSpan w:val="3"/>
                  <w:vAlign w:val="center"/>
                </w:tcPr>
                <w:p>
                  <w:pPr>
                    <w:pStyle w:val="58"/>
                    <w:jc w:val="center"/>
                    <w:rPr>
                      <w:rFonts w:ascii="Times New Roman" w:cs="Times New Roman"/>
                      <w:bCs/>
                      <w:color w:val="auto"/>
                      <w:kern w:val="0"/>
                      <w:sz w:val="21"/>
                      <w:szCs w:val="21"/>
                      <w:lang w:val="en-GB"/>
                    </w:rPr>
                  </w:pPr>
                  <w:r>
                    <w:rPr>
                      <w:rFonts w:ascii="Times New Roman" w:cs="Times New Roman"/>
                      <w:bCs/>
                      <w:color w:val="auto"/>
                      <w:kern w:val="0"/>
                      <w:sz w:val="21"/>
                      <w:szCs w:val="21"/>
                      <w:lang w:val="en-GB"/>
                    </w:rPr>
                    <w:t>有组织排放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snapToGrid w:val="0"/>
                    <w:jc w:val="center"/>
                    <w:rPr>
                      <w:bCs/>
                      <w:kern w:val="0"/>
                      <w:szCs w:val="21"/>
                      <w:lang w:val="en-GB"/>
                    </w:rPr>
                  </w:pPr>
                </w:p>
              </w:tc>
              <w:tc>
                <w:tcPr>
                  <w:tcW w:w="1091" w:type="dxa"/>
                  <w:vMerge w:val="continue"/>
                  <w:vAlign w:val="center"/>
                </w:tcPr>
                <w:p>
                  <w:pPr>
                    <w:snapToGrid w:val="0"/>
                    <w:jc w:val="center"/>
                    <w:rPr>
                      <w:bCs/>
                      <w:kern w:val="0"/>
                      <w:szCs w:val="21"/>
                      <w:lang w:val="en-GB"/>
                    </w:rPr>
                  </w:pPr>
                </w:p>
              </w:tc>
              <w:tc>
                <w:tcPr>
                  <w:tcW w:w="859" w:type="dxa"/>
                  <w:vAlign w:val="center"/>
                </w:tcPr>
                <w:p>
                  <w:pPr>
                    <w:snapToGrid w:val="0"/>
                    <w:jc w:val="center"/>
                    <w:rPr>
                      <w:bCs/>
                      <w:kern w:val="0"/>
                      <w:szCs w:val="21"/>
                      <w:lang w:val="en-GB"/>
                    </w:rPr>
                  </w:pPr>
                  <w:r>
                    <w:rPr>
                      <w:bCs/>
                      <w:kern w:val="0"/>
                      <w:szCs w:val="21"/>
                      <w:lang w:val="en-GB"/>
                    </w:rPr>
                    <w:t>产生量</w:t>
                  </w:r>
                </w:p>
                <w:p>
                  <w:pPr>
                    <w:snapToGrid w:val="0"/>
                    <w:jc w:val="center"/>
                    <w:rPr>
                      <w:bCs/>
                      <w:kern w:val="0"/>
                      <w:szCs w:val="21"/>
                      <w:lang w:val="en-GB"/>
                    </w:rPr>
                  </w:pPr>
                  <w:r>
                    <w:rPr>
                      <w:bCs/>
                      <w:kern w:val="0"/>
                      <w:szCs w:val="21"/>
                      <w:lang w:val="en-GB"/>
                    </w:rPr>
                    <w:t>t/a</w:t>
                  </w:r>
                </w:p>
              </w:tc>
              <w:tc>
                <w:tcPr>
                  <w:tcW w:w="1040" w:type="dxa"/>
                  <w:vAlign w:val="center"/>
                </w:tcPr>
                <w:p>
                  <w:pPr>
                    <w:snapToGrid w:val="0"/>
                    <w:jc w:val="center"/>
                    <w:rPr>
                      <w:bCs/>
                      <w:kern w:val="0"/>
                      <w:szCs w:val="21"/>
                      <w:lang w:val="en-GB"/>
                    </w:rPr>
                  </w:pPr>
                  <w:r>
                    <w:rPr>
                      <w:bCs/>
                      <w:kern w:val="0"/>
                      <w:szCs w:val="21"/>
                      <w:lang w:val="en-GB"/>
                    </w:rPr>
                    <w:t>产生</w:t>
                  </w:r>
                </w:p>
                <w:p>
                  <w:pPr>
                    <w:snapToGrid w:val="0"/>
                    <w:jc w:val="center"/>
                    <w:rPr>
                      <w:bCs/>
                      <w:kern w:val="0"/>
                      <w:szCs w:val="21"/>
                      <w:lang w:val="en-GB"/>
                    </w:rPr>
                  </w:pPr>
                  <w:r>
                    <w:rPr>
                      <w:bCs/>
                      <w:kern w:val="0"/>
                      <w:szCs w:val="21"/>
                      <w:lang w:val="en-GB"/>
                    </w:rPr>
                    <w:t>速率kg/h</w:t>
                  </w:r>
                </w:p>
              </w:tc>
              <w:tc>
                <w:tcPr>
                  <w:tcW w:w="1125" w:type="dxa"/>
                  <w:vAlign w:val="center"/>
                </w:tcPr>
                <w:p>
                  <w:pPr>
                    <w:snapToGrid w:val="0"/>
                    <w:jc w:val="center"/>
                    <w:rPr>
                      <w:bCs/>
                      <w:kern w:val="0"/>
                      <w:szCs w:val="21"/>
                      <w:lang w:val="en-GB"/>
                    </w:rPr>
                  </w:pPr>
                  <w:r>
                    <w:rPr>
                      <w:bCs/>
                      <w:kern w:val="0"/>
                      <w:szCs w:val="21"/>
                      <w:lang w:val="en-GB"/>
                    </w:rPr>
                    <w:t>产生浓度 mg/m</w:t>
                  </w:r>
                  <w:r>
                    <w:rPr>
                      <w:bCs/>
                      <w:kern w:val="0"/>
                      <w:szCs w:val="21"/>
                      <w:vertAlign w:val="superscript"/>
                      <w:lang w:val="en-GB"/>
                    </w:rPr>
                    <w:t>3</w:t>
                  </w:r>
                </w:p>
              </w:tc>
              <w:tc>
                <w:tcPr>
                  <w:tcW w:w="1140" w:type="dxa"/>
                  <w:vAlign w:val="center"/>
                </w:tcPr>
                <w:p>
                  <w:pPr>
                    <w:pStyle w:val="58"/>
                    <w:jc w:val="center"/>
                    <w:rPr>
                      <w:rFonts w:ascii="Times New Roman" w:cs="Times New Roman"/>
                      <w:bCs/>
                      <w:color w:val="auto"/>
                      <w:kern w:val="0"/>
                      <w:sz w:val="21"/>
                      <w:szCs w:val="21"/>
                      <w:lang w:val="en-GB"/>
                    </w:rPr>
                  </w:pPr>
                  <w:r>
                    <w:rPr>
                      <w:rFonts w:ascii="Times New Roman" w:cs="Times New Roman"/>
                      <w:bCs/>
                      <w:color w:val="auto"/>
                      <w:kern w:val="0"/>
                      <w:sz w:val="21"/>
                      <w:szCs w:val="21"/>
                      <w:lang w:val="en-GB"/>
                    </w:rPr>
                    <w:t>名称</w:t>
                  </w:r>
                </w:p>
              </w:tc>
              <w:tc>
                <w:tcPr>
                  <w:tcW w:w="855" w:type="dxa"/>
                  <w:vAlign w:val="center"/>
                </w:tcPr>
                <w:p>
                  <w:pPr>
                    <w:pStyle w:val="58"/>
                    <w:jc w:val="center"/>
                    <w:rPr>
                      <w:rFonts w:ascii="Times New Roman" w:cs="Times New Roman"/>
                      <w:bCs/>
                      <w:color w:val="auto"/>
                      <w:kern w:val="0"/>
                      <w:sz w:val="21"/>
                      <w:szCs w:val="21"/>
                      <w:lang w:val="en-GB"/>
                    </w:rPr>
                  </w:pPr>
                  <w:r>
                    <w:rPr>
                      <w:rFonts w:ascii="Times New Roman" w:cs="Times New Roman"/>
                      <w:bCs/>
                      <w:color w:val="auto"/>
                      <w:kern w:val="0"/>
                      <w:sz w:val="21"/>
                      <w:szCs w:val="21"/>
                      <w:lang w:val="en-GB"/>
                    </w:rPr>
                    <w:t>排放量t/a</w:t>
                  </w:r>
                </w:p>
              </w:tc>
              <w:tc>
                <w:tcPr>
                  <w:tcW w:w="990" w:type="dxa"/>
                  <w:vAlign w:val="center"/>
                </w:tcPr>
                <w:p>
                  <w:pPr>
                    <w:pStyle w:val="58"/>
                    <w:jc w:val="center"/>
                    <w:rPr>
                      <w:rFonts w:ascii="Times New Roman" w:cs="Times New Roman"/>
                      <w:bCs/>
                      <w:color w:val="auto"/>
                      <w:kern w:val="0"/>
                      <w:sz w:val="21"/>
                      <w:szCs w:val="21"/>
                      <w:lang w:val="en-GB"/>
                    </w:rPr>
                  </w:pPr>
                  <w:r>
                    <w:rPr>
                      <w:rFonts w:ascii="Times New Roman" w:cs="Times New Roman"/>
                      <w:bCs/>
                      <w:color w:val="auto"/>
                      <w:kern w:val="0"/>
                      <w:sz w:val="21"/>
                      <w:szCs w:val="21"/>
                      <w:lang w:val="en-GB"/>
                    </w:rPr>
                    <w:t>排放速率kg/h</w:t>
                  </w:r>
                </w:p>
              </w:tc>
              <w:tc>
                <w:tcPr>
                  <w:tcW w:w="992" w:type="dxa"/>
                  <w:vAlign w:val="center"/>
                </w:tcPr>
                <w:p>
                  <w:pPr>
                    <w:pStyle w:val="58"/>
                    <w:jc w:val="center"/>
                    <w:rPr>
                      <w:rFonts w:ascii="Times New Roman" w:cs="Times New Roman"/>
                      <w:bCs/>
                      <w:color w:val="auto"/>
                      <w:kern w:val="0"/>
                      <w:sz w:val="21"/>
                      <w:szCs w:val="21"/>
                      <w:lang w:val="en-GB"/>
                    </w:rPr>
                  </w:pPr>
                  <w:r>
                    <w:rPr>
                      <w:rFonts w:ascii="Times New Roman" w:cs="Times New Roman"/>
                      <w:bCs/>
                      <w:color w:val="auto"/>
                      <w:kern w:val="0"/>
                      <w:sz w:val="21"/>
                      <w:szCs w:val="21"/>
                      <w:lang w:val="en-GB"/>
                    </w:rPr>
                    <w:t>排放浓度mg/m</w:t>
                  </w:r>
                  <w:r>
                    <w:rPr>
                      <w:rFonts w:ascii="Times New Roman" w:cs="Times New Roman"/>
                      <w:bCs/>
                      <w:color w:val="auto"/>
                      <w:kern w:val="0"/>
                      <w:sz w:val="21"/>
                      <w:szCs w:val="21"/>
                      <w:vertAlign w:val="superscript"/>
                      <w:lang w:val="en-GB"/>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Align w:val="center"/>
                </w:tcPr>
                <w:p>
                  <w:pPr>
                    <w:jc w:val="center"/>
                    <w:rPr>
                      <w:bCs/>
                      <w:color w:val="000000"/>
                      <w:szCs w:val="21"/>
                    </w:rPr>
                  </w:pPr>
                  <w:bookmarkStart w:id="2" w:name="_Hlk143690917"/>
                  <w:r>
                    <w:rPr>
                      <w:rFonts w:eastAsia="新宋体"/>
                      <w:kern w:val="0"/>
                      <w:szCs w:val="21"/>
                    </w:rPr>
                    <w:t>上料磨粉造粒筛分包装</w:t>
                  </w:r>
                </w:p>
              </w:tc>
              <w:tc>
                <w:tcPr>
                  <w:tcW w:w="1091" w:type="dxa"/>
                  <w:vAlign w:val="center"/>
                </w:tcPr>
                <w:p>
                  <w:pPr>
                    <w:pStyle w:val="58"/>
                    <w:jc w:val="center"/>
                    <w:rPr>
                      <w:rFonts w:ascii="Times New Roman" w:cs="Times New Roman"/>
                      <w:bCs/>
                      <w:sz w:val="21"/>
                      <w:szCs w:val="21"/>
                    </w:rPr>
                  </w:pPr>
                  <w:r>
                    <w:rPr>
                      <w:rFonts w:ascii="Times New Roman" w:cs="Times New Roman"/>
                      <w:bCs/>
                      <w:sz w:val="21"/>
                      <w:szCs w:val="21"/>
                    </w:rPr>
                    <w:t>颗粒物</w:t>
                  </w:r>
                </w:p>
              </w:tc>
              <w:tc>
                <w:tcPr>
                  <w:tcW w:w="859" w:type="dxa"/>
                  <w:vAlign w:val="center"/>
                </w:tcPr>
                <w:p>
                  <w:pPr>
                    <w:jc w:val="center"/>
                    <w:rPr>
                      <w:bCs/>
                      <w:color w:val="000000"/>
                      <w:szCs w:val="21"/>
                    </w:rPr>
                  </w:pPr>
                  <w:r>
                    <w:rPr>
                      <w:bCs/>
                      <w:color w:val="000000"/>
                      <w:szCs w:val="21"/>
                    </w:rPr>
                    <w:t>4.876</w:t>
                  </w:r>
                </w:p>
              </w:tc>
              <w:tc>
                <w:tcPr>
                  <w:tcW w:w="1040" w:type="dxa"/>
                  <w:vAlign w:val="center"/>
                </w:tcPr>
                <w:p>
                  <w:pPr>
                    <w:jc w:val="center"/>
                    <w:rPr>
                      <w:bCs/>
                      <w:color w:val="000000"/>
                      <w:szCs w:val="21"/>
                    </w:rPr>
                  </w:pPr>
                  <w:r>
                    <w:rPr>
                      <w:bCs/>
                      <w:color w:val="000000"/>
                      <w:szCs w:val="21"/>
                    </w:rPr>
                    <w:t>2.03</w:t>
                  </w:r>
                </w:p>
              </w:tc>
              <w:tc>
                <w:tcPr>
                  <w:tcW w:w="1125" w:type="dxa"/>
                  <w:vAlign w:val="center"/>
                </w:tcPr>
                <w:p>
                  <w:pPr>
                    <w:jc w:val="center"/>
                    <w:rPr>
                      <w:bCs/>
                      <w:color w:val="000000"/>
                      <w:szCs w:val="21"/>
                    </w:rPr>
                  </w:pPr>
                  <w:r>
                    <w:rPr>
                      <w:bCs/>
                      <w:color w:val="000000"/>
                      <w:szCs w:val="21"/>
                    </w:rPr>
                    <w:t>135.33</w:t>
                  </w:r>
                </w:p>
              </w:tc>
              <w:tc>
                <w:tcPr>
                  <w:tcW w:w="1140" w:type="dxa"/>
                  <w:vAlign w:val="center"/>
                </w:tcPr>
                <w:p>
                  <w:pPr>
                    <w:pStyle w:val="58"/>
                    <w:jc w:val="center"/>
                    <w:rPr>
                      <w:rFonts w:ascii="Times New Roman" w:cs="Times New Roman"/>
                      <w:bCs/>
                      <w:sz w:val="21"/>
                      <w:szCs w:val="21"/>
                    </w:rPr>
                  </w:pPr>
                  <w:r>
                    <w:rPr>
                      <w:rFonts w:ascii="Times New Roman" w:cs="Times New Roman"/>
                      <w:bCs/>
                      <w:color w:val="auto"/>
                      <w:sz w:val="21"/>
                      <w:szCs w:val="21"/>
                    </w:rPr>
                    <w:t>袋式除尘器</w:t>
                  </w:r>
                </w:p>
              </w:tc>
              <w:tc>
                <w:tcPr>
                  <w:tcW w:w="855" w:type="dxa"/>
                  <w:vAlign w:val="center"/>
                </w:tcPr>
                <w:p>
                  <w:pPr>
                    <w:jc w:val="center"/>
                    <w:rPr>
                      <w:rFonts w:hint="eastAsia" w:eastAsia="宋体"/>
                      <w:bCs/>
                      <w:kern w:val="0"/>
                      <w:szCs w:val="21"/>
                      <w:lang w:eastAsia="zh-CN"/>
                    </w:rPr>
                  </w:pPr>
                  <w:r>
                    <w:rPr>
                      <w:rFonts w:hint="eastAsia"/>
                      <w:bCs/>
                      <w:kern w:val="0"/>
                      <w:szCs w:val="21"/>
                      <w:lang w:eastAsia="zh-CN"/>
                    </w:rPr>
                    <w:t>0.044</w:t>
                  </w:r>
                </w:p>
              </w:tc>
              <w:tc>
                <w:tcPr>
                  <w:tcW w:w="990" w:type="dxa"/>
                  <w:vAlign w:val="center"/>
                </w:tcPr>
                <w:p>
                  <w:pPr>
                    <w:jc w:val="center"/>
                    <w:rPr>
                      <w:rFonts w:hint="default" w:eastAsia="宋体"/>
                      <w:bCs/>
                      <w:kern w:val="0"/>
                      <w:szCs w:val="21"/>
                      <w:lang w:val="en-US" w:eastAsia="zh-CN"/>
                    </w:rPr>
                  </w:pPr>
                  <w:r>
                    <w:rPr>
                      <w:bCs/>
                      <w:kern w:val="0"/>
                      <w:szCs w:val="21"/>
                    </w:rPr>
                    <w:t>0.0</w:t>
                  </w:r>
                  <w:r>
                    <w:rPr>
                      <w:rFonts w:hint="eastAsia"/>
                      <w:bCs/>
                      <w:kern w:val="0"/>
                      <w:szCs w:val="21"/>
                      <w:lang w:val="en-US" w:eastAsia="zh-CN"/>
                    </w:rPr>
                    <w:t>18</w:t>
                  </w:r>
                </w:p>
              </w:tc>
              <w:tc>
                <w:tcPr>
                  <w:tcW w:w="992" w:type="dxa"/>
                  <w:vAlign w:val="center"/>
                </w:tcPr>
                <w:p>
                  <w:pPr>
                    <w:jc w:val="center"/>
                    <w:rPr>
                      <w:rFonts w:hint="default" w:eastAsia="宋体"/>
                      <w:bCs/>
                      <w:kern w:val="0"/>
                      <w:szCs w:val="21"/>
                      <w:lang w:val="en-US" w:eastAsia="zh-CN"/>
                    </w:rPr>
                  </w:pPr>
                  <w:r>
                    <w:rPr>
                      <w:rFonts w:hint="eastAsia"/>
                      <w:bCs/>
                      <w:kern w:val="0"/>
                      <w:szCs w:val="21"/>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05" w:type="dxa"/>
                  <w:vMerge w:val="restart"/>
                  <w:vAlign w:val="center"/>
                </w:tcPr>
                <w:p>
                  <w:pPr>
                    <w:jc w:val="center"/>
                    <w:rPr>
                      <w:bCs/>
                      <w:color w:val="000000"/>
                      <w:szCs w:val="21"/>
                    </w:rPr>
                  </w:pPr>
                  <w:r>
                    <w:rPr>
                      <w:rFonts w:eastAsia="新宋体"/>
                      <w:szCs w:val="21"/>
                    </w:rPr>
                    <w:t>燃烧烘干</w:t>
                  </w:r>
                </w:p>
              </w:tc>
              <w:tc>
                <w:tcPr>
                  <w:tcW w:w="1091" w:type="dxa"/>
                  <w:vAlign w:val="center"/>
                </w:tcPr>
                <w:p>
                  <w:pPr>
                    <w:pStyle w:val="58"/>
                    <w:jc w:val="center"/>
                    <w:rPr>
                      <w:rFonts w:ascii="Times New Roman" w:cs="Times New Roman"/>
                      <w:bCs/>
                      <w:sz w:val="21"/>
                      <w:szCs w:val="21"/>
                    </w:rPr>
                  </w:pPr>
                  <w:r>
                    <w:rPr>
                      <w:rFonts w:ascii="Times New Roman" w:cs="Times New Roman"/>
                      <w:bCs/>
                      <w:sz w:val="21"/>
                      <w:szCs w:val="21"/>
                    </w:rPr>
                    <w:t>颗粒物</w:t>
                  </w:r>
                </w:p>
              </w:tc>
              <w:tc>
                <w:tcPr>
                  <w:tcW w:w="859" w:type="dxa"/>
                  <w:vAlign w:val="center"/>
                </w:tcPr>
                <w:p>
                  <w:pPr>
                    <w:jc w:val="center"/>
                    <w:rPr>
                      <w:bCs/>
                      <w:color w:val="000000"/>
                      <w:szCs w:val="21"/>
                    </w:rPr>
                  </w:pPr>
                  <w:r>
                    <w:rPr>
                      <w:bCs/>
                      <w:color w:val="000000"/>
                      <w:szCs w:val="21"/>
                    </w:rPr>
                    <w:t>1.53</w:t>
                  </w:r>
                  <w:r>
                    <w:rPr>
                      <w:rFonts w:hint="eastAsia"/>
                      <w:bCs/>
                      <w:color w:val="000000"/>
                      <w:szCs w:val="21"/>
                    </w:rPr>
                    <w:t>35</w:t>
                  </w:r>
                </w:p>
              </w:tc>
              <w:tc>
                <w:tcPr>
                  <w:tcW w:w="1040" w:type="dxa"/>
                  <w:vAlign w:val="center"/>
                </w:tcPr>
                <w:p>
                  <w:pPr>
                    <w:jc w:val="center"/>
                    <w:rPr>
                      <w:bCs/>
                      <w:color w:val="000000"/>
                      <w:szCs w:val="21"/>
                    </w:rPr>
                  </w:pPr>
                  <w:r>
                    <w:rPr>
                      <w:bCs/>
                      <w:color w:val="000000"/>
                      <w:szCs w:val="21"/>
                    </w:rPr>
                    <w:t>0.6</w:t>
                  </w:r>
                  <w:r>
                    <w:rPr>
                      <w:rFonts w:hint="eastAsia"/>
                      <w:bCs/>
                      <w:color w:val="000000"/>
                      <w:szCs w:val="21"/>
                    </w:rPr>
                    <w:t>39</w:t>
                  </w:r>
                </w:p>
              </w:tc>
              <w:tc>
                <w:tcPr>
                  <w:tcW w:w="1125" w:type="dxa"/>
                  <w:vAlign w:val="center"/>
                </w:tcPr>
                <w:p>
                  <w:pPr>
                    <w:jc w:val="center"/>
                    <w:rPr>
                      <w:bCs/>
                      <w:color w:val="000000"/>
                      <w:szCs w:val="21"/>
                    </w:rPr>
                  </w:pPr>
                  <w:r>
                    <w:rPr>
                      <w:bCs/>
                      <w:color w:val="000000"/>
                      <w:szCs w:val="21"/>
                    </w:rPr>
                    <w:t>241.59</w:t>
                  </w:r>
                </w:p>
              </w:tc>
              <w:tc>
                <w:tcPr>
                  <w:tcW w:w="1140" w:type="dxa"/>
                  <w:vMerge w:val="restart"/>
                  <w:vAlign w:val="center"/>
                </w:tcPr>
                <w:p>
                  <w:pPr>
                    <w:pStyle w:val="58"/>
                    <w:jc w:val="center"/>
                    <w:rPr>
                      <w:rFonts w:ascii="Times New Roman" w:cs="Times New Roman"/>
                      <w:bCs/>
                      <w:color w:val="auto"/>
                      <w:sz w:val="21"/>
                      <w:szCs w:val="21"/>
                    </w:rPr>
                  </w:pPr>
                  <w:r>
                    <w:rPr>
                      <w:rFonts w:ascii="Times New Roman" w:eastAsia="新宋体" w:cs="Times New Roman"/>
                      <w:sz w:val="21"/>
                      <w:szCs w:val="21"/>
                    </w:rPr>
                    <w:t>低氮燃烧器+袋式除尘器</w:t>
                  </w:r>
                </w:p>
              </w:tc>
              <w:tc>
                <w:tcPr>
                  <w:tcW w:w="855" w:type="dxa"/>
                  <w:vAlign w:val="center"/>
                </w:tcPr>
                <w:p>
                  <w:pPr>
                    <w:jc w:val="center"/>
                    <w:rPr>
                      <w:rFonts w:hint="default" w:eastAsia="宋体"/>
                      <w:bCs/>
                      <w:kern w:val="0"/>
                      <w:szCs w:val="21"/>
                      <w:lang w:val="en-US" w:eastAsia="zh-CN"/>
                    </w:rPr>
                  </w:pPr>
                  <w:r>
                    <w:rPr>
                      <w:rFonts w:hint="eastAsia"/>
                      <w:bCs/>
                      <w:kern w:val="0"/>
                      <w:szCs w:val="21"/>
                    </w:rPr>
                    <w:t>0.0</w:t>
                  </w:r>
                  <w:r>
                    <w:rPr>
                      <w:rFonts w:hint="eastAsia"/>
                      <w:bCs/>
                      <w:kern w:val="0"/>
                      <w:szCs w:val="21"/>
                      <w:lang w:val="en-US" w:eastAsia="zh-CN"/>
                    </w:rPr>
                    <w:t>153</w:t>
                  </w:r>
                </w:p>
              </w:tc>
              <w:tc>
                <w:tcPr>
                  <w:tcW w:w="990" w:type="dxa"/>
                  <w:vAlign w:val="center"/>
                </w:tcPr>
                <w:p>
                  <w:pPr>
                    <w:jc w:val="center"/>
                    <w:rPr>
                      <w:rFonts w:hint="default" w:eastAsia="宋体"/>
                      <w:bCs/>
                      <w:kern w:val="0"/>
                      <w:szCs w:val="21"/>
                      <w:lang w:val="en-US" w:eastAsia="zh-CN"/>
                    </w:rPr>
                  </w:pPr>
                  <w:r>
                    <w:rPr>
                      <w:rFonts w:hint="eastAsia"/>
                      <w:szCs w:val="21"/>
                    </w:rPr>
                    <w:t>0.0</w:t>
                  </w:r>
                  <w:r>
                    <w:rPr>
                      <w:rFonts w:hint="eastAsia"/>
                      <w:szCs w:val="21"/>
                      <w:lang w:val="en-US" w:eastAsia="zh-CN"/>
                    </w:rPr>
                    <w:t>06</w:t>
                  </w:r>
                </w:p>
              </w:tc>
              <w:tc>
                <w:tcPr>
                  <w:tcW w:w="992" w:type="dxa"/>
                  <w:vAlign w:val="center"/>
                </w:tcPr>
                <w:p>
                  <w:pPr>
                    <w:jc w:val="center"/>
                    <w:rPr>
                      <w:rFonts w:hint="default" w:eastAsia="宋体"/>
                      <w:bCs/>
                      <w:kern w:val="0"/>
                      <w:szCs w:val="21"/>
                      <w:lang w:val="en-US" w:eastAsia="zh-CN"/>
                    </w:rPr>
                  </w:pPr>
                  <w:r>
                    <w:rPr>
                      <w:rFonts w:hint="eastAsia"/>
                      <w:bCs/>
                      <w:kern w:val="0"/>
                      <w:szCs w:val="21"/>
                      <w:lang w:val="en-US" w:eastAsia="zh-CN"/>
                    </w:rPr>
                    <w:t>2.27</w:t>
                  </w:r>
                </w:p>
              </w:tc>
            </w:tr>
            <w:bookmarkEnd w:id="2"/>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05" w:type="dxa"/>
                  <w:vMerge w:val="continue"/>
                  <w:vAlign w:val="center"/>
                </w:tcPr>
                <w:p>
                  <w:pPr>
                    <w:jc w:val="center"/>
                  </w:pPr>
                </w:p>
              </w:tc>
              <w:tc>
                <w:tcPr>
                  <w:tcW w:w="1091" w:type="dxa"/>
                  <w:vAlign w:val="center"/>
                </w:tcPr>
                <w:p>
                  <w:pPr>
                    <w:jc w:val="center"/>
                    <w:rPr>
                      <w:bCs/>
                      <w:szCs w:val="21"/>
                    </w:rPr>
                  </w:pPr>
                  <w:r>
                    <w:rPr>
                      <w:bCs/>
                      <w:szCs w:val="21"/>
                    </w:rPr>
                    <w:t>二氧化硫</w:t>
                  </w:r>
                </w:p>
              </w:tc>
              <w:tc>
                <w:tcPr>
                  <w:tcW w:w="859" w:type="dxa"/>
                  <w:vAlign w:val="center"/>
                </w:tcPr>
                <w:p>
                  <w:pPr>
                    <w:jc w:val="center"/>
                    <w:rPr>
                      <w:bCs/>
                      <w:szCs w:val="21"/>
                    </w:rPr>
                  </w:pPr>
                  <w:r>
                    <w:rPr>
                      <w:bCs/>
                      <w:szCs w:val="21"/>
                    </w:rPr>
                    <w:t>0.02</w:t>
                  </w:r>
                  <w:r>
                    <w:rPr>
                      <w:rFonts w:hint="eastAsia"/>
                      <w:bCs/>
                      <w:szCs w:val="21"/>
                    </w:rPr>
                    <w:t>9</w:t>
                  </w:r>
                </w:p>
              </w:tc>
              <w:tc>
                <w:tcPr>
                  <w:tcW w:w="1040" w:type="dxa"/>
                  <w:vAlign w:val="center"/>
                </w:tcPr>
                <w:p>
                  <w:pPr>
                    <w:jc w:val="center"/>
                    <w:rPr>
                      <w:bCs/>
                      <w:szCs w:val="21"/>
                    </w:rPr>
                  </w:pPr>
                  <w:r>
                    <w:rPr>
                      <w:szCs w:val="21"/>
                    </w:rPr>
                    <w:t>0.0</w:t>
                  </w:r>
                  <w:r>
                    <w:rPr>
                      <w:rFonts w:hint="eastAsia"/>
                      <w:szCs w:val="21"/>
                    </w:rPr>
                    <w:t>12</w:t>
                  </w:r>
                </w:p>
              </w:tc>
              <w:tc>
                <w:tcPr>
                  <w:tcW w:w="1125" w:type="dxa"/>
                  <w:vAlign w:val="center"/>
                </w:tcPr>
                <w:p>
                  <w:pPr>
                    <w:jc w:val="center"/>
                    <w:rPr>
                      <w:bCs/>
                      <w:szCs w:val="21"/>
                    </w:rPr>
                  </w:pPr>
                  <w:r>
                    <w:rPr>
                      <w:bCs/>
                      <w:szCs w:val="21"/>
                    </w:rPr>
                    <w:t>4.54</w:t>
                  </w:r>
                </w:p>
              </w:tc>
              <w:tc>
                <w:tcPr>
                  <w:tcW w:w="1140" w:type="dxa"/>
                  <w:vMerge w:val="continue"/>
                  <w:vAlign w:val="center"/>
                </w:tcPr>
                <w:p>
                  <w:pPr>
                    <w:jc w:val="center"/>
                    <w:rPr>
                      <w:bCs/>
                      <w:szCs w:val="21"/>
                    </w:rPr>
                  </w:pPr>
                </w:p>
              </w:tc>
              <w:tc>
                <w:tcPr>
                  <w:tcW w:w="855" w:type="dxa"/>
                  <w:vAlign w:val="center"/>
                </w:tcPr>
                <w:p>
                  <w:pPr>
                    <w:jc w:val="center"/>
                    <w:rPr>
                      <w:bCs/>
                      <w:szCs w:val="21"/>
                    </w:rPr>
                  </w:pPr>
                  <w:r>
                    <w:rPr>
                      <w:bCs/>
                      <w:szCs w:val="21"/>
                    </w:rPr>
                    <w:t>0.02</w:t>
                  </w:r>
                  <w:r>
                    <w:rPr>
                      <w:rFonts w:hint="eastAsia"/>
                      <w:bCs/>
                      <w:szCs w:val="21"/>
                    </w:rPr>
                    <w:t>9</w:t>
                  </w:r>
                </w:p>
              </w:tc>
              <w:tc>
                <w:tcPr>
                  <w:tcW w:w="990" w:type="dxa"/>
                  <w:vAlign w:val="center"/>
                </w:tcPr>
                <w:p>
                  <w:pPr>
                    <w:jc w:val="center"/>
                    <w:rPr>
                      <w:bCs/>
                      <w:szCs w:val="21"/>
                    </w:rPr>
                  </w:pPr>
                  <w:r>
                    <w:rPr>
                      <w:szCs w:val="21"/>
                    </w:rPr>
                    <w:t>0.0</w:t>
                  </w:r>
                  <w:r>
                    <w:rPr>
                      <w:rFonts w:hint="eastAsia"/>
                      <w:szCs w:val="21"/>
                    </w:rPr>
                    <w:t>12</w:t>
                  </w:r>
                </w:p>
              </w:tc>
              <w:tc>
                <w:tcPr>
                  <w:tcW w:w="992" w:type="dxa"/>
                  <w:vAlign w:val="center"/>
                </w:tcPr>
                <w:p>
                  <w:pPr>
                    <w:jc w:val="center"/>
                    <w:rPr>
                      <w:bCs/>
                      <w:szCs w:val="21"/>
                    </w:rPr>
                  </w:pPr>
                  <w:r>
                    <w:rPr>
                      <w:bCs/>
                      <w:szCs w:val="21"/>
                    </w:rPr>
                    <w:t>4.54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05" w:type="dxa"/>
                  <w:vMerge w:val="continue"/>
                  <w:vAlign w:val="center"/>
                </w:tcPr>
                <w:p>
                  <w:pPr>
                    <w:jc w:val="center"/>
                    <w:rPr>
                      <w:bCs/>
                      <w:szCs w:val="21"/>
                    </w:rPr>
                  </w:pPr>
                </w:p>
              </w:tc>
              <w:tc>
                <w:tcPr>
                  <w:tcW w:w="1091" w:type="dxa"/>
                  <w:vAlign w:val="center"/>
                </w:tcPr>
                <w:p>
                  <w:pPr>
                    <w:jc w:val="center"/>
                    <w:rPr>
                      <w:bCs/>
                      <w:szCs w:val="21"/>
                    </w:rPr>
                  </w:pPr>
                  <w:r>
                    <w:rPr>
                      <w:bCs/>
                      <w:szCs w:val="21"/>
                    </w:rPr>
                    <w:t>氮氧化物</w:t>
                  </w:r>
                </w:p>
              </w:tc>
              <w:tc>
                <w:tcPr>
                  <w:tcW w:w="859" w:type="dxa"/>
                  <w:vAlign w:val="center"/>
                </w:tcPr>
                <w:p>
                  <w:pPr>
                    <w:jc w:val="center"/>
                    <w:rPr>
                      <w:bCs/>
                      <w:szCs w:val="21"/>
                    </w:rPr>
                  </w:pPr>
                  <w:r>
                    <w:rPr>
                      <w:bCs/>
                      <w:szCs w:val="21"/>
                    </w:rPr>
                    <w:t>0.0</w:t>
                  </w:r>
                  <w:r>
                    <w:rPr>
                      <w:rFonts w:hint="eastAsia"/>
                      <w:bCs/>
                      <w:szCs w:val="21"/>
                    </w:rPr>
                    <w:t>22</w:t>
                  </w:r>
                </w:p>
              </w:tc>
              <w:tc>
                <w:tcPr>
                  <w:tcW w:w="1040" w:type="dxa"/>
                  <w:vAlign w:val="center"/>
                </w:tcPr>
                <w:p>
                  <w:pPr>
                    <w:jc w:val="center"/>
                    <w:rPr>
                      <w:bCs/>
                      <w:szCs w:val="21"/>
                    </w:rPr>
                  </w:pPr>
                  <w:r>
                    <w:rPr>
                      <w:bCs/>
                      <w:szCs w:val="21"/>
                    </w:rPr>
                    <w:t>0.00</w:t>
                  </w:r>
                  <w:r>
                    <w:rPr>
                      <w:rFonts w:hint="eastAsia"/>
                      <w:bCs/>
                      <w:szCs w:val="21"/>
                    </w:rPr>
                    <w:t>9</w:t>
                  </w:r>
                </w:p>
              </w:tc>
              <w:tc>
                <w:tcPr>
                  <w:tcW w:w="1125" w:type="dxa"/>
                  <w:vAlign w:val="center"/>
                </w:tcPr>
                <w:p>
                  <w:pPr>
                    <w:jc w:val="center"/>
                    <w:rPr>
                      <w:bCs/>
                      <w:szCs w:val="21"/>
                    </w:rPr>
                  </w:pPr>
                  <w:r>
                    <w:rPr>
                      <w:rFonts w:hint="eastAsia"/>
                      <w:bCs/>
                      <w:szCs w:val="21"/>
                    </w:rPr>
                    <w:t>3.4</w:t>
                  </w:r>
                </w:p>
              </w:tc>
              <w:tc>
                <w:tcPr>
                  <w:tcW w:w="1140" w:type="dxa"/>
                  <w:vMerge w:val="continue"/>
                  <w:vAlign w:val="center"/>
                </w:tcPr>
                <w:p>
                  <w:pPr>
                    <w:jc w:val="center"/>
                    <w:rPr>
                      <w:bCs/>
                      <w:szCs w:val="21"/>
                    </w:rPr>
                  </w:pPr>
                </w:p>
              </w:tc>
              <w:tc>
                <w:tcPr>
                  <w:tcW w:w="855" w:type="dxa"/>
                  <w:vAlign w:val="center"/>
                </w:tcPr>
                <w:p>
                  <w:pPr>
                    <w:jc w:val="center"/>
                    <w:rPr>
                      <w:bCs/>
                      <w:szCs w:val="21"/>
                    </w:rPr>
                  </w:pPr>
                  <w:r>
                    <w:rPr>
                      <w:bCs/>
                      <w:szCs w:val="21"/>
                    </w:rPr>
                    <w:t>0.0</w:t>
                  </w:r>
                  <w:r>
                    <w:rPr>
                      <w:rFonts w:hint="eastAsia"/>
                      <w:bCs/>
                      <w:szCs w:val="21"/>
                    </w:rPr>
                    <w:t>22</w:t>
                  </w:r>
                </w:p>
              </w:tc>
              <w:tc>
                <w:tcPr>
                  <w:tcW w:w="990" w:type="dxa"/>
                  <w:vAlign w:val="center"/>
                </w:tcPr>
                <w:p>
                  <w:pPr>
                    <w:jc w:val="center"/>
                    <w:rPr>
                      <w:bCs/>
                      <w:szCs w:val="21"/>
                    </w:rPr>
                  </w:pPr>
                  <w:r>
                    <w:rPr>
                      <w:bCs/>
                      <w:szCs w:val="21"/>
                    </w:rPr>
                    <w:t>0.00</w:t>
                  </w:r>
                  <w:r>
                    <w:rPr>
                      <w:rFonts w:hint="eastAsia"/>
                      <w:bCs/>
                      <w:szCs w:val="21"/>
                    </w:rPr>
                    <w:t>9</w:t>
                  </w:r>
                </w:p>
              </w:tc>
              <w:tc>
                <w:tcPr>
                  <w:tcW w:w="992" w:type="dxa"/>
                  <w:vAlign w:val="center"/>
                </w:tcPr>
                <w:p>
                  <w:pPr>
                    <w:jc w:val="center"/>
                    <w:rPr>
                      <w:bCs/>
                      <w:szCs w:val="21"/>
                    </w:rPr>
                  </w:pPr>
                  <w:r>
                    <w:rPr>
                      <w:rFonts w:hint="eastAsia"/>
                      <w:bCs/>
                      <w:szCs w:val="21"/>
                    </w:rPr>
                    <w:t>3.4</w:t>
                  </w:r>
                </w:p>
              </w:tc>
            </w:tr>
          </w:tbl>
          <w:p>
            <w:pPr>
              <w:adjustRightInd w:val="0"/>
              <w:spacing w:line="360" w:lineRule="auto"/>
              <w:ind w:firstLine="480" w:firstLineChars="200"/>
              <w:rPr>
                <w:sz w:val="24"/>
              </w:rPr>
            </w:pPr>
            <w:r>
              <w:rPr>
                <w:sz w:val="24"/>
              </w:rPr>
              <w:t>由上述分析可知，本项目排气筒DA001、DA002有组织颗粒物、二氧化硫、</w:t>
            </w:r>
            <w:r>
              <w:rPr>
                <w:rFonts w:hint="eastAsia"/>
                <w:sz w:val="24"/>
                <w:lang w:val="en-US" w:eastAsia="zh-CN"/>
              </w:rPr>
              <w:t>氮氧</w:t>
            </w:r>
            <w:r>
              <w:rPr>
                <w:sz w:val="24"/>
              </w:rPr>
              <w:t>化物有组织排放浓度满足《区域性大气污染物综合排放标准》（DB37/2376-2019）表1中一般控制区排放浓度限值，排放速率满足《大气污染物综合排放标准》(GB16297-1996)表2中的标准要求。</w:t>
            </w:r>
          </w:p>
          <w:p>
            <w:pPr>
              <w:adjustRightInd w:val="0"/>
              <w:snapToGrid w:val="0"/>
              <w:spacing w:line="348" w:lineRule="auto"/>
              <w:ind w:firstLine="482" w:firstLineChars="200"/>
              <w:rPr>
                <w:b/>
                <w:bCs/>
                <w:sz w:val="24"/>
              </w:rPr>
            </w:pPr>
            <w:r>
              <w:rPr>
                <w:b/>
                <w:bCs/>
                <w:sz w:val="24"/>
              </w:rPr>
              <w:t>2废气排放达标性分析</w:t>
            </w:r>
          </w:p>
          <w:p>
            <w:pPr>
              <w:pStyle w:val="119"/>
              <w:ind w:firstLine="480"/>
              <w:rPr>
                <w:color w:val="000000"/>
                <w:spacing w:val="-2"/>
              </w:rPr>
            </w:pPr>
            <w:r>
              <w:rPr>
                <w:color w:val="000000"/>
              </w:rPr>
              <w:t>项目位于济宁市泗水县，</w:t>
            </w:r>
            <w:r>
              <w:t>PM</w:t>
            </w:r>
            <w:r>
              <w:rPr>
                <w:vertAlign w:val="subscript"/>
              </w:rPr>
              <w:t>10</w:t>
            </w:r>
            <w:r>
              <w:t>、PM</w:t>
            </w:r>
            <w:r>
              <w:rPr>
                <w:vertAlign w:val="subscript"/>
              </w:rPr>
              <w:t>2.5</w:t>
            </w:r>
            <w:r>
              <w:t>年均浓度超标，</w:t>
            </w:r>
            <w:r>
              <w:rPr>
                <w:color w:val="000000"/>
              </w:rPr>
              <w:t>属于不达标区，本项目废气主要为原料卸料废气、上料，磨粉废气、造粒，筛分废气、包装废气、天然气燃烧及烘干废气，其中上料，磨粉废气、造粒，筛分废气、包装废气收集后经袋式除尘器处理后由15m排气筒DA001排出，天然气燃烧经过底单燃烧与烘干废气一同经袋式除尘器处理后由15m排气筒DA002排出。有组织颗粒物、二氧化硫、</w:t>
            </w:r>
            <w:r>
              <w:rPr>
                <w:rFonts w:hint="eastAsia"/>
                <w:color w:val="000000"/>
                <w:lang w:eastAsia="zh-CN"/>
              </w:rPr>
              <w:t>氮氧</w:t>
            </w:r>
            <w:r>
              <w:rPr>
                <w:color w:val="000000"/>
              </w:rPr>
              <w:t>化物有组织排放浓度满足《区域性大气污染物综合排放标准》（DB37/2376-2019）表1中一般控制区排放浓度限值，排放速率满足《大气污染物综合排放标准》(GB16297-1996)表2中的标准要求</w:t>
            </w:r>
            <w:r>
              <w:rPr>
                <w:color w:val="000000"/>
                <w:spacing w:val="-2"/>
              </w:rPr>
              <w:t>。</w:t>
            </w:r>
          </w:p>
          <w:p>
            <w:pPr>
              <w:spacing w:line="360" w:lineRule="auto"/>
              <w:ind w:firstLine="480" w:firstLineChars="200"/>
              <w:rPr>
                <w:color w:val="000000"/>
                <w:kern w:val="0"/>
                <w:sz w:val="24"/>
              </w:rPr>
            </w:pPr>
            <w:r>
              <w:rPr>
                <w:color w:val="000000"/>
                <w:kern w:val="0"/>
                <w:sz w:val="24"/>
              </w:rPr>
              <w:t>未收集废气以无组织方式排出，颗粒物无组织排放量为0.7076t/a，排放速率为0.295kg/h。</w:t>
            </w:r>
          </w:p>
          <w:p>
            <w:pPr>
              <w:jc w:val="center"/>
              <w:rPr>
                <w:b/>
                <w:bCs/>
                <w:szCs w:val="21"/>
              </w:rPr>
            </w:pPr>
            <w:r>
              <w:rPr>
                <w:b/>
                <w:bCs/>
                <w:sz w:val="24"/>
              </w:rPr>
              <w:t>表4-3  项目面源排放参数</w:t>
            </w:r>
          </w:p>
          <w:tbl>
            <w:tblPr>
              <w:tblStyle w:val="35"/>
              <w:tblW w:w="49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403"/>
              <w:gridCol w:w="982"/>
              <w:gridCol w:w="1687"/>
              <w:gridCol w:w="1128"/>
              <w:gridCol w:w="1128"/>
              <w:gridCol w:w="841"/>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383" w:type="pct"/>
                  <w:tcBorders>
                    <w:tl2br w:val="nil"/>
                    <w:tr2bl w:val="nil"/>
                  </w:tcBorders>
                  <w:vAlign w:val="center"/>
                </w:tcPr>
                <w:p>
                  <w:pPr>
                    <w:jc w:val="center"/>
                    <w:rPr>
                      <w:b/>
                      <w:bCs/>
                      <w:szCs w:val="21"/>
                    </w:rPr>
                  </w:pPr>
                  <w:r>
                    <w:rPr>
                      <w:b/>
                      <w:bCs/>
                      <w:szCs w:val="21"/>
                    </w:rPr>
                    <w:t>序号</w:t>
                  </w:r>
                </w:p>
              </w:tc>
              <w:tc>
                <w:tcPr>
                  <w:tcW w:w="773" w:type="pct"/>
                  <w:tcBorders>
                    <w:tl2br w:val="nil"/>
                    <w:tr2bl w:val="nil"/>
                  </w:tcBorders>
                  <w:vAlign w:val="center"/>
                </w:tcPr>
                <w:p>
                  <w:pPr>
                    <w:jc w:val="center"/>
                    <w:rPr>
                      <w:b/>
                      <w:bCs/>
                      <w:szCs w:val="21"/>
                    </w:rPr>
                  </w:pPr>
                  <w:r>
                    <w:rPr>
                      <w:b/>
                      <w:bCs/>
                      <w:szCs w:val="21"/>
                    </w:rPr>
                    <w:t>污染源位置</w:t>
                  </w:r>
                </w:p>
              </w:tc>
              <w:tc>
                <w:tcPr>
                  <w:tcW w:w="541" w:type="pct"/>
                  <w:tcBorders>
                    <w:tl2br w:val="nil"/>
                    <w:tr2bl w:val="nil"/>
                  </w:tcBorders>
                  <w:vAlign w:val="center"/>
                </w:tcPr>
                <w:p>
                  <w:pPr>
                    <w:jc w:val="center"/>
                    <w:rPr>
                      <w:b/>
                      <w:bCs/>
                      <w:szCs w:val="21"/>
                    </w:rPr>
                  </w:pPr>
                  <w:r>
                    <w:rPr>
                      <w:b/>
                      <w:bCs/>
                      <w:szCs w:val="21"/>
                    </w:rPr>
                    <w:t>污染物名称</w:t>
                  </w:r>
                </w:p>
              </w:tc>
              <w:tc>
                <w:tcPr>
                  <w:tcW w:w="929" w:type="pct"/>
                  <w:tcBorders>
                    <w:tl2br w:val="nil"/>
                    <w:tr2bl w:val="nil"/>
                  </w:tcBorders>
                  <w:vAlign w:val="center"/>
                </w:tcPr>
                <w:p>
                  <w:pPr>
                    <w:jc w:val="center"/>
                    <w:rPr>
                      <w:b/>
                      <w:bCs/>
                      <w:szCs w:val="21"/>
                    </w:rPr>
                  </w:pPr>
                  <w:r>
                    <w:rPr>
                      <w:b/>
                      <w:bCs/>
                      <w:szCs w:val="21"/>
                    </w:rPr>
                    <w:t>污染物评价标准mg/m</w:t>
                  </w:r>
                  <w:r>
                    <w:rPr>
                      <w:b/>
                      <w:bCs/>
                      <w:szCs w:val="21"/>
                      <w:vertAlign w:val="superscript"/>
                    </w:rPr>
                    <w:t>3</w:t>
                  </w:r>
                </w:p>
              </w:tc>
              <w:tc>
                <w:tcPr>
                  <w:tcW w:w="622" w:type="pct"/>
                  <w:tcBorders>
                    <w:tl2br w:val="nil"/>
                    <w:tr2bl w:val="nil"/>
                  </w:tcBorders>
                  <w:vAlign w:val="center"/>
                </w:tcPr>
                <w:p>
                  <w:pPr>
                    <w:jc w:val="center"/>
                    <w:rPr>
                      <w:b/>
                      <w:bCs/>
                      <w:szCs w:val="21"/>
                    </w:rPr>
                  </w:pPr>
                  <w:r>
                    <w:rPr>
                      <w:b/>
                      <w:bCs/>
                      <w:szCs w:val="21"/>
                    </w:rPr>
                    <w:t>排放速率kg/h</w:t>
                  </w:r>
                </w:p>
              </w:tc>
              <w:tc>
                <w:tcPr>
                  <w:tcW w:w="622" w:type="pct"/>
                  <w:tcBorders>
                    <w:tl2br w:val="nil"/>
                    <w:tr2bl w:val="nil"/>
                  </w:tcBorders>
                  <w:vAlign w:val="center"/>
                </w:tcPr>
                <w:p>
                  <w:pPr>
                    <w:jc w:val="center"/>
                    <w:rPr>
                      <w:b/>
                      <w:bCs/>
                      <w:szCs w:val="21"/>
                    </w:rPr>
                  </w:pPr>
                  <w:r>
                    <w:rPr>
                      <w:b/>
                      <w:bCs/>
                      <w:szCs w:val="21"/>
                    </w:rPr>
                    <w:t>面源长度m</w:t>
                  </w:r>
                </w:p>
              </w:tc>
              <w:tc>
                <w:tcPr>
                  <w:tcW w:w="464" w:type="pct"/>
                  <w:tcBorders>
                    <w:tl2br w:val="nil"/>
                    <w:tr2bl w:val="nil"/>
                  </w:tcBorders>
                  <w:vAlign w:val="center"/>
                </w:tcPr>
                <w:p>
                  <w:pPr>
                    <w:jc w:val="center"/>
                    <w:rPr>
                      <w:b/>
                      <w:bCs/>
                      <w:szCs w:val="21"/>
                    </w:rPr>
                  </w:pPr>
                  <w:r>
                    <w:rPr>
                      <w:b/>
                      <w:bCs/>
                      <w:szCs w:val="21"/>
                    </w:rPr>
                    <w:t>面源宽度m</w:t>
                  </w:r>
                </w:p>
              </w:tc>
              <w:tc>
                <w:tcPr>
                  <w:tcW w:w="663" w:type="pct"/>
                  <w:tcBorders>
                    <w:tl2br w:val="nil"/>
                    <w:tr2bl w:val="nil"/>
                  </w:tcBorders>
                  <w:vAlign w:val="center"/>
                </w:tcPr>
                <w:p>
                  <w:pPr>
                    <w:jc w:val="center"/>
                    <w:rPr>
                      <w:b/>
                      <w:bCs/>
                      <w:szCs w:val="21"/>
                    </w:rPr>
                  </w:pPr>
                  <w:r>
                    <w:rPr>
                      <w:b/>
                      <w:bCs/>
                      <w:szCs w:val="21"/>
                    </w:rPr>
                    <w:t>面源平均高度m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83" w:type="pct"/>
                  <w:tcBorders>
                    <w:tl2br w:val="nil"/>
                    <w:tr2bl w:val="nil"/>
                  </w:tcBorders>
                  <w:vAlign w:val="center"/>
                </w:tcPr>
                <w:p>
                  <w:pPr>
                    <w:jc w:val="center"/>
                    <w:rPr>
                      <w:szCs w:val="21"/>
                    </w:rPr>
                  </w:pPr>
                  <w:r>
                    <w:rPr>
                      <w:szCs w:val="21"/>
                    </w:rPr>
                    <w:t>1</w:t>
                  </w:r>
                </w:p>
              </w:tc>
              <w:tc>
                <w:tcPr>
                  <w:tcW w:w="773" w:type="pct"/>
                  <w:tcBorders>
                    <w:tl2br w:val="nil"/>
                    <w:tr2bl w:val="nil"/>
                  </w:tcBorders>
                  <w:vAlign w:val="center"/>
                </w:tcPr>
                <w:p>
                  <w:pPr>
                    <w:jc w:val="center"/>
                    <w:rPr>
                      <w:szCs w:val="21"/>
                    </w:rPr>
                  </w:pPr>
                  <w:r>
                    <w:rPr>
                      <w:szCs w:val="21"/>
                    </w:rPr>
                    <w:t>生产车间</w:t>
                  </w:r>
                </w:p>
              </w:tc>
              <w:tc>
                <w:tcPr>
                  <w:tcW w:w="541" w:type="pct"/>
                  <w:tcBorders>
                    <w:tl2br w:val="nil"/>
                    <w:tr2bl w:val="nil"/>
                  </w:tcBorders>
                  <w:vAlign w:val="center"/>
                </w:tcPr>
                <w:p>
                  <w:pPr>
                    <w:jc w:val="center"/>
                    <w:rPr>
                      <w:szCs w:val="21"/>
                    </w:rPr>
                  </w:pPr>
                  <w:r>
                    <w:rPr>
                      <w:szCs w:val="21"/>
                    </w:rPr>
                    <w:t>颗粒物</w:t>
                  </w:r>
                </w:p>
              </w:tc>
              <w:tc>
                <w:tcPr>
                  <w:tcW w:w="929" w:type="pct"/>
                  <w:tcBorders>
                    <w:tl2br w:val="nil"/>
                    <w:tr2bl w:val="nil"/>
                  </w:tcBorders>
                  <w:vAlign w:val="center"/>
                </w:tcPr>
                <w:p>
                  <w:pPr>
                    <w:jc w:val="center"/>
                    <w:rPr>
                      <w:szCs w:val="21"/>
                    </w:rPr>
                  </w:pPr>
                  <w:r>
                    <w:rPr>
                      <w:szCs w:val="21"/>
                    </w:rPr>
                    <w:t>1.0</w:t>
                  </w:r>
                </w:p>
              </w:tc>
              <w:tc>
                <w:tcPr>
                  <w:tcW w:w="622" w:type="pct"/>
                  <w:tcBorders>
                    <w:tl2br w:val="nil"/>
                    <w:tr2bl w:val="nil"/>
                  </w:tcBorders>
                  <w:vAlign w:val="center"/>
                </w:tcPr>
                <w:p>
                  <w:pPr>
                    <w:jc w:val="center"/>
                    <w:rPr>
                      <w:szCs w:val="21"/>
                    </w:rPr>
                  </w:pPr>
                  <w:r>
                    <w:rPr>
                      <w:szCs w:val="21"/>
                    </w:rPr>
                    <w:t>0.295</w:t>
                  </w:r>
                </w:p>
              </w:tc>
              <w:tc>
                <w:tcPr>
                  <w:tcW w:w="622" w:type="pct"/>
                  <w:tcBorders>
                    <w:tl2br w:val="nil"/>
                    <w:tr2bl w:val="nil"/>
                  </w:tcBorders>
                  <w:vAlign w:val="center"/>
                </w:tcPr>
                <w:p>
                  <w:pPr>
                    <w:pStyle w:val="120"/>
                    <w:rPr>
                      <w:szCs w:val="21"/>
                    </w:rPr>
                  </w:pPr>
                  <w:r>
                    <w:rPr>
                      <w:szCs w:val="21"/>
                    </w:rPr>
                    <w:t>50</w:t>
                  </w:r>
                </w:p>
              </w:tc>
              <w:tc>
                <w:tcPr>
                  <w:tcW w:w="464" w:type="pct"/>
                  <w:tcBorders>
                    <w:tl2br w:val="nil"/>
                    <w:tr2bl w:val="nil"/>
                  </w:tcBorders>
                  <w:vAlign w:val="center"/>
                </w:tcPr>
                <w:p>
                  <w:pPr>
                    <w:pStyle w:val="120"/>
                    <w:rPr>
                      <w:szCs w:val="21"/>
                    </w:rPr>
                  </w:pPr>
                  <w:r>
                    <w:rPr>
                      <w:szCs w:val="21"/>
                    </w:rPr>
                    <w:t>10</w:t>
                  </w:r>
                </w:p>
              </w:tc>
              <w:tc>
                <w:tcPr>
                  <w:tcW w:w="663" w:type="pct"/>
                  <w:tcBorders>
                    <w:tl2br w:val="nil"/>
                    <w:tr2bl w:val="nil"/>
                  </w:tcBorders>
                  <w:vAlign w:val="center"/>
                </w:tcPr>
                <w:p>
                  <w:pPr>
                    <w:pStyle w:val="120"/>
                    <w:rPr>
                      <w:szCs w:val="21"/>
                    </w:rPr>
                  </w:pPr>
                  <w:r>
                    <w:rPr>
                      <w:szCs w:val="21"/>
                    </w:rPr>
                    <w:t>10</w:t>
                  </w:r>
                </w:p>
              </w:tc>
            </w:tr>
          </w:tbl>
          <w:p>
            <w:pPr>
              <w:spacing w:line="360" w:lineRule="auto"/>
              <w:ind w:firstLine="480" w:firstLineChars="200"/>
              <w:rPr>
                <w:b/>
                <w:bCs/>
                <w:sz w:val="24"/>
              </w:rPr>
            </w:pPr>
            <w:r>
              <w:rPr>
                <w:color w:val="000000"/>
                <w:sz w:val="24"/>
              </w:rPr>
              <w:t>由估算模型AERSCREEN 计算得</w:t>
            </w:r>
            <w:r>
              <w:rPr>
                <w:sz w:val="24"/>
              </w:rPr>
              <w:t>，</w:t>
            </w:r>
            <w:r>
              <w:rPr>
                <w:color w:val="000000"/>
                <w:kern w:val="21"/>
                <w:sz w:val="24"/>
              </w:rPr>
              <w:t xml:space="preserve">颗粒物 </w:t>
            </w:r>
            <w:r>
              <w:rPr>
                <w:color w:val="000000"/>
                <w:sz w:val="24"/>
              </w:rPr>
              <w:t>1小时浓度为3.59×10</w:t>
            </w:r>
            <w:r>
              <w:rPr>
                <w:color w:val="000000"/>
                <w:sz w:val="24"/>
                <w:vertAlign w:val="superscript"/>
              </w:rPr>
              <w:t>-4</w:t>
            </w:r>
            <w:r>
              <w:rPr>
                <w:color w:val="000000"/>
                <w:sz w:val="24"/>
              </w:rPr>
              <w:t>mg/m</w:t>
            </w:r>
            <w:r>
              <w:rPr>
                <w:color w:val="000000"/>
                <w:sz w:val="24"/>
                <w:vertAlign w:val="superscript"/>
              </w:rPr>
              <w:t>3</w:t>
            </w:r>
            <w:r>
              <w:rPr>
                <w:color w:val="000000"/>
                <w:sz w:val="24"/>
              </w:rPr>
              <w:t>，无组织颗粒物浓度满足满足《大气污染物综合排放标准》(GB16297-1996)厂界监控点浓度限值。</w:t>
            </w:r>
          </w:p>
          <w:p>
            <w:pPr>
              <w:spacing w:line="360" w:lineRule="auto"/>
              <w:ind w:firstLine="482" w:firstLineChars="200"/>
              <w:rPr>
                <w:b/>
                <w:bCs/>
                <w:sz w:val="24"/>
              </w:rPr>
            </w:pPr>
            <w:r>
              <w:rPr>
                <w:b/>
                <w:bCs/>
                <w:sz w:val="24"/>
              </w:rPr>
              <w:t>3、废气处理措施可行性分析</w:t>
            </w:r>
          </w:p>
          <w:p>
            <w:pPr>
              <w:spacing w:line="360" w:lineRule="auto"/>
              <w:ind w:firstLine="480" w:firstLineChars="200"/>
              <w:rPr>
                <w:sz w:val="24"/>
              </w:rPr>
            </w:pPr>
            <w:r>
              <w:rPr>
                <w:sz w:val="24"/>
              </w:rPr>
              <w:t>参考《排污许可证申请与核发技术规范 石墨及其他非金属矿物制品制造》中提出的可行技术。根据查询可知，颗粒物的污染防治可行性技术有袋式除尘、静电除尘、旋风除尘、湿式除尘等处理方式，本项目采用袋式除尘进行处理，属于可行性技术。天然气使用量较少，天然气经低氮燃烧后排放，经计算，产生的二氧化硫、氮氧化物可满足《区域性大气污染物综合排放标准》（DB37/2376-2019）表1中一般控制区排放浓度限值。项目车间内无组织粉尘主要采取密闭车间阻挡，车间内沉降；车间外无组织粉尘主要为喷淋降尘，喷淋范围覆盖整个料堆，建设防风抑尘网等措施，通过采取以上措施，无组织颗粒物可满足《大气污染物综合排放标准》(GB16297-1996)表2中无组织颗粒物排放浓度标准要求。废气采取本项目采取的措施可行。</w:t>
            </w:r>
          </w:p>
          <w:p>
            <w:pPr>
              <w:spacing w:line="360" w:lineRule="auto"/>
              <w:ind w:firstLine="480" w:firstLineChars="200"/>
              <w:rPr>
                <w:sz w:val="24"/>
              </w:rPr>
            </w:pPr>
            <w:r>
              <w:rPr>
                <w:sz w:val="24"/>
              </w:rPr>
              <w:t>根据上述分析，本项目大气污染物处理后能够达标排放，处理工艺可行。</w:t>
            </w:r>
          </w:p>
          <w:p>
            <w:pPr>
              <w:autoSpaceDE w:val="0"/>
              <w:autoSpaceDN w:val="0"/>
              <w:adjustRightInd w:val="0"/>
              <w:snapToGrid w:val="0"/>
              <w:spacing w:line="360" w:lineRule="auto"/>
              <w:ind w:firstLine="482" w:firstLineChars="200"/>
              <w:rPr>
                <w:b/>
                <w:bCs/>
                <w:sz w:val="24"/>
              </w:rPr>
            </w:pPr>
            <w:r>
              <w:rPr>
                <w:b/>
                <w:bCs/>
                <w:sz w:val="24"/>
              </w:rPr>
              <w:t>4、非正常工况</w:t>
            </w:r>
          </w:p>
          <w:p>
            <w:pPr>
              <w:adjustRightInd w:val="0"/>
              <w:spacing w:line="360" w:lineRule="auto"/>
              <w:ind w:firstLine="480" w:firstLineChars="200"/>
              <w:rPr>
                <w:sz w:val="24"/>
              </w:rPr>
            </w:pPr>
            <w:r>
              <w:rPr>
                <w:sz w:val="24"/>
              </w:rPr>
              <w:t>项目非正常工况主要是袋式除尘器装置出现故障，颗粒物未经净化直接排放，污染源非正常排放量核算表见下表。</w:t>
            </w:r>
          </w:p>
          <w:p>
            <w:pPr>
              <w:ind w:firstLine="480"/>
              <w:jc w:val="center"/>
              <w:rPr>
                <w:b/>
                <w:szCs w:val="21"/>
              </w:rPr>
            </w:pPr>
            <w:r>
              <w:rPr>
                <w:b/>
                <w:sz w:val="24"/>
              </w:rPr>
              <w:t>表4-4  非正常工况下点源排放参数一览表</w:t>
            </w:r>
          </w:p>
          <w:tbl>
            <w:tblPr>
              <w:tblStyle w:val="35"/>
              <w:tblW w:w="87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28" w:type="dxa"/>
                <w:bottom w:w="28" w:type="dxa"/>
                <w:right w:w="28" w:type="dxa"/>
              </w:tblCellMar>
            </w:tblPr>
            <w:tblGrid>
              <w:gridCol w:w="747"/>
              <w:gridCol w:w="915"/>
              <w:gridCol w:w="795"/>
              <w:gridCol w:w="930"/>
              <w:gridCol w:w="1095"/>
              <w:gridCol w:w="1044"/>
              <w:gridCol w:w="750"/>
              <w:gridCol w:w="762"/>
              <w:gridCol w:w="762"/>
              <w:gridCol w:w="9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747" w:type="dxa"/>
                  <w:vMerge w:val="restart"/>
                  <w:tcBorders>
                    <w:tl2br w:val="nil"/>
                    <w:tr2bl w:val="nil"/>
                  </w:tcBorders>
                  <w:vAlign w:val="center"/>
                </w:tcPr>
                <w:p>
                  <w:pPr>
                    <w:jc w:val="center"/>
                    <w:rPr>
                      <w:b/>
                      <w:szCs w:val="21"/>
                    </w:rPr>
                  </w:pPr>
                  <w:r>
                    <w:rPr>
                      <w:b/>
                      <w:szCs w:val="21"/>
                    </w:rPr>
                    <w:t>点源</w:t>
                  </w:r>
                </w:p>
                <w:p>
                  <w:pPr>
                    <w:jc w:val="center"/>
                    <w:rPr>
                      <w:b/>
                      <w:szCs w:val="21"/>
                    </w:rPr>
                  </w:pPr>
                  <w:r>
                    <w:rPr>
                      <w:b/>
                      <w:szCs w:val="21"/>
                    </w:rPr>
                    <w:t>名称</w:t>
                  </w:r>
                </w:p>
              </w:tc>
              <w:tc>
                <w:tcPr>
                  <w:tcW w:w="915" w:type="dxa"/>
                  <w:vMerge w:val="restart"/>
                  <w:tcBorders>
                    <w:tl2br w:val="nil"/>
                    <w:tr2bl w:val="nil"/>
                  </w:tcBorders>
                  <w:vAlign w:val="center"/>
                </w:tcPr>
                <w:p>
                  <w:pPr>
                    <w:widowControl/>
                    <w:jc w:val="center"/>
                    <w:textAlignment w:val="center"/>
                    <w:rPr>
                      <w:b/>
                      <w:szCs w:val="21"/>
                    </w:rPr>
                  </w:pPr>
                  <w:r>
                    <w:rPr>
                      <w:b/>
                      <w:kern w:val="0"/>
                      <w:szCs w:val="21"/>
                      <w:lang w:bidi="ar"/>
                    </w:rPr>
                    <w:t>非正常排放原因</w:t>
                  </w:r>
                </w:p>
              </w:tc>
              <w:tc>
                <w:tcPr>
                  <w:tcW w:w="795" w:type="dxa"/>
                  <w:vMerge w:val="restart"/>
                  <w:tcBorders>
                    <w:tl2br w:val="nil"/>
                    <w:tr2bl w:val="nil"/>
                  </w:tcBorders>
                  <w:vAlign w:val="center"/>
                </w:tcPr>
                <w:p>
                  <w:pPr>
                    <w:jc w:val="center"/>
                    <w:rPr>
                      <w:b/>
                      <w:szCs w:val="21"/>
                    </w:rPr>
                  </w:pPr>
                  <w:r>
                    <w:rPr>
                      <w:b/>
                      <w:szCs w:val="21"/>
                    </w:rPr>
                    <w:t>污染物</w:t>
                  </w:r>
                </w:p>
              </w:tc>
              <w:tc>
                <w:tcPr>
                  <w:tcW w:w="930" w:type="dxa"/>
                  <w:vMerge w:val="restart"/>
                  <w:tcBorders>
                    <w:tl2br w:val="nil"/>
                    <w:tr2bl w:val="nil"/>
                  </w:tcBorders>
                  <w:vAlign w:val="center"/>
                </w:tcPr>
                <w:p>
                  <w:pPr>
                    <w:jc w:val="center"/>
                    <w:rPr>
                      <w:b/>
                      <w:szCs w:val="21"/>
                    </w:rPr>
                  </w:pPr>
                  <w:r>
                    <w:rPr>
                      <w:b/>
                      <w:szCs w:val="21"/>
                    </w:rPr>
                    <w:t>频次</w:t>
                  </w:r>
                </w:p>
                <w:p>
                  <w:pPr>
                    <w:jc w:val="center"/>
                    <w:rPr>
                      <w:b/>
                      <w:szCs w:val="21"/>
                    </w:rPr>
                  </w:pPr>
                  <w:r>
                    <w:rPr>
                      <w:b/>
                      <w:szCs w:val="21"/>
                    </w:rPr>
                    <w:t>（次/年）</w:t>
                  </w:r>
                </w:p>
              </w:tc>
              <w:tc>
                <w:tcPr>
                  <w:tcW w:w="1095" w:type="dxa"/>
                  <w:vMerge w:val="restart"/>
                  <w:tcBorders>
                    <w:tl2br w:val="nil"/>
                    <w:tr2bl w:val="nil"/>
                  </w:tcBorders>
                  <w:vAlign w:val="center"/>
                </w:tcPr>
                <w:p>
                  <w:pPr>
                    <w:jc w:val="center"/>
                    <w:rPr>
                      <w:b/>
                      <w:szCs w:val="21"/>
                    </w:rPr>
                  </w:pPr>
                  <w:r>
                    <w:rPr>
                      <w:b/>
                      <w:szCs w:val="21"/>
                    </w:rPr>
                    <w:t>非正常排放速率（kg/h）</w:t>
                  </w:r>
                </w:p>
              </w:tc>
              <w:tc>
                <w:tcPr>
                  <w:tcW w:w="1044" w:type="dxa"/>
                  <w:vMerge w:val="restart"/>
                  <w:tcBorders>
                    <w:tl2br w:val="nil"/>
                    <w:tr2bl w:val="nil"/>
                  </w:tcBorders>
                  <w:vAlign w:val="center"/>
                </w:tcPr>
                <w:p>
                  <w:pPr>
                    <w:jc w:val="center"/>
                    <w:rPr>
                      <w:b/>
                      <w:szCs w:val="21"/>
                    </w:rPr>
                  </w:pPr>
                  <w:r>
                    <w:rPr>
                      <w:b/>
                      <w:szCs w:val="21"/>
                    </w:rPr>
                    <w:t>非正常排放浓度（mg/m</w:t>
                  </w:r>
                  <w:r>
                    <w:rPr>
                      <w:b/>
                      <w:szCs w:val="21"/>
                      <w:vertAlign w:val="superscript"/>
                    </w:rPr>
                    <w:t>3</w:t>
                  </w:r>
                  <w:r>
                    <w:rPr>
                      <w:b/>
                      <w:szCs w:val="21"/>
                    </w:rPr>
                    <w:t>）</w:t>
                  </w:r>
                </w:p>
              </w:tc>
              <w:tc>
                <w:tcPr>
                  <w:tcW w:w="1512" w:type="dxa"/>
                  <w:gridSpan w:val="2"/>
                  <w:tcBorders>
                    <w:tl2br w:val="nil"/>
                    <w:tr2bl w:val="nil"/>
                  </w:tcBorders>
                  <w:vAlign w:val="center"/>
                </w:tcPr>
                <w:p>
                  <w:pPr>
                    <w:pStyle w:val="82"/>
                    <w:spacing w:line="240" w:lineRule="auto"/>
                    <w:ind w:firstLine="0" w:firstLineChars="0"/>
                    <w:jc w:val="center"/>
                    <w:rPr>
                      <w:b/>
                      <w:sz w:val="21"/>
                      <w:szCs w:val="21"/>
                      <w:lang w:bidi="ar"/>
                    </w:rPr>
                  </w:pPr>
                  <w:r>
                    <w:rPr>
                      <w:b/>
                      <w:sz w:val="21"/>
                      <w:szCs w:val="21"/>
                      <w:lang w:bidi="ar"/>
                    </w:rPr>
                    <w:t>排放标准</w:t>
                  </w:r>
                </w:p>
              </w:tc>
              <w:tc>
                <w:tcPr>
                  <w:tcW w:w="762" w:type="dxa"/>
                  <w:vMerge w:val="restart"/>
                  <w:tcBorders>
                    <w:tl2br w:val="nil"/>
                    <w:tr2bl w:val="nil"/>
                  </w:tcBorders>
                  <w:vAlign w:val="center"/>
                </w:tcPr>
                <w:p>
                  <w:pPr>
                    <w:jc w:val="center"/>
                    <w:rPr>
                      <w:b/>
                      <w:szCs w:val="21"/>
                    </w:rPr>
                  </w:pPr>
                  <w:r>
                    <w:rPr>
                      <w:b/>
                      <w:kern w:val="0"/>
                      <w:szCs w:val="21"/>
                      <w:lang w:bidi="ar"/>
                    </w:rPr>
                    <w:t>单次持续时间（</w:t>
                  </w:r>
                  <w:r>
                    <w:rPr>
                      <w:b/>
                      <w:szCs w:val="21"/>
                    </w:rPr>
                    <w:t>h</w:t>
                  </w:r>
                  <w:r>
                    <w:rPr>
                      <w:b/>
                      <w:kern w:val="0"/>
                      <w:szCs w:val="21"/>
                      <w:lang w:bidi="ar"/>
                    </w:rPr>
                    <w:t>）</w:t>
                  </w:r>
                </w:p>
              </w:tc>
              <w:tc>
                <w:tcPr>
                  <w:tcW w:w="954" w:type="dxa"/>
                  <w:vMerge w:val="restart"/>
                  <w:tcBorders>
                    <w:tl2br w:val="nil"/>
                    <w:tr2bl w:val="nil"/>
                  </w:tcBorders>
                  <w:vAlign w:val="center"/>
                </w:tcPr>
                <w:p>
                  <w:pPr>
                    <w:jc w:val="center"/>
                    <w:rPr>
                      <w:b/>
                      <w:szCs w:val="21"/>
                    </w:rPr>
                  </w:pPr>
                  <w:r>
                    <w:rPr>
                      <w:b/>
                      <w:kern w:val="0"/>
                      <w:szCs w:val="21"/>
                      <w:lang w:bidi="ar"/>
                    </w:rPr>
                    <w:t>应对措施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23" w:hRule="atLeast"/>
                <w:jc w:val="center"/>
              </w:trPr>
              <w:tc>
                <w:tcPr>
                  <w:tcW w:w="747" w:type="dxa"/>
                  <w:vMerge w:val="continue"/>
                  <w:tcBorders>
                    <w:tl2br w:val="nil"/>
                    <w:tr2bl w:val="nil"/>
                  </w:tcBorders>
                  <w:vAlign w:val="center"/>
                </w:tcPr>
                <w:p>
                  <w:pPr>
                    <w:jc w:val="center"/>
                    <w:rPr>
                      <w:b/>
                      <w:szCs w:val="21"/>
                    </w:rPr>
                  </w:pPr>
                </w:p>
              </w:tc>
              <w:tc>
                <w:tcPr>
                  <w:tcW w:w="915" w:type="dxa"/>
                  <w:vMerge w:val="continue"/>
                  <w:tcBorders>
                    <w:tl2br w:val="nil"/>
                    <w:tr2bl w:val="nil"/>
                  </w:tcBorders>
                  <w:vAlign w:val="center"/>
                </w:tcPr>
                <w:p>
                  <w:pPr>
                    <w:widowControl/>
                    <w:jc w:val="center"/>
                    <w:textAlignment w:val="center"/>
                    <w:rPr>
                      <w:b/>
                      <w:kern w:val="0"/>
                      <w:szCs w:val="21"/>
                      <w:lang w:bidi="ar"/>
                    </w:rPr>
                  </w:pPr>
                </w:p>
              </w:tc>
              <w:tc>
                <w:tcPr>
                  <w:tcW w:w="795" w:type="dxa"/>
                  <w:vMerge w:val="continue"/>
                  <w:tcBorders>
                    <w:tl2br w:val="nil"/>
                    <w:tr2bl w:val="nil"/>
                  </w:tcBorders>
                  <w:vAlign w:val="center"/>
                </w:tcPr>
                <w:p>
                  <w:pPr>
                    <w:jc w:val="center"/>
                    <w:rPr>
                      <w:b/>
                      <w:szCs w:val="21"/>
                    </w:rPr>
                  </w:pPr>
                </w:p>
              </w:tc>
              <w:tc>
                <w:tcPr>
                  <w:tcW w:w="930" w:type="dxa"/>
                  <w:vMerge w:val="continue"/>
                  <w:tcBorders>
                    <w:tl2br w:val="nil"/>
                    <w:tr2bl w:val="nil"/>
                  </w:tcBorders>
                  <w:vAlign w:val="center"/>
                </w:tcPr>
                <w:p>
                  <w:pPr>
                    <w:jc w:val="center"/>
                    <w:rPr>
                      <w:b/>
                      <w:szCs w:val="21"/>
                    </w:rPr>
                  </w:pPr>
                </w:p>
              </w:tc>
              <w:tc>
                <w:tcPr>
                  <w:tcW w:w="1095" w:type="dxa"/>
                  <w:vMerge w:val="continue"/>
                  <w:tcBorders>
                    <w:tl2br w:val="nil"/>
                    <w:tr2bl w:val="nil"/>
                  </w:tcBorders>
                  <w:vAlign w:val="center"/>
                </w:tcPr>
                <w:p>
                  <w:pPr>
                    <w:jc w:val="center"/>
                    <w:rPr>
                      <w:b/>
                      <w:szCs w:val="21"/>
                    </w:rPr>
                  </w:pPr>
                </w:p>
              </w:tc>
              <w:tc>
                <w:tcPr>
                  <w:tcW w:w="1044" w:type="dxa"/>
                  <w:vMerge w:val="continue"/>
                  <w:tcBorders>
                    <w:tl2br w:val="nil"/>
                    <w:tr2bl w:val="nil"/>
                  </w:tcBorders>
                  <w:vAlign w:val="center"/>
                </w:tcPr>
                <w:p>
                  <w:pPr>
                    <w:jc w:val="center"/>
                    <w:rPr>
                      <w:b/>
                      <w:szCs w:val="21"/>
                    </w:rPr>
                  </w:pPr>
                </w:p>
              </w:tc>
              <w:tc>
                <w:tcPr>
                  <w:tcW w:w="750" w:type="dxa"/>
                  <w:tcBorders>
                    <w:tl2br w:val="nil"/>
                    <w:tr2bl w:val="nil"/>
                  </w:tcBorders>
                  <w:vAlign w:val="center"/>
                </w:tcPr>
                <w:p>
                  <w:pPr>
                    <w:jc w:val="center"/>
                    <w:rPr>
                      <w:b/>
                      <w:kern w:val="0"/>
                      <w:szCs w:val="21"/>
                      <w:lang w:bidi="ar"/>
                    </w:rPr>
                  </w:pPr>
                  <w:r>
                    <w:rPr>
                      <w:b/>
                      <w:kern w:val="0"/>
                      <w:szCs w:val="21"/>
                      <w:lang w:bidi="ar"/>
                    </w:rPr>
                    <w:t>kg/h</w:t>
                  </w:r>
                </w:p>
              </w:tc>
              <w:tc>
                <w:tcPr>
                  <w:tcW w:w="762" w:type="dxa"/>
                  <w:tcBorders>
                    <w:tl2br w:val="nil"/>
                    <w:tr2bl w:val="nil"/>
                  </w:tcBorders>
                  <w:vAlign w:val="center"/>
                </w:tcPr>
                <w:p>
                  <w:pPr>
                    <w:pStyle w:val="82"/>
                    <w:spacing w:line="240" w:lineRule="auto"/>
                    <w:ind w:firstLine="0" w:firstLineChars="0"/>
                    <w:jc w:val="center"/>
                    <w:rPr>
                      <w:b/>
                      <w:sz w:val="21"/>
                      <w:szCs w:val="21"/>
                      <w:lang w:bidi="ar"/>
                    </w:rPr>
                  </w:pPr>
                  <w:r>
                    <w:rPr>
                      <w:b/>
                      <w:sz w:val="21"/>
                      <w:szCs w:val="21"/>
                      <w:lang w:bidi="ar"/>
                    </w:rPr>
                    <w:t>mg/m</w:t>
                  </w:r>
                  <w:r>
                    <w:rPr>
                      <w:b/>
                      <w:sz w:val="21"/>
                      <w:szCs w:val="21"/>
                      <w:vertAlign w:val="superscript"/>
                      <w:lang w:bidi="ar"/>
                    </w:rPr>
                    <w:t>3</w:t>
                  </w:r>
                </w:p>
              </w:tc>
              <w:tc>
                <w:tcPr>
                  <w:tcW w:w="762" w:type="dxa"/>
                  <w:vMerge w:val="continue"/>
                  <w:tcBorders>
                    <w:tl2br w:val="nil"/>
                    <w:tr2bl w:val="nil"/>
                  </w:tcBorders>
                  <w:vAlign w:val="center"/>
                </w:tcPr>
                <w:p>
                  <w:pPr>
                    <w:jc w:val="center"/>
                    <w:rPr>
                      <w:b/>
                      <w:kern w:val="0"/>
                      <w:szCs w:val="21"/>
                      <w:lang w:bidi="ar"/>
                    </w:rPr>
                  </w:pPr>
                </w:p>
              </w:tc>
              <w:tc>
                <w:tcPr>
                  <w:tcW w:w="954" w:type="dxa"/>
                  <w:vMerge w:val="continue"/>
                  <w:tcBorders>
                    <w:tl2br w:val="nil"/>
                    <w:tr2bl w:val="nil"/>
                  </w:tcBorders>
                  <w:vAlign w:val="center"/>
                </w:tcPr>
                <w:p>
                  <w:pPr>
                    <w:jc w:val="center"/>
                    <w:rPr>
                      <w:b/>
                      <w:kern w:val="0"/>
                      <w:szCs w:val="21"/>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747" w:type="dxa"/>
                  <w:tcBorders>
                    <w:tl2br w:val="nil"/>
                    <w:tr2bl w:val="nil"/>
                  </w:tcBorders>
                  <w:vAlign w:val="center"/>
                </w:tcPr>
                <w:p>
                  <w:pPr>
                    <w:pStyle w:val="97"/>
                    <w:tabs>
                      <w:tab w:val="left" w:pos="-2848"/>
                    </w:tabs>
                    <w:spacing w:before="31" w:after="31"/>
                    <w:rPr>
                      <w:rFonts w:ascii="Times New Roman" w:hAnsi="Times New Roman" w:eastAsia="宋体"/>
                      <w:sz w:val="21"/>
                      <w:szCs w:val="21"/>
                    </w:rPr>
                  </w:pPr>
                  <w:r>
                    <w:rPr>
                      <w:rFonts w:ascii="Times New Roman" w:hAnsi="Times New Roman" w:eastAsia="宋体"/>
                      <w:sz w:val="21"/>
                      <w:szCs w:val="21"/>
                    </w:rPr>
                    <w:t>DA001</w:t>
                  </w:r>
                </w:p>
              </w:tc>
              <w:tc>
                <w:tcPr>
                  <w:tcW w:w="915" w:type="dxa"/>
                  <w:tcBorders>
                    <w:tl2br w:val="nil"/>
                    <w:tr2bl w:val="nil"/>
                  </w:tcBorders>
                  <w:vAlign w:val="center"/>
                </w:tcPr>
                <w:p>
                  <w:pPr>
                    <w:jc w:val="center"/>
                    <w:rPr>
                      <w:bCs/>
                      <w:szCs w:val="21"/>
                    </w:rPr>
                  </w:pPr>
                  <w:r>
                    <w:rPr>
                      <w:bCs/>
                      <w:szCs w:val="21"/>
                    </w:rPr>
                    <w:t>袋式除尘器装置故障</w:t>
                  </w:r>
                </w:p>
              </w:tc>
              <w:tc>
                <w:tcPr>
                  <w:tcW w:w="795" w:type="dxa"/>
                  <w:tcBorders>
                    <w:tl2br w:val="nil"/>
                    <w:tr2bl w:val="nil"/>
                  </w:tcBorders>
                  <w:vAlign w:val="center"/>
                </w:tcPr>
                <w:p>
                  <w:pPr>
                    <w:jc w:val="center"/>
                    <w:rPr>
                      <w:szCs w:val="21"/>
                    </w:rPr>
                  </w:pPr>
                  <w:r>
                    <w:rPr>
                      <w:szCs w:val="21"/>
                    </w:rPr>
                    <w:t>颗粒物</w:t>
                  </w:r>
                </w:p>
              </w:tc>
              <w:tc>
                <w:tcPr>
                  <w:tcW w:w="930" w:type="dxa"/>
                  <w:tcBorders>
                    <w:tl2br w:val="nil"/>
                    <w:tr2bl w:val="nil"/>
                  </w:tcBorders>
                  <w:vAlign w:val="center"/>
                </w:tcPr>
                <w:p>
                  <w:pPr>
                    <w:widowControl/>
                    <w:jc w:val="center"/>
                    <w:textAlignment w:val="center"/>
                    <w:rPr>
                      <w:szCs w:val="21"/>
                    </w:rPr>
                  </w:pPr>
                  <w:r>
                    <w:rPr>
                      <w:szCs w:val="21"/>
                    </w:rPr>
                    <w:t>≦1</w:t>
                  </w:r>
                </w:p>
              </w:tc>
              <w:tc>
                <w:tcPr>
                  <w:tcW w:w="1095" w:type="dxa"/>
                  <w:tcBorders>
                    <w:tl2br w:val="nil"/>
                    <w:tr2bl w:val="nil"/>
                  </w:tcBorders>
                  <w:vAlign w:val="center"/>
                </w:tcPr>
                <w:p>
                  <w:pPr>
                    <w:jc w:val="center"/>
                    <w:rPr>
                      <w:szCs w:val="21"/>
                    </w:rPr>
                  </w:pPr>
                  <w:r>
                    <w:rPr>
                      <w:bCs/>
                      <w:color w:val="000000"/>
                      <w:szCs w:val="21"/>
                    </w:rPr>
                    <w:t>2.03</w:t>
                  </w:r>
                </w:p>
              </w:tc>
              <w:tc>
                <w:tcPr>
                  <w:tcW w:w="1044" w:type="dxa"/>
                  <w:tcBorders>
                    <w:tl2br w:val="nil"/>
                    <w:tr2bl w:val="nil"/>
                  </w:tcBorders>
                  <w:vAlign w:val="center"/>
                </w:tcPr>
                <w:p>
                  <w:pPr>
                    <w:jc w:val="center"/>
                    <w:rPr>
                      <w:szCs w:val="21"/>
                    </w:rPr>
                  </w:pPr>
                  <w:r>
                    <w:rPr>
                      <w:bCs/>
                      <w:color w:val="000000"/>
                      <w:szCs w:val="21"/>
                    </w:rPr>
                    <w:t>135.33</w:t>
                  </w:r>
                </w:p>
              </w:tc>
              <w:tc>
                <w:tcPr>
                  <w:tcW w:w="750" w:type="dxa"/>
                  <w:tcBorders>
                    <w:tl2br w:val="nil"/>
                    <w:tr2bl w:val="nil"/>
                  </w:tcBorders>
                  <w:vAlign w:val="center"/>
                </w:tcPr>
                <w:p>
                  <w:pPr>
                    <w:widowControl/>
                    <w:jc w:val="center"/>
                    <w:textAlignment w:val="center"/>
                    <w:rPr>
                      <w:rFonts w:hint="default" w:eastAsia="宋体"/>
                      <w:color w:val="000000"/>
                      <w:szCs w:val="21"/>
                      <w:lang w:val="en-US" w:eastAsia="zh-CN"/>
                    </w:rPr>
                  </w:pPr>
                  <w:r>
                    <w:rPr>
                      <w:rFonts w:hint="eastAsia"/>
                      <w:color w:val="000000"/>
                      <w:szCs w:val="21"/>
                      <w:lang w:val="en-US" w:eastAsia="zh-CN"/>
                    </w:rPr>
                    <w:t>3.5</w:t>
                  </w:r>
                </w:p>
              </w:tc>
              <w:tc>
                <w:tcPr>
                  <w:tcW w:w="762" w:type="dxa"/>
                  <w:tcBorders>
                    <w:tl2br w:val="nil"/>
                    <w:tr2bl w:val="nil"/>
                  </w:tcBorders>
                  <w:vAlign w:val="center"/>
                </w:tcPr>
                <w:p>
                  <w:pPr>
                    <w:pStyle w:val="82"/>
                    <w:spacing w:line="240" w:lineRule="auto"/>
                    <w:ind w:firstLine="0" w:firstLineChars="0"/>
                    <w:jc w:val="center"/>
                    <w:rPr>
                      <w:sz w:val="21"/>
                      <w:szCs w:val="21"/>
                    </w:rPr>
                  </w:pPr>
                  <w:r>
                    <w:rPr>
                      <w:sz w:val="21"/>
                      <w:szCs w:val="21"/>
                    </w:rPr>
                    <w:t>20</w:t>
                  </w:r>
                </w:p>
              </w:tc>
              <w:tc>
                <w:tcPr>
                  <w:tcW w:w="762" w:type="dxa"/>
                  <w:tcBorders>
                    <w:tl2br w:val="nil"/>
                    <w:tr2bl w:val="nil"/>
                  </w:tcBorders>
                  <w:vAlign w:val="center"/>
                </w:tcPr>
                <w:p>
                  <w:pPr>
                    <w:widowControl/>
                    <w:jc w:val="center"/>
                    <w:textAlignment w:val="center"/>
                    <w:rPr>
                      <w:szCs w:val="21"/>
                    </w:rPr>
                  </w:pPr>
                  <w:r>
                    <w:rPr>
                      <w:color w:val="000000"/>
                      <w:szCs w:val="21"/>
                    </w:rPr>
                    <w:t>＜0.5</w:t>
                  </w:r>
                </w:p>
              </w:tc>
              <w:tc>
                <w:tcPr>
                  <w:tcW w:w="954" w:type="dxa"/>
                  <w:vMerge w:val="restart"/>
                  <w:tcBorders>
                    <w:tl2br w:val="nil"/>
                    <w:tr2bl w:val="nil"/>
                  </w:tcBorders>
                  <w:vAlign w:val="center"/>
                </w:tcPr>
                <w:p>
                  <w:pPr>
                    <w:jc w:val="center"/>
                    <w:rPr>
                      <w:bCs/>
                      <w:szCs w:val="21"/>
                    </w:rPr>
                  </w:pPr>
                  <w:r>
                    <w:rPr>
                      <w:bCs/>
                      <w:szCs w:val="21"/>
                    </w:rPr>
                    <w:t>专人负责，定期检查；发现故障立即停产检查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747" w:type="dxa"/>
                  <w:tcBorders>
                    <w:tl2br w:val="nil"/>
                    <w:tr2bl w:val="nil"/>
                  </w:tcBorders>
                  <w:vAlign w:val="center"/>
                </w:tcPr>
                <w:p>
                  <w:pPr>
                    <w:pStyle w:val="97"/>
                    <w:tabs>
                      <w:tab w:val="left" w:pos="-2848"/>
                    </w:tabs>
                    <w:spacing w:before="31" w:after="31"/>
                    <w:rPr>
                      <w:rFonts w:ascii="Times New Roman" w:hAnsi="Times New Roman" w:eastAsia="宋体"/>
                      <w:sz w:val="21"/>
                      <w:szCs w:val="21"/>
                    </w:rPr>
                  </w:pPr>
                  <w:r>
                    <w:rPr>
                      <w:rFonts w:ascii="Times New Roman" w:hAnsi="Times New Roman" w:eastAsia="宋体"/>
                      <w:sz w:val="21"/>
                      <w:szCs w:val="21"/>
                    </w:rPr>
                    <w:t>DA002</w:t>
                  </w:r>
                </w:p>
              </w:tc>
              <w:tc>
                <w:tcPr>
                  <w:tcW w:w="915" w:type="dxa"/>
                  <w:tcBorders>
                    <w:tl2br w:val="nil"/>
                    <w:tr2bl w:val="nil"/>
                  </w:tcBorders>
                  <w:vAlign w:val="center"/>
                </w:tcPr>
                <w:p>
                  <w:pPr>
                    <w:jc w:val="center"/>
                    <w:rPr>
                      <w:bCs/>
                      <w:szCs w:val="21"/>
                    </w:rPr>
                  </w:pPr>
                  <w:r>
                    <w:rPr>
                      <w:bCs/>
                      <w:szCs w:val="21"/>
                    </w:rPr>
                    <w:t>袋式除尘器装置故障</w:t>
                  </w:r>
                </w:p>
              </w:tc>
              <w:tc>
                <w:tcPr>
                  <w:tcW w:w="795" w:type="dxa"/>
                  <w:tcBorders>
                    <w:tl2br w:val="nil"/>
                    <w:tr2bl w:val="nil"/>
                  </w:tcBorders>
                  <w:vAlign w:val="center"/>
                </w:tcPr>
                <w:p>
                  <w:pPr>
                    <w:jc w:val="center"/>
                    <w:rPr>
                      <w:szCs w:val="21"/>
                    </w:rPr>
                  </w:pPr>
                  <w:r>
                    <w:rPr>
                      <w:szCs w:val="21"/>
                    </w:rPr>
                    <w:t>颗粒物</w:t>
                  </w:r>
                </w:p>
              </w:tc>
              <w:tc>
                <w:tcPr>
                  <w:tcW w:w="930" w:type="dxa"/>
                  <w:tcBorders>
                    <w:tl2br w:val="nil"/>
                    <w:tr2bl w:val="nil"/>
                  </w:tcBorders>
                  <w:vAlign w:val="center"/>
                </w:tcPr>
                <w:p>
                  <w:pPr>
                    <w:widowControl/>
                    <w:jc w:val="center"/>
                    <w:textAlignment w:val="center"/>
                    <w:rPr>
                      <w:szCs w:val="21"/>
                    </w:rPr>
                  </w:pPr>
                  <w:r>
                    <w:rPr>
                      <w:szCs w:val="21"/>
                    </w:rPr>
                    <w:t>≦1</w:t>
                  </w:r>
                </w:p>
              </w:tc>
              <w:tc>
                <w:tcPr>
                  <w:tcW w:w="1095" w:type="dxa"/>
                  <w:tcBorders>
                    <w:tl2br w:val="nil"/>
                    <w:tr2bl w:val="nil"/>
                  </w:tcBorders>
                  <w:vAlign w:val="center"/>
                </w:tcPr>
                <w:p>
                  <w:pPr>
                    <w:jc w:val="center"/>
                    <w:rPr>
                      <w:bCs/>
                      <w:color w:val="000000"/>
                      <w:szCs w:val="21"/>
                    </w:rPr>
                  </w:pPr>
                  <w:r>
                    <w:rPr>
                      <w:bCs/>
                      <w:color w:val="000000"/>
                      <w:szCs w:val="21"/>
                    </w:rPr>
                    <w:t>0.65738</w:t>
                  </w:r>
                </w:p>
              </w:tc>
              <w:tc>
                <w:tcPr>
                  <w:tcW w:w="1044" w:type="dxa"/>
                  <w:tcBorders>
                    <w:tl2br w:val="nil"/>
                    <w:tr2bl w:val="nil"/>
                  </w:tcBorders>
                  <w:vAlign w:val="center"/>
                </w:tcPr>
                <w:p>
                  <w:pPr>
                    <w:jc w:val="center"/>
                    <w:rPr>
                      <w:bCs/>
                      <w:color w:val="000000"/>
                      <w:szCs w:val="21"/>
                    </w:rPr>
                  </w:pPr>
                  <w:r>
                    <w:rPr>
                      <w:bCs/>
                      <w:color w:val="000000"/>
                      <w:szCs w:val="21"/>
                    </w:rPr>
                    <w:t>241.59</w:t>
                  </w:r>
                </w:p>
              </w:tc>
              <w:tc>
                <w:tcPr>
                  <w:tcW w:w="750" w:type="dxa"/>
                  <w:tcBorders>
                    <w:tl2br w:val="nil"/>
                    <w:tr2bl w:val="nil"/>
                  </w:tcBorders>
                  <w:vAlign w:val="center"/>
                </w:tcPr>
                <w:p>
                  <w:pPr>
                    <w:widowControl/>
                    <w:jc w:val="center"/>
                    <w:textAlignment w:val="center"/>
                    <w:rPr>
                      <w:rFonts w:hint="default" w:eastAsia="宋体"/>
                      <w:color w:val="000000"/>
                      <w:szCs w:val="21"/>
                      <w:lang w:val="en-US" w:eastAsia="zh-CN"/>
                    </w:rPr>
                  </w:pPr>
                  <w:r>
                    <w:rPr>
                      <w:rFonts w:hint="eastAsia"/>
                      <w:color w:val="000000"/>
                      <w:szCs w:val="21"/>
                      <w:lang w:val="en-US" w:eastAsia="zh-CN"/>
                    </w:rPr>
                    <w:t>3.5</w:t>
                  </w:r>
                </w:p>
              </w:tc>
              <w:tc>
                <w:tcPr>
                  <w:tcW w:w="762" w:type="dxa"/>
                  <w:tcBorders>
                    <w:tl2br w:val="nil"/>
                    <w:tr2bl w:val="nil"/>
                  </w:tcBorders>
                  <w:vAlign w:val="center"/>
                </w:tcPr>
                <w:p>
                  <w:pPr>
                    <w:pStyle w:val="82"/>
                    <w:spacing w:line="240" w:lineRule="auto"/>
                    <w:ind w:firstLine="0" w:firstLineChars="0"/>
                    <w:jc w:val="center"/>
                    <w:rPr>
                      <w:sz w:val="21"/>
                      <w:szCs w:val="21"/>
                    </w:rPr>
                  </w:pPr>
                  <w:r>
                    <w:rPr>
                      <w:sz w:val="21"/>
                      <w:szCs w:val="21"/>
                    </w:rPr>
                    <w:t>20</w:t>
                  </w:r>
                </w:p>
              </w:tc>
              <w:tc>
                <w:tcPr>
                  <w:tcW w:w="762" w:type="dxa"/>
                  <w:tcBorders>
                    <w:tl2br w:val="nil"/>
                    <w:tr2bl w:val="nil"/>
                  </w:tcBorders>
                  <w:vAlign w:val="center"/>
                </w:tcPr>
                <w:p>
                  <w:pPr>
                    <w:widowControl/>
                    <w:jc w:val="center"/>
                    <w:textAlignment w:val="center"/>
                    <w:rPr>
                      <w:color w:val="000000"/>
                      <w:szCs w:val="21"/>
                    </w:rPr>
                  </w:pPr>
                  <w:r>
                    <w:rPr>
                      <w:color w:val="000000"/>
                      <w:szCs w:val="21"/>
                    </w:rPr>
                    <w:t>＜0.5</w:t>
                  </w:r>
                </w:p>
              </w:tc>
              <w:tc>
                <w:tcPr>
                  <w:tcW w:w="954" w:type="dxa"/>
                  <w:vMerge w:val="continue"/>
                  <w:tcBorders>
                    <w:tl2br w:val="nil"/>
                    <w:tr2bl w:val="nil"/>
                  </w:tcBorders>
                  <w:vAlign w:val="center"/>
                </w:tcPr>
                <w:p>
                  <w:pPr>
                    <w:jc w:val="center"/>
                    <w:rPr>
                      <w:bCs/>
                      <w:szCs w:val="21"/>
                    </w:rPr>
                  </w:pPr>
                </w:p>
              </w:tc>
            </w:tr>
          </w:tbl>
          <w:p>
            <w:pPr>
              <w:widowControl/>
              <w:adjustRightInd w:val="0"/>
              <w:snapToGrid w:val="0"/>
              <w:spacing w:line="360" w:lineRule="auto"/>
              <w:ind w:firstLine="480" w:firstLineChars="200"/>
              <w:rPr>
                <w:sz w:val="24"/>
              </w:rPr>
            </w:pPr>
            <w:r>
              <w:rPr>
                <w:sz w:val="24"/>
                <w:lang w:bidi="ar"/>
              </w:rPr>
              <w:t>由上表可见，非正常生产状况下，本项目颗粒物排放量较高，因此在发生非正常生产状况时企业应立即停产，进行设备检修，修好后方可投入生产</w:t>
            </w:r>
            <w:r>
              <w:rPr>
                <w:sz w:val="24"/>
              </w:rPr>
              <w:t>。</w:t>
            </w:r>
          </w:p>
          <w:p>
            <w:pPr>
              <w:adjustRightInd w:val="0"/>
              <w:spacing w:line="360" w:lineRule="auto"/>
              <w:ind w:firstLine="482" w:firstLineChars="200"/>
              <w:rPr>
                <w:b/>
                <w:bCs/>
                <w:kern w:val="0"/>
                <w:sz w:val="24"/>
              </w:rPr>
            </w:pPr>
            <w:r>
              <w:rPr>
                <w:b/>
                <w:bCs/>
                <w:kern w:val="0"/>
                <w:sz w:val="24"/>
              </w:rPr>
              <w:t>5、监测计划</w:t>
            </w:r>
          </w:p>
          <w:p>
            <w:pPr>
              <w:spacing w:line="360" w:lineRule="auto"/>
              <w:ind w:firstLine="480" w:firstLineChars="200"/>
              <w:rPr>
                <w:kern w:val="0"/>
                <w:sz w:val="24"/>
              </w:rPr>
            </w:pPr>
            <w:r>
              <w:rPr>
                <w:sz w:val="24"/>
              </w:rPr>
              <w:t>参照《排污单位自行监测技术指南 总则》（HJ819-2017）制定本项目废气监测计划如下</w:t>
            </w:r>
            <w:r>
              <w:rPr>
                <w:kern w:val="0"/>
                <w:sz w:val="24"/>
              </w:rPr>
              <w:t>。</w:t>
            </w:r>
          </w:p>
          <w:p>
            <w:pPr>
              <w:autoSpaceDE w:val="0"/>
              <w:autoSpaceDN w:val="0"/>
              <w:adjustRightInd w:val="0"/>
              <w:ind w:firstLine="482" w:firstLineChars="200"/>
              <w:jc w:val="center"/>
              <w:rPr>
                <w:b/>
                <w:szCs w:val="21"/>
              </w:rPr>
            </w:pPr>
            <w:r>
              <w:rPr>
                <w:b/>
                <w:sz w:val="24"/>
              </w:rPr>
              <w:t>表4-5  大气污染源监测计划一览表</w:t>
            </w:r>
          </w:p>
          <w:tbl>
            <w:tblPr>
              <w:tblStyle w:val="35"/>
              <w:tblW w:w="87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63"/>
              <w:gridCol w:w="2469"/>
              <w:gridCol w:w="2846"/>
              <w:gridCol w:w="19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63" w:type="dxa"/>
                  <w:tcBorders>
                    <w:tl2br w:val="nil"/>
                    <w:tr2bl w:val="nil"/>
                  </w:tcBorders>
                  <w:vAlign w:val="center"/>
                </w:tcPr>
                <w:p>
                  <w:pPr>
                    <w:spacing w:line="280" w:lineRule="exact"/>
                    <w:jc w:val="center"/>
                    <w:rPr>
                      <w:b/>
                      <w:szCs w:val="21"/>
                    </w:rPr>
                  </w:pPr>
                  <w:r>
                    <w:rPr>
                      <w:b/>
                      <w:szCs w:val="21"/>
                    </w:rPr>
                    <w:t>项目</w:t>
                  </w:r>
                </w:p>
              </w:tc>
              <w:tc>
                <w:tcPr>
                  <w:tcW w:w="2469" w:type="dxa"/>
                  <w:tcBorders>
                    <w:tl2br w:val="nil"/>
                    <w:tr2bl w:val="nil"/>
                  </w:tcBorders>
                  <w:vAlign w:val="center"/>
                </w:tcPr>
                <w:p>
                  <w:pPr>
                    <w:spacing w:line="280" w:lineRule="exact"/>
                    <w:jc w:val="center"/>
                    <w:rPr>
                      <w:b/>
                      <w:szCs w:val="21"/>
                    </w:rPr>
                  </w:pPr>
                  <w:r>
                    <w:rPr>
                      <w:b/>
                      <w:szCs w:val="21"/>
                    </w:rPr>
                    <w:t>监测位置</w:t>
                  </w:r>
                </w:p>
              </w:tc>
              <w:tc>
                <w:tcPr>
                  <w:tcW w:w="2846" w:type="dxa"/>
                  <w:tcBorders>
                    <w:tl2br w:val="nil"/>
                    <w:tr2bl w:val="nil"/>
                  </w:tcBorders>
                  <w:vAlign w:val="center"/>
                </w:tcPr>
                <w:p>
                  <w:pPr>
                    <w:spacing w:line="280" w:lineRule="exact"/>
                    <w:jc w:val="center"/>
                    <w:rPr>
                      <w:b/>
                      <w:szCs w:val="21"/>
                    </w:rPr>
                  </w:pPr>
                  <w:r>
                    <w:rPr>
                      <w:b/>
                      <w:szCs w:val="21"/>
                    </w:rPr>
                    <w:t>监测因子</w:t>
                  </w:r>
                </w:p>
              </w:tc>
              <w:tc>
                <w:tcPr>
                  <w:tcW w:w="1909" w:type="dxa"/>
                  <w:tcBorders>
                    <w:tl2br w:val="nil"/>
                    <w:tr2bl w:val="nil"/>
                  </w:tcBorders>
                  <w:vAlign w:val="center"/>
                </w:tcPr>
                <w:p>
                  <w:pPr>
                    <w:spacing w:line="280" w:lineRule="exact"/>
                    <w:jc w:val="center"/>
                    <w:rPr>
                      <w:b/>
                      <w:szCs w:val="21"/>
                    </w:rPr>
                  </w:pPr>
                  <w:r>
                    <w:rPr>
                      <w:b/>
                      <w:szCs w:val="21"/>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63" w:type="dxa"/>
                  <w:tcBorders>
                    <w:tl2br w:val="nil"/>
                    <w:tr2bl w:val="nil"/>
                  </w:tcBorders>
                  <w:vAlign w:val="center"/>
                </w:tcPr>
                <w:p>
                  <w:pPr>
                    <w:spacing w:line="280" w:lineRule="exact"/>
                    <w:jc w:val="center"/>
                    <w:rPr>
                      <w:szCs w:val="21"/>
                    </w:rPr>
                  </w:pPr>
                  <w:r>
                    <w:rPr>
                      <w:szCs w:val="21"/>
                    </w:rPr>
                    <w:t>有组织废气</w:t>
                  </w:r>
                </w:p>
              </w:tc>
              <w:tc>
                <w:tcPr>
                  <w:tcW w:w="2469" w:type="dxa"/>
                  <w:tcBorders>
                    <w:tl2br w:val="nil"/>
                    <w:tr2bl w:val="nil"/>
                  </w:tcBorders>
                  <w:vAlign w:val="center"/>
                </w:tcPr>
                <w:p>
                  <w:pPr>
                    <w:spacing w:line="280" w:lineRule="exact"/>
                    <w:jc w:val="center"/>
                    <w:rPr>
                      <w:szCs w:val="21"/>
                    </w:rPr>
                  </w:pPr>
                  <w:r>
                    <w:rPr>
                      <w:szCs w:val="21"/>
                    </w:rPr>
                    <w:t>DA001排气筒</w:t>
                  </w:r>
                </w:p>
              </w:tc>
              <w:tc>
                <w:tcPr>
                  <w:tcW w:w="2846" w:type="dxa"/>
                  <w:tcBorders>
                    <w:tl2br w:val="nil"/>
                    <w:tr2bl w:val="nil"/>
                  </w:tcBorders>
                  <w:vAlign w:val="center"/>
                </w:tcPr>
                <w:p>
                  <w:pPr>
                    <w:spacing w:line="280" w:lineRule="exact"/>
                    <w:jc w:val="center"/>
                    <w:rPr>
                      <w:bCs/>
                      <w:szCs w:val="21"/>
                    </w:rPr>
                  </w:pPr>
                  <w:r>
                    <w:rPr>
                      <w:bCs/>
                      <w:szCs w:val="21"/>
                    </w:rPr>
                    <w:t>颗粒物</w:t>
                  </w:r>
                </w:p>
              </w:tc>
              <w:tc>
                <w:tcPr>
                  <w:tcW w:w="1909" w:type="dxa"/>
                  <w:tcBorders>
                    <w:tl2br w:val="nil"/>
                    <w:tr2bl w:val="nil"/>
                  </w:tcBorders>
                  <w:vAlign w:val="center"/>
                </w:tcPr>
                <w:p>
                  <w:pPr>
                    <w:spacing w:line="280" w:lineRule="exact"/>
                    <w:jc w:val="center"/>
                    <w:rPr>
                      <w:szCs w:val="21"/>
                    </w:rPr>
                  </w:pPr>
                  <w:r>
                    <w:rPr>
                      <w:szCs w:val="21"/>
                    </w:rPr>
                    <w:t>1次/年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63" w:type="dxa"/>
                  <w:tcBorders>
                    <w:tl2br w:val="nil"/>
                    <w:tr2bl w:val="nil"/>
                  </w:tcBorders>
                  <w:vAlign w:val="center"/>
                </w:tcPr>
                <w:p>
                  <w:pPr>
                    <w:spacing w:line="280" w:lineRule="exact"/>
                    <w:jc w:val="center"/>
                    <w:rPr>
                      <w:szCs w:val="21"/>
                    </w:rPr>
                  </w:pPr>
                  <w:r>
                    <w:rPr>
                      <w:szCs w:val="21"/>
                    </w:rPr>
                    <w:t>有组织废气</w:t>
                  </w:r>
                </w:p>
              </w:tc>
              <w:tc>
                <w:tcPr>
                  <w:tcW w:w="2469" w:type="dxa"/>
                  <w:tcBorders>
                    <w:tl2br w:val="nil"/>
                    <w:tr2bl w:val="nil"/>
                  </w:tcBorders>
                  <w:vAlign w:val="center"/>
                </w:tcPr>
                <w:p>
                  <w:pPr>
                    <w:spacing w:line="280" w:lineRule="exact"/>
                    <w:jc w:val="center"/>
                    <w:rPr>
                      <w:szCs w:val="21"/>
                    </w:rPr>
                  </w:pPr>
                  <w:r>
                    <w:rPr>
                      <w:szCs w:val="21"/>
                    </w:rPr>
                    <w:t>DA002排气筒</w:t>
                  </w:r>
                </w:p>
              </w:tc>
              <w:tc>
                <w:tcPr>
                  <w:tcW w:w="2846" w:type="dxa"/>
                  <w:tcBorders>
                    <w:tl2br w:val="nil"/>
                    <w:tr2bl w:val="nil"/>
                  </w:tcBorders>
                  <w:vAlign w:val="center"/>
                </w:tcPr>
                <w:p>
                  <w:pPr>
                    <w:spacing w:line="280" w:lineRule="exact"/>
                    <w:jc w:val="center"/>
                    <w:rPr>
                      <w:bCs/>
                      <w:szCs w:val="21"/>
                    </w:rPr>
                  </w:pPr>
                  <w:r>
                    <w:rPr>
                      <w:bCs/>
                      <w:szCs w:val="21"/>
                    </w:rPr>
                    <w:t>颗粒物、二氧化硫、氮氧化物</w:t>
                  </w:r>
                </w:p>
              </w:tc>
              <w:tc>
                <w:tcPr>
                  <w:tcW w:w="1909" w:type="dxa"/>
                  <w:tcBorders>
                    <w:tl2br w:val="nil"/>
                    <w:tr2bl w:val="nil"/>
                  </w:tcBorders>
                  <w:vAlign w:val="center"/>
                </w:tcPr>
                <w:p>
                  <w:pPr>
                    <w:spacing w:line="280" w:lineRule="exact"/>
                    <w:jc w:val="center"/>
                    <w:rPr>
                      <w:szCs w:val="21"/>
                    </w:rPr>
                  </w:pPr>
                  <w:r>
                    <w:rPr>
                      <w:szCs w:val="21"/>
                    </w:rPr>
                    <w:t>1次/年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63" w:type="dxa"/>
                  <w:tcBorders>
                    <w:tl2br w:val="nil"/>
                    <w:tr2bl w:val="nil"/>
                  </w:tcBorders>
                  <w:vAlign w:val="center"/>
                </w:tcPr>
                <w:p>
                  <w:pPr>
                    <w:spacing w:line="280" w:lineRule="exact"/>
                    <w:jc w:val="center"/>
                    <w:rPr>
                      <w:szCs w:val="21"/>
                    </w:rPr>
                  </w:pPr>
                  <w:r>
                    <w:rPr>
                      <w:szCs w:val="21"/>
                    </w:rPr>
                    <w:t>无组织废气</w:t>
                  </w:r>
                </w:p>
              </w:tc>
              <w:tc>
                <w:tcPr>
                  <w:tcW w:w="2469" w:type="dxa"/>
                  <w:tcBorders>
                    <w:tl2br w:val="nil"/>
                    <w:tr2bl w:val="nil"/>
                  </w:tcBorders>
                  <w:vAlign w:val="center"/>
                </w:tcPr>
                <w:p>
                  <w:pPr>
                    <w:spacing w:line="280" w:lineRule="exact"/>
                    <w:jc w:val="center"/>
                    <w:rPr>
                      <w:szCs w:val="21"/>
                    </w:rPr>
                  </w:pPr>
                  <w:r>
                    <w:rPr>
                      <w:szCs w:val="21"/>
                    </w:rPr>
                    <w:t>厂界</w:t>
                  </w:r>
                </w:p>
              </w:tc>
              <w:tc>
                <w:tcPr>
                  <w:tcW w:w="2846" w:type="dxa"/>
                  <w:tcBorders>
                    <w:tl2br w:val="nil"/>
                    <w:tr2bl w:val="nil"/>
                  </w:tcBorders>
                  <w:vAlign w:val="center"/>
                </w:tcPr>
                <w:p>
                  <w:pPr>
                    <w:spacing w:line="280" w:lineRule="exact"/>
                    <w:jc w:val="center"/>
                    <w:rPr>
                      <w:bCs/>
                      <w:szCs w:val="21"/>
                    </w:rPr>
                  </w:pPr>
                  <w:r>
                    <w:rPr>
                      <w:bCs/>
                      <w:szCs w:val="21"/>
                    </w:rPr>
                    <w:t>颗粒物</w:t>
                  </w:r>
                </w:p>
              </w:tc>
              <w:tc>
                <w:tcPr>
                  <w:tcW w:w="1909" w:type="dxa"/>
                  <w:tcBorders>
                    <w:tl2br w:val="nil"/>
                    <w:tr2bl w:val="nil"/>
                  </w:tcBorders>
                  <w:vAlign w:val="center"/>
                </w:tcPr>
                <w:p>
                  <w:pPr>
                    <w:spacing w:line="280" w:lineRule="exact"/>
                    <w:jc w:val="center"/>
                    <w:rPr>
                      <w:szCs w:val="21"/>
                    </w:rPr>
                  </w:pPr>
                  <w:r>
                    <w:rPr>
                      <w:szCs w:val="21"/>
                    </w:rPr>
                    <w:t>1次/年</w:t>
                  </w:r>
                </w:p>
              </w:tc>
            </w:tr>
          </w:tbl>
          <w:p>
            <w:pPr>
              <w:pStyle w:val="2"/>
              <w:numPr>
                <w:ilvl w:val="0"/>
                <w:numId w:val="10"/>
              </w:numPr>
              <w:spacing w:after="0" w:line="360" w:lineRule="auto"/>
              <w:ind w:left="0" w:leftChars="0" w:firstLine="482"/>
              <w:rPr>
                <w:b/>
                <w:bCs/>
                <w:szCs w:val="24"/>
              </w:rPr>
            </w:pPr>
            <w:r>
              <w:rPr>
                <w:b/>
                <w:bCs/>
                <w:szCs w:val="24"/>
              </w:rPr>
              <w:t>废水</w:t>
            </w:r>
          </w:p>
          <w:p>
            <w:pPr>
              <w:numPr>
                <w:ilvl w:val="0"/>
                <w:numId w:val="11"/>
              </w:numPr>
              <w:spacing w:line="360" w:lineRule="auto"/>
              <w:ind w:firstLine="482" w:firstLineChars="200"/>
              <w:rPr>
                <w:b/>
                <w:bCs/>
                <w:sz w:val="24"/>
              </w:rPr>
            </w:pPr>
            <w:r>
              <w:rPr>
                <w:b/>
                <w:bCs/>
                <w:sz w:val="24"/>
              </w:rPr>
              <w:t>废水产排污情况</w:t>
            </w:r>
          </w:p>
          <w:p>
            <w:pPr>
              <w:spacing w:line="360" w:lineRule="auto"/>
              <w:ind w:firstLine="480" w:firstLineChars="200"/>
              <w:rPr>
                <w:sz w:val="24"/>
              </w:rPr>
            </w:pPr>
            <w:r>
              <w:rPr>
                <w:sz w:val="24"/>
              </w:rPr>
              <w:t>项目</w:t>
            </w:r>
            <w:r>
              <w:rPr>
                <w:rFonts w:hint="eastAsia"/>
                <w:sz w:val="24"/>
              </w:rPr>
              <w:t>造粒用水、喷淋用水全部损耗，无废水产生，洗车用水经沉淀池沉淀后循环使用，不外排。项目</w:t>
            </w:r>
            <w:r>
              <w:rPr>
                <w:sz w:val="24"/>
              </w:rPr>
              <w:t>废水主要为生活污水</w:t>
            </w:r>
            <w:r>
              <w:rPr>
                <w:rFonts w:hint="eastAsia"/>
                <w:sz w:val="24"/>
              </w:rPr>
              <w:t>，生活污水</w:t>
            </w:r>
            <w:r>
              <w:rPr>
                <w:sz w:val="24"/>
                <w:szCs w:val="32"/>
              </w:rPr>
              <w:t>主要污染物为</w:t>
            </w:r>
            <w:r>
              <w:rPr>
                <w:sz w:val="24"/>
              </w:rPr>
              <w:t>CODcr、BOD</w:t>
            </w:r>
            <w:r>
              <w:rPr>
                <w:sz w:val="24"/>
                <w:vertAlign w:val="subscript"/>
              </w:rPr>
              <w:t>5</w:t>
            </w:r>
            <w:r>
              <w:rPr>
                <w:sz w:val="24"/>
              </w:rPr>
              <w:t>、SS、氨氮等。生活污水产生量为48</w:t>
            </w:r>
            <w:r>
              <w:rPr>
                <w:spacing w:val="6"/>
                <w:sz w:val="24"/>
              </w:rPr>
              <w:t>m</w:t>
            </w:r>
            <w:r>
              <w:rPr>
                <w:spacing w:val="6"/>
                <w:sz w:val="24"/>
                <w:vertAlign w:val="superscript"/>
              </w:rPr>
              <w:t>3</w:t>
            </w:r>
            <w:r>
              <w:rPr>
                <w:spacing w:val="6"/>
                <w:sz w:val="24"/>
              </w:rPr>
              <w:t>/a，本项目产生的污水</w:t>
            </w:r>
            <w:r>
              <w:rPr>
                <w:sz w:val="24"/>
              </w:rPr>
              <w:t>经厂区化粪池处理后外运堆肥，不外排。</w:t>
            </w:r>
            <w:r>
              <w:rPr>
                <w:color w:val="000000"/>
                <w:sz w:val="24"/>
              </w:rPr>
              <w:t>本项目废水污染物排放情况如下表。</w:t>
            </w:r>
          </w:p>
          <w:p>
            <w:pPr>
              <w:adjustRightInd w:val="0"/>
              <w:snapToGrid w:val="0"/>
              <w:jc w:val="center"/>
              <w:rPr>
                <w:b/>
                <w:bCs/>
                <w:kern w:val="0"/>
                <w:szCs w:val="21"/>
              </w:rPr>
            </w:pPr>
            <w:r>
              <w:rPr>
                <w:b/>
                <w:bCs/>
                <w:kern w:val="0"/>
                <w:sz w:val="24"/>
              </w:rPr>
              <w:t>表4-6  生活污水产生情况及处理措施</w:t>
            </w:r>
          </w:p>
          <w:tbl>
            <w:tblPr>
              <w:tblStyle w:val="35"/>
              <w:tblW w:w="499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19"/>
              <w:gridCol w:w="744"/>
              <w:gridCol w:w="909"/>
              <w:gridCol w:w="1118"/>
              <w:gridCol w:w="969"/>
              <w:gridCol w:w="988"/>
              <w:gridCol w:w="1041"/>
              <w:gridCol w:w="1426"/>
              <w:gridCol w:w="654"/>
              <w:gridCol w:w="61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9" w:hRule="atLeast"/>
                <w:jc w:val="center"/>
              </w:trPr>
              <w:tc>
                <w:tcPr>
                  <w:tcW w:w="340" w:type="pct"/>
                  <w:vMerge w:val="restart"/>
                  <w:tcBorders>
                    <w:tl2br w:val="nil"/>
                    <w:tr2bl w:val="nil"/>
                  </w:tcBorders>
                  <w:tcMar>
                    <w:top w:w="0" w:type="dxa"/>
                    <w:left w:w="57" w:type="dxa"/>
                    <w:bottom w:w="0" w:type="dxa"/>
                    <w:right w:w="57" w:type="dxa"/>
                  </w:tcMar>
                  <w:vAlign w:val="center"/>
                </w:tcPr>
                <w:p>
                  <w:pPr>
                    <w:pStyle w:val="32"/>
                    <w:widowControl w:val="0"/>
                    <w:autoSpaceDE w:val="0"/>
                    <w:autoSpaceDN w:val="0"/>
                    <w:adjustRightIn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产污环节</w:t>
                  </w:r>
                </w:p>
              </w:tc>
              <w:tc>
                <w:tcPr>
                  <w:tcW w:w="409" w:type="pct"/>
                  <w:vMerge w:val="restart"/>
                  <w:tcBorders>
                    <w:tl2br w:val="nil"/>
                    <w:tr2bl w:val="nil"/>
                  </w:tcBorders>
                  <w:tcMar>
                    <w:top w:w="0" w:type="dxa"/>
                    <w:left w:w="57" w:type="dxa"/>
                    <w:bottom w:w="0" w:type="dxa"/>
                    <w:right w:w="57" w:type="dxa"/>
                  </w:tcMar>
                  <w:vAlign w:val="center"/>
                </w:tcPr>
                <w:p>
                  <w:pPr>
                    <w:pStyle w:val="32"/>
                    <w:widowControl w:val="0"/>
                    <w:autoSpaceDE w:val="0"/>
                    <w:autoSpaceDN w:val="0"/>
                    <w:adjustRightIn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污染物</w:t>
                  </w:r>
                </w:p>
              </w:tc>
              <w:tc>
                <w:tcPr>
                  <w:tcW w:w="500" w:type="pct"/>
                  <w:vMerge w:val="restart"/>
                  <w:tcBorders>
                    <w:tl2br w:val="nil"/>
                    <w:tr2bl w:val="nil"/>
                  </w:tcBorders>
                  <w:tcMar>
                    <w:top w:w="0" w:type="dxa"/>
                    <w:left w:w="57" w:type="dxa"/>
                    <w:bottom w:w="0" w:type="dxa"/>
                    <w:right w:w="57" w:type="dxa"/>
                  </w:tcMar>
                  <w:vAlign w:val="center"/>
                </w:tcPr>
                <w:p>
                  <w:pPr>
                    <w:pStyle w:val="32"/>
                    <w:widowControl w:val="0"/>
                    <w:autoSpaceDE w:val="0"/>
                    <w:autoSpaceDN w:val="0"/>
                    <w:adjustRightIn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产生浓度mg/L</w:t>
                  </w:r>
                </w:p>
              </w:tc>
              <w:tc>
                <w:tcPr>
                  <w:tcW w:w="615" w:type="pct"/>
                  <w:vMerge w:val="restart"/>
                  <w:tcBorders>
                    <w:tl2br w:val="nil"/>
                    <w:tr2bl w:val="nil"/>
                  </w:tcBorders>
                  <w:tcMar>
                    <w:top w:w="0" w:type="dxa"/>
                    <w:left w:w="57" w:type="dxa"/>
                    <w:bottom w:w="0" w:type="dxa"/>
                    <w:right w:w="57" w:type="dxa"/>
                  </w:tcMar>
                  <w:vAlign w:val="center"/>
                </w:tcPr>
                <w:p>
                  <w:pPr>
                    <w:pStyle w:val="32"/>
                    <w:widowControl w:val="0"/>
                    <w:autoSpaceDE w:val="0"/>
                    <w:autoSpaceDN w:val="0"/>
                    <w:adjustRightIn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产生量t/a</w:t>
                  </w:r>
                </w:p>
              </w:tc>
              <w:tc>
                <w:tcPr>
                  <w:tcW w:w="533" w:type="pct"/>
                  <w:vMerge w:val="restart"/>
                  <w:tcBorders>
                    <w:tl2br w:val="nil"/>
                    <w:tr2bl w:val="nil"/>
                  </w:tcBorders>
                  <w:tcMar>
                    <w:top w:w="0" w:type="dxa"/>
                    <w:left w:w="57" w:type="dxa"/>
                    <w:bottom w:w="0" w:type="dxa"/>
                    <w:right w:w="57" w:type="dxa"/>
                  </w:tcMar>
                  <w:vAlign w:val="center"/>
                </w:tcPr>
                <w:p>
                  <w:pPr>
                    <w:pStyle w:val="32"/>
                    <w:widowControl w:val="0"/>
                    <w:autoSpaceDE w:val="0"/>
                    <w:autoSpaceDN w:val="0"/>
                    <w:adjustRightIn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废水量m</w:t>
                  </w:r>
                  <w:r>
                    <w:rPr>
                      <w:rFonts w:ascii="Times New Roman" w:hAnsi="Times New Roman"/>
                      <w:b/>
                      <w:bCs/>
                      <w:sz w:val="21"/>
                      <w:szCs w:val="21"/>
                      <w:vertAlign w:val="superscript"/>
                    </w:rPr>
                    <w:t>3</w:t>
                  </w:r>
                  <w:r>
                    <w:rPr>
                      <w:rFonts w:ascii="Times New Roman" w:hAnsi="Times New Roman"/>
                      <w:b/>
                      <w:bCs/>
                      <w:sz w:val="21"/>
                      <w:szCs w:val="21"/>
                    </w:rPr>
                    <w:t>/a</w:t>
                  </w:r>
                </w:p>
              </w:tc>
              <w:tc>
                <w:tcPr>
                  <w:tcW w:w="1902" w:type="pct"/>
                  <w:gridSpan w:val="3"/>
                  <w:tcBorders>
                    <w:tl2br w:val="nil"/>
                    <w:tr2bl w:val="nil"/>
                  </w:tcBorders>
                  <w:tcMar>
                    <w:top w:w="0" w:type="dxa"/>
                    <w:left w:w="57" w:type="dxa"/>
                    <w:bottom w:w="0" w:type="dxa"/>
                    <w:right w:w="57" w:type="dxa"/>
                  </w:tcMar>
                  <w:vAlign w:val="center"/>
                </w:tcPr>
                <w:p>
                  <w:pPr>
                    <w:pStyle w:val="32"/>
                    <w:widowControl w:val="0"/>
                    <w:autoSpaceDE w:val="0"/>
                    <w:autoSpaceDN w:val="0"/>
                    <w:adjustRightIn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治理措施</w:t>
                  </w:r>
                </w:p>
              </w:tc>
              <w:tc>
                <w:tcPr>
                  <w:tcW w:w="360" w:type="pct"/>
                  <w:vMerge w:val="restart"/>
                  <w:tcBorders>
                    <w:tl2br w:val="nil"/>
                    <w:tr2bl w:val="nil"/>
                  </w:tcBorders>
                  <w:tcMar>
                    <w:top w:w="0" w:type="dxa"/>
                    <w:left w:w="57" w:type="dxa"/>
                    <w:bottom w:w="0" w:type="dxa"/>
                    <w:right w:w="57" w:type="dxa"/>
                  </w:tcMar>
                  <w:vAlign w:val="center"/>
                </w:tcPr>
                <w:p>
                  <w:pPr>
                    <w:pStyle w:val="32"/>
                    <w:widowControl w:val="0"/>
                    <w:autoSpaceDE w:val="0"/>
                    <w:autoSpaceDN w:val="0"/>
                    <w:adjustRightIn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排放去向</w:t>
                  </w:r>
                </w:p>
              </w:tc>
              <w:tc>
                <w:tcPr>
                  <w:tcW w:w="338" w:type="pct"/>
                  <w:vMerge w:val="restart"/>
                  <w:tcBorders>
                    <w:tl2br w:val="nil"/>
                    <w:tr2bl w:val="nil"/>
                  </w:tcBorders>
                  <w:tcMar>
                    <w:top w:w="0" w:type="dxa"/>
                    <w:left w:w="57" w:type="dxa"/>
                    <w:bottom w:w="0" w:type="dxa"/>
                    <w:right w:w="57" w:type="dxa"/>
                  </w:tcMar>
                  <w:vAlign w:val="center"/>
                </w:tcPr>
                <w:p>
                  <w:pPr>
                    <w:pStyle w:val="32"/>
                    <w:widowControl w:val="0"/>
                    <w:autoSpaceDE w:val="0"/>
                    <w:autoSpaceDN w:val="0"/>
                    <w:adjustRightIn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排放方式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340" w:type="pct"/>
                  <w:vMerge w:val="continue"/>
                  <w:tcBorders>
                    <w:tl2br w:val="nil"/>
                    <w:tr2bl w:val="nil"/>
                  </w:tcBorders>
                  <w:tcMar>
                    <w:top w:w="0" w:type="dxa"/>
                    <w:left w:w="57" w:type="dxa"/>
                    <w:bottom w:w="0" w:type="dxa"/>
                    <w:right w:w="57" w:type="dxa"/>
                  </w:tcMar>
                  <w:vAlign w:val="center"/>
                </w:tcPr>
                <w:p>
                  <w:pPr>
                    <w:pStyle w:val="32"/>
                    <w:widowControl w:val="0"/>
                    <w:autoSpaceDE w:val="0"/>
                    <w:autoSpaceDN w:val="0"/>
                    <w:adjustRightInd w:val="0"/>
                    <w:spacing w:before="0" w:beforeAutospacing="0" w:after="0" w:afterAutospacing="0"/>
                    <w:jc w:val="center"/>
                    <w:rPr>
                      <w:rFonts w:ascii="Times New Roman" w:hAnsi="Times New Roman"/>
                    </w:rPr>
                  </w:pPr>
                </w:p>
              </w:tc>
              <w:tc>
                <w:tcPr>
                  <w:tcW w:w="409" w:type="pct"/>
                  <w:vMerge w:val="continue"/>
                  <w:tcBorders>
                    <w:tl2br w:val="nil"/>
                    <w:tr2bl w:val="nil"/>
                  </w:tcBorders>
                  <w:tcMar>
                    <w:top w:w="0" w:type="dxa"/>
                    <w:left w:w="57" w:type="dxa"/>
                    <w:bottom w:w="0" w:type="dxa"/>
                    <w:right w:w="57" w:type="dxa"/>
                  </w:tcMar>
                  <w:vAlign w:val="center"/>
                </w:tcPr>
                <w:p>
                  <w:pPr>
                    <w:pStyle w:val="32"/>
                    <w:widowControl w:val="0"/>
                    <w:autoSpaceDE w:val="0"/>
                    <w:autoSpaceDN w:val="0"/>
                    <w:adjustRightInd w:val="0"/>
                    <w:spacing w:before="0" w:beforeAutospacing="0" w:after="0" w:afterAutospacing="0"/>
                    <w:jc w:val="center"/>
                    <w:rPr>
                      <w:rFonts w:ascii="Times New Roman" w:hAnsi="Times New Roman"/>
                    </w:rPr>
                  </w:pPr>
                </w:p>
              </w:tc>
              <w:tc>
                <w:tcPr>
                  <w:tcW w:w="500" w:type="pct"/>
                  <w:vMerge w:val="continue"/>
                  <w:tcBorders>
                    <w:tl2br w:val="nil"/>
                    <w:tr2bl w:val="nil"/>
                  </w:tcBorders>
                  <w:tcMar>
                    <w:top w:w="0" w:type="dxa"/>
                    <w:left w:w="57" w:type="dxa"/>
                    <w:bottom w:w="0" w:type="dxa"/>
                    <w:right w:w="57" w:type="dxa"/>
                  </w:tcMar>
                  <w:vAlign w:val="center"/>
                </w:tcPr>
                <w:p>
                  <w:pPr>
                    <w:pStyle w:val="32"/>
                    <w:widowControl w:val="0"/>
                    <w:autoSpaceDE w:val="0"/>
                    <w:autoSpaceDN w:val="0"/>
                    <w:adjustRightInd w:val="0"/>
                    <w:spacing w:before="0" w:beforeAutospacing="0" w:after="0" w:afterAutospacing="0"/>
                    <w:jc w:val="center"/>
                    <w:rPr>
                      <w:rFonts w:ascii="Times New Roman" w:hAnsi="Times New Roman"/>
                    </w:rPr>
                  </w:pPr>
                </w:p>
              </w:tc>
              <w:tc>
                <w:tcPr>
                  <w:tcW w:w="615" w:type="pct"/>
                  <w:vMerge w:val="continue"/>
                  <w:tcBorders>
                    <w:tl2br w:val="nil"/>
                    <w:tr2bl w:val="nil"/>
                  </w:tcBorders>
                  <w:tcMar>
                    <w:top w:w="0" w:type="dxa"/>
                    <w:left w:w="57" w:type="dxa"/>
                    <w:bottom w:w="0" w:type="dxa"/>
                    <w:right w:w="57" w:type="dxa"/>
                  </w:tcMar>
                  <w:vAlign w:val="center"/>
                </w:tcPr>
                <w:p>
                  <w:pPr>
                    <w:pStyle w:val="32"/>
                    <w:widowControl w:val="0"/>
                    <w:autoSpaceDE w:val="0"/>
                    <w:autoSpaceDN w:val="0"/>
                    <w:adjustRightInd w:val="0"/>
                    <w:spacing w:before="0" w:beforeAutospacing="0" w:after="0" w:afterAutospacing="0"/>
                    <w:jc w:val="center"/>
                    <w:rPr>
                      <w:rFonts w:ascii="Times New Roman" w:hAnsi="Times New Roman"/>
                    </w:rPr>
                  </w:pPr>
                </w:p>
              </w:tc>
              <w:tc>
                <w:tcPr>
                  <w:tcW w:w="533" w:type="pct"/>
                  <w:vMerge w:val="continue"/>
                  <w:tcBorders>
                    <w:tl2br w:val="nil"/>
                    <w:tr2bl w:val="nil"/>
                  </w:tcBorders>
                  <w:tcMar>
                    <w:top w:w="0" w:type="dxa"/>
                    <w:left w:w="57" w:type="dxa"/>
                    <w:bottom w:w="0" w:type="dxa"/>
                    <w:right w:w="57" w:type="dxa"/>
                  </w:tcMar>
                  <w:vAlign w:val="center"/>
                </w:tcPr>
                <w:p>
                  <w:pPr>
                    <w:pStyle w:val="32"/>
                    <w:widowControl w:val="0"/>
                    <w:autoSpaceDE w:val="0"/>
                    <w:autoSpaceDN w:val="0"/>
                    <w:adjustRightInd w:val="0"/>
                    <w:spacing w:before="0" w:beforeAutospacing="0" w:after="0" w:afterAutospacing="0"/>
                    <w:jc w:val="center"/>
                    <w:rPr>
                      <w:rFonts w:ascii="Times New Roman" w:hAnsi="Times New Roman"/>
                    </w:rPr>
                  </w:pPr>
                </w:p>
              </w:tc>
              <w:tc>
                <w:tcPr>
                  <w:tcW w:w="544" w:type="pct"/>
                  <w:tcBorders>
                    <w:tl2br w:val="nil"/>
                    <w:tr2bl w:val="nil"/>
                  </w:tcBorders>
                  <w:tcMar>
                    <w:top w:w="0" w:type="dxa"/>
                    <w:left w:w="57" w:type="dxa"/>
                    <w:bottom w:w="0" w:type="dxa"/>
                    <w:right w:w="57" w:type="dxa"/>
                  </w:tcMar>
                  <w:vAlign w:val="center"/>
                </w:tcPr>
                <w:p>
                  <w:pPr>
                    <w:pStyle w:val="32"/>
                    <w:widowControl w:val="0"/>
                    <w:autoSpaceDE w:val="0"/>
                    <w:autoSpaceDN w:val="0"/>
                    <w:adjustRightIn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名称</w:t>
                  </w:r>
                </w:p>
              </w:tc>
              <w:tc>
                <w:tcPr>
                  <w:tcW w:w="573" w:type="pct"/>
                  <w:tcBorders>
                    <w:tl2br w:val="nil"/>
                    <w:tr2bl w:val="nil"/>
                  </w:tcBorders>
                  <w:tcMar>
                    <w:top w:w="0" w:type="dxa"/>
                    <w:left w:w="57" w:type="dxa"/>
                    <w:bottom w:w="0" w:type="dxa"/>
                    <w:right w:w="57" w:type="dxa"/>
                  </w:tcMar>
                  <w:vAlign w:val="center"/>
                </w:tcPr>
                <w:p>
                  <w:pPr>
                    <w:pStyle w:val="32"/>
                    <w:widowControl w:val="0"/>
                    <w:autoSpaceDE w:val="0"/>
                    <w:autoSpaceDN w:val="0"/>
                    <w:adjustRightIn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治理工艺</w:t>
                  </w:r>
                </w:p>
              </w:tc>
              <w:tc>
                <w:tcPr>
                  <w:tcW w:w="785" w:type="pct"/>
                  <w:tcBorders>
                    <w:tl2br w:val="nil"/>
                    <w:tr2bl w:val="nil"/>
                  </w:tcBorders>
                  <w:tcMar>
                    <w:top w:w="0" w:type="dxa"/>
                    <w:left w:w="57" w:type="dxa"/>
                    <w:bottom w:w="0" w:type="dxa"/>
                    <w:right w:w="57" w:type="dxa"/>
                  </w:tcMar>
                  <w:vAlign w:val="center"/>
                </w:tcPr>
                <w:p>
                  <w:pPr>
                    <w:pStyle w:val="32"/>
                    <w:widowControl w:val="0"/>
                    <w:autoSpaceDE w:val="0"/>
                    <w:autoSpaceDN w:val="0"/>
                    <w:adjustRightIn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是否可行技术</w:t>
                  </w:r>
                </w:p>
              </w:tc>
              <w:tc>
                <w:tcPr>
                  <w:tcW w:w="360" w:type="pct"/>
                  <w:vMerge w:val="continue"/>
                  <w:tcBorders>
                    <w:tl2br w:val="nil"/>
                    <w:tr2bl w:val="nil"/>
                  </w:tcBorders>
                  <w:vAlign w:val="center"/>
                </w:tcPr>
                <w:p>
                  <w:pPr>
                    <w:pStyle w:val="32"/>
                    <w:widowControl w:val="0"/>
                    <w:autoSpaceDE w:val="0"/>
                    <w:autoSpaceDN w:val="0"/>
                    <w:adjustRightInd w:val="0"/>
                    <w:spacing w:before="0" w:beforeAutospacing="0" w:after="0" w:afterAutospacing="0"/>
                    <w:jc w:val="center"/>
                    <w:rPr>
                      <w:rFonts w:ascii="Times New Roman" w:hAnsi="Times New Roman"/>
                      <w:b/>
                      <w:bCs/>
                      <w:sz w:val="21"/>
                      <w:szCs w:val="21"/>
                    </w:rPr>
                  </w:pPr>
                </w:p>
              </w:tc>
              <w:tc>
                <w:tcPr>
                  <w:tcW w:w="338" w:type="pct"/>
                  <w:vMerge w:val="continue"/>
                  <w:tcBorders>
                    <w:tl2br w:val="nil"/>
                    <w:tr2bl w:val="nil"/>
                  </w:tcBorders>
                  <w:vAlign w:val="center"/>
                </w:tcPr>
                <w:p>
                  <w:pPr>
                    <w:pStyle w:val="32"/>
                    <w:widowControl w:val="0"/>
                    <w:autoSpaceDE w:val="0"/>
                    <w:autoSpaceDN w:val="0"/>
                    <w:adjustRightInd w:val="0"/>
                    <w:spacing w:before="0" w:beforeAutospacing="0" w:after="0" w:afterAutospacing="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340" w:type="pct"/>
                  <w:vMerge w:val="restart"/>
                  <w:tcBorders>
                    <w:tl2br w:val="nil"/>
                    <w:tr2bl w:val="nil"/>
                  </w:tcBorders>
                  <w:tcMar>
                    <w:top w:w="0" w:type="dxa"/>
                    <w:left w:w="57" w:type="dxa"/>
                    <w:bottom w:w="0" w:type="dxa"/>
                    <w:right w:w="57" w:type="dxa"/>
                  </w:tcMar>
                  <w:vAlign w:val="center"/>
                </w:tcPr>
                <w:p>
                  <w:pPr>
                    <w:jc w:val="center"/>
                    <w:rPr>
                      <w:szCs w:val="21"/>
                    </w:rPr>
                  </w:pPr>
                  <w:r>
                    <w:rPr>
                      <w:szCs w:val="21"/>
                    </w:rPr>
                    <w:t>职工生活</w:t>
                  </w:r>
                </w:p>
              </w:tc>
              <w:tc>
                <w:tcPr>
                  <w:tcW w:w="409" w:type="pct"/>
                  <w:tcBorders>
                    <w:tl2br w:val="nil"/>
                    <w:tr2bl w:val="nil"/>
                  </w:tcBorders>
                  <w:tcMar>
                    <w:top w:w="0" w:type="dxa"/>
                    <w:left w:w="57" w:type="dxa"/>
                    <w:bottom w:w="0" w:type="dxa"/>
                    <w:right w:w="57" w:type="dxa"/>
                  </w:tcMar>
                  <w:vAlign w:val="center"/>
                </w:tcPr>
                <w:p>
                  <w:pPr>
                    <w:jc w:val="center"/>
                    <w:rPr>
                      <w:szCs w:val="21"/>
                    </w:rPr>
                  </w:pPr>
                  <w:r>
                    <w:rPr>
                      <w:szCs w:val="21"/>
                    </w:rPr>
                    <w:t>COD</w:t>
                  </w:r>
                </w:p>
              </w:tc>
              <w:tc>
                <w:tcPr>
                  <w:tcW w:w="500" w:type="pct"/>
                  <w:tcBorders>
                    <w:tl2br w:val="nil"/>
                    <w:tr2bl w:val="nil"/>
                  </w:tcBorders>
                  <w:tcMar>
                    <w:top w:w="0" w:type="dxa"/>
                    <w:left w:w="57" w:type="dxa"/>
                    <w:bottom w:w="0" w:type="dxa"/>
                    <w:right w:w="57" w:type="dxa"/>
                  </w:tcMar>
                  <w:vAlign w:val="center"/>
                </w:tcPr>
                <w:p>
                  <w:pPr>
                    <w:jc w:val="center"/>
                    <w:rPr>
                      <w:szCs w:val="21"/>
                    </w:rPr>
                  </w:pPr>
                  <w:r>
                    <w:rPr>
                      <w:szCs w:val="21"/>
                    </w:rPr>
                    <w:t>300</w:t>
                  </w:r>
                </w:p>
              </w:tc>
              <w:tc>
                <w:tcPr>
                  <w:tcW w:w="615" w:type="pct"/>
                  <w:tcBorders>
                    <w:tl2br w:val="nil"/>
                    <w:tr2bl w:val="nil"/>
                  </w:tcBorders>
                  <w:tcMar>
                    <w:top w:w="0" w:type="dxa"/>
                    <w:left w:w="57" w:type="dxa"/>
                    <w:bottom w:w="0" w:type="dxa"/>
                    <w:right w:w="57" w:type="dxa"/>
                  </w:tcMar>
                  <w:vAlign w:val="center"/>
                </w:tcPr>
                <w:p>
                  <w:pPr>
                    <w:jc w:val="center"/>
                    <w:rPr>
                      <w:szCs w:val="21"/>
                    </w:rPr>
                  </w:pPr>
                  <w:r>
                    <w:rPr>
                      <w:szCs w:val="21"/>
                    </w:rPr>
                    <w:t>0.01344</w:t>
                  </w:r>
                </w:p>
              </w:tc>
              <w:tc>
                <w:tcPr>
                  <w:tcW w:w="533" w:type="pct"/>
                  <w:vMerge w:val="restart"/>
                  <w:tcBorders>
                    <w:tl2br w:val="nil"/>
                    <w:tr2bl w:val="nil"/>
                  </w:tcBorders>
                  <w:tcMar>
                    <w:top w:w="0" w:type="dxa"/>
                    <w:left w:w="57" w:type="dxa"/>
                    <w:bottom w:w="0" w:type="dxa"/>
                    <w:right w:w="57" w:type="dxa"/>
                  </w:tcMar>
                  <w:vAlign w:val="center"/>
                </w:tcPr>
                <w:p>
                  <w:pPr>
                    <w:jc w:val="center"/>
                    <w:rPr>
                      <w:szCs w:val="21"/>
                    </w:rPr>
                  </w:pPr>
                  <w:r>
                    <w:rPr>
                      <w:szCs w:val="21"/>
                    </w:rPr>
                    <w:t>48</w:t>
                  </w:r>
                </w:p>
              </w:tc>
              <w:tc>
                <w:tcPr>
                  <w:tcW w:w="544" w:type="pct"/>
                  <w:vMerge w:val="restart"/>
                  <w:tcBorders>
                    <w:tl2br w:val="nil"/>
                    <w:tr2bl w:val="nil"/>
                  </w:tcBorders>
                  <w:tcMar>
                    <w:top w:w="0" w:type="dxa"/>
                    <w:left w:w="57" w:type="dxa"/>
                    <w:bottom w:w="0" w:type="dxa"/>
                    <w:right w:w="57" w:type="dxa"/>
                  </w:tcMar>
                  <w:vAlign w:val="center"/>
                </w:tcPr>
                <w:p>
                  <w:pPr>
                    <w:jc w:val="center"/>
                    <w:rPr>
                      <w:szCs w:val="21"/>
                    </w:rPr>
                  </w:pPr>
                  <w:r>
                    <w:rPr>
                      <w:szCs w:val="21"/>
                    </w:rPr>
                    <w:t>生活污水处理措施</w:t>
                  </w:r>
                </w:p>
              </w:tc>
              <w:tc>
                <w:tcPr>
                  <w:tcW w:w="573" w:type="pct"/>
                  <w:vMerge w:val="restart"/>
                  <w:tcBorders>
                    <w:tl2br w:val="nil"/>
                    <w:tr2bl w:val="nil"/>
                  </w:tcBorders>
                  <w:tcMar>
                    <w:top w:w="0" w:type="dxa"/>
                    <w:left w:w="57" w:type="dxa"/>
                    <w:bottom w:w="0" w:type="dxa"/>
                    <w:right w:w="57" w:type="dxa"/>
                  </w:tcMar>
                  <w:vAlign w:val="center"/>
                </w:tcPr>
                <w:p>
                  <w:pPr>
                    <w:jc w:val="center"/>
                    <w:rPr>
                      <w:szCs w:val="21"/>
                    </w:rPr>
                  </w:pPr>
                  <w:r>
                    <w:rPr>
                      <w:szCs w:val="21"/>
                    </w:rPr>
                    <w:t>化粪池</w:t>
                  </w:r>
                </w:p>
              </w:tc>
              <w:tc>
                <w:tcPr>
                  <w:tcW w:w="785" w:type="pct"/>
                  <w:vMerge w:val="restart"/>
                  <w:tcBorders>
                    <w:tl2br w:val="nil"/>
                    <w:tr2bl w:val="nil"/>
                  </w:tcBorders>
                  <w:tcMar>
                    <w:top w:w="0" w:type="dxa"/>
                    <w:left w:w="57" w:type="dxa"/>
                    <w:bottom w:w="0" w:type="dxa"/>
                    <w:right w:w="57" w:type="dxa"/>
                  </w:tcMar>
                  <w:vAlign w:val="center"/>
                </w:tcPr>
                <w:p>
                  <w:pPr>
                    <w:jc w:val="center"/>
                    <w:rPr>
                      <w:szCs w:val="21"/>
                    </w:rPr>
                  </w:pPr>
                  <w:r>
                    <w:rPr>
                      <w:kern w:val="0"/>
                      <w:szCs w:val="21"/>
                    </w:rPr>
                    <w:t>是</w:t>
                  </w:r>
                </w:p>
              </w:tc>
              <w:tc>
                <w:tcPr>
                  <w:tcW w:w="360" w:type="pct"/>
                  <w:vMerge w:val="restart"/>
                  <w:tcBorders>
                    <w:tl2br w:val="nil"/>
                    <w:tr2bl w:val="nil"/>
                  </w:tcBorders>
                  <w:vAlign w:val="center"/>
                </w:tcPr>
                <w:p>
                  <w:pPr>
                    <w:jc w:val="center"/>
                    <w:rPr>
                      <w:szCs w:val="21"/>
                    </w:rPr>
                  </w:pPr>
                  <w:r>
                    <w:t>定期外运堆肥</w:t>
                  </w:r>
                </w:p>
              </w:tc>
              <w:tc>
                <w:tcPr>
                  <w:tcW w:w="338" w:type="pct"/>
                  <w:vMerge w:val="restart"/>
                  <w:tcBorders>
                    <w:tl2br w:val="nil"/>
                    <w:tr2bl w:val="nil"/>
                  </w:tcBorders>
                  <w:vAlign w:val="center"/>
                </w:tcPr>
                <w:p>
                  <w:pPr>
                    <w:jc w:val="center"/>
                    <w:rPr>
                      <w:szCs w:val="21"/>
                    </w:rPr>
                  </w:pPr>
                  <w:r>
                    <w:t>不外排</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vMerge w:val="continue"/>
                  <w:tcBorders>
                    <w:tl2br w:val="nil"/>
                    <w:tr2bl w:val="nil"/>
                  </w:tcBorders>
                  <w:tcMar>
                    <w:top w:w="0" w:type="dxa"/>
                    <w:left w:w="57" w:type="dxa"/>
                    <w:bottom w:w="0" w:type="dxa"/>
                    <w:right w:w="57" w:type="dxa"/>
                  </w:tcMar>
                  <w:vAlign w:val="center"/>
                </w:tcPr>
                <w:p>
                  <w:pPr>
                    <w:jc w:val="center"/>
                    <w:rPr>
                      <w:szCs w:val="21"/>
                    </w:rPr>
                  </w:pPr>
                </w:p>
              </w:tc>
              <w:tc>
                <w:tcPr>
                  <w:tcW w:w="409" w:type="pct"/>
                  <w:tcBorders>
                    <w:tl2br w:val="nil"/>
                    <w:tr2bl w:val="nil"/>
                  </w:tcBorders>
                  <w:tcMar>
                    <w:top w:w="0" w:type="dxa"/>
                    <w:left w:w="57" w:type="dxa"/>
                    <w:bottom w:w="0" w:type="dxa"/>
                    <w:right w:w="57" w:type="dxa"/>
                  </w:tcMar>
                  <w:vAlign w:val="center"/>
                </w:tcPr>
                <w:p>
                  <w:pPr>
                    <w:jc w:val="center"/>
                    <w:rPr>
                      <w:szCs w:val="21"/>
                    </w:rPr>
                  </w:pPr>
                  <w:r>
                    <w:rPr>
                      <w:szCs w:val="21"/>
                    </w:rPr>
                    <w:t>BOD</w:t>
                  </w:r>
                  <w:r>
                    <w:rPr>
                      <w:szCs w:val="21"/>
                      <w:vertAlign w:val="subscript"/>
                    </w:rPr>
                    <w:t>5</w:t>
                  </w:r>
                </w:p>
              </w:tc>
              <w:tc>
                <w:tcPr>
                  <w:tcW w:w="500" w:type="pct"/>
                  <w:tcBorders>
                    <w:tl2br w:val="nil"/>
                    <w:tr2bl w:val="nil"/>
                  </w:tcBorders>
                  <w:tcMar>
                    <w:top w:w="0" w:type="dxa"/>
                    <w:left w:w="57" w:type="dxa"/>
                    <w:bottom w:w="0" w:type="dxa"/>
                    <w:right w:w="57" w:type="dxa"/>
                  </w:tcMar>
                  <w:vAlign w:val="center"/>
                </w:tcPr>
                <w:p>
                  <w:pPr>
                    <w:jc w:val="center"/>
                    <w:rPr>
                      <w:szCs w:val="21"/>
                    </w:rPr>
                  </w:pPr>
                  <w:r>
                    <w:rPr>
                      <w:szCs w:val="21"/>
                    </w:rPr>
                    <w:t>180</w:t>
                  </w:r>
                </w:p>
              </w:tc>
              <w:tc>
                <w:tcPr>
                  <w:tcW w:w="615" w:type="pct"/>
                  <w:tcBorders>
                    <w:tl2br w:val="nil"/>
                    <w:tr2bl w:val="nil"/>
                  </w:tcBorders>
                  <w:tcMar>
                    <w:top w:w="0" w:type="dxa"/>
                    <w:left w:w="57" w:type="dxa"/>
                    <w:bottom w:w="0" w:type="dxa"/>
                    <w:right w:w="57" w:type="dxa"/>
                  </w:tcMar>
                  <w:vAlign w:val="center"/>
                </w:tcPr>
                <w:p>
                  <w:pPr>
                    <w:jc w:val="center"/>
                    <w:rPr>
                      <w:szCs w:val="21"/>
                    </w:rPr>
                  </w:pPr>
                  <w:r>
                    <w:rPr>
                      <w:szCs w:val="21"/>
                    </w:rPr>
                    <w:t>0.0086</w:t>
                  </w:r>
                </w:p>
              </w:tc>
              <w:tc>
                <w:tcPr>
                  <w:tcW w:w="533" w:type="pct"/>
                  <w:vMerge w:val="continue"/>
                  <w:tcBorders>
                    <w:tl2br w:val="nil"/>
                    <w:tr2bl w:val="nil"/>
                  </w:tcBorders>
                  <w:vAlign w:val="center"/>
                </w:tcPr>
                <w:p>
                  <w:pPr>
                    <w:jc w:val="center"/>
                    <w:rPr>
                      <w:szCs w:val="21"/>
                    </w:rPr>
                  </w:pPr>
                </w:p>
              </w:tc>
              <w:tc>
                <w:tcPr>
                  <w:tcW w:w="544" w:type="pct"/>
                  <w:vMerge w:val="continue"/>
                  <w:tcBorders>
                    <w:tl2br w:val="nil"/>
                    <w:tr2bl w:val="nil"/>
                  </w:tcBorders>
                  <w:tcMar>
                    <w:top w:w="0" w:type="dxa"/>
                    <w:left w:w="57" w:type="dxa"/>
                    <w:bottom w:w="0" w:type="dxa"/>
                    <w:right w:w="57" w:type="dxa"/>
                  </w:tcMar>
                  <w:vAlign w:val="center"/>
                </w:tcPr>
                <w:p>
                  <w:pPr>
                    <w:jc w:val="center"/>
                    <w:rPr>
                      <w:szCs w:val="21"/>
                    </w:rPr>
                  </w:pPr>
                </w:p>
              </w:tc>
              <w:tc>
                <w:tcPr>
                  <w:tcW w:w="573" w:type="pct"/>
                  <w:vMerge w:val="continue"/>
                  <w:tcBorders>
                    <w:tl2br w:val="nil"/>
                    <w:tr2bl w:val="nil"/>
                  </w:tcBorders>
                  <w:vAlign w:val="center"/>
                </w:tcPr>
                <w:p>
                  <w:pPr>
                    <w:jc w:val="center"/>
                    <w:rPr>
                      <w:szCs w:val="21"/>
                    </w:rPr>
                  </w:pPr>
                </w:p>
              </w:tc>
              <w:tc>
                <w:tcPr>
                  <w:tcW w:w="785" w:type="pct"/>
                  <w:vMerge w:val="continue"/>
                  <w:tcBorders>
                    <w:tl2br w:val="nil"/>
                    <w:tr2bl w:val="nil"/>
                  </w:tcBorders>
                  <w:vAlign w:val="center"/>
                </w:tcPr>
                <w:p>
                  <w:pPr>
                    <w:jc w:val="center"/>
                    <w:rPr>
                      <w:szCs w:val="21"/>
                    </w:rPr>
                  </w:pPr>
                </w:p>
              </w:tc>
              <w:tc>
                <w:tcPr>
                  <w:tcW w:w="360" w:type="pct"/>
                  <w:vMerge w:val="continue"/>
                  <w:tcBorders>
                    <w:tl2br w:val="nil"/>
                    <w:tr2bl w:val="nil"/>
                  </w:tcBorders>
                  <w:vAlign w:val="center"/>
                </w:tcPr>
                <w:p>
                  <w:pPr>
                    <w:jc w:val="center"/>
                    <w:rPr>
                      <w:szCs w:val="21"/>
                    </w:rPr>
                  </w:pPr>
                </w:p>
              </w:tc>
              <w:tc>
                <w:tcPr>
                  <w:tcW w:w="338" w:type="pct"/>
                  <w:vMerge w:val="continue"/>
                  <w:tcBorders>
                    <w:tl2br w:val="nil"/>
                    <w:tr2bl w:val="nil"/>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vMerge w:val="continue"/>
                  <w:tcBorders>
                    <w:tl2br w:val="nil"/>
                    <w:tr2bl w:val="nil"/>
                  </w:tcBorders>
                  <w:tcMar>
                    <w:top w:w="0" w:type="dxa"/>
                    <w:left w:w="57" w:type="dxa"/>
                    <w:bottom w:w="0" w:type="dxa"/>
                    <w:right w:w="57" w:type="dxa"/>
                  </w:tcMar>
                  <w:vAlign w:val="center"/>
                </w:tcPr>
                <w:p>
                  <w:pPr>
                    <w:jc w:val="center"/>
                    <w:rPr>
                      <w:szCs w:val="21"/>
                    </w:rPr>
                  </w:pPr>
                </w:p>
              </w:tc>
              <w:tc>
                <w:tcPr>
                  <w:tcW w:w="409" w:type="pct"/>
                  <w:tcBorders>
                    <w:tl2br w:val="nil"/>
                    <w:tr2bl w:val="nil"/>
                  </w:tcBorders>
                  <w:tcMar>
                    <w:top w:w="0" w:type="dxa"/>
                    <w:left w:w="57" w:type="dxa"/>
                    <w:bottom w:w="0" w:type="dxa"/>
                    <w:right w:w="57" w:type="dxa"/>
                  </w:tcMar>
                  <w:vAlign w:val="center"/>
                </w:tcPr>
                <w:p>
                  <w:pPr>
                    <w:jc w:val="center"/>
                    <w:rPr>
                      <w:szCs w:val="21"/>
                    </w:rPr>
                  </w:pPr>
                  <w:r>
                    <w:rPr>
                      <w:szCs w:val="21"/>
                    </w:rPr>
                    <w:t>SS</w:t>
                  </w:r>
                </w:p>
              </w:tc>
              <w:tc>
                <w:tcPr>
                  <w:tcW w:w="500" w:type="pct"/>
                  <w:tcBorders>
                    <w:tl2br w:val="nil"/>
                    <w:tr2bl w:val="nil"/>
                  </w:tcBorders>
                  <w:tcMar>
                    <w:top w:w="0" w:type="dxa"/>
                    <w:left w:w="57" w:type="dxa"/>
                    <w:bottom w:w="0" w:type="dxa"/>
                    <w:right w:w="57" w:type="dxa"/>
                  </w:tcMar>
                  <w:vAlign w:val="center"/>
                </w:tcPr>
                <w:p>
                  <w:pPr>
                    <w:jc w:val="center"/>
                    <w:rPr>
                      <w:szCs w:val="21"/>
                    </w:rPr>
                  </w:pPr>
                  <w:r>
                    <w:rPr>
                      <w:szCs w:val="21"/>
                    </w:rPr>
                    <w:t>200</w:t>
                  </w:r>
                </w:p>
              </w:tc>
              <w:tc>
                <w:tcPr>
                  <w:tcW w:w="615" w:type="pct"/>
                  <w:tcBorders>
                    <w:tl2br w:val="nil"/>
                    <w:tr2bl w:val="nil"/>
                  </w:tcBorders>
                  <w:tcMar>
                    <w:top w:w="0" w:type="dxa"/>
                    <w:left w:w="57" w:type="dxa"/>
                    <w:bottom w:w="0" w:type="dxa"/>
                    <w:right w:w="57" w:type="dxa"/>
                  </w:tcMar>
                  <w:vAlign w:val="center"/>
                </w:tcPr>
                <w:p>
                  <w:pPr>
                    <w:jc w:val="center"/>
                    <w:rPr>
                      <w:szCs w:val="21"/>
                    </w:rPr>
                  </w:pPr>
                  <w:r>
                    <w:rPr>
                      <w:szCs w:val="21"/>
                    </w:rPr>
                    <w:t>0.0096</w:t>
                  </w:r>
                </w:p>
              </w:tc>
              <w:tc>
                <w:tcPr>
                  <w:tcW w:w="533" w:type="pct"/>
                  <w:vMerge w:val="continue"/>
                  <w:tcBorders>
                    <w:tl2br w:val="nil"/>
                    <w:tr2bl w:val="nil"/>
                  </w:tcBorders>
                  <w:vAlign w:val="center"/>
                </w:tcPr>
                <w:p>
                  <w:pPr>
                    <w:jc w:val="center"/>
                    <w:rPr>
                      <w:szCs w:val="21"/>
                    </w:rPr>
                  </w:pPr>
                </w:p>
              </w:tc>
              <w:tc>
                <w:tcPr>
                  <w:tcW w:w="544" w:type="pct"/>
                  <w:vMerge w:val="continue"/>
                  <w:tcBorders>
                    <w:tl2br w:val="nil"/>
                    <w:tr2bl w:val="nil"/>
                  </w:tcBorders>
                  <w:tcMar>
                    <w:top w:w="0" w:type="dxa"/>
                    <w:left w:w="57" w:type="dxa"/>
                    <w:bottom w:w="0" w:type="dxa"/>
                    <w:right w:w="57" w:type="dxa"/>
                  </w:tcMar>
                  <w:vAlign w:val="center"/>
                </w:tcPr>
                <w:p>
                  <w:pPr>
                    <w:jc w:val="center"/>
                    <w:rPr>
                      <w:szCs w:val="21"/>
                    </w:rPr>
                  </w:pPr>
                </w:p>
              </w:tc>
              <w:tc>
                <w:tcPr>
                  <w:tcW w:w="573" w:type="pct"/>
                  <w:vMerge w:val="continue"/>
                  <w:tcBorders>
                    <w:tl2br w:val="nil"/>
                    <w:tr2bl w:val="nil"/>
                  </w:tcBorders>
                  <w:vAlign w:val="center"/>
                </w:tcPr>
                <w:p>
                  <w:pPr>
                    <w:jc w:val="center"/>
                    <w:rPr>
                      <w:szCs w:val="21"/>
                    </w:rPr>
                  </w:pPr>
                </w:p>
              </w:tc>
              <w:tc>
                <w:tcPr>
                  <w:tcW w:w="785" w:type="pct"/>
                  <w:vMerge w:val="continue"/>
                  <w:tcBorders>
                    <w:tl2br w:val="nil"/>
                    <w:tr2bl w:val="nil"/>
                  </w:tcBorders>
                  <w:vAlign w:val="center"/>
                </w:tcPr>
                <w:p>
                  <w:pPr>
                    <w:jc w:val="center"/>
                    <w:rPr>
                      <w:szCs w:val="21"/>
                    </w:rPr>
                  </w:pPr>
                </w:p>
              </w:tc>
              <w:tc>
                <w:tcPr>
                  <w:tcW w:w="360" w:type="pct"/>
                  <w:vMerge w:val="continue"/>
                  <w:tcBorders>
                    <w:tl2br w:val="nil"/>
                    <w:tr2bl w:val="nil"/>
                  </w:tcBorders>
                  <w:vAlign w:val="center"/>
                </w:tcPr>
                <w:p>
                  <w:pPr>
                    <w:jc w:val="center"/>
                    <w:rPr>
                      <w:szCs w:val="21"/>
                    </w:rPr>
                  </w:pPr>
                </w:p>
              </w:tc>
              <w:tc>
                <w:tcPr>
                  <w:tcW w:w="338" w:type="pct"/>
                  <w:vMerge w:val="continue"/>
                  <w:tcBorders>
                    <w:tl2br w:val="nil"/>
                    <w:tr2bl w:val="nil"/>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vMerge w:val="continue"/>
                  <w:tcBorders>
                    <w:tl2br w:val="nil"/>
                    <w:tr2bl w:val="nil"/>
                  </w:tcBorders>
                  <w:tcMar>
                    <w:top w:w="0" w:type="dxa"/>
                    <w:left w:w="57" w:type="dxa"/>
                    <w:bottom w:w="0" w:type="dxa"/>
                    <w:right w:w="57" w:type="dxa"/>
                  </w:tcMar>
                  <w:vAlign w:val="center"/>
                </w:tcPr>
                <w:p>
                  <w:pPr>
                    <w:jc w:val="center"/>
                    <w:rPr>
                      <w:szCs w:val="21"/>
                    </w:rPr>
                  </w:pPr>
                </w:p>
              </w:tc>
              <w:tc>
                <w:tcPr>
                  <w:tcW w:w="409" w:type="pct"/>
                  <w:tcBorders>
                    <w:tl2br w:val="nil"/>
                    <w:tr2bl w:val="nil"/>
                  </w:tcBorders>
                  <w:tcMar>
                    <w:top w:w="0" w:type="dxa"/>
                    <w:left w:w="57" w:type="dxa"/>
                    <w:bottom w:w="0" w:type="dxa"/>
                    <w:right w:w="57" w:type="dxa"/>
                  </w:tcMar>
                  <w:vAlign w:val="center"/>
                </w:tcPr>
                <w:p>
                  <w:pPr>
                    <w:jc w:val="center"/>
                    <w:rPr>
                      <w:szCs w:val="21"/>
                    </w:rPr>
                  </w:pPr>
                  <w:r>
                    <w:rPr>
                      <w:szCs w:val="21"/>
                    </w:rPr>
                    <w:t>氨氮</w:t>
                  </w:r>
                </w:p>
              </w:tc>
              <w:tc>
                <w:tcPr>
                  <w:tcW w:w="500" w:type="pct"/>
                  <w:tcBorders>
                    <w:tl2br w:val="nil"/>
                    <w:tr2bl w:val="nil"/>
                  </w:tcBorders>
                  <w:tcMar>
                    <w:top w:w="0" w:type="dxa"/>
                    <w:left w:w="57" w:type="dxa"/>
                    <w:bottom w:w="0" w:type="dxa"/>
                    <w:right w:w="57" w:type="dxa"/>
                  </w:tcMar>
                  <w:vAlign w:val="center"/>
                </w:tcPr>
                <w:p>
                  <w:pPr>
                    <w:jc w:val="center"/>
                    <w:rPr>
                      <w:szCs w:val="21"/>
                    </w:rPr>
                  </w:pPr>
                  <w:r>
                    <w:rPr>
                      <w:szCs w:val="21"/>
                    </w:rPr>
                    <w:t>30</w:t>
                  </w:r>
                </w:p>
              </w:tc>
              <w:tc>
                <w:tcPr>
                  <w:tcW w:w="615" w:type="pct"/>
                  <w:tcBorders>
                    <w:tl2br w:val="nil"/>
                    <w:tr2bl w:val="nil"/>
                  </w:tcBorders>
                  <w:tcMar>
                    <w:top w:w="0" w:type="dxa"/>
                    <w:left w:w="57" w:type="dxa"/>
                    <w:bottom w:w="0" w:type="dxa"/>
                    <w:right w:w="57" w:type="dxa"/>
                  </w:tcMar>
                  <w:vAlign w:val="center"/>
                </w:tcPr>
                <w:p>
                  <w:pPr>
                    <w:jc w:val="center"/>
                    <w:rPr>
                      <w:szCs w:val="21"/>
                    </w:rPr>
                  </w:pPr>
                  <w:r>
                    <w:rPr>
                      <w:szCs w:val="21"/>
                    </w:rPr>
                    <w:t>0.0014</w:t>
                  </w:r>
                </w:p>
              </w:tc>
              <w:tc>
                <w:tcPr>
                  <w:tcW w:w="533" w:type="pct"/>
                  <w:vMerge w:val="continue"/>
                  <w:tcBorders>
                    <w:tl2br w:val="nil"/>
                    <w:tr2bl w:val="nil"/>
                  </w:tcBorders>
                  <w:vAlign w:val="center"/>
                </w:tcPr>
                <w:p>
                  <w:pPr>
                    <w:jc w:val="center"/>
                    <w:rPr>
                      <w:szCs w:val="21"/>
                    </w:rPr>
                  </w:pPr>
                </w:p>
              </w:tc>
              <w:tc>
                <w:tcPr>
                  <w:tcW w:w="544" w:type="pct"/>
                  <w:vMerge w:val="continue"/>
                  <w:tcBorders>
                    <w:tl2br w:val="nil"/>
                    <w:tr2bl w:val="nil"/>
                  </w:tcBorders>
                  <w:tcMar>
                    <w:top w:w="0" w:type="dxa"/>
                    <w:left w:w="57" w:type="dxa"/>
                    <w:bottom w:w="0" w:type="dxa"/>
                    <w:right w:w="57" w:type="dxa"/>
                  </w:tcMar>
                  <w:vAlign w:val="center"/>
                </w:tcPr>
                <w:p>
                  <w:pPr>
                    <w:jc w:val="center"/>
                    <w:rPr>
                      <w:szCs w:val="21"/>
                    </w:rPr>
                  </w:pPr>
                </w:p>
              </w:tc>
              <w:tc>
                <w:tcPr>
                  <w:tcW w:w="573" w:type="pct"/>
                  <w:vMerge w:val="continue"/>
                  <w:tcBorders>
                    <w:tl2br w:val="nil"/>
                    <w:tr2bl w:val="nil"/>
                  </w:tcBorders>
                  <w:vAlign w:val="center"/>
                </w:tcPr>
                <w:p>
                  <w:pPr>
                    <w:jc w:val="center"/>
                    <w:rPr>
                      <w:szCs w:val="21"/>
                    </w:rPr>
                  </w:pPr>
                </w:p>
              </w:tc>
              <w:tc>
                <w:tcPr>
                  <w:tcW w:w="785" w:type="pct"/>
                  <w:vMerge w:val="continue"/>
                  <w:tcBorders>
                    <w:tl2br w:val="nil"/>
                    <w:tr2bl w:val="nil"/>
                  </w:tcBorders>
                  <w:vAlign w:val="center"/>
                </w:tcPr>
                <w:p>
                  <w:pPr>
                    <w:jc w:val="center"/>
                    <w:rPr>
                      <w:szCs w:val="21"/>
                    </w:rPr>
                  </w:pPr>
                </w:p>
              </w:tc>
              <w:tc>
                <w:tcPr>
                  <w:tcW w:w="360" w:type="pct"/>
                  <w:vMerge w:val="continue"/>
                  <w:tcBorders>
                    <w:tl2br w:val="nil"/>
                    <w:tr2bl w:val="nil"/>
                  </w:tcBorders>
                  <w:vAlign w:val="center"/>
                </w:tcPr>
                <w:p>
                  <w:pPr>
                    <w:jc w:val="center"/>
                    <w:rPr>
                      <w:szCs w:val="21"/>
                    </w:rPr>
                  </w:pPr>
                </w:p>
              </w:tc>
              <w:tc>
                <w:tcPr>
                  <w:tcW w:w="338" w:type="pct"/>
                  <w:vMerge w:val="continue"/>
                  <w:tcBorders>
                    <w:tl2br w:val="nil"/>
                    <w:tr2bl w:val="nil"/>
                  </w:tcBorders>
                  <w:vAlign w:val="center"/>
                </w:tcPr>
                <w:p>
                  <w:pPr>
                    <w:jc w:val="center"/>
                    <w:rPr>
                      <w:szCs w:val="21"/>
                    </w:rPr>
                  </w:pPr>
                </w:p>
              </w:tc>
            </w:tr>
          </w:tbl>
          <w:p>
            <w:pPr>
              <w:pStyle w:val="2"/>
              <w:spacing w:before="156" w:beforeLines="50" w:after="0" w:line="360" w:lineRule="auto"/>
              <w:ind w:left="0" w:leftChars="0" w:firstLine="482"/>
              <w:rPr>
                <w:b/>
                <w:bCs/>
                <w:szCs w:val="24"/>
              </w:rPr>
            </w:pPr>
            <w:r>
              <w:rPr>
                <w:b/>
                <w:bCs/>
                <w:szCs w:val="24"/>
              </w:rPr>
              <w:t>2、废水污染治理措施的可行性分析</w:t>
            </w:r>
          </w:p>
          <w:p>
            <w:pPr>
              <w:spacing w:line="360" w:lineRule="auto"/>
              <w:ind w:firstLine="504" w:firstLineChars="200"/>
              <w:rPr>
                <w:sz w:val="24"/>
              </w:rPr>
            </w:pPr>
            <w:r>
              <w:rPr>
                <w:spacing w:val="6"/>
                <w:sz w:val="24"/>
              </w:rPr>
              <w:t>拟建项目生活废水</w:t>
            </w:r>
            <w:r>
              <w:rPr>
                <w:sz w:val="24"/>
              </w:rPr>
              <w:t>经厂区化粪池处理</w:t>
            </w:r>
            <w:r>
              <w:rPr>
                <w:sz w:val="24"/>
                <w:lang w:val="zh-CN"/>
              </w:rPr>
              <w:t>，处理后</w:t>
            </w:r>
            <w:r>
              <w:rPr>
                <w:sz w:val="24"/>
              </w:rPr>
              <w:t>外运堆肥</w:t>
            </w:r>
            <w:r>
              <w:rPr>
                <w:spacing w:val="6"/>
                <w:sz w:val="24"/>
              </w:rPr>
              <w:t>。化粪池处理能力为2</w:t>
            </w:r>
            <w:r>
              <w:rPr>
                <w:sz w:val="24"/>
              </w:rPr>
              <w:t>m</w:t>
            </w:r>
            <w:r>
              <w:rPr>
                <w:sz w:val="24"/>
                <w:vertAlign w:val="superscript"/>
              </w:rPr>
              <w:t>3</w:t>
            </w:r>
            <w:r>
              <w:rPr>
                <w:sz w:val="24"/>
              </w:rPr>
              <w:t>/d。本项目为</w:t>
            </w:r>
            <w:r>
              <w:rPr>
                <w:rFonts w:hint="eastAsia"/>
                <w:sz w:val="24"/>
              </w:rPr>
              <w:t>非金属矿物制品制造项目</w:t>
            </w:r>
            <w:r>
              <w:rPr>
                <w:sz w:val="24"/>
              </w:rPr>
              <w:t xml:space="preserve">，符合《排污许可申请与核发技术规范 </w:t>
            </w:r>
            <w:r>
              <w:rPr>
                <w:rFonts w:hint="eastAsia"/>
                <w:sz w:val="24"/>
              </w:rPr>
              <w:t>石</w:t>
            </w:r>
            <w:r>
              <w:rPr>
                <w:sz w:val="24"/>
              </w:rPr>
              <w:t>墨及其他非金属矿物制品制造》中推荐的生活污水</w:t>
            </w:r>
            <w:r>
              <w:rPr>
                <w:kern w:val="0"/>
                <w:sz w:val="24"/>
                <w:lang w:bidi="ar"/>
              </w:rPr>
              <w:t>“好氧生物处理”</w:t>
            </w:r>
            <w:r>
              <w:rPr>
                <w:sz w:val="24"/>
              </w:rPr>
              <w:t>处理</w:t>
            </w:r>
            <w:r>
              <w:rPr>
                <w:kern w:val="0"/>
                <w:sz w:val="24"/>
                <w:lang w:bidi="ar"/>
              </w:rPr>
              <w:t>工艺。</w:t>
            </w:r>
          </w:p>
          <w:p>
            <w:pPr>
              <w:adjustRightInd w:val="0"/>
              <w:spacing w:line="360" w:lineRule="auto"/>
              <w:ind w:firstLine="480" w:firstLineChars="200"/>
              <w:rPr>
                <w:b/>
                <w:bCs/>
                <w:sz w:val="24"/>
              </w:rPr>
            </w:pPr>
            <w:r>
              <w:rPr>
                <w:sz w:val="24"/>
              </w:rPr>
              <w:t>项目废水不外排，可不设置废水监测计划。</w:t>
            </w:r>
          </w:p>
          <w:p>
            <w:pPr>
              <w:adjustRightInd w:val="0"/>
              <w:spacing w:line="360" w:lineRule="auto"/>
              <w:ind w:firstLine="482" w:firstLineChars="200"/>
              <w:rPr>
                <w:b/>
                <w:bCs/>
                <w:sz w:val="24"/>
              </w:rPr>
            </w:pPr>
            <w:r>
              <w:rPr>
                <w:b/>
                <w:bCs/>
                <w:sz w:val="24"/>
              </w:rPr>
              <w:t>三、噪声</w:t>
            </w:r>
          </w:p>
          <w:p>
            <w:pPr>
              <w:widowControl/>
              <w:adjustRightInd w:val="0"/>
              <w:snapToGrid w:val="0"/>
              <w:spacing w:line="360" w:lineRule="auto"/>
              <w:ind w:firstLine="480" w:firstLineChars="200"/>
              <w:rPr>
                <w:sz w:val="24"/>
              </w:rPr>
            </w:pPr>
            <w:r>
              <w:rPr>
                <w:sz w:val="24"/>
              </w:rPr>
              <w:t>本项目产生噪声主要来自磨粉机、造粒机、筛分机等设备运转，噪声源强为80~95dB(A)，设备布置在生产车间内，安装基础进行了减震处理，通过车间隔声和距离衰减较少噪声排放。</w:t>
            </w:r>
          </w:p>
          <w:p>
            <w:pPr>
              <w:widowControl/>
              <w:adjustRightInd w:val="0"/>
              <w:snapToGrid w:val="0"/>
              <w:spacing w:line="360" w:lineRule="auto"/>
              <w:ind w:firstLine="480" w:firstLineChars="200"/>
              <w:rPr>
                <w:sz w:val="24"/>
              </w:rPr>
            </w:pPr>
            <w:r>
              <w:rPr>
                <w:sz w:val="24"/>
              </w:rPr>
              <w:t xml:space="preserve">项目主要噪声源见下表。  </w:t>
            </w:r>
          </w:p>
          <w:p>
            <w:pPr>
              <w:adjustRightInd w:val="0"/>
              <w:snapToGrid w:val="0"/>
              <w:jc w:val="center"/>
              <w:rPr>
                <w:b/>
                <w:bCs/>
                <w:sz w:val="24"/>
              </w:rPr>
            </w:pPr>
            <w:r>
              <w:rPr>
                <w:b/>
                <w:bCs/>
                <w:sz w:val="24"/>
              </w:rPr>
              <w:t>表4-7  项目主要噪声源一览表 单位：dB(</w:t>
            </w:r>
            <w:r>
              <w:rPr>
                <w:rFonts w:eastAsia="黑体"/>
                <w:sz w:val="24"/>
              </w:rPr>
              <w:t>A)</w:t>
            </w:r>
          </w:p>
          <w:tbl>
            <w:tblPr>
              <w:tblStyle w:val="35"/>
              <w:tblW w:w="4705"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855"/>
              <w:gridCol w:w="1165"/>
              <w:gridCol w:w="1382"/>
              <w:gridCol w:w="1381"/>
              <w:gridCol w:w="1381"/>
              <w:gridCol w:w="138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4" w:hRule="atLeast"/>
                <w:jc w:val="center"/>
              </w:trPr>
              <w:tc>
                <w:tcPr>
                  <w:tcW w:w="1084" w:type="pct"/>
                  <w:tcBorders>
                    <w:tl2br w:val="nil"/>
                    <w:tr2bl w:val="nil"/>
                  </w:tcBorders>
                  <w:vAlign w:val="center"/>
                </w:tcPr>
                <w:p>
                  <w:pPr>
                    <w:autoSpaceDE w:val="0"/>
                    <w:autoSpaceDN w:val="0"/>
                    <w:adjustRightInd w:val="0"/>
                    <w:snapToGrid w:val="0"/>
                    <w:jc w:val="center"/>
                    <w:rPr>
                      <w:szCs w:val="21"/>
                      <w:lang w:val="zh-CN"/>
                    </w:rPr>
                  </w:pPr>
                  <w:r>
                    <w:rPr>
                      <w:szCs w:val="21"/>
                      <w:lang w:val="zh-CN"/>
                    </w:rPr>
                    <w:t>主要噪声源</w:t>
                  </w:r>
                </w:p>
              </w:tc>
              <w:tc>
                <w:tcPr>
                  <w:tcW w:w="681" w:type="pct"/>
                  <w:tcBorders>
                    <w:tl2br w:val="nil"/>
                    <w:tr2bl w:val="nil"/>
                  </w:tcBorders>
                  <w:vAlign w:val="center"/>
                </w:tcPr>
                <w:p>
                  <w:pPr>
                    <w:autoSpaceDE w:val="0"/>
                    <w:autoSpaceDN w:val="0"/>
                    <w:adjustRightInd w:val="0"/>
                    <w:snapToGrid w:val="0"/>
                    <w:jc w:val="center"/>
                    <w:rPr>
                      <w:szCs w:val="21"/>
                      <w:lang w:val="zh-CN"/>
                    </w:rPr>
                  </w:pPr>
                  <w:r>
                    <w:rPr>
                      <w:szCs w:val="21"/>
                      <w:lang w:val="zh-CN"/>
                    </w:rPr>
                    <w:t>数量(台)</w:t>
                  </w:r>
                </w:p>
              </w:tc>
              <w:tc>
                <w:tcPr>
                  <w:tcW w:w="808" w:type="pct"/>
                  <w:tcBorders>
                    <w:tl2br w:val="nil"/>
                    <w:tr2bl w:val="nil"/>
                  </w:tcBorders>
                  <w:vAlign w:val="center"/>
                </w:tcPr>
                <w:p>
                  <w:pPr>
                    <w:autoSpaceDE w:val="0"/>
                    <w:autoSpaceDN w:val="0"/>
                    <w:adjustRightInd w:val="0"/>
                    <w:snapToGrid w:val="0"/>
                    <w:jc w:val="center"/>
                    <w:rPr>
                      <w:szCs w:val="21"/>
                    </w:rPr>
                  </w:pPr>
                  <w:r>
                    <w:rPr>
                      <w:szCs w:val="21"/>
                    </w:rPr>
                    <w:t>单机噪声</w:t>
                  </w:r>
                </w:p>
              </w:tc>
              <w:tc>
                <w:tcPr>
                  <w:tcW w:w="808" w:type="pct"/>
                  <w:tcBorders>
                    <w:tl2br w:val="nil"/>
                    <w:tr2bl w:val="nil"/>
                  </w:tcBorders>
                  <w:vAlign w:val="center"/>
                </w:tcPr>
                <w:p>
                  <w:pPr>
                    <w:autoSpaceDE w:val="0"/>
                    <w:autoSpaceDN w:val="0"/>
                    <w:adjustRightInd w:val="0"/>
                    <w:snapToGrid w:val="0"/>
                    <w:jc w:val="center"/>
                    <w:rPr>
                      <w:szCs w:val="21"/>
                      <w:lang w:val="zh-CN"/>
                    </w:rPr>
                  </w:pPr>
                  <w:r>
                    <w:rPr>
                      <w:szCs w:val="21"/>
                      <w:lang w:val="zh-CN"/>
                    </w:rPr>
                    <w:t>降噪措施</w:t>
                  </w:r>
                </w:p>
              </w:tc>
              <w:tc>
                <w:tcPr>
                  <w:tcW w:w="808" w:type="pct"/>
                  <w:tcBorders>
                    <w:tl2br w:val="nil"/>
                    <w:tr2bl w:val="nil"/>
                  </w:tcBorders>
                  <w:vAlign w:val="center"/>
                </w:tcPr>
                <w:p>
                  <w:pPr>
                    <w:autoSpaceDE w:val="0"/>
                    <w:autoSpaceDN w:val="0"/>
                    <w:adjustRightInd w:val="0"/>
                    <w:snapToGrid w:val="0"/>
                    <w:jc w:val="center"/>
                    <w:rPr>
                      <w:szCs w:val="21"/>
                      <w:lang w:val="zh-CN"/>
                    </w:rPr>
                  </w:pPr>
                  <w:r>
                    <w:rPr>
                      <w:szCs w:val="21"/>
                      <w:lang w:val="zh-CN"/>
                    </w:rPr>
                    <w:t>降噪后源强</w:t>
                  </w:r>
                </w:p>
              </w:tc>
              <w:tc>
                <w:tcPr>
                  <w:tcW w:w="808" w:type="pct"/>
                  <w:tcBorders>
                    <w:tl2br w:val="nil"/>
                    <w:tr2bl w:val="nil"/>
                  </w:tcBorders>
                  <w:vAlign w:val="center"/>
                </w:tcPr>
                <w:p>
                  <w:pPr>
                    <w:autoSpaceDE w:val="0"/>
                    <w:autoSpaceDN w:val="0"/>
                    <w:adjustRightInd w:val="0"/>
                    <w:snapToGrid w:val="0"/>
                    <w:jc w:val="center"/>
                    <w:rPr>
                      <w:szCs w:val="21"/>
                      <w:lang w:val="zh-CN"/>
                    </w:rPr>
                  </w:pPr>
                  <w:r>
                    <w:rPr>
                      <w:szCs w:val="21"/>
                      <w:lang w:val="zh-CN"/>
                    </w:rPr>
                    <w:t>治理后叠加声级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jc w:val="center"/>
              </w:trPr>
              <w:tc>
                <w:tcPr>
                  <w:tcW w:w="1084" w:type="pct"/>
                  <w:tcBorders>
                    <w:tl2br w:val="nil"/>
                    <w:tr2bl w:val="nil"/>
                  </w:tcBorders>
                  <w:vAlign w:val="center"/>
                </w:tcPr>
                <w:p>
                  <w:pPr>
                    <w:jc w:val="center"/>
                    <w:rPr>
                      <w:szCs w:val="21"/>
                    </w:rPr>
                  </w:pPr>
                  <w:r>
                    <w:rPr>
                      <w:szCs w:val="21"/>
                    </w:rPr>
                    <w:t>雷蒙磨粉机</w:t>
                  </w:r>
                </w:p>
              </w:tc>
              <w:tc>
                <w:tcPr>
                  <w:tcW w:w="681" w:type="pct"/>
                  <w:tcBorders>
                    <w:tl2br w:val="nil"/>
                    <w:tr2bl w:val="nil"/>
                  </w:tcBorders>
                  <w:vAlign w:val="center"/>
                </w:tcPr>
                <w:p>
                  <w:pPr>
                    <w:widowControl/>
                    <w:jc w:val="center"/>
                    <w:rPr>
                      <w:szCs w:val="21"/>
                    </w:rPr>
                  </w:pPr>
                  <w:r>
                    <w:rPr>
                      <w:szCs w:val="21"/>
                    </w:rPr>
                    <w:t>1</w:t>
                  </w:r>
                </w:p>
              </w:tc>
              <w:tc>
                <w:tcPr>
                  <w:tcW w:w="808" w:type="pct"/>
                  <w:tcBorders>
                    <w:tl2br w:val="nil"/>
                    <w:tr2bl w:val="nil"/>
                  </w:tcBorders>
                  <w:vAlign w:val="center"/>
                </w:tcPr>
                <w:p>
                  <w:pPr>
                    <w:widowControl/>
                    <w:jc w:val="center"/>
                    <w:textAlignment w:val="center"/>
                    <w:rPr>
                      <w:kern w:val="0"/>
                      <w:szCs w:val="21"/>
                      <w:lang w:bidi="ar"/>
                    </w:rPr>
                  </w:pPr>
                  <w:r>
                    <w:rPr>
                      <w:kern w:val="0"/>
                      <w:szCs w:val="21"/>
                      <w:lang w:bidi="ar"/>
                    </w:rPr>
                    <w:t>95</w:t>
                  </w:r>
                </w:p>
              </w:tc>
              <w:tc>
                <w:tcPr>
                  <w:tcW w:w="808" w:type="pct"/>
                  <w:vMerge w:val="restart"/>
                  <w:tcBorders>
                    <w:tl2br w:val="nil"/>
                    <w:tr2bl w:val="nil"/>
                  </w:tcBorders>
                  <w:vAlign w:val="center"/>
                </w:tcPr>
                <w:p>
                  <w:pPr>
                    <w:autoSpaceDE w:val="0"/>
                    <w:autoSpaceDN w:val="0"/>
                    <w:adjustRightInd w:val="0"/>
                    <w:snapToGrid w:val="0"/>
                    <w:jc w:val="center"/>
                    <w:rPr>
                      <w:kern w:val="0"/>
                      <w:szCs w:val="21"/>
                      <w:lang w:bidi="ar"/>
                    </w:rPr>
                  </w:pPr>
                  <w:r>
                    <w:rPr>
                      <w:szCs w:val="21"/>
                      <w:lang w:val="zh-CN"/>
                    </w:rPr>
                    <w:t>室内布置、减振、隔声</w:t>
                  </w:r>
                </w:p>
              </w:tc>
              <w:tc>
                <w:tcPr>
                  <w:tcW w:w="808" w:type="pct"/>
                  <w:tcBorders>
                    <w:tl2br w:val="nil"/>
                    <w:tr2bl w:val="nil"/>
                  </w:tcBorders>
                  <w:vAlign w:val="center"/>
                </w:tcPr>
                <w:p>
                  <w:pPr>
                    <w:widowControl/>
                    <w:jc w:val="center"/>
                    <w:textAlignment w:val="center"/>
                    <w:rPr>
                      <w:kern w:val="0"/>
                      <w:szCs w:val="21"/>
                      <w:lang w:bidi="ar"/>
                    </w:rPr>
                  </w:pPr>
                  <w:r>
                    <w:rPr>
                      <w:kern w:val="0"/>
                      <w:szCs w:val="21"/>
                      <w:lang w:bidi="ar"/>
                    </w:rPr>
                    <w:t>75</w:t>
                  </w:r>
                </w:p>
              </w:tc>
              <w:tc>
                <w:tcPr>
                  <w:tcW w:w="808" w:type="pct"/>
                  <w:vMerge w:val="restart"/>
                  <w:tcBorders>
                    <w:tl2br w:val="nil"/>
                    <w:tr2bl w:val="nil"/>
                  </w:tcBorders>
                  <w:vAlign w:val="center"/>
                </w:tcPr>
                <w:p>
                  <w:pPr>
                    <w:widowControl/>
                    <w:jc w:val="center"/>
                    <w:textAlignment w:val="center"/>
                    <w:rPr>
                      <w:kern w:val="0"/>
                      <w:szCs w:val="21"/>
                      <w:lang w:bidi="ar"/>
                    </w:rPr>
                  </w:pPr>
                  <w:r>
                    <w:rPr>
                      <w:kern w:val="0"/>
                      <w:szCs w:val="21"/>
                      <w:lang w:bidi="ar"/>
                    </w:rPr>
                    <w:t>76.62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2" w:hRule="atLeast"/>
                <w:jc w:val="center"/>
              </w:trPr>
              <w:tc>
                <w:tcPr>
                  <w:tcW w:w="1084" w:type="pct"/>
                  <w:tcBorders>
                    <w:tl2br w:val="nil"/>
                    <w:tr2bl w:val="nil"/>
                  </w:tcBorders>
                  <w:vAlign w:val="center"/>
                </w:tcPr>
                <w:p>
                  <w:pPr>
                    <w:jc w:val="center"/>
                    <w:rPr>
                      <w:szCs w:val="21"/>
                    </w:rPr>
                  </w:pPr>
                  <w:r>
                    <w:rPr>
                      <w:szCs w:val="21"/>
                    </w:rPr>
                    <w:t>圆盘造粒机</w:t>
                  </w:r>
                </w:p>
              </w:tc>
              <w:tc>
                <w:tcPr>
                  <w:tcW w:w="681" w:type="pct"/>
                  <w:tcBorders>
                    <w:tl2br w:val="nil"/>
                    <w:tr2bl w:val="nil"/>
                  </w:tcBorders>
                  <w:vAlign w:val="center"/>
                </w:tcPr>
                <w:p>
                  <w:pPr>
                    <w:widowControl/>
                    <w:jc w:val="center"/>
                    <w:rPr>
                      <w:szCs w:val="21"/>
                    </w:rPr>
                  </w:pPr>
                  <w:r>
                    <w:rPr>
                      <w:szCs w:val="21"/>
                    </w:rPr>
                    <w:t>2</w:t>
                  </w:r>
                </w:p>
              </w:tc>
              <w:tc>
                <w:tcPr>
                  <w:tcW w:w="808" w:type="pct"/>
                  <w:tcBorders>
                    <w:tl2br w:val="nil"/>
                    <w:tr2bl w:val="nil"/>
                  </w:tcBorders>
                  <w:vAlign w:val="center"/>
                </w:tcPr>
                <w:p>
                  <w:pPr>
                    <w:widowControl/>
                    <w:jc w:val="center"/>
                    <w:textAlignment w:val="center"/>
                    <w:rPr>
                      <w:kern w:val="0"/>
                      <w:szCs w:val="21"/>
                      <w:lang w:bidi="ar"/>
                    </w:rPr>
                  </w:pPr>
                  <w:r>
                    <w:rPr>
                      <w:kern w:val="0"/>
                      <w:szCs w:val="21"/>
                      <w:lang w:bidi="ar"/>
                    </w:rPr>
                    <w:t>85</w:t>
                  </w:r>
                </w:p>
              </w:tc>
              <w:tc>
                <w:tcPr>
                  <w:tcW w:w="808" w:type="pct"/>
                  <w:vMerge w:val="continue"/>
                  <w:tcBorders>
                    <w:tl2br w:val="nil"/>
                    <w:tr2bl w:val="nil"/>
                  </w:tcBorders>
                  <w:vAlign w:val="center"/>
                </w:tcPr>
                <w:p>
                  <w:pPr>
                    <w:autoSpaceDE w:val="0"/>
                    <w:autoSpaceDN w:val="0"/>
                    <w:adjustRightInd w:val="0"/>
                    <w:snapToGrid w:val="0"/>
                    <w:jc w:val="center"/>
                    <w:rPr>
                      <w:kern w:val="0"/>
                      <w:szCs w:val="21"/>
                      <w:lang w:bidi="ar"/>
                    </w:rPr>
                  </w:pPr>
                </w:p>
              </w:tc>
              <w:tc>
                <w:tcPr>
                  <w:tcW w:w="808" w:type="pct"/>
                  <w:tcBorders>
                    <w:tl2br w:val="nil"/>
                    <w:tr2bl w:val="nil"/>
                  </w:tcBorders>
                  <w:vAlign w:val="center"/>
                </w:tcPr>
                <w:p>
                  <w:pPr>
                    <w:widowControl/>
                    <w:jc w:val="center"/>
                    <w:textAlignment w:val="center"/>
                    <w:rPr>
                      <w:kern w:val="0"/>
                      <w:szCs w:val="21"/>
                      <w:lang w:bidi="ar"/>
                    </w:rPr>
                  </w:pPr>
                  <w:r>
                    <w:rPr>
                      <w:kern w:val="0"/>
                      <w:szCs w:val="21"/>
                      <w:lang w:bidi="ar"/>
                    </w:rPr>
                    <w:t>65</w:t>
                  </w:r>
                </w:p>
              </w:tc>
              <w:tc>
                <w:tcPr>
                  <w:tcW w:w="808" w:type="pct"/>
                  <w:vMerge w:val="continue"/>
                  <w:tcBorders>
                    <w:tl2br w:val="nil"/>
                    <w:tr2bl w:val="nil"/>
                  </w:tcBorders>
                  <w:vAlign w:val="center"/>
                </w:tcPr>
                <w:p>
                  <w:pPr>
                    <w:widowControl/>
                    <w:jc w:val="center"/>
                    <w:textAlignment w:val="center"/>
                    <w:rPr>
                      <w:kern w:val="0"/>
                      <w:szCs w:val="21"/>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jc w:val="center"/>
              </w:trPr>
              <w:tc>
                <w:tcPr>
                  <w:tcW w:w="1084" w:type="pct"/>
                  <w:tcBorders>
                    <w:tl2br w:val="nil"/>
                    <w:tr2bl w:val="nil"/>
                  </w:tcBorders>
                  <w:vAlign w:val="center"/>
                </w:tcPr>
                <w:p>
                  <w:pPr>
                    <w:jc w:val="center"/>
                    <w:rPr>
                      <w:szCs w:val="21"/>
                    </w:rPr>
                  </w:pPr>
                  <w:r>
                    <w:rPr>
                      <w:szCs w:val="21"/>
                    </w:rPr>
                    <w:t>烘干机</w:t>
                  </w:r>
                </w:p>
              </w:tc>
              <w:tc>
                <w:tcPr>
                  <w:tcW w:w="681" w:type="pct"/>
                  <w:tcBorders>
                    <w:tl2br w:val="nil"/>
                    <w:tr2bl w:val="nil"/>
                  </w:tcBorders>
                  <w:vAlign w:val="center"/>
                </w:tcPr>
                <w:p>
                  <w:pPr>
                    <w:widowControl/>
                    <w:jc w:val="center"/>
                    <w:rPr>
                      <w:szCs w:val="21"/>
                    </w:rPr>
                  </w:pPr>
                  <w:r>
                    <w:rPr>
                      <w:szCs w:val="21"/>
                    </w:rPr>
                    <w:t>1</w:t>
                  </w:r>
                </w:p>
              </w:tc>
              <w:tc>
                <w:tcPr>
                  <w:tcW w:w="808" w:type="pct"/>
                  <w:tcBorders>
                    <w:tl2br w:val="nil"/>
                    <w:tr2bl w:val="nil"/>
                  </w:tcBorders>
                  <w:vAlign w:val="center"/>
                </w:tcPr>
                <w:p>
                  <w:pPr>
                    <w:widowControl/>
                    <w:jc w:val="center"/>
                    <w:textAlignment w:val="center"/>
                    <w:rPr>
                      <w:kern w:val="0"/>
                      <w:szCs w:val="21"/>
                      <w:lang w:bidi="ar"/>
                    </w:rPr>
                  </w:pPr>
                  <w:r>
                    <w:rPr>
                      <w:kern w:val="0"/>
                      <w:szCs w:val="21"/>
                      <w:lang w:bidi="ar"/>
                    </w:rPr>
                    <w:t>75</w:t>
                  </w:r>
                </w:p>
              </w:tc>
              <w:tc>
                <w:tcPr>
                  <w:tcW w:w="808" w:type="pct"/>
                  <w:vMerge w:val="continue"/>
                  <w:tcBorders>
                    <w:tl2br w:val="nil"/>
                    <w:tr2bl w:val="nil"/>
                  </w:tcBorders>
                  <w:vAlign w:val="center"/>
                </w:tcPr>
                <w:p>
                  <w:pPr>
                    <w:autoSpaceDE w:val="0"/>
                    <w:autoSpaceDN w:val="0"/>
                    <w:adjustRightInd w:val="0"/>
                    <w:snapToGrid w:val="0"/>
                    <w:jc w:val="center"/>
                    <w:rPr>
                      <w:kern w:val="0"/>
                      <w:szCs w:val="21"/>
                      <w:lang w:bidi="ar"/>
                    </w:rPr>
                  </w:pPr>
                </w:p>
              </w:tc>
              <w:tc>
                <w:tcPr>
                  <w:tcW w:w="808" w:type="pct"/>
                  <w:tcBorders>
                    <w:tl2br w:val="nil"/>
                    <w:tr2bl w:val="nil"/>
                  </w:tcBorders>
                  <w:vAlign w:val="center"/>
                </w:tcPr>
                <w:p>
                  <w:pPr>
                    <w:widowControl/>
                    <w:jc w:val="center"/>
                    <w:textAlignment w:val="center"/>
                    <w:rPr>
                      <w:kern w:val="0"/>
                      <w:szCs w:val="21"/>
                      <w:lang w:bidi="ar"/>
                    </w:rPr>
                  </w:pPr>
                  <w:r>
                    <w:rPr>
                      <w:kern w:val="0"/>
                      <w:szCs w:val="21"/>
                      <w:lang w:bidi="ar"/>
                    </w:rPr>
                    <w:t>55</w:t>
                  </w:r>
                </w:p>
              </w:tc>
              <w:tc>
                <w:tcPr>
                  <w:tcW w:w="808" w:type="pct"/>
                  <w:vMerge w:val="continue"/>
                  <w:tcBorders>
                    <w:tl2br w:val="nil"/>
                    <w:tr2bl w:val="nil"/>
                  </w:tcBorders>
                  <w:vAlign w:val="center"/>
                </w:tcPr>
                <w:p>
                  <w:pPr>
                    <w:widowControl/>
                    <w:jc w:val="center"/>
                    <w:textAlignment w:val="center"/>
                    <w:rPr>
                      <w:kern w:val="0"/>
                      <w:szCs w:val="21"/>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jc w:val="center"/>
              </w:trPr>
              <w:tc>
                <w:tcPr>
                  <w:tcW w:w="1084" w:type="pct"/>
                  <w:tcBorders>
                    <w:tl2br w:val="nil"/>
                    <w:tr2bl w:val="nil"/>
                  </w:tcBorders>
                  <w:vAlign w:val="center"/>
                </w:tcPr>
                <w:p>
                  <w:pPr>
                    <w:jc w:val="center"/>
                    <w:rPr>
                      <w:szCs w:val="21"/>
                    </w:rPr>
                  </w:pPr>
                  <w:r>
                    <w:rPr>
                      <w:szCs w:val="21"/>
                    </w:rPr>
                    <w:t>筛粒机</w:t>
                  </w:r>
                </w:p>
              </w:tc>
              <w:tc>
                <w:tcPr>
                  <w:tcW w:w="681" w:type="pct"/>
                  <w:tcBorders>
                    <w:tl2br w:val="nil"/>
                    <w:tr2bl w:val="nil"/>
                  </w:tcBorders>
                  <w:vAlign w:val="center"/>
                </w:tcPr>
                <w:p>
                  <w:pPr>
                    <w:widowControl/>
                    <w:jc w:val="center"/>
                    <w:rPr>
                      <w:szCs w:val="21"/>
                    </w:rPr>
                  </w:pPr>
                  <w:r>
                    <w:rPr>
                      <w:szCs w:val="21"/>
                    </w:rPr>
                    <w:t>1</w:t>
                  </w:r>
                </w:p>
              </w:tc>
              <w:tc>
                <w:tcPr>
                  <w:tcW w:w="808" w:type="pct"/>
                  <w:tcBorders>
                    <w:tl2br w:val="nil"/>
                    <w:tr2bl w:val="nil"/>
                  </w:tcBorders>
                  <w:vAlign w:val="center"/>
                </w:tcPr>
                <w:p>
                  <w:pPr>
                    <w:widowControl/>
                    <w:jc w:val="center"/>
                    <w:textAlignment w:val="center"/>
                    <w:rPr>
                      <w:kern w:val="0"/>
                      <w:szCs w:val="21"/>
                      <w:lang w:bidi="ar"/>
                    </w:rPr>
                  </w:pPr>
                  <w:r>
                    <w:rPr>
                      <w:kern w:val="0"/>
                      <w:szCs w:val="21"/>
                      <w:lang w:bidi="ar"/>
                    </w:rPr>
                    <w:t>90</w:t>
                  </w:r>
                </w:p>
              </w:tc>
              <w:tc>
                <w:tcPr>
                  <w:tcW w:w="808" w:type="pct"/>
                  <w:vMerge w:val="continue"/>
                  <w:tcBorders>
                    <w:tl2br w:val="nil"/>
                    <w:tr2bl w:val="nil"/>
                  </w:tcBorders>
                  <w:vAlign w:val="center"/>
                </w:tcPr>
                <w:p>
                  <w:pPr>
                    <w:autoSpaceDE w:val="0"/>
                    <w:autoSpaceDN w:val="0"/>
                    <w:adjustRightInd w:val="0"/>
                    <w:snapToGrid w:val="0"/>
                    <w:jc w:val="center"/>
                    <w:rPr>
                      <w:kern w:val="0"/>
                      <w:szCs w:val="21"/>
                      <w:lang w:bidi="ar"/>
                    </w:rPr>
                  </w:pPr>
                </w:p>
              </w:tc>
              <w:tc>
                <w:tcPr>
                  <w:tcW w:w="808" w:type="pct"/>
                  <w:tcBorders>
                    <w:tl2br w:val="nil"/>
                    <w:tr2bl w:val="nil"/>
                  </w:tcBorders>
                  <w:vAlign w:val="center"/>
                </w:tcPr>
                <w:p>
                  <w:pPr>
                    <w:widowControl/>
                    <w:jc w:val="center"/>
                    <w:textAlignment w:val="center"/>
                    <w:rPr>
                      <w:kern w:val="0"/>
                      <w:szCs w:val="21"/>
                      <w:lang w:bidi="ar"/>
                    </w:rPr>
                  </w:pPr>
                  <w:r>
                    <w:rPr>
                      <w:kern w:val="0"/>
                      <w:szCs w:val="21"/>
                      <w:lang w:bidi="ar"/>
                    </w:rPr>
                    <w:t>70</w:t>
                  </w:r>
                </w:p>
              </w:tc>
              <w:tc>
                <w:tcPr>
                  <w:tcW w:w="808" w:type="pct"/>
                  <w:vMerge w:val="continue"/>
                  <w:tcBorders>
                    <w:tl2br w:val="nil"/>
                    <w:tr2bl w:val="nil"/>
                  </w:tcBorders>
                  <w:vAlign w:val="center"/>
                </w:tcPr>
                <w:p>
                  <w:pPr>
                    <w:widowControl/>
                    <w:jc w:val="center"/>
                    <w:textAlignment w:val="center"/>
                    <w:rPr>
                      <w:kern w:val="0"/>
                      <w:szCs w:val="21"/>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jc w:val="center"/>
              </w:trPr>
              <w:tc>
                <w:tcPr>
                  <w:tcW w:w="1084" w:type="pct"/>
                  <w:tcBorders>
                    <w:tl2br w:val="nil"/>
                    <w:tr2bl w:val="nil"/>
                  </w:tcBorders>
                  <w:vAlign w:val="center"/>
                </w:tcPr>
                <w:p>
                  <w:pPr>
                    <w:jc w:val="center"/>
                    <w:rPr>
                      <w:szCs w:val="21"/>
                    </w:rPr>
                  </w:pPr>
                  <w:r>
                    <w:rPr>
                      <w:szCs w:val="21"/>
                    </w:rPr>
                    <w:t>提升机</w:t>
                  </w:r>
                </w:p>
              </w:tc>
              <w:tc>
                <w:tcPr>
                  <w:tcW w:w="681" w:type="pct"/>
                  <w:tcBorders>
                    <w:tl2br w:val="nil"/>
                    <w:tr2bl w:val="nil"/>
                  </w:tcBorders>
                  <w:vAlign w:val="center"/>
                </w:tcPr>
                <w:p>
                  <w:pPr>
                    <w:widowControl/>
                    <w:jc w:val="center"/>
                    <w:rPr>
                      <w:szCs w:val="21"/>
                    </w:rPr>
                  </w:pPr>
                  <w:r>
                    <w:rPr>
                      <w:szCs w:val="21"/>
                    </w:rPr>
                    <w:t>1</w:t>
                  </w:r>
                </w:p>
              </w:tc>
              <w:tc>
                <w:tcPr>
                  <w:tcW w:w="808" w:type="pct"/>
                  <w:tcBorders>
                    <w:tl2br w:val="nil"/>
                    <w:tr2bl w:val="nil"/>
                  </w:tcBorders>
                  <w:vAlign w:val="center"/>
                </w:tcPr>
                <w:p>
                  <w:pPr>
                    <w:widowControl/>
                    <w:jc w:val="center"/>
                    <w:textAlignment w:val="center"/>
                    <w:rPr>
                      <w:kern w:val="0"/>
                      <w:szCs w:val="21"/>
                      <w:lang w:bidi="ar"/>
                    </w:rPr>
                  </w:pPr>
                  <w:r>
                    <w:rPr>
                      <w:kern w:val="0"/>
                      <w:szCs w:val="21"/>
                      <w:lang w:bidi="ar"/>
                    </w:rPr>
                    <w:t>75</w:t>
                  </w:r>
                </w:p>
              </w:tc>
              <w:tc>
                <w:tcPr>
                  <w:tcW w:w="808" w:type="pct"/>
                  <w:vMerge w:val="continue"/>
                  <w:tcBorders>
                    <w:tl2br w:val="nil"/>
                    <w:tr2bl w:val="nil"/>
                  </w:tcBorders>
                  <w:vAlign w:val="center"/>
                </w:tcPr>
                <w:p>
                  <w:pPr>
                    <w:autoSpaceDE w:val="0"/>
                    <w:autoSpaceDN w:val="0"/>
                    <w:adjustRightInd w:val="0"/>
                    <w:snapToGrid w:val="0"/>
                    <w:jc w:val="center"/>
                    <w:rPr>
                      <w:kern w:val="0"/>
                      <w:szCs w:val="21"/>
                      <w:lang w:bidi="ar"/>
                    </w:rPr>
                  </w:pPr>
                </w:p>
              </w:tc>
              <w:tc>
                <w:tcPr>
                  <w:tcW w:w="808" w:type="pct"/>
                  <w:tcBorders>
                    <w:tl2br w:val="nil"/>
                    <w:tr2bl w:val="nil"/>
                  </w:tcBorders>
                  <w:vAlign w:val="center"/>
                </w:tcPr>
                <w:p>
                  <w:pPr>
                    <w:widowControl/>
                    <w:jc w:val="center"/>
                    <w:textAlignment w:val="center"/>
                    <w:rPr>
                      <w:kern w:val="0"/>
                      <w:szCs w:val="21"/>
                      <w:lang w:bidi="ar"/>
                    </w:rPr>
                  </w:pPr>
                  <w:r>
                    <w:rPr>
                      <w:kern w:val="0"/>
                      <w:szCs w:val="21"/>
                      <w:lang w:bidi="ar"/>
                    </w:rPr>
                    <w:t>55</w:t>
                  </w:r>
                </w:p>
              </w:tc>
              <w:tc>
                <w:tcPr>
                  <w:tcW w:w="808" w:type="pct"/>
                  <w:vMerge w:val="continue"/>
                  <w:tcBorders>
                    <w:tl2br w:val="nil"/>
                    <w:tr2bl w:val="nil"/>
                  </w:tcBorders>
                  <w:vAlign w:val="center"/>
                </w:tcPr>
                <w:p>
                  <w:pPr>
                    <w:widowControl/>
                    <w:jc w:val="center"/>
                    <w:textAlignment w:val="center"/>
                    <w:rPr>
                      <w:kern w:val="0"/>
                      <w:szCs w:val="21"/>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jc w:val="center"/>
              </w:trPr>
              <w:tc>
                <w:tcPr>
                  <w:tcW w:w="1084" w:type="pct"/>
                  <w:tcBorders>
                    <w:tl2br w:val="nil"/>
                    <w:tr2bl w:val="nil"/>
                  </w:tcBorders>
                  <w:vAlign w:val="center"/>
                </w:tcPr>
                <w:p>
                  <w:pPr>
                    <w:jc w:val="center"/>
                    <w:rPr>
                      <w:szCs w:val="21"/>
                    </w:rPr>
                  </w:pPr>
                  <w:r>
                    <w:rPr>
                      <w:szCs w:val="21"/>
                    </w:rPr>
                    <w:t>装载机</w:t>
                  </w:r>
                </w:p>
              </w:tc>
              <w:tc>
                <w:tcPr>
                  <w:tcW w:w="681" w:type="pct"/>
                  <w:tcBorders>
                    <w:tl2br w:val="nil"/>
                    <w:tr2bl w:val="nil"/>
                  </w:tcBorders>
                  <w:vAlign w:val="center"/>
                </w:tcPr>
                <w:p>
                  <w:pPr>
                    <w:widowControl/>
                    <w:jc w:val="center"/>
                    <w:rPr>
                      <w:szCs w:val="21"/>
                    </w:rPr>
                  </w:pPr>
                  <w:r>
                    <w:rPr>
                      <w:szCs w:val="21"/>
                    </w:rPr>
                    <w:t>1</w:t>
                  </w:r>
                </w:p>
              </w:tc>
              <w:tc>
                <w:tcPr>
                  <w:tcW w:w="808" w:type="pct"/>
                  <w:tcBorders>
                    <w:tl2br w:val="nil"/>
                    <w:tr2bl w:val="nil"/>
                  </w:tcBorders>
                  <w:vAlign w:val="center"/>
                </w:tcPr>
                <w:p>
                  <w:pPr>
                    <w:widowControl/>
                    <w:jc w:val="center"/>
                    <w:textAlignment w:val="center"/>
                    <w:rPr>
                      <w:kern w:val="0"/>
                      <w:szCs w:val="21"/>
                      <w:lang w:bidi="ar"/>
                    </w:rPr>
                  </w:pPr>
                  <w:r>
                    <w:rPr>
                      <w:kern w:val="0"/>
                      <w:szCs w:val="21"/>
                      <w:lang w:bidi="ar"/>
                    </w:rPr>
                    <w:t>90</w:t>
                  </w:r>
                </w:p>
              </w:tc>
              <w:tc>
                <w:tcPr>
                  <w:tcW w:w="808" w:type="pct"/>
                  <w:vMerge w:val="continue"/>
                  <w:tcBorders>
                    <w:tl2br w:val="nil"/>
                    <w:tr2bl w:val="nil"/>
                  </w:tcBorders>
                  <w:vAlign w:val="center"/>
                </w:tcPr>
                <w:p>
                  <w:pPr>
                    <w:autoSpaceDE w:val="0"/>
                    <w:autoSpaceDN w:val="0"/>
                    <w:adjustRightInd w:val="0"/>
                    <w:snapToGrid w:val="0"/>
                    <w:jc w:val="center"/>
                    <w:rPr>
                      <w:kern w:val="0"/>
                      <w:szCs w:val="21"/>
                      <w:lang w:bidi="ar"/>
                    </w:rPr>
                  </w:pPr>
                </w:p>
              </w:tc>
              <w:tc>
                <w:tcPr>
                  <w:tcW w:w="808" w:type="pct"/>
                  <w:tcBorders>
                    <w:tl2br w:val="nil"/>
                    <w:tr2bl w:val="nil"/>
                  </w:tcBorders>
                  <w:vAlign w:val="center"/>
                </w:tcPr>
                <w:p>
                  <w:pPr>
                    <w:widowControl/>
                    <w:jc w:val="center"/>
                    <w:textAlignment w:val="center"/>
                    <w:rPr>
                      <w:kern w:val="0"/>
                      <w:szCs w:val="21"/>
                      <w:lang w:bidi="ar"/>
                    </w:rPr>
                  </w:pPr>
                  <w:r>
                    <w:rPr>
                      <w:kern w:val="0"/>
                      <w:szCs w:val="21"/>
                      <w:lang w:bidi="ar"/>
                    </w:rPr>
                    <w:t>70</w:t>
                  </w:r>
                </w:p>
              </w:tc>
              <w:tc>
                <w:tcPr>
                  <w:tcW w:w="808" w:type="pct"/>
                  <w:vMerge w:val="continue"/>
                  <w:tcBorders>
                    <w:tl2br w:val="nil"/>
                    <w:tr2bl w:val="nil"/>
                  </w:tcBorders>
                  <w:vAlign w:val="center"/>
                </w:tcPr>
                <w:p>
                  <w:pPr>
                    <w:widowControl/>
                    <w:jc w:val="center"/>
                    <w:textAlignment w:val="center"/>
                    <w:rPr>
                      <w:kern w:val="0"/>
                      <w:szCs w:val="21"/>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jc w:val="center"/>
              </w:trPr>
              <w:tc>
                <w:tcPr>
                  <w:tcW w:w="1084" w:type="pct"/>
                  <w:tcBorders>
                    <w:tl2br w:val="nil"/>
                    <w:tr2bl w:val="nil"/>
                  </w:tcBorders>
                  <w:vAlign w:val="center"/>
                </w:tcPr>
                <w:p>
                  <w:pPr>
                    <w:jc w:val="center"/>
                    <w:rPr>
                      <w:szCs w:val="21"/>
                    </w:rPr>
                  </w:pPr>
                  <w:r>
                    <w:rPr>
                      <w:szCs w:val="21"/>
                    </w:rPr>
                    <w:t>风机</w:t>
                  </w:r>
                </w:p>
              </w:tc>
              <w:tc>
                <w:tcPr>
                  <w:tcW w:w="681" w:type="pct"/>
                  <w:tcBorders>
                    <w:tl2br w:val="nil"/>
                    <w:tr2bl w:val="nil"/>
                  </w:tcBorders>
                  <w:vAlign w:val="center"/>
                </w:tcPr>
                <w:p>
                  <w:pPr>
                    <w:widowControl/>
                    <w:jc w:val="center"/>
                    <w:rPr>
                      <w:szCs w:val="21"/>
                    </w:rPr>
                  </w:pPr>
                  <w:r>
                    <w:rPr>
                      <w:szCs w:val="21"/>
                    </w:rPr>
                    <w:t>2</w:t>
                  </w:r>
                </w:p>
              </w:tc>
              <w:tc>
                <w:tcPr>
                  <w:tcW w:w="808" w:type="pct"/>
                  <w:tcBorders>
                    <w:tl2br w:val="nil"/>
                    <w:tr2bl w:val="nil"/>
                  </w:tcBorders>
                  <w:vAlign w:val="center"/>
                </w:tcPr>
                <w:p>
                  <w:pPr>
                    <w:widowControl/>
                    <w:jc w:val="center"/>
                    <w:textAlignment w:val="center"/>
                    <w:rPr>
                      <w:kern w:val="0"/>
                      <w:szCs w:val="21"/>
                      <w:lang w:bidi="ar"/>
                    </w:rPr>
                  </w:pPr>
                  <w:r>
                    <w:rPr>
                      <w:kern w:val="0"/>
                      <w:szCs w:val="21"/>
                      <w:lang w:bidi="ar"/>
                    </w:rPr>
                    <w:t>90</w:t>
                  </w:r>
                </w:p>
              </w:tc>
              <w:tc>
                <w:tcPr>
                  <w:tcW w:w="808" w:type="pct"/>
                  <w:vMerge w:val="continue"/>
                  <w:tcBorders>
                    <w:tl2br w:val="nil"/>
                    <w:tr2bl w:val="nil"/>
                  </w:tcBorders>
                  <w:vAlign w:val="center"/>
                </w:tcPr>
                <w:p>
                  <w:pPr>
                    <w:autoSpaceDE w:val="0"/>
                    <w:autoSpaceDN w:val="0"/>
                    <w:adjustRightInd w:val="0"/>
                    <w:snapToGrid w:val="0"/>
                    <w:jc w:val="center"/>
                    <w:rPr>
                      <w:kern w:val="0"/>
                      <w:szCs w:val="21"/>
                      <w:lang w:bidi="ar"/>
                    </w:rPr>
                  </w:pPr>
                </w:p>
              </w:tc>
              <w:tc>
                <w:tcPr>
                  <w:tcW w:w="808" w:type="pct"/>
                  <w:tcBorders>
                    <w:tl2br w:val="nil"/>
                    <w:tr2bl w:val="nil"/>
                  </w:tcBorders>
                  <w:vAlign w:val="center"/>
                </w:tcPr>
                <w:p>
                  <w:pPr>
                    <w:widowControl/>
                    <w:jc w:val="center"/>
                    <w:textAlignment w:val="center"/>
                    <w:rPr>
                      <w:kern w:val="0"/>
                      <w:szCs w:val="21"/>
                      <w:lang w:bidi="ar"/>
                    </w:rPr>
                  </w:pPr>
                  <w:r>
                    <w:rPr>
                      <w:kern w:val="0"/>
                      <w:szCs w:val="21"/>
                      <w:lang w:bidi="ar"/>
                    </w:rPr>
                    <w:t>70</w:t>
                  </w:r>
                </w:p>
              </w:tc>
              <w:tc>
                <w:tcPr>
                  <w:tcW w:w="808" w:type="pct"/>
                  <w:vMerge w:val="continue"/>
                  <w:tcBorders>
                    <w:tl2br w:val="nil"/>
                    <w:tr2bl w:val="nil"/>
                  </w:tcBorders>
                  <w:vAlign w:val="center"/>
                </w:tcPr>
                <w:p>
                  <w:pPr>
                    <w:widowControl/>
                    <w:jc w:val="center"/>
                    <w:textAlignment w:val="center"/>
                    <w:rPr>
                      <w:kern w:val="0"/>
                      <w:szCs w:val="21"/>
                      <w:lang w:bidi="ar"/>
                    </w:rPr>
                  </w:pPr>
                </w:p>
              </w:tc>
            </w:tr>
          </w:tbl>
          <w:p>
            <w:pPr>
              <w:widowControl/>
              <w:adjustRightInd w:val="0"/>
              <w:snapToGrid w:val="0"/>
              <w:spacing w:before="156" w:beforeLines="50" w:line="360" w:lineRule="auto"/>
              <w:ind w:firstLine="482" w:firstLineChars="200"/>
              <w:rPr>
                <w:b/>
                <w:bCs/>
                <w:sz w:val="24"/>
              </w:rPr>
            </w:pPr>
            <w:r>
              <w:rPr>
                <w:b/>
                <w:bCs/>
                <w:sz w:val="24"/>
              </w:rPr>
              <w:t>1、噪声影响预测分析</w:t>
            </w:r>
          </w:p>
          <w:p>
            <w:pPr>
              <w:adjustRightInd w:val="0"/>
              <w:snapToGrid w:val="0"/>
              <w:spacing w:line="360" w:lineRule="auto"/>
              <w:ind w:firstLine="480" w:firstLineChars="200"/>
              <w:rPr>
                <w:bCs/>
                <w:sz w:val="24"/>
              </w:rPr>
            </w:pPr>
            <w:r>
              <w:rPr>
                <w:bCs/>
                <w:sz w:val="24"/>
              </w:rPr>
              <w:t>采用“环境影响评价技术导则—声环境”（HJ2.4-2021）中推荐模式对厂界噪声进行预测。</w:t>
            </w:r>
          </w:p>
          <w:p>
            <w:pPr>
              <w:snapToGrid w:val="0"/>
              <w:spacing w:line="360" w:lineRule="auto"/>
              <w:ind w:firstLine="480" w:firstLineChars="200"/>
              <w:rPr>
                <w:sz w:val="24"/>
              </w:rPr>
            </w:pPr>
            <w:r>
              <w:rPr>
                <w:sz w:val="24"/>
              </w:rPr>
              <w:t>（1）室内声源等效为室外声源的计算</w:t>
            </w:r>
          </w:p>
          <w:p>
            <w:pPr>
              <w:snapToGrid w:val="0"/>
              <w:spacing w:line="360" w:lineRule="auto"/>
              <w:ind w:firstLine="480" w:firstLineChars="200"/>
              <w:rPr>
                <w:sz w:val="24"/>
              </w:rPr>
            </w:pPr>
            <w:r>
              <w:rPr>
                <w:sz w:val="24"/>
              </w:rPr>
              <w:t>①首先计算出某个室内靠近围护结构处的倍频带声压级</w:t>
            </w:r>
          </w:p>
          <w:p>
            <w:pPr>
              <w:snapToGrid w:val="0"/>
              <w:spacing w:line="360" w:lineRule="auto"/>
              <w:ind w:firstLine="480" w:firstLineChars="200"/>
              <w:jc w:val="center"/>
              <w:rPr>
                <w:sz w:val="24"/>
              </w:rPr>
            </w:pPr>
            <w:r>
              <w:rPr>
                <w:sz w:val="24"/>
              </w:rPr>
              <w:drawing>
                <wp:inline distT="0" distB="0" distL="114300" distR="114300">
                  <wp:extent cx="1704975" cy="428625"/>
                  <wp:effectExtent l="0" t="0" r="9525" b="889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5"/>
                          <a:stretch>
                            <a:fillRect/>
                          </a:stretch>
                        </pic:blipFill>
                        <pic:spPr>
                          <a:xfrm>
                            <a:off x="0" y="0"/>
                            <a:ext cx="1704975" cy="428625"/>
                          </a:xfrm>
                          <a:prstGeom prst="rect">
                            <a:avLst/>
                          </a:prstGeom>
                          <a:noFill/>
                          <a:ln>
                            <a:noFill/>
                          </a:ln>
                        </pic:spPr>
                      </pic:pic>
                    </a:graphicData>
                  </a:graphic>
                </wp:inline>
              </w:drawing>
            </w:r>
          </w:p>
          <w:p>
            <w:pPr>
              <w:snapToGrid w:val="0"/>
              <w:spacing w:line="360" w:lineRule="auto"/>
              <w:ind w:firstLine="480" w:firstLineChars="200"/>
              <w:rPr>
                <w:sz w:val="24"/>
              </w:rPr>
            </w:pPr>
            <w:r>
              <w:rPr>
                <w:sz w:val="24"/>
              </w:rPr>
              <w:t>式中：</w:t>
            </w:r>
          </w:p>
          <w:p>
            <w:pPr>
              <w:snapToGrid w:val="0"/>
              <w:spacing w:line="360" w:lineRule="auto"/>
              <w:ind w:firstLine="480" w:firstLineChars="200"/>
              <w:rPr>
                <w:sz w:val="24"/>
              </w:rPr>
            </w:pPr>
            <w:r>
              <w:rPr>
                <w:sz w:val="24"/>
              </w:rPr>
              <w:t>L</w:t>
            </w:r>
            <w:r>
              <w:rPr>
                <w:sz w:val="24"/>
                <w:vertAlign w:val="subscript"/>
              </w:rPr>
              <w:t>P1</w:t>
            </w:r>
            <w:r>
              <w:rPr>
                <w:sz w:val="24"/>
              </w:rPr>
              <w:t>—某个室内声源在靠近围护结构处产生的倍频带声压级；</w:t>
            </w:r>
          </w:p>
          <w:p>
            <w:pPr>
              <w:snapToGrid w:val="0"/>
              <w:spacing w:line="360" w:lineRule="auto"/>
              <w:ind w:firstLine="480" w:firstLineChars="200"/>
              <w:rPr>
                <w:sz w:val="24"/>
              </w:rPr>
            </w:pPr>
            <w:r>
              <w:rPr>
                <w:sz w:val="24"/>
              </w:rPr>
              <w:t>L</w:t>
            </w:r>
            <w:r>
              <w:rPr>
                <w:sz w:val="24"/>
                <w:vertAlign w:val="subscript"/>
              </w:rPr>
              <w:t>w</w:t>
            </w:r>
            <w:r>
              <w:rPr>
                <w:sz w:val="24"/>
              </w:rPr>
              <w:t>—某个声源的倍频带声功率级，dB（A）；</w:t>
            </w:r>
          </w:p>
          <w:p>
            <w:pPr>
              <w:snapToGrid w:val="0"/>
              <w:spacing w:line="360" w:lineRule="auto"/>
              <w:ind w:firstLine="480" w:firstLineChars="200"/>
              <w:rPr>
                <w:sz w:val="24"/>
              </w:rPr>
            </w:pPr>
            <w:r>
              <w:rPr>
                <w:sz w:val="24"/>
              </w:rPr>
              <w:t>r—某个声源与靠近围护结构处的距离，m；</w:t>
            </w:r>
          </w:p>
          <w:p>
            <w:pPr>
              <w:snapToGrid w:val="0"/>
              <w:spacing w:line="360" w:lineRule="auto"/>
              <w:ind w:firstLine="480" w:firstLineChars="200"/>
              <w:rPr>
                <w:sz w:val="24"/>
              </w:rPr>
            </w:pPr>
            <w:r>
              <w:rPr>
                <w:sz w:val="24"/>
              </w:rPr>
              <w:t>R—房间常数，R=Sα/（1-α），S为房间内表面面积，m</w:t>
            </w:r>
            <w:r>
              <w:rPr>
                <w:sz w:val="24"/>
                <w:vertAlign w:val="superscript"/>
              </w:rPr>
              <w:t>2</w:t>
            </w:r>
            <w:r>
              <w:rPr>
                <w:sz w:val="24"/>
              </w:rPr>
              <w:t>；α为平均吸声系数；</w:t>
            </w:r>
          </w:p>
          <w:p>
            <w:pPr>
              <w:snapToGrid w:val="0"/>
              <w:spacing w:line="360" w:lineRule="auto"/>
              <w:ind w:firstLine="480" w:firstLineChars="200"/>
              <w:rPr>
                <w:sz w:val="24"/>
              </w:rPr>
            </w:pPr>
            <w:r>
              <w:rPr>
                <w:sz w:val="24"/>
              </w:rPr>
              <w:t>Q—指向性因子，通常对无指向性声源，当声源贩子房间中心时，Q=1；当放在一面墙的中心时，Q=2；当放在两面墙夹角处时，Q=4；当放在三面墙夹角处时，Q=8；</w:t>
            </w:r>
          </w:p>
          <w:p>
            <w:pPr>
              <w:snapToGrid w:val="0"/>
              <w:spacing w:line="360" w:lineRule="auto"/>
              <w:ind w:firstLine="480" w:firstLineChars="200"/>
              <w:rPr>
                <w:sz w:val="24"/>
              </w:rPr>
            </w:pPr>
            <w:r>
              <w:rPr>
                <w:sz w:val="24"/>
              </w:rPr>
              <w:t>②计算出所有室内声源在围护结构处产生的i倍频带叠加声压级</w:t>
            </w:r>
          </w:p>
          <w:p>
            <w:pPr>
              <w:pStyle w:val="12"/>
              <w:snapToGrid w:val="0"/>
              <w:spacing w:before="0" w:after="0" w:line="360" w:lineRule="auto"/>
              <w:ind w:firstLine="480" w:firstLineChars="200"/>
              <w:rPr>
                <w:rFonts w:ascii="Times New Roman" w:hAnsi="Times New Roman" w:eastAsia="宋体"/>
                <w:color w:val="auto"/>
                <w:sz w:val="24"/>
                <w:szCs w:val="24"/>
              </w:rPr>
            </w:pPr>
            <w:r>
              <w:rPr>
                <w:rFonts w:ascii="Times New Roman" w:hAnsi="Times New Roman"/>
                <w:color w:val="auto"/>
                <w:sz w:val="24"/>
                <w:szCs w:val="22"/>
              </w:rPr>
              <w:drawing>
                <wp:anchor distT="0" distB="0" distL="114300" distR="114300" simplePos="0" relativeHeight="251661312" behindDoc="0" locked="0" layoutInCell="1" allowOverlap="1">
                  <wp:simplePos x="0" y="0"/>
                  <wp:positionH relativeFrom="column">
                    <wp:posOffset>1557655</wp:posOffset>
                  </wp:positionH>
                  <wp:positionV relativeFrom="paragraph">
                    <wp:posOffset>46990</wp:posOffset>
                  </wp:positionV>
                  <wp:extent cx="1638300" cy="485775"/>
                  <wp:effectExtent l="0" t="0" r="0" b="889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1638300" cy="485775"/>
                          </a:xfrm>
                          <a:prstGeom prst="rect">
                            <a:avLst/>
                          </a:prstGeom>
                          <a:noFill/>
                          <a:ln>
                            <a:noFill/>
                          </a:ln>
                        </pic:spPr>
                      </pic:pic>
                    </a:graphicData>
                  </a:graphic>
                </wp:anchor>
              </w:drawing>
            </w:r>
          </w:p>
          <w:p>
            <w:pPr>
              <w:snapToGrid w:val="0"/>
              <w:spacing w:line="360" w:lineRule="auto"/>
              <w:ind w:firstLine="480" w:firstLineChars="200"/>
              <w:rPr>
                <w:sz w:val="24"/>
              </w:rPr>
            </w:pPr>
          </w:p>
          <w:p>
            <w:pPr>
              <w:snapToGrid w:val="0"/>
              <w:spacing w:line="360" w:lineRule="auto"/>
              <w:ind w:firstLine="480" w:firstLineChars="200"/>
              <w:rPr>
                <w:sz w:val="24"/>
              </w:rPr>
            </w:pPr>
          </w:p>
          <w:p>
            <w:pPr>
              <w:snapToGrid w:val="0"/>
              <w:spacing w:line="360" w:lineRule="auto"/>
              <w:ind w:firstLine="480" w:firstLineChars="200"/>
              <w:rPr>
                <w:sz w:val="24"/>
              </w:rPr>
            </w:pPr>
            <w:r>
              <w:rPr>
                <w:sz w:val="24"/>
              </w:rPr>
              <w:t>式中：L</w:t>
            </w:r>
            <w:r>
              <w:rPr>
                <w:sz w:val="24"/>
                <w:vertAlign w:val="subscript"/>
              </w:rPr>
              <w:t>P1i</w:t>
            </w:r>
            <w:r>
              <w:rPr>
                <w:sz w:val="24"/>
              </w:rPr>
              <w:t>（T）—靠近围护结构处N个室内声源产生的i倍频带的叠加声压级，dB（A）；</w:t>
            </w:r>
          </w:p>
          <w:p>
            <w:pPr>
              <w:snapToGrid w:val="0"/>
              <w:spacing w:line="360" w:lineRule="auto"/>
              <w:ind w:firstLine="480" w:firstLineChars="200"/>
              <w:rPr>
                <w:sz w:val="24"/>
              </w:rPr>
            </w:pPr>
            <w:r>
              <w:rPr>
                <w:sz w:val="24"/>
              </w:rPr>
              <w:t>L</w:t>
            </w:r>
            <w:r>
              <w:rPr>
                <w:sz w:val="24"/>
                <w:vertAlign w:val="subscript"/>
              </w:rPr>
              <w:t>P1ij</w:t>
            </w:r>
            <w:r>
              <w:rPr>
                <w:sz w:val="24"/>
              </w:rPr>
              <w:t>—室内j声源i倍频带的声压级，dB（A）；</w:t>
            </w:r>
          </w:p>
          <w:p>
            <w:pPr>
              <w:snapToGrid w:val="0"/>
              <w:spacing w:line="360" w:lineRule="auto"/>
              <w:ind w:firstLine="480" w:firstLineChars="200"/>
              <w:rPr>
                <w:sz w:val="24"/>
              </w:rPr>
            </w:pPr>
            <w:r>
              <w:rPr>
                <w:sz w:val="24"/>
              </w:rPr>
              <w:t>N—室内声源总数；</w:t>
            </w:r>
          </w:p>
          <w:p>
            <w:pPr>
              <w:snapToGrid w:val="0"/>
              <w:spacing w:line="360" w:lineRule="auto"/>
              <w:ind w:firstLine="480" w:firstLineChars="200"/>
              <w:rPr>
                <w:sz w:val="24"/>
              </w:rPr>
            </w:pPr>
            <w:r>
              <w:rPr>
                <w:sz w:val="24"/>
              </w:rPr>
              <w:t>③计算出室外靠近围护结构处的声压级</w:t>
            </w:r>
          </w:p>
          <w:p>
            <w:pPr>
              <w:snapToGrid w:val="0"/>
              <w:spacing w:line="360" w:lineRule="auto"/>
              <w:ind w:firstLine="480" w:firstLineChars="200"/>
              <w:jc w:val="center"/>
              <w:rPr>
                <w:sz w:val="24"/>
              </w:rPr>
            </w:pPr>
            <w:r>
              <w:rPr>
                <w:sz w:val="24"/>
              </w:rPr>
              <w:drawing>
                <wp:inline distT="0" distB="0" distL="114300" distR="114300">
                  <wp:extent cx="1685925" cy="228600"/>
                  <wp:effectExtent l="0" t="0" r="9525" b="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7"/>
                          <a:stretch>
                            <a:fillRect/>
                          </a:stretch>
                        </pic:blipFill>
                        <pic:spPr>
                          <a:xfrm>
                            <a:off x="0" y="0"/>
                            <a:ext cx="1685925" cy="228600"/>
                          </a:xfrm>
                          <a:prstGeom prst="rect">
                            <a:avLst/>
                          </a:prstGeom>
                          <a:noFill/>
                          <a:ln>
                            <a:noFill/>
                          </a:ln>
                        </pic:spPr>
                      </pic:pic>
                    </a:graphicData>
                  </a:graphic>
                </wp:inline>
              </w:drawing>
            </w:r>
          </w:p>
          <w:p>
            <w:pPr>
              <w:snapToGrid w:val="0"/>
              <w:spacing w:line="360" w:lineRule="auto"/>
              <w:ind w:firstLine="480" w:firstLineChars="200"/>
              <w:rPr>
                <w:sz w:val="24"/>
              </w:rPr>
            </w:pPr>
            <w:r>
              <w:rPr>
                <w:sz w:val="24"/>
              </w:rPr>
              <w:t>式中：L</w:t>
            </w:r>
            <w:r>
              <w:rPr>
                <w:sz w:val="24"/>
                <w:vertAlign w:val="subscript"/>
              </w:rPr>
              <w:t>P2i</w:t>
            </w:r>
            <w:r>
              <w:rPr>
                <w:sz w:val="24"/>
              </w:rPr>
              <w:t>（T）—靠近围护结构处N个室外声源产生的i倍频带的叠加声压级，dB（A）；</w:t>
            </w:r>
            <w:bookmarkStart w:id="3" w:name="_Toc458177329"/>
          </w:p>
          <w:p>
            <w:pPr>
              <w:snapToGrid w:val="0"/>
              <w:spacing w:line="360" w:lineRule="auto"/>
              <w:ind w:firstLine="480" w:firstLineChars="200"/>
              <w:rPr>
                <w:sz w:val="24"/>
              </w:rPr>
            </w:pPr>
            <w:r>
              <w:rPr>
                <w:sz w:val="24"/>
              </w:rPr>
              <w:t>TLi—围护结构i倍频带的隔声量，dB（A）；</w:t>
            </w:r>
            <w:bookmarkEnd w:id="3"/>
          </w:p>
          <w:p>
            <w:pPr>
              <w:snapToGrid w:val="0"/>
              <w:spacing w:line="360" w:lineRule="auto"/>
              <w:ind w:firstLine="480" w:firstLineChars="200"/>
              <w:rPr>
                <w:sz w:val="24"/>
              </w:rPr>
            </w:pPr>
            <w:r>
              <w:rPr>
                <w:sz w:val="24"/>
              </w:rPr>
              <w:t>④将室外声源的声压级和透声面积换算成等效的室外声源，计算出中心位置位于透声面积（S）处的等效声源的倍频带声功率级</w:t>
            </w:r>
          </w:p>
          <w:p>
            <w:pPr>
              <w:snapToGrid w:val="0"/>
              <w:spacing w:line="360" w:lineRule="auto"/>
              <w:ind w:firstLine="480" w:firstLineChars="200"/>
              <w:jc w:val="center"/>
              <w:rPr>
                <w:sz w:val="24"/>
              </w:rPr>
            </w:pPr>
            <w:r>
              <w:rPr>
                <w:sz w:val="24"/>
              </w:rPr>
              <w:drawing>
                <wp:inline distT="0" distB="0" distL="114300" distR="114300">
                  <wp:extent cx="1285875" cy="228600"/>
                  <wp:effectExtent l="0" t="0" r="9525"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8"/>
                          <a:stretch>
                            <a:fillRect/>
                          </a:stretch>
                        </pic:blipFill>
                        <pic:spPr>
                          <a:xfrm>
                            <a:off x="0" y="0"/>
                            <a:ext cx="1285875" cy="228600"/>
                          </a:xfrm>
                          <a:prstGeom prst="rect">
                            <a:avLst/>
                          </a:prstGeom>
                          <a:noFill/>
                          <a:ln>
                            <a:noFill/>
                          </a:ln>
                        </pic:spPr>
                      </pic:pic>
                    </a:graphicData>
                  </a:graphic>
                </wp:inline>
              </w:drawing>
            </w:r>
          </w:p>
          <w:p>
            <w:pPr>
              <w:snapToGrid w:val="0"/>
              <w:spacing w:line="360" w:lineRule="auto"/>
              <w:ind w:firstLine="480" w:firstLineChars="200"/>
              <w:rPr>
                <w:sz w:val="24"/>
              </w:rPr>
            </w:pPr>
            <w:r>
              <w:rPr>
                <w:sz w:val="24"/>
              </w:rPr>
              <w:t>式中：S—透声面积，m</w:t>
            </w:r>
            <w:r>
              <w:rPr>
                <w:sz w:val="24"/>
                <w:vertAlign w:val="superscript"/>
              </w:rPr>
              <w:t>2</w:t>
            </w:r>
            <w:r>
              <w:rPr>
                <w:sz w:val="24"/>
              </w:rPr>
              <w:t>。</w:t>
            </w:r>
          </w:p>
          <w:p>
            <w:pPr>
              <w:snapToGrid w:val="0"/>
              <w:spacing w:line="360" w:lineRule="auto"/>
              <w:ind w:firstLine="480" w:firstLineChars="200"/>
              <w:rPr>
                <w:sz w:val="24"/>
              </w:rPr>
            </w:pPr>
            <w:r>
              <w:rPr>
                <w:sz w:val="24"/>
              </w:rPr>
              <w:t>⑤然后按照室外声源预测方法计算预测点处的A声级。</w:t>
            </w:r>
          </w:p>
          <w:p>
            <w:pPr>
              <w:snapToGrid w:val="0"/>
              <w:spacing w:line="360" w:lineRule="auto"/>
              <w:ind w:firstLine="480" w:firstLineChars="200"/>
              <w:rPr>
                <w:b/>
                <w:sz w:val="24"/>
              </w:rPr>
            </w:pPr>
            <w:r>
              <w:rPr>
                <w:sz w:val="24"/>
              </w:rPr>
              <w:t>（2）参数的确定</w:t>
            </w:r>
          </w:p>
          <w:p>
            <w:pPr>
              <w:snapToGrid w:val="0"/>
              <w:spacing w:line="360" w:lineRule="auto"/>
              <w:ind w:firstLine="480" w:firstLineChars="200"/>
              <w:rPr>
                <w:sz w:val="24"/>
              </w:rPr>
            </w:pPr>
            <w:r>
              <w:rPr>
                <w:sz w:val="24"/>
              </w:rPr>
              <w:t>①声波几何发散引起的A声级衰减量（工业噪声源）：</w:t>
            </w:r>
          </w:p>
          <w:p>
            <w:pPr>
              <w:snapToGrid w:val="0"/>
              <w:spacing w:line="360" w:lineRule="auto"/>
              <w:ind w:firstLine="480" w:firstLineChars="200"/>
              <w:rPr>
                <w:sz w:val="24"/>
              </w:rPr>
            </w:pPr>
            <w:r>
              <w:rPr>
                <w:sz w:val="24"/>
              </w:rPr>
              <w:t>a、点声源      A</w:t>
            </w:r>
            <w:r>
              <w:rPr>
                <w:sz w:val="24"/>
                <w:vertAlign w:val="subscript"/>
              </w:rPr>
              <w:t>div</w:t>
            </w:r>
            <w:r>
              <w:rPr>
                <w:sz w:val="24"/>
              </w:rPr>
              <w:t>＝20Lg（r/r</w:t>
            </w:r>
            <w:r>
              <w:rPr>
                <w:sz w:val="24"/>
                <w:vertAlign w:val="subscript"/>
              </w:rPr>
              <w:t>o</w:t>
            </w:r>
            <w:r>
              <w:rPr>
                <w:sz w:val="24"/>
              </w:rPr>
              <w:t>）</w:t>
            </w:r>
          </w:p>
          <w:p>
            <w:pPr>
              <w:snapToGrid w:val="0"/>
              <w:spacing w:line="360" w:lineRule="auto"/>
              <w:ind w:firstLine="480" w:firstLineChars="200"/>
              <w:rPr>
                <w:sz w:val="24"/>
              </w:rPr>
            </w:pPr>
            <w:r>
              <w:rPr>
                <w:sz w:val="24"/>
              </w:rPr>
              <w:t>b、有限长（L</w:t>
            </w:r>
            <w:r>
              <w:rPr>
                <w:sz w:val="24"/>
                <w:vertAlign w:val="subscript"/>
              </w:rPr>
              <w:t>o</w:t>
            </w:r>
            <w:r>
              <w:rPr>
                <w:sz w:val="24"/>
              </w:rPr>
              <w:t>）线声源</w:t>
            </w:r>
          </w:p>
          <w:p>
            <w:pPr>
              <w:snapToGrid w:val="0"/>
              <w:spacing w:line="360" w:lineRule="auto"/>
              <w:ind w:firstLine="480" w:firstLineChars="200"/>
              <w:rPr>
                <w:sz w:val="24"/>
              </w:rPr>
            </w:pPr>
            <w:r>
              <w:rPr>
                <w:sz w:val="24"/>
              </w:rPr>
              <w:t>当r＞L</w:t>
            </w:r>
            <w:r>
              <w:rPr>
                <w:sz w:val="24"/>
                <w:vertAlign w:val="subscript"/>
              </w:rPr>
              <w:t>o</w:t>
            </w:r>
            <w:r>
              <w:rPr>
                <w:sz w:val="24"/>
              </w:rPr>
              <w:t>且r</w:t>
            </w:r>
            <w:r>
              <w:rPr>
                <w:sz w:val="24"/>
                <w:vertAlign w:val="subscript"/>
              </w:rPr>
              <w:t>o</w:t>
            </w:r>
            <w:r>
              <w:rPr>
                <w:sz w:val="24"/>
              </w:rPr>
              <w:t>＞L</w:t>
            </w:r>
            <w:r>
              <w:rPr>
                <w:sz w:val="24"/>
                <w:vertAlign w:val="subscript"/>
              </w:rPr>
              <w:t>o</w:t>
            </w:r>
            <w:r>
              <w:rPr>
                <w:sz w:val="24"/>
              </w:rPr>
              <w:t>时               A</w:t>
            </w:r>
            <w:r>
              <w:rPr>
                <w:sz w:val="24"/>
                <w:vertAlign w:val="subscript"/>
              </w:rPr>
              <w:t>div</w:t>
            </w:r>
            <w:r>
              <w:rPr>
                <w:sz w:val="24"/>
              </w:rPr>
              <w:t>＝20lg（r/r</w:t>
            </w:r>
            <w:r>
              <w:rPr>
                <w:sz w:val="24"/>
                <w:vertAlign w:val="subscript"/>
              </w:rPr>
              <w:t>o</w:t>
            </w:r>
            <w:r>
              <w:rPr>
                <w:sz w:val="24"/>
              </w:rPr>
              <w:t>）</w:t>
            </w:r>
          </w:p>
          <w:p>
            <w:pPr>
              <w:snapToGrid w:val="0"/>
              <w:spacing w:line="360" w:lineRule="auto"/>
              <w:ind w:firstLine="480" w:firstLineChars="200"/>
              <w:rPr>
                <w:sz w:val="24"/>
              </w:rPr>
            </w:pPr>
            <w:r>
              <w:rPr>
                <w:sz w:val="24"/>
              </w:rPr>
              <w:t>当r＜L</w:t>
            </w:r>
            <w:r>
              <w:rPr>
                <w:sz w:val="24"/>
                <w:vertAlign w:val="subscript"/>
              </w:rPr>
              <w:t>o</w:t>
            </w:r>
            <w:r>
              <w:rPr>
                <w:sz w:val="24"/>
              </w:rPr>
              <w:t>/3且r</w:t>
            </w:r>
            <w:r>
              <w:rPr>
                <w:sz w:val="24"/>
                <w:vertAlign w:val="subscript"/>
              </w:rPr>
              <w:t>o</w:t>
            </w:r>
            <w:r>
              <w:rPr>
                <w:sz w:val="24"/>
              </w:rPr>
              <w:t>＜L</w:t>
            </w:r>
            <w:r>
              <w:rPr>
                <w:sz w:val="24"/>
                <w:vertAlign w:val="subscript"/>
              </w:rPr>
              <w:t>o</w:t>
            </w:r>
            <w:r>
              <w:rPr>
                <w:sz w:val="24"/>
              </w:rPr>
              <w:t>/3时           A</w:t>
            </w:r>
            <w:r>
              <w:rPr>
                <w:sz w:val="24"/>
                <w:vertAlign w:val="subscript"/>
              </w:rPr>
              <w:t>div</w:t>
            </w:r>
            <w:r>
              <w:rPr>
                <w:sz w:val="24"/>
              </w:rPr>
              <w:t>＝10lg（r/r</w:t>
            </w:r>
            <w:r>
              <w:rPr>
                <w:sz w:val="24"/>
                <w:vertAlign w:val="subscript"/>
              </w:rPr>
              <w:t>o</w:t>
            </w:r>
            <w:r>
              <w:rPr>
                <w:sz w:val="24"/>
              </w:rPr>
              <w:t>）</w:t>
            </w:r>
          </w:p>
          <w:p>
            <w:pPr>
              <w:snapToGrid w:val="0"/>
              <w:spacing w:line="360" w:lineRule="auto"/>
              <w:ind w:firstLine="480" w:firstLineChars="200"/>
              <w:rPr>
                <w:sz w:val="24"/>
              </w:rPr>
            </w:pPr>
            <w:r>
              <w:rPr>
                <w:sz w:val="24"/>
              </w:rPr>
              <w:t>当L</w:t>
            </w:r>
            <w:r>
              <w:rPr>
                <w:sz w:val="24"/>
                <w:vertAlign w:val="subscript"/>
              </w:rPr>
              <w:t>o</w:t>
            </w:r>
            <w:r>
              <w:rPr>
                <w:sz w:val="24"/>
              </w:rPr>
              <w:t>/3＜r＜L</w:t>
            </w:r>
            <w:r>
              <w:rPr>
                <w:sz w:val="24"/>
                <w:vertAlign w:val="subscript"/>
              </w:rPr>
              <w:t>o</w:t>
            </w:r>
            <w:r>
              <w:rPr>
                <w:sz w:val="24"/>
              </w:rPr>
              <w:t>且L</w:t>
            </w:r>
            <w:r>
              <w:rPr>
                <w:sz w:val="24"/>
                <w:vertAlign w:val="subscript"/>
              </w:rPr>
              <w:t>o</w:t>
            </w:r>
            <w:r>
              <w:rPr>
                <w:sz w:val="24"/>
              </w:rPr>
              <w:t>/3＜r</w:t>
            </w:r>
            <w:r>
              <w:rPr>
                <w:sz w:val="24"/>
                <w:vertAlign w:val="subscript"/>
              </w:rPr>
              <w:t>o</w:t>
            </w:r>
            <w:r>
              <w:rPr>
                <w:sz w:val="24"/>
              </w:rPr>
              <w:t>＜L</w:t>
            </w:r>
            <w:r>
              <w:rPr>
                <w:sz w:val="24"/>
                <w:vertAlign w:val="subscript"/>
              </w:rPr>
              <w:t>o</w:t>
            </w:r>
            <w:r>
              <w:rPr>
                <w:sz w:val="24"/>
              </w:rPr>
              <w:t>时    A</w:t>
            </w:r>
            <w:r>
              <w:rPr>
                <w:sz w:val="24"/>
                <w:vertAlign w:val="subscript"/>
              </w:rPr>
              <w:t>div</w:t>
            </w:r>
            <w:r>
              <w:rPr>
                <w:sz w:val="24"/>
              </w:rPr>
              <w:t>＝15lg（r/r</w:t>
            </w:r>
            <w:r>
              <w:rPr>
                <w:sz w:val="24"/>
                <w:vertAlign w:val="subscript"/>
              </w:rPr>
              <w:t>o</w:t>
            </w:r>
            <w:r>
              <w:rPr>
                <w:sz w:val="24"/>
              </w:rPr>
              <w:t>）</w:t>
            </w:r>
          </w:p>
          <w:p>
            <w:pPr>
              <w:snapToGrid w:val="0"/>
              <w:spacing w:line="360" w:lineRule="auto"/>
              <w:ind w:firstLine="480" w:firstLineChars="200"/>
              <w:rPr>
                <w:sz w:val="24"/>
                <w:vertAlign w:val="subscript"/>
              </w:rPr>
            </w:pPr>
            <w:r>
              <w:rPr>
                <w:sz w:val="24"/>
              </w:rPr>
              <w:t>②空气吸收引起的衰减量A</w:t>
            </w:r>
            <w:r>
              <w:rPr>
                <w:sz w:val="24"/>
                <w:vertAlign w:val="subscript"/>
              </w:rPr>
              <w:t>atm</w:t>
            </w:r>
          </w:p>
          <w:p>
            <w:pPr>
              <w:snapToGrid w:val="0"/>
              <w:spacing w:line="360" w:lineRule="auto"/>
              <w:ind w:firstLine="480" w:firstLineChars="200"/>
              <w:rPr>
                <w:sz w:val="24"/>
              </w:rPr>
            </w:pPr>
            <w:r>
              <w:rPr>
                <w:sz w:val="24"/>
              </w:rPr>
              <w:t>本工程噪声以中低频为主，空气吸收性衰减很少。</w:t>
            </w:r>
          </w:p>
          <w:p>
            <w:pPr>
              <w:snapToGrid w:val="0"/>
              <w:spacing w:line="360" w:lineRule="auto"/>
              <w:ind w:firstLine="480" w:firstLineChars="200"/>
              <w:rPr>
                <w:sz w:val="24"/>
              </w:rPr>
            </w:pPr>
            <w:r>
              <w:rPr>
                <w:sz w:val="24"/>
              </w:rPr>
              <w:t>③地面效应引起的衰减量A</w:t>
            </w:r>
            <w:r>
              <w:rPr>
                <w:sz w:val="24"/>
                <w:vertAlign w:val="subscript"/>
              </w:rPr>
              <w:t>gr</w:t>
            </w:r>
          </w:p>
          <w:p>
            <w:pPr>
              <w:snapToGrid w:val="0"/>
              <w:spacing w:line="360" w:lineRule="auto"/>
              <w:ind w:firstLine="480" w:firstLineChars="200"/>
              <w:rPr>
                <w:sz w:val="24"/>
              </w:rPr>
            </w:pPr>
            <w:r>
              <w:rPr>
                <w:sz w:val="24"/>
              </w:rPr>
              <w:t>本工程地面为水泥硬化路面，地面效应引起的衰减量很小。</w:t>
            </w:r>
          </w:p>
          <w:p>
            <w:pPr>
              <w:snapToGrid w:val="0"/>
              <w:spacing w:line="360" w:lineRule="auto"/>
              <w:ind w:firstLine="480" w:firstLineChars="200"/>
              <w:rPr>
                <w:sz w:val="24"/>
                <w:vertAlign w:val="subscript"/>
              </w:rPr>
            </w:pPr>
            <w:r>
              <w:rPr>
                <w:sz w:val="24"/>
              </w:rPr>
              <w:t>④屏障引起的衰减A</w:t>
            </w:r>
            <w:r>
              <w:rPr>
                <w:sz w:val="24"/>
                <w:vertAlign w:val="subscript"/>
              </w:rPr>
              <w:t>bar</w:t>
            </w:r>
          </w:p>
          <w:p>
            <w:pPr>
              <w:snapToGrid w:val="0"/>
              <w:spacing w:line="360" w:lineRule="auto"/>
              <w:ind w:firstLine="480" w:firstLineChars="200"/>
              <w:rPr>
                <w:sz w:val="24"/>
              </w:rPr>
            </w:pPr>
            <w:r>
              <w:rPr>
                <w:sz w:val="24"/>
              </w:rPr>
              <w:t>噪声在向外传播过程中将受到厂房或其它车间的阻挡影响，从而引起声能量的衰减，具体衰减根据不同声级的传播途径而定。</w:t>
            </w:r>
          </w:p>
          <w:p>
            <w:pPr>
              <w:snapToGrid w:val="0"/>
              <w:spacing w:line="360" w:lineRule="auto"/>
              <w:ind w:firstLine="480" w:firstLineChars="200"/>
              <w:rPr>
                <w:sz w:val="24"/>
                <w:vertAlign w:val="subscript"/>
              </w:rPr>
            </w:pPr>
            <w:r>
              <w:rPr>
                <w:sz w:val="24"/>
              </w:rPr>
              <w:t>⑤其他多方面原因引起的衰减量A</w:t>
            </w:r>
            <w:r>
              <w:rPr>
                <w:sz w:val="24"/>
                <w:vertAlign w:val="subscript"/>
              </w:rPr>
              <w:t>misc</w:t>
            </w:r>
          </w:p>
          <w:p>
            <w:pPr>
              <w:snapToGrid w:val="0"/>
              <w:spacing w:line="360" w:lineRule="auto"/>
              <w:ind w:firstLine="480" w:firstLineChars="200"/>
              <w:rPr>
                <w:sz w:val="24"/>
                <w:szCs w:val="32"/>
              </w:rPr>
            </w:pPr>
            <w:r>
              <w:rPr>
                <w:sz w:val="24"/>
              </w:rPr>
              <w:t>主要考虑工业场所的衰减；通过房屋群的衰减等。</w:t>
            </w:r>
          </w:p>
          <w:p>
            <w:pPr>
              <w:adjustRightInd w:val="0"/>
              <w:snapToGrid w:val="0"/>
              <w:spacing w:line="360" w:lineRule="auto"/>
              <w:ind w:firstLine="482" w:firstLineChars="200"/>
              <w:rPr>
                <w:b/>
                <w:bCs/>
                <w:sz w:val="24"/>
              </w:rPr>
            </w:pPr>
            <w:r>
              <w:rPr>
                <w:b/>
                <w:bCs/>
                <w:sz w:val="24"/>
              </w:rPr>
              <w:t>2、噪声预测结果</w:t>
            </w:r>
          </w:p>
          <w:p>
            <w:pPr>
              <w:adjustRightInd w:val="0"/>
              <w:snapToGrid w:val="0"/>
              <w:spacing w:line="360" w:lineRule="auto"/>
              <w:ind w:firstLine="480" w:firstLineChars="200"/>
              <w:jc w:val="left"/>
              <w:rPr>
                <w:sz w:val="24"/>
              </w:rPr>
            </w:pPr>
            <w:r>
              <w:rPr>
                <w:sz w:val="24"/>
              </w:rPr>
              <w:t>项目运行时噪声影响预测见表4-8。</w:t>
            </w:r>
          </w:p>
          <w:p>
            <w:pPr>
              <w:adjustRightInd w:val="0"/>
              <w:snapToGrid w:val="0"/>
              <w:jc w:val="center"/>
              <w:rPr>
                <w:b/>
                <w:bCs/>
                <w:szCs w:val="21"/>
              </w:rPr>
            </w:pPr>
            <w:r>
              <w:rPr>
                <w:b/>
                <w:bCs/>
                <w:sz w:val="24"/>
              </w:rPr>
              <w:t xml:space="preserve">表4-8  </w:t>
            </w:r>
            <w:r>
              <w:rPr>
                <w:b/>
                <w:sz w:val="24"/>
                <w:lang w:bidi="ar"/>
              </w:rPr>
              <w:t>主要噪声源对厂界声级贡献情况表</w:t>
            </w:r>
          </w:p>
          <w:tbl>
            <w:tblPr>
              <w:tblStyle w:val="35"/>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1535"/>
              <w:gridCol w:w="1538"/>
              <w:gridCol w:w="1396"/>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52" w:type="pct"/>
                  <w:vAlign w:val="center"/>
                </w:tcPr>
                <w:p>
                  <w:pPr>
                    <w:pStyle w:val="118"/>
                    <w:rPr>
                      <w:b/>
                      <w:bCs/>
                    </w:rPr>
                  </w:pPr>
                  <w:r>
                    <w:rPr>
                      <w:b/>
                      <w:bCs/>
                    </w:rPr>
                    <w:t>项目</w:t>
                  </w:r>
                </w:p>
              </w:tc>
              <w:tc>
                <w:tcPr>
                  <w:tcW w:w="974" w:type="pct"/>
                  <w:vAlign w:val="center"/>
                </w:tcPr>
                <w:p>
                  <w:pPr>
                    <w:pStyle w:val="118"/>
                    <w:rPr>
                      <w:b/>
                      <w:bCs/>
                    </w:rPr>
                  </w:pPr>
                  <w:r>
                    <w:rPr>
                      <w:b/>
                      <w:bCs/>
                    </w:rPr>
                    <w:t>厂界东</w:t>
                  </w:r>
                </w:p>
              </w:tc>
              <w:tc>
                <w:tcPr>
                  <w:tcW w:w="976" w:type="pct"/>
                  <w:vAlign w:val="center"/>
                </w:tcPr>
                <w:p>
                  <w:pPr>
                    <w:pStyle w:val="118"/>
                    <w:rPr>
                      <w:b/>
                      <w:bCs/>
                    </w:rPr>
                  </w:pPr>
                  <w:r>
                    <w:rPr>
                      <w:b/>
                      <w:bCs/>
                    </w:rPr>
                    <w:t>厂界西</w:t>
                  </w:r>
                </w:p>
              </w:tc>
              <w:tc>
                <w:tcPr>
                  <w:tcW w:w="886" w:type="pct"/>
                  <w:vAlign w:val="center"/>
                </w:tcPr>
                <w:p>
                  <w:pPr>
                    <w:pStyle w:val="118"/>
                    <w:rPr>
                      <w:b/>
                      <w:bCs/>
                    </w:rPr>
                  </w:pPr>
                  <w:r>
                    <w:rPr>
                      <w:b/>
                      <w:bCs/>
                    </w:rPr>
                    <w:t>厂界南</w:t>
                  </w:r>
                </w:p>
              </w:tc>
              <w:tc>
                <w:tcPr>
                  <w:tcW w:w="910" w:type="pct"/>
                  <w:vAlign w:val="center"/>
                </w:tcPr>
                <w:p>
                  <w:pPr>
                    <w:pStyle w:val="118"/>
                    <w:rPr>
                      <w:b/>
                      <w:bCs/>
                    </w:rPr>
                  </w:pPr>
                  <w:r>
                    <w:rPr>
                      <w:b/>
                      <w:bCs/>
                    </w:rPr>
                    <w:t>厂界北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52" w:type="pct"/>
                  <w:vAlign w:val="center"/>
                </w:tcPr>
                <w:p>
                  <w:pPr>
                    <w:pStyle w:val="118"/>
                  </w:pPr>
                  <w:r>
                    <w:t>距离</w:t>
                  </w:r>
                </w:p>
              </w:tc>
              <w:tc>
                <w:tcPr>
                  <w:tcW w:w="974" w:type="pct"/>
                  <w:vAlign w:val="center"/>
                </w:tcPr>
                <w:p>
                  <w:pPr>
                    <w:pStyle w:val="118"/>
                  </w:pPr>
                  <w:r>
                    <w:t>50</w:t>
                  </w:r>
                </w:p>
              </w:tc>
              <w:tc>
                <w:tcPr>
                  <w:tcW w:w="976" w:type="pct"/>
                  <w:vAlign w:val="center"/>
                </w:tcPr>
                <w:p>
                  <w:pPr>
                    <w:pStyle w:val="118"/>
                  </w:pPr>
                  <w:r>
                    <w:t>40</w:t>
                  </w:r>
                </w:p>
              </w:tc>
              <w:tc>
                <w:tcPr>
                  <w:tcW w:w="886" w:type="pct"/>
                  <w:vAlign w:val="center"/>
                </w:tcPr>
                <w:p>
                  <w:pPr>
                    <w:pStyle w:val="118"/>
                  </w:pPr>
                  <w:r>
                    <w:t>10</w:t>
                  </w:r>
                </w:p>
              </w:tc>
              <w:tc>
                <w:tcPr>
                  <w:tcW w:w="910" w:type="pct"/>
                  <w:vAlign w:val="center"/>
                </w:tcPr>
                <w:p>
                  <w:pPr>
                    <w:pStyle w:val="118"/>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52" w:type="pct"/>
                  <w:vAlign w:val="center"/>
                </w:tcPr>
                <w:p>
                  <w:pPr>
                    <w:pStyle w:val="118"/>
                  </w:pPr>
                  <w:r>
                    <w:t>噪声预测值</w:t>
                  </w:r>
                </w:p>
              </w:tc>
              <w:tc>
                <w:tcPr>
                  <w:tcW w:w="974" w:type="pct"/>
                  <w:vAlign w:val="center"/>
                </w:tcPr>
                <w:p>
                  <w:pPr>
                    <w:pStyle w:val="118"/>
                  </w:pPr>
                  <w:r>
                    <w:t>34.64</w:t>
                  </w:r>
                </w:p>
              </w:tc>
              <w:tc>
                <w:tcPr>
                  <w:tcW w:w="976" w:type="pct"/>
                  <w:vAlign w:val="center"/>
                </w:tcPr>
                <w:p>
                  <w:pPr>
                    <w:pStyle w:val="118"/>
                  </w:pPr>
                  <w:r>
                    <w:t>36.57</w:t>
                  </w:r>
                </w:p>
              </w:tc>
              <w:tc>
                <w:tcPr>
                  <w:tcW w:w="886" w:type="pct"/>
                  <w:vAlign w:val="center"/>
                </w:tcPr>
                <w:p>
                  <w:pPr>
                    <w:pStyle w:val="118"/>
                  </w:pPr>
                  <w:r>
                    <w:t>48.09</w:t>
                  </w:r>
                </w:p>
              </w:tc>
              <w:tc>
                <w:tcPr>
                  <w:tcW w:w="910" w:type="pct"/>
                  <w:vAlign w:val="center"/>
                </w:tcPr>
                <w:p>
                  <w:pPr>
                    <w:pStyle w:val="118"/>
                  </w:pPr>
                  <w:r>
                    <w:t>34.64</w:t>
                  </w:r>
                </w:p>
              </w:tc>
            </w:tr>
          </w:tbl>
          <w:p>
            <w:pPr>
              <w:adjustRightInd w:val="0"/>
              <w:snapToGrid w:val="0"/>
              <w:spacing w:before="156" w:beforeLines="50" w:line="360" w:lineRule="auto"/>
              <w:ind w:firstLine="480" w:firstLineChars="200"/>
              <w:rPr>
                <w:sz w:val="24"/>
              </w:rPr>
            </w:pPr>
            <w:r>
              <w:rPr>
                <w:sz w:val="24"/>
              </w:rPr>
              <w:t>由上表可知，经预测，厂界昼间</w:t>
            </w:r>
            <w:r>
              <w:rPr>
                <w:kern w:val="0"/>
                <w:sz w:val="24"/>
              </w:rPr>
              <w:t>噪声可以满足《工业企业厂界环境噪声排放标准》（GB12348-2008）2类标准要求（昼间60dB）</w:t>
            </w:r>
            <w:r>
              <w:rPr>
                <w:sz w:val="24"/>
              </w:rPr>
              <w:t>。且因拟建项目厂区周围50m范围内无声环境保护目标，故不会造成扰民现象。</w:t>
            </w:r>
          </w:p>
          <w:p>
            <w:pPr>
              <w:autoSpaceDE w:val="0"/>
              <w:autoSpaceDN w:val="0"/>
              <w:adjustRightInd w:val="0"/>
              <w:snapToGrid w:val="0"/>
              <w:spacing w:line="360" w:lineRule="auto"/>
              <w:ind w:firstLine="482" w:firstLineChars="200"/>
              <w:rPr>
                <w:b/>
                <w:bCs/>
                <w:sz w:val="24"/>
              </w:rPr>
            </w:pPr>
            <w:r>
              <w:rPr>
                <w:b/>
                <w:bCs/>
                <w:sz w:val="24"/>
              </w:rPr>
              <w:t>3、监测计划</w:t>
            </w:r>
          </w:p>
          <w:p>
            <w:pPr>
              <w:autoSpaceDE w:val="0"/>
              <w:autoSpaceDN w:val="0"/>
              <w:adjustRightInd w:val="0"/>
              <w:snapToGrid w:val="0"/>
              <w:spacing w:line="360" w:lineRule="auto"/>
              <w:ind w:firstLine="480" w:firstLineChars="200"/>
              <w:rPr>
                <w:sz w:val="24"/>
              </w:rPr>
            </w:pPr>
            <w:r>
              <w:rPr>
                <w:sz w:val="24"/>
              </w:rPr>
              <w:t>根据《排污许可证申请与核发技术规范 总则》（HJ 942-2018）和《排污单位自行监测技术指南 总则》（HJ 819-2017）项目噪声污染源监测计划见下表。</w:t>
            </w:r>
          </w:p>
          <w:p>
            <w:pPr>
              <w:autoSpaceDE w:val="0"/>
              <w:autoSpaceDN w:val="0"/>
              <w:adjustRightInd w:val="0"/>
              <w:snapToGrid w:val="0"/>
              <w:jc w:val="center"/>
              <w:rPr>
                <w:b/>
                <w:bCs/>
                <w:szCs w:val="21"/>
              </w:rPr>
            </w:pPr>
            <w:r>
              <w:rPr>
                <w:b/>
                <w:sz w:val="24"/>
              </w:rPr>
              <w:t xml:space="preserve">表4-9 </w:t>
            </w:r>
            <w:r>
              <w:rPr>
                <w:b/>
                <w:bCs/>
                <w:sz w:val="24"/>
              </w:rPr>
              <w:t>噪声污染源监测计划一览表</w:t>
            </w:r>
          </w:p>
          <w:tbl>
            <w:tblPr>
              <w:tblStyle w:val="35"/>
              <w:tblW w:w="905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06"/>
              <w:gridCol w:w="711"/>
              <w:gridCol w:w="3842"/>
              <w:gridCol w:w="1758"/>
              <w:gridCol w:w="20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06" w:type="dxa"/>
                  <w:tcBorders>
                    <w:tl2br w:val="nil"/>
                    <w:tr2bl w:val="nil"/>
                  </w:tcBorders>
                  <w:vAlign w:val="center"/>
                </w:tcPr>
                <w:p>
                  <w:pPr>
                    <w:spacing w:line="300" w:lineRule="exact"/>
                    <w:jc w:val="center"/>
                    <w:rPr>
                      <w:szCs w:val="21"/>
                    </w:rPr>
                  </w:pPr>
                  <w:r>
                    <w:rPr>
                      <w:szCs w:val="21"/>
                    </w:rPr>
                    <w:t>序号</w:t>
                  </w:r>
                </w:p>
              </w:tc>
              <w:tc>
                <w:tcPr>
                  <w:tcW w:w="711" w:type="dxa"/>
                  <w:tcBorders>
                    <w:tl2br w:val="nil"/>
                    <w:tr2bl w:val="nil"/>
                  </w:tcBorders>
                  <w:vAlign w:val="center"/>
                </w:tcPr>
                <w:p>
                  <w:pPr>
                    <w:spacing w:line="300" w:lineRule="exact"/>
                    <w:jc w:val="center"/>
                    <w:rPr>
                      <w:szCs w:val="21"/>
                    </w:rPr>
                  </w:pPr>
                  <w:r>
                    <w:rPr>
                      <w:szCs w:val="21"/>
                    </w:rPr>
                    <w:t>监测对象</w:t>
                  </w:r>
                </w:p>
              </w:tc>
              <w:tc>
                <w:tcPr>
                  <w:tcW w:w="3842" w:type="dxa"/>
                  <w:tcBorders>
                    <w:tl2br w:val="nil"/>
                    <w:tr2bl w:val="nil"/>
                  </w:tcBorders>
                  <w:vAlign w:val="center"/>
                </w:tcPr>
                <w:p>
                  <w:pPr>
                    <w:spacing w:line="300" w:lineRule="exact"/>
                    <w:jc w:val="center"/>
                    <w:rPr>
                      <w:szCs w:val="21"/>
                    </w:rPr>
                  </w:pPr>
                  <w:r>
                    <w:rPr>
                      <w:szCs w:val="21"/>
                    </w:rPr>
                    <w:t>主要技术要求</w:t>
                  </w:r>
                </w:p>
              </w:tc>
              <w:tc>
                <w:tcPr>
                  <w:tcW w:w="1758" w:type="dxa"/>
                  <w:tcBorders>
                    <w:tl2br w:val="nil"/>
                    <w:tr2bl w:val="nil"/>
                  </w:tcBorders>
                  <w:vAlign w:val="center"/>
                </w:tcPr>
                <w:p>
                  <w:pPr>
                    <w:spacing w:line="300" w:lineRule="exact"/>
                    <w:jc w:val="center"/>
                    <w:rPr>
                      <w:szCs w:val="21"/>
                    </w:rPr>
                  </w:pPr>
                  <w:r>
                    <w:rPr>
                      <w:szCs w:val="21"/>
                    </w:rPr>
                    <w:t>报告制度</w:t>
                  </w:r>
                </w:p>
              </w:tc>
              <w:tc>
                <w:tcPr>
                  <w:tcW w:w="2040" w:type="dxa"/>
                  <w:tcBorders>
                    <w:tl2br w:val="nil"/>
                    <w:tr2bl w:val="nil"/>
                  </w:tcBorders>
                  <w:vAlign w:val="center"/>
                </w:tcPr>
                <w:p>
                  <w:pPr>
                    <w:spacing w:line="300" w:lineRule="exact"/>
                    <w:jc w:val="center"/>
                    <w:rPr>
                      <w:szCs w:val="21"/>
                    </w:rPr>
                  </w:pPr>
                  <w:r>
                    <w:rPr>
                      <w:szCs w:val="21"/>
                    </w:rPr>
                    <w:t>监督机构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06" w:type="dxa"/>
                  <w:tcBorders>
                    <w:tl2br w:val="nil"/>
                    <w:tr2bl w:val="nil"/>
                  </w:tcBorders>
                  <w:vAlign w:val="center"/>
                </w:tcPr>
                <w:p>
                  <w:pPr>
                    <w:spacing w:line="300" w:lineRule="exact"/>
                    <w:jc w:val="center"/>
                    <w:rPr>
                      <w:szCs w:val="21"/>
                    </w:rPr>
                  </w:pPr>
                  <w:r>
                    <w:rPr>
                      <w:szCs w:val="21"/>
                    </w:rPr>
                    <w:t>1</w:t>
                  </w:r>
                </w:p>
              </w:tc>
              <w:tc>
                <w:tcPr>
                  <w:tcW w:w="711" w:type="dxa"/>
                  <w:tcBorders>
                    <w:tl2br w:val="nil"/>
                    <w:tr2bl w:val="nil"/>
                  </w:tcBorders>
                  <w:vAlign w:val="center"/>
                </w:tcPr>
                <w:p>
                  <w:pPr>
                    <w:spacing w:line="300" w:lineRule="exact"/>
                    <w:jc w:val="center"/>
                    <w:rPr>
                      <w:szCs w:val="21"/>
                    </w:rPr>
                  </w:pPr>
                  <w:r>
                    <w:rPr>
                      <w:szCs w:val="21"/>
                    </w:rPr>
                    <w:t>厂界</w:t>
                  </w:r>
                </w:p>
              </w:tc>
              <w:tc>
                <w:tcPr>
                  <w:tcW w:w="3842" w:type="dxa"/>
                  <w:tcBorders>
                    <w:tl2br w:val="nil"/>
                    <w:tr2bl w:val="nil"/>
                  </w:tcBorders>
                  <w:vAlign w:val="center"/>
                </w:tcPr>
                <w:p>
                  <w:pPr>
                    <w:numPr>
                      <w:ilvl w:val="0"/>
                      <w:numId w:val="12"/>
                    </w:numPr>
                    <w:spacing w:line="300" w:lineRule="exact"/>
                    <w:rPr>
                      <w:szCs w:val="21"/>
                    </w:rPr>
                  </w:pPr>
                  <w:r>
                    <w:rPr>
                      <w:szCs w:val="21"/>
                    </w:rPr>
                    <w:t>监测项目：噪声；</w:t>
                  </w:r>
                </w:p>
                <w:p>
                  <w:pPr>
                    <w:numPr>
                      <w:ilvl w:val="0"/>
                      <w:numId w:val="12"/>
                    </w:numPr>
                    <w:spacing w:line="300" w:lineRule="exact"/>
                    <w:rPr>
                      <w:szCs w:val="21"/>
                    </w:rPr>
                  </w:pPr>
                  <w:r>
                    <w:rPr>
                      <w:szCs w:val="21"/>
                    </w:rPr>
                    <w:t>监测频率：昼间监测，每季度1次；</w:t>
                  </w:r>
                </w:p>
                <w:p>
                  <w:pPr>
                    <w:numPr>
                      <w:ilvl w:val="0"/>
                      <w:numId w:val="12"/>
                    </w:numPr>
                    <w:spacing w:line="300" w:lineRule="exact"/>
                    <w:rPr>
                      <w:szCs w:val="21"/>
                    </w:rPr>
                  </w:pPr>
                  <w:r>
                    <w:rPr>
                      <w:szCs w:val="21"/>
                    </w:rPr>
                    <w:t>监测点位：厂界四周；</w:t>
                  </w:r>
                </w:p>
              </w:tc>
              <w:tc>
                <w:tcPr>
                  <w:tcW w:w="1758" w:type="dxa"/>
                  <w:tcBorders>
                    <w:tl2br w:val="nil"/>
                    <w:tr2bl w:val="nil"/>
                  </w:tcBorders>
                  <w:vAlign w:val="center"/>
                </w:tcPr>
                <w:p>
                  <w:pPr>
                    <w:spacing w:line="300" w:lineRule="exact"/>
                    <w:jc w:val="center"/>
                    <w:rPr>
                      <w:szCs w:val="21"/>
                    </w:rPr>
                  </w:pPr>
                  <w:r>
                    <w:rPr>
                      <w:szCs w:val="21"/>
                    </w:rPr>
                    <w:t>生态环境部门</w:t>
                  </w:r>
                </w:p>
              </w:tc>
              <w:tc>
                <w:tcPr>
                  <w:tcW w:w="2040" w:type="dxa"/>
                  <w:tcBorders>
                    <w:tl2br w:val="nil"/>
                    <w:tr2bl w:val="nil"/>
                  </w:tcBorders>
                  <w:vAlign w:val="center"/>
                </w:tcPr>
                <w:p>
                  <w:pPr>
                    <w:spacing w:line="300" w:lineRule="exact"/>
                    <w:jc w:val="center"/>
                    <w:rPr>
                      <w:szCs w:val="21"/>
                    </w:rPr>
                  </w:pPr>
                  <w:r>
                    <w:rPr>
                      <w:szCs w:val="21"/>
                    </w:rPr>
                    <w:t>当地生态环境部门</w:t>
                  </w:r>
                </w:p>
              </w:tc>
            </w:tr>
          </w:tbl>
          <w:p>
            <w:pPr>
              <w:adjustRightInd w:val="0"/>
              <w:spacing w:line="360" w:lineRule="auto"/>
              <w:ind w:firstLine="482" w:firstLineChars="200"/>
              <w:rPr>
                <w:rFonts w:eastAsia="新宋体"/>
                <w:b/>
                <w:bCs/>
                <w:sz w:val="24"/>
              </w:rPr>
            </w:pPr>
            <w:r>
              <w:rPr>
                <w:rFonts w:eastAsia="新宋体"/>
                <w:b/>
                <w:bCs/>
                <w:sz w:val="24"/>
              </w:rPr>
              <w:t>四、固体废物</w:t>
            </w:r>
          </w:p>
          <w:p>
            <w:pPr>
              <w:pStyle w:val="79"/>
              <w:spacing w:line="360" w:lineRule="auto"/>
              <w:ind w:firstLine="480" w:firstLineChars="200"/>
              <w:textAlignment w:val="center"/>
              <w:rPr>
                <w:rFonts w:ascii="Times New Roman" w:hAnsi="Times New Roman" w:cs="Times New Roman"/>
                <w:sz w:val="24"/>
                <w:lang w:eastAsia="zh-CN"/>
              </w:rPr>
            </w:pPr>
            <w:r>
              <w:rPr>
                <w:rFonts w:ascii="Times New Roman" w:hAnsi="Times New Roman" w:cs="Times New Roman"/>
                <w:sz w:val="24"/>
                <w:lang w:eastAsia="zh-CN"/>
              </w:rPr>
              <w:t>项目产生的固体废物主要为除尘器收尘、筛上物、</w:t>
            </w:r>
            <w:r>
              <w:rPr>
                <w:rFonts w:hint="eastAsia" w:ascii="Times New Roman" w:hAnsi="Times New Roman" w:cs="Times New Roman"/>
                <w:sz w:val="24"/>
                <w:lang w:val="en-US" w:eastAsia="zh-CN"/>
              </w:rPr>
              <w:t>沉淀池沉渣及</w:t>
            </w:r>
            <w:r>
              <w:rPr>
                <w:rFonts w:ascii="Times New Roman" w:hAnsi="Times New Roman" w:cs="Times New Roman"/>
                <w:sz w:val="24"/>
                <w:lang w:eastAsia="zh-CN"/>
              </w:rPr>
              <w:t>员工生活垃圾。</w:t>
            </w:r>
          </w:p>
          <w:p>
            <w:pPr>
              <w:pStyle w:val="79"/>
              <w:spacing w:line="360" w:lineRule="auto"/>
              <w:ind w:firstLine="480" w:firstLineChars="200"/>
              <w:textAlignment w:val="center"/>
              <w:rPr>
                <w:rFonts w:ascii="Times New Roman" w:hAnsi="Times New Roman" w:cs="Times New Roman"/>
                <w:sz w:val="24"/>
                <w:lang w:eastAsia="zh-CN"/>
              </w:rPr>
            </w:pPr>
            <w:r>
              <w:rPr>
                <w:rFonts w:ascii="Times New Roman" w:hAnsi="Times New Roman" w:cs="Times New Roman"/>
                <w:sz w:val="24"/>
                <w:lang w:eastAsia="zh-CN"/>
              </w:rPr>
              <w:t>1）除尘器收集粉尘</w:t>
            </w:r>
          </w:p>
          <w:p>
            <w:pPr>
              <w:pStyle w:val="79"/>
              <w:spacing w:line="360" w:lineRule="auto"/>
              <w:ind w:firstLine="480" w:firstLineChars="200"/>
              <w:textAlignment w:val="center"/>
              <w:rPr>
                <w:rFonts w:ascii="Times New Roman" w:hAnsi="Times New Roman" w:cs="Times New Roman"/>
                <w:sz w:val="24"/>
                <w:lang w:eastAsia="zh-CN"/>
              </w:rPr>
            </w:pPr>
            <w:r>
              <w:rPr>
                <w:rFonts w:ascii="Times New Roman" w:hAnsi="Times New Roman" w:cs="Times New Roman"/>
                <w:sz w:val="24"/>
                <w:lang w:eastAsia="zh-CN"/>
              </w:rPr>
              <w:t>根据前文分析，项目除尘器收集粉尘产生量约为5.6681吨/年，属于一般废物，根据《一般固体废物分类与代码》（GB/T39198-2020），固废代码为309-009-66，由企业回收后回用于生产。</w:t>
            </w:r>
          </w:p>
          <w:p>
            <w:pPr>
              <w:pStyle w:val="79"/>
              <w:spacing w:line="360" w:lineRule="auto"/>
              <w:ind w:firstLine="480" w:firstLineChars="200"/>
              <w:textAlignment w:val="center"/>
              <w:rPr>
                <w:rFonts w:ascii="Times New Roman" w:hAnsi="Times New Roman" w:cs="Times New Roman"/>
                <w:sz w:val="24"/>
                <w:lang w:eastAsia="zh-CN"/>
              </w:rPr>
            </w:pPr>
            <w:r>
              <w:rPr>
                <w:rFonts w:ascii="Times New Roman" w:hAnsi="Times New Roman" w:cs="Times New Roman"/>
                <w:sz w:val="24"/>
                <w:lang w:eastAsia="zh-CN"/>
              </w:rPr>
              <w:t>2）筛上物</w:t>
            </w:r>
          </w:p>
          <w:p>
            <w:pPr>
              <w:pStyle w:val="79"/>
              <w:spacing w:line="360" w:lineRule="auto"/>
              <w:ind w:firstLine="480" w:firstLineChars="200"/>
              <w:textAlignment w:val="center"/>
              <w:rPr>
                <w:rFonts w:ascii="Times New Roman" w:hAnsi="Times New Roman" w:cs="Times New Roman"/>
                <w:sz w:val="24"/>
                <w:lang w:eastAsia="zh-CN"/>
              </w:rPr>
            </w:pPr>
            <w:r>
              <w:rPr>
                <w:rFonts w:ascii="Times New Roman" w:hAnsi="Times New Roman" w:cs="Times New Roman"/>
                <w:color w:val="000000"/>
                <w:sz w:val="24"/>
                <w:lang w:eastAsia="zh-CN"/>
              </w:rPr>
              <w:t>根据企业提供资料，项目筛分产生的筛上物产生量约为产量的5%，即100t/a，</w:t>
            </w:r>
            <w:r>
              <w:rPr>
                <w:rFonts w:ascii="Times New Roman" w:hAnsi="Times New Roman" w:cs="Times New Roman"/>
                <w:sz w:val="24"/>
                <w:lang w:eastAsia="zh-CN"/>
              </w:rPr>
              <w:t>属于一般废物，根据《一般固体废物分类与代码》（GB/T39198-2020），固废代码为309-009-49，</w:t>
            </w:r>
            <w:r>
              <w:rPr>
                <w:rFonts w:ascii="Times New Roman" w:hAnsi="Times New Roman" w:cs="Times New Roman"/>
                <w:color w:val="000000"/>
                <w:sz w:val="24"/>
                <w:lang w:eastAsia="zh-CN"/>
              </w:rPr>
              <w:t>收集后回用于生产。</w:t>
            </w:r>
          </w:p>
          <w:p>
            <w:pPr>
              <w:pStyle w:val="79"/>
              <w:spacing w:line="360" w:lineRule="auto"/>
              <w:ind w:firstLine="480" w:firstLineChars="200"/>
              <w:textAlignment w:val="center"/>
              <w:rPr>
                <w:rFonts w:ascii="Times New Roman" w:hAnsi="Times New Roman" w:cs="Times New Roman"/>
                <w:sz w:val="24"/>
                <w:lang w:eastAsia="zh-CN"/>
              </w:rPr>
            </w:pPr>
            <w:r>
              <w:rPr>
                <w:rFonts w:hint="eastAsia" w:ascii="Times New Roman" w:hAnsi="Times New Roman" w:cs="Times New Roman"/>
                <w:sz w:val="24"/>
                <w:lang w:eastAsia="zh-CN"/>
              </w:rPr>
              <w:t>3</w:t>
            </w:r>
            <w:r>
              <w:rPr>
                <w:rFonts w:ascii="Times New Roman" w:hAnsi="Times New Roman" w:cs="Times New Roman"/>
                <w:sz w:val="24"/>
                <w:lang w:eastAsia="zh-CN"/>
              </w:rPr>
              <w:t>）</w:t>
            </w:r>
            <w:r>
              <w:rPr>
                <w:rFonts w:hint="eastAsia" w:ascii="Times New Roman" w:hAnsi="Times New Roman" w:cs="Times New Roman"/>
                <w:sz w:val="24"/>
                <w:lang w:eastAsia="zh-CN"/>
              </w:rPr>
              <w:t>沉淀池沉渣</w:t>
            </w:r>
          </w:p>
          <w:p>
            <w:pPr>
              <w:pStyle w:val="79"/>
              <w:spacing w:line="360" w:lineRule="auto"/>
              <w:ind w:firstLine="480" w:firstLineChars="200"/>
              <w:textAlignment w:val="center"/>
              <w:rPr>
                <w:rFonts w:ascii="Times New Roman" w:hAnsi="Times New Roman" w:cs="Times New Roman"/>
                <w:sz w:val="24"/>
                <w:lang w:eastAsia="zh-CN"/>
              </w:rPr>
            </w:pPr>
            <w:r>
              <w:rPr>
                <w:rFonts w:hint="eastAsia" w:ascii="Times New Roman" w:hAnsi="Times New Roman" w:cs="Times New Roman"/>
                <w:color w:val="000000"/>
                <w:sz w:val="24"/>
                <w:lang w:eastAsia="zh-CN"/>
              </w:rPr>
              <w:t>项目沉淀池需定期清理，</w:t>
            </w:r>
            <w:r>
              <w:rPr>
                <w:rFonts w:ascii="Times New Roman" w:hAnsi="Times New Roman" w:cs="Times New Roman"/>
                <w:color w:val="000000"/>
                <w:sz w:val="24"/>
                <w:lang w:eastAsia="zh-CN"/>
              </w:rPr>
              <w:t>根据企业提供资料，项目</w:t>
            </w:r>
            <w:r>
              <w:rPr>
                <w:rFonts w:hint="eastAsia" w:ascii="Times New Roman" w:hAnsi="Times New Roman" w:cs="Times New Roman"/>
                <w:color w:val="000000"/>
                <w:sz w:val="24"/>
                <w:lang w:eastAsia="zh-CN"/>
              </w:rPr>
              <w:t>沉淀池沉渣</w:t>
            </w:r>
            <w:r>
              <w:rPr>
                <w:rFonts w:ascii="Times New Roman" w:hAnsi="Times New Roman" w:cs="Times New Roman"/>
                <w:color w:val="000000"/>
                <w:sz w:val="24"/>
                <w:lang w:eastAsia="zh-CN"/>
              </w:rPr>
              <w:t>产生量约为</w:t>
            </w:r>
            <w:r>
              <w:rPr>
                <w:rFonts w:hint="eastAsia" w:ascii="Times New Roman" w:hAnsi="Times New Roman" w:cs="Times New Roman"/>
                <w:color w:val="000000"/>
                <w:sz w:val="24"/>
                <w:lang w:eastAsia="zh-CN"/>
              </w:rPr>
              <w:t>1t/a</w:t>
            </w:r>
            <w:r>
              <w:rPr>
                <w:rFonts w:ascii="Times New Roman" w:hAnsi="Times New Roman" w:cs="Times New Roman"/>
                <w:color w:val="000000"/>
                <w:sz w:val="24"/>
                <w:lang w:eastAsia="zh-CN"/>
              </w:rPr>
              <w:t>，</w:t>
            </w:r>
            <w:r>
              <w:rPr>
                <w:rFonts w:hint="eastAsia" w:ascii="Times New Roman" w:hAnsi="Times New Roman" w:cs="Times New Roman"/>
                <w:color w:val="000000"/>
                <w:sz w:val="24"/>
                <w:lang w:eastAsia="zh-CN"/>
              </w:rPr>
              <w:t>主要成分为泥土</w:t>
            </w:r>
            <w:r>
              <w:rPr>
                <w:rFonts w:ascii="Times New Roman" w:hAnsi="Times New Roman" w:cs="Times New Roman"/>
                <w:color w:val="000000"/>
                <w:sz w:val="24"/>
                <w:lang w:eastAsia="zh-CN"/>
              </w:rPr>
              <w:t>，</w:t>
            </w:r>
            <w:r>
              <w:rPr>
                <w:rFonts w:ascii="Times New Roman" w:hAnsi="Times New Roman" w:cs="Times New Roman"/>
                <w:sz w:val="24"/>
                <w:lang w:eastAsia="zh-CN"/>
              </w:rPr>
              <w:t>属于一般废物，根据《一般固体废物分类与代码》（GB/T39198-2020），固废代码为309-009-</w:t>
            </w:r>
            <w:r>
              <w:rPr>
                <w:rFonts w:hint="eastAsia" w:ascii="Times New Roman" w:hAnsi="Times New Roman" w:cs="Times New Roman"/>
                <w:sz w:val="24"/>
                <w:lang w:eastAsia="zh-CN"/>
              </w:rPr>
              <w:t>61</w:t>
            </w:r>
            <w:r>
              <w:rPr>
                <w:rFonts w:ascii="Times New Roman" w:hAnsi="Times New Roman" w:cs="Times New Roman"/>
                <w:sz w:val="24"/>
                <w:lang w:eastAsia="zh-CN"/>
              </w:rPr>
              <w:t>，</w:t>
            </w:r>
            <w:r>
              <w:rPr>
                <w:rFonts w:hint="eastAsia" w:ascii="Times New Roman" w:hAnsi="Times New Roman" w:cs="Times New Roman"/>
                <w:sz w:val="24"/>
                <w:lang w:eastAsia="zh-CN"/>
              </w:rPr>
              <w:t>企业</w:t>
            </w:r>
            <w:r>
              <w:rPr>
                <w:rFonts w:ascii="Times New Roman" w:hAnsi="Times New Roman" w:cs="Times New Roman"/>
                <w:color w:val="000000"/>
                <w:sz w:val="24"/>
                <w:lang w:eastAsia="zh-CN"/>
              </w:rPr>
              <w:t>收集后回用于生产</w:t>
            </w:r>
            <w:r>
              <w:rPr>
                <w:rFonts w:hint="eastAsia" w:ascii="Times New Roman" w:hAnsi="Times New Roman" w:cs="Times New Roman"/>
                <w:color w:val="000000"/>
                <w:sz w:val="24"/>
                <w:lang w:eastAsia="zh-CN"/>
              </w:rPr>
              <w:t>。</w:t>
            </w:r>
          </w:p>
          <w:p>
            <w:pPr>
              <w:pStyle w:val="79"/>
              <w:spacing w:line="360" w:lineRule="auto"/>
              <w:ind w:firstLine="480" w:firstLineChars="200"/>
              <w:textAlignment w:val="center"/>
              <w:rPr>
                <w:rFonts w:ascii="Times New Roman" w:hAnsi="Times New Roman" w:cs="Times New Roman"/>
                <w:sz w:val="24"/>
                <w:lang w:eastAsia="zh-CN"/>
              </w:rPr>
            </w:pPr>
            <w:r>
              <w:rPr>
                <w:rFonts w:hint="eastAsia" w:ascii="Times New Roman" w:hAnsi="Times New Roman" w:cs="Times New Roman"/>
                <w:sz w:val="24"/>
                <w:lang w:eastAsia="zh-CN"/>
              </w:rPr>
              <w:t>4</w:t>
            </w:r>
            <w:r>
              <w:rPr>
                <w:rFonts w:ascii="Times New Roman" w:hAnsi="Times New Roman" w:cs="Times New Roman"/>
                <w:sz w:val="24"/>
                <w:lang w:eastAsia="zh-CN"/>
              </w:rPr>
              <w:t>）生活垃圾</w:t>
            </w:r>
          </w:p>
          <w:p>
            <w:pPr>
              <w:pStyle w:val="79"/>
              <w:spacing w:line="360" w:lineRule="auto"/>
              <w:ind w:firstLine="480" w:firstLineChars="200"/>
              <w:textAlignment w:val="center"/>
              <w:rPr>
                <w:rFonts w:ascii="Times New Roman" w:hAnsi="Times New Roman" w:cs="Times New Roman"/>
                <w:sz w:val="24"/>
                <w:lang w:eastAsia="zh-CN"/>
              </w:rPr>
            </w:pPr>
            <w:r>
              <w:rPr>
                <w:rFonts w:ascii="Times New Roman" w:hAnsi="Times New Roman" w:cs="Times New Roman"/>
                <w:sz w:val="24"/>
                <w:lang w:eastAsia="zh-CN"/>
              </w:rPr>
              <w:t>本项目定员5人，生活垃圾按0.5kg/人/天计，生活垃圾产生量为0.75t/a，定期由环卫部门清运。</w:t>
            </w:r>
          </w:p>
          <w:p>
            <w:pPr>
              <w:adjustRightInd w:val="0"/>
              <w:snapToGrid w:val="0"/>
              <w:jc w:val="center"/>
              <w:rPr>
                <w:b/>
                <w:bCs/>
                <w:color w:val="000000"/>
                <w:szCs w:val="21"/>
              </w:rPr>
            </w:pPr>
            <w:r>
              <w:rPr>
                <w:b/>
                <w:bCs/>
                <w:color w:val="000000"/>
                <w:sz w:val="24"/>
              </w:rPr>
              <w:t>表4-10  项目一般固废产生情况</w:t>
            </w:r>
          </w:p>
          <w:tbl>
            <w:tblPr>
              <w:tblStyle w:val="35"/>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427"/>
              <w:gridCol w:w="763"/>
              <w:gridCol w:w="518"/>
              <w:gridCol w:w="696"/>
              <w:gridCol w:w="859"/>
              <w:gridCol w:w="1841"/>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61" w:type="dxa"/>
                  <w:vAlign w:val="center"/>
                </w:tcPr>
                <w:p>
                  <w:pPr>
                    <w:jc w:val="center"/>
                    <w:rPr>
                      <w:b/>
                      <w:bCs/>
                      <w:szCs w:val="21"/>
                    </w:rPr>
                  </w:pPr>
                  <w:r>
                    <w:rPr>
                      <w:b/>
                      <w:bCs/>
                      <w:szCs w:val="21"/>
                    </w:rPr>
                    <w:t>序号</w:t>
                  </w:r>
                </w:p>
              </w:tc>
              <w:tc>
                <w:tcPr>
                  <w:tcW w:w="1427" w:type="dxa"/>
                  <w:vAlign w:val="center"/>
                </w:tcPr>
                <w:p>
                  <w:pPr>
                    <w:jc w:val="center"/>
                    <w:rPr>
                      <w:b/>
                      <w:bCs/>
                      <w:szCs w:val="21"/>
                    </w:rPr>
                  </w:pPr>
                  <w:r>
                    <w:rPr>
                      <w:b/>
                      <w:bCs/>
                      <w:szCs w:val="21"/>
                    </w:rPr>
                    <w:t>固废名称</w:t>
                  </w:r>
                </w:p>
              </w:tc>
              <w:tc>
                <w:tcPr>
                  <w:tcW w:w="763" w:type="dxa"/>
                  <w:vAlign w:val="center"/>
                </w:tcPr>
                <w:p>
                  <w:pPr>
                    <w:jc w:val="center"/>
                    <w:rPr>
                      <w:b/>
                      <w:bCs/>
                      <w:szCs w:val="21"/>
                    </w:rPr>
                  </w:pPr>
                  <w:r>
                    <w:rPr>
                      <w:b/>
                      <w:bCs/>
                      <w:szCs w:val="21"/>
                    </w:rPr>
                    <w:t>产生工序</w:t>
                  </w:r>
                </w:p>
              </w:tc>
              <w:tc>
                <w:tcPr>
                  <w:tcW w:w="518" w:type="dxa"/>
                  <w:vAlign w:val="center"/>
                </w:tcPr>
                <w:p>
                  <w:pPr>
                    <w:jc w:val="center"/>
                    <w:rPr>
                      <w:b/>
                      <w:bCs/>
                      <w:szCs w:val="21"/>
                    </w:rPr>
                  </w:pPr>
                  <w:r>
                    <w:rPr>
                      <w:b/>
                      <w:bCs/>
                      <w:szCs w:val="21"/>
                    </w:rPr>
                    <w:t>形态</w:t>
                  </w:r>
                </w:p>
              </w:tc>
              <w:tc>
                <w:tcPr>
                  <w:tcW w:w="696" w:type="dxa"/>
                  <w:vAlign w:val="center"/>
                </w:tcPr>
                <w:p>
                  <w:pPr>
                    <w:jc w:val="center"/>
                    <w:rPr>
                      <w:b/>
                      <w:bCs/>
                      <w:szCs w:val="21"/>
                    </w:rPr>
                  </w:pPr>
                  <w:r>
                    <w:rPr>
                      <w:b/>
                      <w:bCs/>
                      <w:szCs w:val="21"/>
                    </w:rPr>
                    <w:t>主要成分</w:t>
                  </w:r>
                </w:p>
              </w:tc>
              <w:tc>
                <w:tcPr>
                  <w:tcW w:w="859" w:type="dxa"/>
                  <w:vAlign w:val="center"/>
                </w:tcPr>
                <w:p>
                  <w:pPr>
                    <w:jc w:val="center"/>
                    <w:rPr>
                      <w:b/>
                      <w:bCs/>
                      <w:szCs w:val="21"/>
                    </w:rPr>
                  </w:pPr>
                  <w:r>
                    <w:rPr>
                      <w:b/>
                      <w:bCs/>
                      <w:szCs w:val="21"/>
                    </w:rPr>
                    <w:t>是否属于固废</w:t>
                  </w:r>
                </w:p>
              </w:tc>
              <w:tc>
                <w:tcPr>
                  <w:tcW w:w="1841" w:type="dxa"/>
                  <w:vAlign w:val="center"/>
                </w:tcPr>
                <w:p>
                  <w:pPr>
                    <w:jc w:val="center"/>
                    <w:rPr>
                      <w:b/>
                      <w:bCs/>
                      <w:szCs w:val="21"/>
                    </w:rPr>
                  </w:pPr>
                  <w:r>
                    <w:rPr>
                      <w:b/>
                      <w:bCs/>
                      <w:szCs w:val="21"/>
                    </w:rPr>
                    <w:t>判定依据</w:t>
                  </w:r>
                </w:p>
              </w:tc>
              <w:tc>
                <w:tcPr>
                  <w:tcW w:w="1432" w:type="dxa"/>
                  <w:vAlign w:val="center"/>
                </w:tcPr>
                <w:p>
                  <w:pPr>
                    <w:jc w:val="center"/>
                    <w:rPr>
                      <w:b/>
                      <w:bCs/>
                      <w:szCs w:val="21"/>
                    </w:rPr>
                  </w:pPr>
                  <w:r>
                    <w:rPr>
                      <w:b/>
                      <w:bCs/>
                      <w:szCs w:val="21"/>
                    </w:rPr>
                    <w:t>类别代码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61" w:type="dxa"/>
                  <w:vAlign w:val="center"/>
                </w:tcPr>
                <w:p>
                  <w:pPr>
                    <w:jc w:val="center"/>
                    <w:rPr>
                      <w:szCs w:val="21"/>
                    </w:rPr>
                  </w:pPr>
                  <w:r>
                    <w:rPr>
                      <w:szCs w:val="21"/>
                    </w:rPr>
                    <w:t>1</w:t>
                  </w:r>
                </w:p>
              </w:tc>
              <w:tc>
                <w:tcPr>
                  <w:tcW w:w="1427" w:type="dxa"/>
                  <w:vAlign w:val="center"/>
                </w:tcPr>
                <w:p>
                  <w:pPr>
                    <w:jc w:val="center"/>
                    <w:rPr>
                      <w:szCs w:val="21"/>
                    </w:rPr>
                  </w:pPr>
                  <w:r>
                    <w:rPr>
                      <w:szCs w:val="21"/>
                    </w:rPr>
                    <w:t>除尘器收集粉尘</w:t>
                  </w:r>
                </w:p>
              </w:tc>
              <w:tc>
                <w:tcPr>
                  <w:tcW w:w="763" w:type="dxa"/>
                  <w:vAlign w:val="center"/>
                </w:tcPr>
                <w:p>
                  <w:pPr>
                    <w:jc w:val="center"/>
                    <w:rPr>
                      <w:szCs w:val="21"/>
                    </w:rPr>
                  </w:pPr>
                  <w:r>
                    <w:rPr>
                      <w:szCs w:val="21"/>
                    </w:rPr>
                    <w:t>废气处理</w:t>
                  </w:r>
                </w:p>
              </w:tc>
              <w:tc>
                <w:tcPr>
                  <w:tcW w:w="518" w:type="dxa"/>
                  <w:vAlign w:val="center"/>
                </w:tcPr>
                <w:p>
                  <w:pPr>
                    <w:jc w:val="center"/>
                    <w:rPr>
                      <w:szCs w:val="21"/>
                    </w:rPr>
                  </w:pPr>
                  <w:r>
                    <w:rPr>
                      <w:szCs w:val="21"/>
                    </w:rPr>
                    <w:t>固态</w:t>
                  </w:r>
                </w:p>
              </w:tc>
              <w:tc>
                <w:tcPr>
                  <w:tcW w:w="696" w:type="dxa"/>
                  <w:vAlign w:val="center"/>
                </w:tcPr>
                <w:p>
                  <w:pPr>
                    <w:jc w:val="center"/>
                    <w:rPr>
                      <w:szCs w:val="21"/>
                    </w:rPr>
                  </w:pPr>
                  <w:r>
                    <w:rPr>
                      <w:szCs w:val="21"/>
                    </w:rPr>
                    <w:t>粉尘</w:t>
                  </w:r>
                </w:p>
              </w:tc>
              <w:tc>
                <w:tcPr>
                  <w:tcW w:w="859" w:type="dxa"/>
                  <w:vAlign w:val="center"/>
                </w:tcPr>
                <w:p>
                  <w:pPr>
                    <w:jc w:val="center"/>
                    <w:rPr>
                      <w:szCs w:val="21"/>
                    </w:rPr>
                  </w:pPr>
                  <w:r>
                    <w:rPr>
                      <w:szCs w:val="21"/>
                    </w:rPr>
                    <w:t>是</w:t>
                  </w:r>
                </w:p>
              </w:tc>
              <w:tc>
                <w:tcPr>
                  <w:tcW w:w="1841" w:type="dxa"/>
                  <w:vAlign w:val="center"/>
                </w:tcPr>
                <w:p>
                  <w:pPr>
                    <w:jc w:val="center"/>
                    <w:rPr>
                      <w:szCs w:val="21"/>
                    </w:rPr>
                  </w:pPr>
                  <w:r>
                    <w:rPr>
                      <w:szCs w:val="21"/>
                    </w:rPr>
                    <w:t>废气处理过程中产生</w:t>
                  </w:r>
                </w:p>
              </w:tc>
              <w:tc>
                <w:tcPr>
                  <w:tcW w:w="1432" w:type="dxa"/>
                  <w:vAlign w:val="center"/>
                </w:tcPr>
                <w:p>
                  <w:pPr>
                    <w:jc w:val="center"/>
                    <w:rPr>
                      <w:szCs w:val="21"/>
                    </w:rPr>
                  </w:pPr>
                  <w:r>
                    <w:rPr>
                      <w:szCs w:val="21"/>
                    </w:rPr>
                    <w:t>309-009-66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61" w:type="dxa"/>
                  <w:vAlign w:val="center"/>
                </w:tcPr>
                <w:p>
                  <w:pPr>
                    <w:jc w:val="center"/>
                    <w:rPr>
                      <w:szCs w:val="21"/>
                    </w:rPr>
                  </w:pPr>
                  <w:r>
                    <w:rPr>
                      <w:szCs w:val="21"/>
                    </w:rPr>
                    <w:t>2</w:t>
                  </w:r>
                </w:p>
              </w:tc>
              <w:tc>
                <w:tcPr>
                  <w:tcW w:w="1427" w:type="dxa"/>
                  <w:vAlign w:val="center"/>
                </w:tcPr>
                <w:p>
                  <w:pPr>
                    <w:jc w:val="center"/>
                    <w:rPr>
                      <w:szCs w:val="21"/>
                    </w:rPr>
                  </w:pPr>
                  <w:r>
                    <w:rPr>
                      <w:szCs w:val="21"/>
                    </w:rPr>
                    <w:t>筛上物</w:t>
                  </w:r>
                </w:p>
              </w:tc>
              <w:tc>
                <w:tcPr>
                  <w:tcW w:w="763" w:type="dxa"/>
                  <w:vAlign w:val="center"/>
                </w:tcPr>
                <w:p>
                  <w:pPr>
                    <w:jc w:val="center"/>
                    <w:rPr>
                      <w:szCs w:val="21"/>
                    </w:rPr>
                  </w:pPr>
                  <w:r>
                    <w:rPr>
                      <w:szCs w:val="21"/>
                    </w:rPr>
                    <w:t>筛分过程</w:t>
                  </w:r>
                </w:p>
              </w:tc>
              <w:tc>
                <w:tcPr>
                  <w:tcW w:w="518" w:type="dxa"/>
                  <w:vAlign w:val="center"/>
                </w:tcPr>
                <w:p>
                  <w:pPr>
                    <w:jc w:val="center"/>
                    <w:rPr>
                      <w:szCs w:val="21"/>
                    </w:rPr>
                  </w:pPr>
                  <w:r>
                    <w:rPr>
                      <w:szCs w:val="21"/>
                    </w:rPr>
                    <w:t>固态</w:t>
                  </w:r>
                </w:p>
              </w:tc>
              <w:tc>
                <w:tcPr>
                  <w:tcW w:w="696" w:type="dxa"/>
                  <w:vAlign w:val="center"/>
                </w:tcPr>
                <w:p>
                  <w:pPr>
                    <w:jc w:val="center"/>
                    <w:rPr>
                      <w:szCs w:val="21"/>
                    </w:rPr>
                  </w:pPr>
                  <w:r>
                    <w:rPr>
                      <w:szCs w:val="21"/>
                    </w:rPr>
                    <w:t>粉尘</w:t>
                  </w:r>
                </w:p>
              </w:tc>
              <w:tc>
                <w:tcPr>
                  <w:tcW w:w="859" w:type="dxa"/>
                  <w:vAlign w:val="center"/>
                </w:tcPr>
                <w:p>
                  <w:pPr>
                    <w:jc w:val="center"/>
                    <w:rPr>
                      <w:szCs w:val="21"/>
                    </w:rPr>
                  </w:pPr>
                  <w:r>
                    <w:rPr>
                      <w:szCs w:val="21"/>
                    </w:rPr>
                    <w:t>是</w:t>
                  </w:r>
                </w:p>
              </w:tc>
              <w:tc>
                <w:tcPr>
                  <w:tcW w:w="1841" w:type="dxa"/>
                  <w:vAlign w:val="center"/>
                </w:tcPr>
                <w:p>
                  <w:pPr>
                    <w:jc w:val="center"/>
                    <w:rPr>
                      <w:szCs w:val="21"/>
                    </w:rPr>
                  </w:pPr>
                  <w:r>
                    <w:rPr>
                      <w:szCs w:val="21"/>
                    </w:rPr>
                    <w:t>生产过程产生</w:t>
                  </w:r>
                </w:p>
              </w:tc>
              <w:tc>
                <w:tcPr>
                  <w:tcW w:w="1432" w:type="dxa"/>
                  <w:vAlign w:val="center"/>
                </w:tcPr>
                <w:p>
                  <w:pPr>
                    <w:jc w:val="center"/>
                    <w:rPr>
                      <w:szCs w:val="21"/>
                    </w:rPr>
                  </w:pPr>
                  <w:r>
                    <w:rPr>
                      <w:szCs w:val="21"/>
                    </w:rPr>
                    <w:t>309-009-49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61" w:type="dxa"/>
                  <w:vAlign w:val="center"/>
                </w:tcPr>
                <w:p>
                  <w:pPr>
                    <w:jc w:val="center"/>
                    <w:rPr>
                      <w:szCs w:val="21"/>
                    </w:rPr>
                  </w:pPr>
                  <w:r>
                    <w:rPr>
                      <w:szCs w:val="21"/>
                    </w:rPr>
                    <w:t>3</w:t>
                  </w:r>
                </w:p>
              </w:tc>
              <w:tc>
                <w:tcPr>
                  <w:tcW w:w="1427" w:type="dxa"/>
                  <w:vAlign w:val="center"/>
                </w:tcPr>
                <w:p>
                  <w:pPr>
                    <w:jc w:val="center"/>
                    <w:rPr>
                      <w:szCs w:val="21"/>
                    </w:rPr>
                  </w:pPr>
                  <w:r>
                    <w:rPr>
                      <w:rFonts w:hint="eastAsia"/>
                      <w:szCs w:val="21"/>
                    </w:rPr>
                    <w:t>沉淀池沉渣</w:t>
                  </w:r>
                </w:p>
              </w:tc>
              <w:tc>
                <w:tcPr>
                  <w:tcW w:w="763" w:type="dxa"/>
                  <w:vAlign w:val="center"/>
                </w:tcPr>
                <w:p>
                  <w:pPr>
                    <w:jc w:val="center"/>
                    <w:rPr>
                      <w:szCs w:val="21"/>
                    </w:rPr>
                  </w:pPr>
                  <w:r>
                    <w:rPr>
                      <w:rFonts w:hint="eastAsia"/>
                      <w:szCs w:val="21"/>
                    </w:rPr>
                    <w:t>废水处理</w:t>
                  </w:r>
                </w:p>
              </w:tc>
              <w:tc>
                <w:tcPr>
                  <w:tcW w:w="518" w:type="dxa"/>
                  <w:vAlign w:val="center"/>
                </w:tcPr>
                <w:p>
                  <w:pPr>
                    <w:jc w:val="center"/>
                    <w:rPr>
                      <w:szCs w:val="21"/>
                    </w:rPr>
                  </w:pPr>
                  <w:r>
                    <w:rPr>
                      <w:szCs w:val="21"/>
                    </w:rPr>
                    <w:t>固态</w:t>
                  </w:r>
                </w:p>
              </w:tc>
              <w:tc>
                <w:tcPr>
                  <w:tcW w:w="696" w:type="dxa"/>
                  <w:vAlign w:val="center"/>
                </w:tcPr>
                <w:p>
                  <w:pPr>
                    <w:jc w:val="center"/>
                    <w:rPr>
                      <w:szCs w:val="21"/>
                    </w:rPr>
                  </w:pPr>
                  <w:r>
                    <w:rPr>
                      <w:szCs w:val="21"/>
                    </w:rPr>
                    <w:t>粉尘</w:t>
                  </w:r>
                </w:p>
              </w:tc>
              <w:tc>
                <w:tcPr>
                  <w:tcW w:w="859" w:type="dxa"/>
                  <w:vAlign w:val="center"/>
                </w:tcPr>
                <w:p>
                  <w:pPr>
                    <w:jc w:val="center"/>
                    <w:rPr>
                      <w:szCs w:val="21"/>
                    </w:rPr>
                  </w:pPr>
                  <w:r>
                    <w:rPr>
                      <w:szCs w:val="21"/>
                    </w:rPr>
                    <w:t>是</w:t>
                  </w:r>
                </w:p>
              </w:tc>
              <w:tc>
                <w:tcPr>
                  <w:tcW w:w="1841" w:type="dxa"/>
                  <w:vAlign w:val="center"/>
                </w:tcPr>
                <w:p>
                  <w:pPr>
                    <w:jc w:val="center"/>
                    <w:rPr>
                      <w:szCs w:val="21"/>
                    </w:rPr>
                  </w:pPr>
                  <w:r>
                    <w:rPr>
                      <w:szCs w:val="21"/>
                    </w:rPr>
                    <w:t>生产过程产生</w:t>
                  </w:r>
                </w:p>
              </w:tc>
              <w:tc>
                <w:tcPr>
                  <w:tcW w:w="1432" w:type="dxa"/>
                  <w:vAlign w:val="center"/>
                </w:tcPr>
                <w:p>
                  <w:pPr>
                    <w:jc w:val="center"/>
                    <w:rPr>
                      <w:szCs w:val="21"/>
                    </w:rPr>
                  </w:pPr>
                  <w:r>
                    <w:rPr>
                      <w:szCs w:val="21"/>
                    </w:rPr>
                    <w:t>309-009-</w:t>
                  </w:r>
                  <w:r>
                    <w:rPr>
                      <w:rFonts w:hint="eastAsia"/>
                      <w:szCs w:val="21"/>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61" w:type="dxa"/>
                  <w:vAlign w:val="center"/>
                </w:tcPr>
                <w:p>
                  <w:pPr>
                    <w:jc w:val="center"/>
                    <w:rPr>
                      <w:szCs w:val="21"/>
                    </w:rPr>
                  </w:pPr>
                  <w:r>
                    <w:rPr>
                      <w:rFonts w:hint="eastAsia"/>
                      <w:szCs w:val="21"/>
                    </w:rPr>
                    <w:t>4</w:t>
                  </w:r>
                </w:p>
              </w:tc>
              <w:tc>
                <w:tcPr>
                  <w:tcW w:w="1427" w:type="dxa"/>
                  <w:vAlign w:val="center"/>
                </w:tcPr>
                <w:p>
                  <w:pPr>
                    <w:jc w:val="center"/>
                    <w:rPr>
                      <w:szCs w:val="21"/>
                    </w:rPr>
                  </w:pPr>
                  <w:r>
                    <w:rPr>
                      <w:szCs w:val="21"/>
                    </w:rPr>
                    <w:t>生活垃圾</w:t>
                  </w:r>
                </w:p>
              </w:tc>
              <w:tc>
                <w:tcPr>
                  <w:tcW w:w="763" w:type="dxa"/>
                  <w:vAlign w:val="center"/>
                </w:tcPr>
                <w:p>
                  <w:pPr>
                    <w:jc w:val="center"/>
                    <w:rPr>
                      <w:szCs w:val="21"/>
                    </w:rPr>
                  </w:pPr>
                  <w:r>
                    <w:rPr>
                      <w:szCs w:val="21"/>
                    </w:rPr>
                    <w:t>生活</w:t>
                  </w:r>
                </w:p>
              </w:tc>
              <w:tc>
                <w:tcPr>
                  <w:tcW w:w="518" w:type="dxa"/>
                  <w:vAlign w:val="center"/>
                </w:tcPr>
                <w:p>
                  <w:pPr>
                    <w:jc w:val="center"/>
                    <w:rPr>
                      <w:szCs w:val="21"/>
                    </w:rPr>
                  </w:pPr>
                  <w:r>
                    <w:rPr>
                      <w:szCs w:val="21"/>
                    </w:rPr>
                    <w:t>/</w:t>
                  </w:r>
                </w:p>
              </w:tc>
              <w:tc>
                <w:tcPr>
                  <w:tcW w:w="696" w:type="dxa"/>
                  <w:vAlign w:val="center"/>
                </w:tcPr>
                <w:p>
                  <w:pPr>
                    <w:jc w:val="center"/>
                    <w:rPr>
                      <w:szCs w:val="21"/>
                    </w:rPr>
                  </w:pPr>
                  <w:r>
                    <w:rPr>
                      <w:szCs w:val="21"/>
                    </w:rPr>
                    <w:t>/</w:t>
                  </w:r>
                </w:p>
              </w:tc>
              <w:tc>
                <w:tcPr>
                  <w:tcW w:w="859" w:type="dxa"/>
                  <w:vAlign w:val="center"/>
                </w:tcPr>
                <w:p>
                  <w:pPr>
                    <w:jc w:val="center"/>
                    <w:rPr>
                      <w:szCs w:val="21"/>
                    </w:rPr>
                  </w:pPr>
                  <w:r>
                    <w:rPr>
                      <w:szCs w:val="21"/>
                    </w:rPr>
                    <w:t>是</w:t>
                  </w:r>
                </w:p>
              </w:tc>
              <w:tc>
                <w:tcPr>
                  <w:tcW w:w="1841" w:type="dxa"/>
                  <w:vAlign w:val="center"/>
                </w:tcPr>
                <w:p>
                  <w:pPr>
                    <w:jc w:val="center"/>
                    <w:rPr>
                      <w:szCs w:val="21"/>
                    </w:rPr>
                  </w:pPr>
                  <w:r>
                    <w:rPr>
                      <w:szCs w:val="21"/>
                    </w:rPr>
                    <w:t>生活过程中产生</w:t>
                  </w:r>
                </w:p>
              </w:tc>
              <w:tc>
                <w:tcPr>
                  <w:tcW w:w="1432" w:type="dxa"/>
                  <w:vAlign w:val="center"/>
                </w:tcPr>
                <w:p>
                  <w:pPr>
                    <w:jc w:val="center"/>
                    <w:rPr>
                      <w:szCs w:val="21"/>
                    </w:rPr>
                  </w:pPr>
                  <w:r>
                    <w:rPr>
                      <w:szCs w:val="21"/>
                    </w:rPr>
                    <w:t>/</w:t>
                  </w:r>
                </w:p>
              </w:tc>
            </w:tr>
          </w:tbl>
          <w:p>
            <w:pPr>
              <w:autoSpaceDE w:val="0"/>
              <w:autoSpaceDN w:val="0"/>
              <w:adjustRightInd w:val="0"/>
              <w:snapToGrid w:val="0"/>
              <w:spacing w:line="360" w:lineRule="auto"/>
              <w:ind w:firstLine="480" w:firstLineChars="200"/>
              <w:jc w:val="left"/>
              <w:rPr>
                <w:b/>
                <w:kern w:val="0"/>
                <w:sz w:val="24"/>
              </w:rPr>
            </w:pPr>
            <w:r>
              <w:rPr>
                <w:kern w:val="0"/>
                <w:sz w:val="24"/>
              </w:rPr>
              <w:t>根据上述分析，本项目固体废物分析结果汇总下表。</w:t>
            </w:r>
          </w:p>
          <w:p>
            <w:pPr>
              <w:autoSpaceDE w:val="0"/>
              <w:autoSpaceDN w:val="0"/>
              <w:adjustRightInd w:val="0"/>
              <w:snapToGrid w:val="0"/>
              <w:spacing w:line="360" w:lineRule="auto"/>
              <w:jc w:val="center"/>
              <w:rPr>
                <w:b/>
                <w:kern w:val="0"/>
                <w:szCs w:val="21"/>
              </w:rPr>
            </w:pPr>
            <w:r>
              <w:rPr>
                <w:b/>
                <w:kern w:val="0"/>
                <w:sz w:val="24"/>
              </w:rPr>
              <w:t>表4-</w:t>
            </w:r>
            <w:r>
              <w:rPr>
                <w:rFonts w:hint="eastAsia"/>
                <w:b/>
                <w:kern w:val="0"/>
                <w:sz w:val="24"/>
                <w:lang w:val="en-US" w:eastAsia="zh-CN"/>
              </w:rPr>
              <w:t xml:space="preserve">11 </w:t>
            </w:r>
            <w:r>
              <w:rPr>
                <w:b/>
                <w:kern w:val="0"/>
                <w:sz w:val="24"/>
              </w:rPr>
              <w:t>本项目固废贮存和处置情况</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2757"/>
              <w:gridCol w:w="1350"/>
              <w:gridCol w:w="2280"/>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vAlign w:val="center"/>
                </w:tcPr>
                <w:p>
                  <w:pPr>
                    <w:pStyle w:val="118"/>
                    <w:rPr>
                      <w:b/>
                      <w:bCs/>
                    </w:rPr>
                  </w:pPr>
                  <w:r>
                    <w:rPr>
                      <w:b/>
                      <w:bCs/>
                    </w:rPr>
                    <w:t>固废名称</w:t>
                  </w:r>
                </w:p>
              </w:tc>
              <w:tc>
                <w:tcPr>
                  <w:tcW w:w="1515" w:type="pct"/>
                  <w:vAlign w:val="center"/>
                </w:tcPr>
                <w:p>
                  <w:pPr>
                    <w:pStyle w:val="118"/>
                    <w:rPr>
                      <w:b/>
                      <w:bCs/>
                    </w:rPr>
                  </w:pPr>
                  <w:r>
                    <w:rPr>
                      <w:b/>
                      <w:bCs/>
                    </w:rPr>
                    <w:t>储存位置</w:t>
                  </w:r>
                </w:p>
              </w:tc>
              <w:tc>
                <w:tcPr>
                  <w:tcW w:w="742" w:type="pct"/>
                  <w:vAlign w:val="center"/>
                </w:tcPr>
                <w:p>
                  <w:pPr>
                    <w:pStyle w:val="118"/>
                    <w:rPr>
                      <w:b/>
                      <w:bCs/>
                    </w:rPr>
                  </w:pPr>
                  <w:r>
                    <w:rPr>
                      <w:b/>
                      <w:bCs/>
                    </w:rPr>
                    <w:t>预测产生量</w:t>
                  </w:r>
                </w:p>
              </w:tc>
              <w:tc>
                <w:tcPr>
                  <w:tcW w:w="1253" w:type="pct"/>
                  <w:vAlign w:val="center"/>
                </w:tcPr>
                <w:p>
                  <w:pPr>
                    <w:pStyle w:val="118"/>
                    <w:rPr>
                      <w:b/>
                      <w:bCs/>
                    </w:rPr>
                  </w:pPr>
                  <w:r>
                    <w:rPr>
                      <w:b/>
                      <w:bCs/>
                    </w:rPr>
                    <w:t>利用处置方式及去向</w:t>
                  </w:r>
                </w:p>
              </w:tc>
              <w:tc>
                <w:tcPr>
                  <w:tcW w:w="680" w:type="pct"/>
                  <w:vAlign w:val="center"/>
                </w:tcPr>
                <w:p>
                  <w:pPr>
                    <w:pStyle w:val="118"/>
                    <w:rPr>
                      <w:b/>
                      <w:bCs/>
                    </w:rPr>
                  </w:pPr>
                  <w:r>
                    <w:rPr>
                      <w:b/>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vAlign w:val="center"/>
                </w:tcPr>
                <w:p>
                  <w:pPr>
                    <w:jc w:val="center"/>
                    <w:rPr>
                      <w:rFonts w:hint="eastAsia" w:eastAsia="宋体"/>
                      <w:szCs w:val="21"/>
                      <w:lang w:eastAsia="zh-CN"/>
                    </w:rPr>
                  </w:pPr>
                  <w:r>
                    <w:rPr>
                      <w:rFonts w:hint="eastAsia"/>
                      <w:szCs w:val="21"/>
                      <w:lang w:val="en-US" w:eastAsia="zh-CN"/>
                    </w:rPr>
                    <w:t>除尘器收集粉尘</w:t>
                  </w:r>
                </w:p>
              </w:tc>
              <w:tc>
                <w:tcPr>
                  <w:tcW w:w="1515" w:type="pct"/>
                  <w:vAlign w:val="center"/>
                </w:tcPr>
                <w:p>
                  <w:pPr>
                    <w:pStyle w:val="118"/>
                  </w:pPr>
                  <w:r>
                    <w:t>回用于生产，不储存</w:t>
                  </w:r>
                </w:p>
              </w:tc>
              <w:tc>
                <w:tcPr>
                  <w:tcW w:w="742" w:type="pct"/>
                  <w:vAlign w:val="center"/>
                </w:tcPr>
                <w:p>
                  <w:pPr>
                    <w:pStyle w:val="118"/>
                  </w:pPr>
                  <w:r>
                    <w:t>5.6681t/a</w:t>
                  </w:r>
                </w:p>
              </w:tc>
              <w:tc>
                <w:tcPr>
                  <w:tcW w:w="1253" w:type="pct"/>
                  <w:vAlign w:val="center"/>
                </w:tcPr>
                <w:p>
                  <w:pPr>
                    <w:pStyle w:val="118"/>
                  </w:pPr>
                  <w:r>
                    <w:t>回用于生产</w:t>
                  </w:r>
                </w:p>
              </w:tc>
              <w:tc>
                <w:tcPr>
                  <w:tcW w:w="680" w:type="pct"/>
                  <w:vAlign w:val="center"/>
                </w:tcPr>
                <w:p>
                  <w:pPr>
                    <w:pStyle w:val="118"/>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pct"/>
                  <w:vAlign w:val="center"/>
                </w:tcPr>
                <w:p>
                  <w:pPr>
                    <w:pStyle w:val="118"/>
                  </w:pPr>
                  <w:r>
                    <w:rPr>
                      <w:rFonts w:hint="eastAsia"/>
                    </w:rPr>
                    <w:t>筛上物</w:t>
                  </w:r>
                </w:p>
              </w:tc>
              <w:tc>
                <w:tcPr>
                  <w:tcW w:w="1515" w:type="pct"/>
                  <w:vAlign w:val="center"/>
                </w:tcPr>
                <w:p>
                  <w:pPr>
                    <w:pStyle w:val="118"/>
                  </w:pPr>
                  <w:r>
                    <w:t>回用于生产，不储存</w:t>
                  </w:r>
                </w:p>
              </w:tc>
              <w:tc>
                <w:tcPr>
                  <w:tcW w:w="742" w:type="pct"/>
                  <w:vAlign w:val="center"/>
                </w:tcPr>
                <w:p>
                  <w:pPr>
                    <w:pStyle w:val="118"/>
                  </w:pPr>
                  <w:r>
                    <w:t>100t/a</w:t>
                  </w:r>
                </w:p>
              </w:tc>
              <w:tc>
                <w:tcPr>
                  <w:tcW w:w="1253" w:type="pct"/>
                  <w:vAlign w:val="center"/>
                </w:tcPr>
                <w:p>
                  <w:pPr>
                    <w:pStyle w:val="118"/>
                  </w:pPr>
                  <w:r>
                    <w:t>回用于生产</w:t>
                  </w:r>
                </w:p>
              </w:tc>
              <w:tc>
                <w:tcPr>
                  <w:tcW w:w="680" w:type="pct"/>
                  <w:vAlign w:val="center"/>
                </w:tcPr>
                <w:p>
                  <w:pPr>
                    <w:pStyle w:val="118"/>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07" w:type="pct"/>
                  <w:vAlign w:val="center"/>
                </w:tcPr>
                <w:p>
                  <w:pPr>
                    <w:pStyle w:val="118"/>
                  </w:pPr>
                  <w:r>
                    <w:rPr>
                      <w:rFonts w:hint="eastAsia"/>
                    </w:rPr>
                    <w:t>沉淀池沉渣</w:t>
                  </w:r>
                </w:p>
              </w:tc>
              <w:tc>
                <w:tcPr>
                  <w:tcW w:w="1515" w:type="pct"/>
                  <w:vAlign w:val="center"/>
                </w:tcPr>
                <w:p>
                  <w:pPr>
                    <w:pStyle w:val="118"/>
                  </w:pPr>
                  <w:r>
                    <w:t>回用于生产，不储存</w:t>
                  </w:r>
                </w:p>
              </w:tc>
              <w:tc>
                <w:tcPr>
                  <w:tcW w:w="742" w:type="pct"/>
                  <w:vAlign w:val="center"/>
                </w:tcPr>
                <w:p>
                  <w:pPr>
                    <w:pStyle w:val="118"/>
                  </w:pPr>
                  <w:r>
                    <w:rPr>
                      <w:rFonts w:hint="eastAsia"/>
                    </w:rPr>
                    <w:t>1t/a</w:t>
                  </w:r>
                </w:p>
              </w:tc>
              <w:tc>
                <w:tcPr>
                  <w:tcW w:w="1253" w:type="pct"/>
                  <w:vAlign w:val="center"/>
                </w:tcPr>
                <w:p>
                  <w:pPr>
                    <w:pStyle w:val="118"/>
                  </w:pPr>
                  <w:r>
                    <w:t>回用于生产</w:t>
                  </w:r>
                </w:p>
              </w:tc>
              <w:tc>
                <w:tcPr>
                  <w:tcW w:w="680" w:type="pct"/>
                  <w:vAlign w:val="center"/>
                </w:tcPr>
                <w:p>
                  <w:pPr>
                    <w:pStyle w:val="118"/>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07" w:type="pct"/>
                  <w:vAlign w:val="center"/>
                </w:tcPr>
                <w:p>
                  <w:pPr>
                    <w:pStyle w:val="118"/>
                  </w:pPr>
                  <w:r>
                    <w:t>生活垃圾</w:t>
                  </w:r>
                </w:p>
              </w:tc>
              <w:tc>
                <w:tcPr>
                  <w:tcW w:w="1515" w:type="pct"/>
                  <w:vAlign w:val="center"/>
                </w:tcPr>
                <w:p>
                  <w:pPr>
                    <w:pStyle w:val="118"/>
                  </w:pPr>
                  <w:r>
                    <w:t>分类收集、暂存在垃圾桶内</w:t>
                  </w:r>
                </w:p>
              </w:tc>
              <w:tc>
                <w:tcPr>
                  <w:tcW w:w="742" w:type="pct"/>
                  <w:vAlign w:val="center"/>
                </w:tcPr>
                <w:p>
                  <w:pPr>
                    <w:pStyle w:val="118"/>
                  </w:pPr>
                  <w:r>
                    <w:t>0.75t/a</w:t>
                  </w:r>
                </w:p>
              </w:tc>
              <w:tc>
                <w:tcPr>
                  <w:tcW w:w="1253" w:type="pct"/>
                  <w:vAlign w:val="center"/>
                </w:tcPr>
                <w:p>
                  <w:pPr>
                    <w:pStyle w:val="118"/>
                  </w:pPr>
                  <w:r>
                    <w:t>设置垃圾箱，交由环卫部门清运</w:t>
                  </w:r>
                </w:p>
              </w:tc>
              <w:tc>
                <w:tcPr>
                  <w:tcW w:w="680" w:type="pct"/>
                  <w:vAlign w:val="center"/>
                </w:tcPr>
                <w:p>
                  <w:pPr>
                    <w:pStyle w:val="118"/>
                  </w:pPr>
                  <w:r>
                    <w:t>符合</w:t>
                  </w:r>
                </w:p>
              </w:tc>
            </w:tr>
          </w:tbl>
          <w:p>
            <w:pPr>
              <w:spacing w:line="360" w:lineRule="auto"/>
              <w:ind w:firstLine="480" w:firstLineChars="200"/>
              <w:rPr>
                <w:spacing w:val="6"/>
                <w:sz w:val="24"/>
                <w:lang w:val="en-GB"/>
              </w:rPr>
            </w:pPr>
            <w:r>
              <w:rPr>
                <w:kern w:val="0"/>
                <w:sz w:val="24"/>
              </w:rPr>
              <w:t>一般工业固废仓库的建设应满足</w:t>
            </w:r>
            <w:r>
              <w:rPr>
                <w:sz w:val="24"/>
              </w:rPr>
              <w:t>《</w:t>
            </w:r>
            <w:r>
              <w:fldChar w:fldCharType="begin"/>
            </w:r>
            <w:r>
              <w:instrText xml:space="preserve"> HYPERLINK "https://www.eiacloud.com/hpy/lawstandardApp/javascript:" </w:instrText>
            </w:r>
            <w:r>
              <w:fldChar w:fldCharType="separate"/>
            </w:r>
            <w:r>
              <w:rPr>
                <w:sz w:val="24"/>
              </w:rPr>
              <w:t>一般工业固体废物贮存和填埋污染控制标准》（GB 18599-2020）</w:t>
            </w:r>
            <w:r>
              <w:rPr>
                <w:sz w:val="24"/>
              </w:rPr>
              <w:fldChar w:fldCharType="end"/>
            </w:r>
            <w:r>
              <w:rPr>
                <w:kern w:val="0"/>
                <w:sz w:val="24"/>
              </w:rPr>
              <w:t>。具体为：贮存区采取防风防雨措施；各类固废应分类收集；贮存区按照《环境保护图形标志——固体废物贮存（处置）场》(GB15562.2)的要求设置环保图形标志；指定专人进行日常管理</w:t>
            </w:r>
            <w:r>
              <w:rPr>
                <w:spacing w:val="6"/>
                <w:sz w:val="24"/>
                <w:lang w:val="en-GB"/>
              </w:rPr>
              <w:t>。</w:t>
            </w:r>
          </w:p>
          <w:p>
            <w:pPr>
              <w:adjustRightInd w:val="0"/>
              <w:snapToGrid w:val="0"/>
              <w:spacing w:line="360" w:lineRule="auto"/>
              <w:ind w:firstLine="480" w:firstLineChars="200"/>
              <w:rPr>
                <w:b/>
                <w:bCs/>
                <w:kern w:val="0"/>
                <w:sz w:val="24"/>
              </w:rPr>
            </w:pPr>
            <w:r>
              <w:rPr>
                <w:bCs/>
                <w:sz w:val="24"/>
              </w:rPr>
              <w:t>经上述处理后，固体废物能够合理处置，固体废物只在厂内作短时间的堆放，对环境产生影响较小。固体废物处置符合</w:t>
            </w:r>
            <w:r>
              <w:rPr>
                <w:sz w:val="24"/>
              </w:rPr>
              <w:t>《</w:t>
            </w:r>
            <w:r>
              <w:fldChar w:fldCharType="begin"/>
            </w:r>
            <w:r>
              <w:instrText xml:space="preserve"> HYPERLINK "https://www.eiacloud.com/hpy/lawstandardApp/javascript:" </w:instrText>
            </w:r>
            <w:r>
              <w:fldChar w:fldCharType="separate"/>
            </w:r>
            <w:r>
              <w:rPr>
                <w:sz w:val="24"/>
              </w:rPr>
              <w:t>一般工业固体废物贮存和填埋污染控制标准》（GB 18599-2020）</w:t>
            </w:r>
            <w:r>
              <w:rPr>
                <w:sz w:val="24"/>
              </w:rPr>
              <w:fldChar w:fldCharType="end"/>
            </w:r>
            <w:r>
              <w:rPr>
                <w:sz w:val="24"/>
              </w:rPr>
              <w:t>。</w:t>
            </w:r>
          </w:p>
          <w:p>
            <w:pPr>
              <w:spacing w:line="360" w:lineRule="auto"/>
              <w:ind w:firstLine="480" w:firstLineChars="200"/>
              <w:rPr>
                <w:b/>
                <w:spacing w:val="-10"/>
                <w:sz w:val="24"/>
              </w:rPr>
            </w:pPr>
            <w:r>
              <w:rPr>
                <w:sz w:val="24"/>
              </w:rPr>
              <w:t>综上，在上述措施实施得当的情况下，该项目固体废物对周围环境影响可接受。</w:t>
            </w:r>
          </w:p>
          <w:p>
            <w:pPr>
              <w:adjustRightInd w:val="0"/>
              <w:snapToGrid w:val="0"/>
              <w:spacing w:before="156" w:beforeLines="50" w:line="360" w:lineRule="auto"/>
              <w:ind w:firstLine="442" w:firstLineChars="200"/>
              <w:rPr>
                <w:b/>
                <w:spacing w:val="-10"/>
                <w:sz w:val="24"/>
              </w:rPr>
            </w:pPr>
            <w:r>
              <w:rPr>
                <w:b/>
                <w:spacing w:val="-10"/>
                <w:sz w:val="24"/>
              </w:rPr>
              <w:t>五、地下水和土壤</w:t>
            </w:r>
          </w:p>
          <w:p>
            <w:pPr>
              <w:adjustRightInd w:val="0"/>
              <w:snapToGrid w:val="0"/>
              <w:spacing w:line="360" w:lineRule="auto"/>
              <w:ind w:firstLine="480" w:firstLineChars="200"/>
              <w:rPr>
                <w:sz w:val="24"/>
              </w:rPr>
            </w:pPr>
            <w:r>
              <w:rPr>
                <w:sz w:val="24"/>
              </w:rPr>
              <w:t>（1）污染途径</w:t>
            </w:r>
          </w:p>
          <w:p>
            <w:pPr>
              <w:adjustRightInd w:val="0"/>
              <w:snapToGrid w:val="0"/>
              <w:spacing w:line="360" w:lineRule="auto"/>
              <w:ind w:firstLine="480" w:firstLineChars="200"/>
              <w:rPr>
                <w:sz w:val="24"/>
              </w:rPr>
            </w:pPr>
            <w:r>
              <w:rPr>
                <w:sz w:val="24"/>
              </w:rPr>
              <w:t>本项目</w:t>
            </w:r>
            <w:r>
              <w:rPr>
                <w:rFonts w:hint="eastAsia"/>
                <w:sz w:val="24"/>
                <w:lang w:val="en-US" w:eastAsia="zh-CN"/>
              </w:rPr>
              <w:t>非</w:t>
            </w:r>
            <w:r>
              <w:rPr>
                <w:sz w:val="24"/>
              </w:rPr>
              <w:t>正常情况下，项目主要污染途径包括：</w:t>
            </w:r>
          </w:p>
          <w:p>
            <w:pPr>
              <w:adjustRightInd w:val="0"/>
              <w:snapToGrid w:val="0"/>
              <w:spacing w:line="360" w:lineRule="auto"/>
              <w:ind w:firstLine="480" w:firstLineChars="200"/>
              <w:rPr>
                <w:sz w:val="24"/>
              </w:rPr>
            </w:pPr>
            <w:r>
              <w:rPr>
                <w:sz w:val="24"/>
              </w:rPr>
              <w:t>①化粪池、管道防渗层破裂、粘结缝不够密封或污水管道破裂等原因造成污染物质的渗透，从而污染地下水和土壤。</w:t>
            </w:r>
          </w:p>
          <w:p>
            <w:pPr>
              <w:adjustRightInd w:val="0"/>
              <w:snapToGrid w:val="0"/>
              <w:spacing w:line="360" w:lineRule="auto"/>
              <w:ind w:firstLine="480" w:firstLineChars="200"/>
              <w:rPr>
                <w:sz w:val="24"/>
              </w:rPr>
            </w:pPr>
            <w:r>
              <w:rPr>
                <w:sz w:val="24"/>
              </w:rPr>
              <w:t>②固废储存地面防渗不当，造成固体废物渗滤液下渗污染地下水和土壤。</w:t>
            </w:r>
          </w:p>
          <w:p>
            <w:pPr>
              <w:adjustRightInd w:val="0"/>
              <w:snapToGrid w:val="0"/>
              <w:spacing w:line="360" w:lineRule="auto"/>
              <w:ind w:left="420" w:leftChars="200"/>
              <w:rPr>
                <w:sz w:val="24"/>
              </w:rPr>
            </w:pPr>
            <w:r>
              <w:rPr>
                <w:sz w:val="24"/>
              </w:rPr>
              <w:t>（2）防控措施</w:t>
            </w:r>
          </w:p>
          <w:p>
            <w:pPr>
              <w:adjustRightInd w:val="0"/>
              <w:snapToGrid w:val="0"/>
              <w:spacing w:line="360" w:lineRule="auto"/>
              <w:ind w:firstLine="480" w:firstLineChars="200"/>
              <w:rPr>
                <w:sz w:val="24"/>
              </w:rPr>
            </w:pPr>
            <w:r>
              <w:rPr>
                <w:sz w:val="24"/>
              </w:rPr>
              <w:t>工程生产运行过程中要建立健全地下水、土壤保护与污染防治的措施与方法；一旦发现地下水遭受污染，就应及时采取措施，防微杜渐；尽量减少污染物进入地下含水层的机会和数量。主要采取以下措施如下：</w:t>
            </w:r>
          </w:p>
          <w:p>
            <w:pPr>
              <w:spacing w:line="360" w:lineRule="auto"/>
              <w:ind w:firstLine="480" w:firstLineChars="200"/>
              <w:rPr>
                <w:sz w:val="24"/>
              </w:rPr>
            </w:pPr>
            <w:r>
              <w:rPr>
                <w:sz w:val="24"/>
              </w:rPr>
              <w:t>①源头控制措施</w:t>
            </w:r>
          </w:p>
          <w:p>
            <w:pPr>
              <w:spacing w:line="360" w:lineRule="auto"/>
              <w:ind w:firstLine="480" w:firstLineChars="200"/>
              <w:rPr>
                <w:sz w:val="24"/>
              </w:rPr>
            </w:pPr>
            <w:r>
              <w:rPr>
                <w:sz w:val="24"/>
              </w:rPr>
              <w:t>应对项目污水处理的各装置及其所经过的管道要经常巡查，杜绝“跑、冒、滴、漏”等事故的发生，尤其是在化粪池、污水输送管道等周边，要进行严格的防渗处理，从源头上防止污水进入地下水含水层之中。</w:t>
            </w:r>
          </w:p>
          <w:p>
            <w:pPr>
              <w:spacing w:line="360" w:lineRule="auto"/>
              <w:ind w:firstLine="480" w:firstLineChars="200"/>
              <w:rPr>
                <w:sz w:val="24"/>
              </w:rPr>
            </w:pPr>
            <w:r>
              <w:rPr>
                <w:sz w:val="24"/>
              </w:rPr>
              <w:t>②分区防控措施</w:t>
            </w:r>
          </w:p>
          <w:p>
            <w:pPr>
              <w:spacing w:line="360" w:lineRule="auto"/>
              <w:ind w:firstLine="480" w:firstLineChars="200"/>
              <w:rPr>
                <w:sz w:val="24"/>
              </w:rPr>
            </w:pPr>
            <w:r>
              <w:rPr>
                <w:sz w:val="24"/>
              </w:rPr>
              <w:t>根据《环境影响评价技术导则 地下水环境》（HJ 610-2016），简单防渗区采用一般地面硬化，一般污染防治区防渗层的防渗性能不应低于1.5m 厚渗透系数1.0×10</w:t>
            </w:r>
            <w:r>
              <w:rPr>
                <w:sz w:val="24"/>
                <w:vertAlign w:val="superscript"/>
              </w:rPr>
              <w:t>-7</w:t>
            </w:r>
            <w:r>
              <w:rPr>
                <w:sz w:val="24"/>
              </w:rPr>
              <w:t>cm/s 的黏土层的防渗性能，重点污染防治区防渗层的防渗性能不应低于6.0m厚渗透系数为 1.0×10</w:t>
            </w:r>
            <w:r>
              <w:rPr>
                <w:sz w:val="24"/>
                <w:vertAlign w:val="superscript"/>
              </w:rPr>
              <w:t>-7</w:t>
            </w:r>
            <w:r>
              <w:rPr>
                <w:sz w:val="24"/>
              </w:rPr>
              <w:t>cm/s的黏土层的防渗性能。</w:t>
            </w:r>
          </w:p>
          <w:p>
            <w:pPr>
              <w:spacing w:line="360" w:lineRule="auto"/>
              <w:ind w:firstLine="480" w:firstLineChars="200"/>
              <w:rPr>
                <w:sz w:val="24"/>
              </w:rPr>
            </w:pPr>
            <w:r>
              <w:rPr>
                <w:sz w:val="24"/>
              </w:rPr>
              <w:t>根据污染控制难易程度分级参照表，天然包气带防污性能分级参照表，地下水污染防渗分区参照表，本项目的防渗等级可以分为三个等级——简单防渗区、一般防渗区和重点防渗区。</w:t>
            </w:r>
          </w:p>
          <w:p>
            <w:pPr>
              <w:spacing w:line="360" w:lineRule="auto"/>
              <w:ind w:firstLine="480" w:firstLineChars="200"/>
              <w:rPr>
                <w:sz w:val="24"/>
              </w:rPr>
            </w:pPr>
            <w:r>
              <w:rPr>
                <w:sz w:val="24"/>
              </w:rPr>
              <w:t>结合本项目实际情况，重点污染防治区包括化粪池，一般污染防治区包括除重点防渗区以外的其他生产车间区域。</w:t>
            </w:r>
          </w:p>
          <w:p>
            <w:pPr>
              <w:spacing w:line="360" w:lineRule="auto"/>
              <w:ind w:firstLine="480" w:firstLineChars="200"/>
              <w:rPr>
                <w:sz w:val="24"/>
              </w:rPr>
            </w:pPr>
            <w:r>
              <w:rPr>
                <w:sz w:val="24"/>
              </w:rPr>
              <w:t>根据《一般工业固体废物贮存与填埋污染控制标准》（GB18599-2020）标准要求，对污染防治区设置防渗层，项目各单元防渗措施具体见下表。</w:t>
            </w:r>
          </w:p>
          <w:p>
            <w:pPr>
              <w:adjustRightInd w:val="0"/>
              <w:snapToGrid w:val="0"/>
              <w:jc w:val="center"/>
              <w:rPr>
                <w:b/>
                <w:bCs/>
                <w:szCs w:val="21"/>
              </w:rPr>
            </w:pPr>
            <w:r>
              <w:rPr>
                <w:b/>
                <w:bCs/>
                <w:sz w:val="24"/>
              </w:rPr>
              <w:t>表4-13 项目各单元污染防治分区</w:t>
            </w:r>
          </w:p>
          <w:tbl>
            <w:tblPr>
              <w:tblStyle w:val="35"/>
              <w:tblW w:w="903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12"/>
              <w:gridCol w:w="1329"/>
              <w:gridCol w:w="3105"/>
              <w:gridCol w:w="388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712" w:type="dxa"/>
                  <w:vAlign w:val="center"/>
                </w:tcPr>
                <w:p>
                  <w:pPr>
                    <w:pStyle w:val="101"/>
                    <w:adjustRightInd w:val="0"/>
                    <w:snapToGrid w:val="0"/>
                    <w:spacing w:line="240" w:lineRule="auto"/>
                    <w:ind w:firstLine="0" w:firstLineChars="0"/>
                    <w:jc w:val="center"/>
                    <w:rPr>
                      <w:rFonts w:ascii="Times New Roman" w:hAnsi="Times New Roman"/>
                      <w:b/>
                      <w:bCs/>
                      <w:color w:val="000000"/>
                      <w:kern w:val="2"/>
                      <w:sz w:val="21"/>
                      <w:szCs w:val="21"/>
                    </w:rPr>
                  </w:pPr>
                  <w:r>
                    <w:rPr>
                      <w:rFonts w:ascii="Times New Roman" w:hAnsi="Times New Roman"/>
                      <w:b/>
                      <w:bCs/>
                      <w:color w:val="000000"/>
                      <w:kern w:val="2"/>
                      <w:sz w:val="21"/>
                      <w:szCs w:val="21"/>
                    </w:rPr>
                    <w:t>序号</w:t>
                  </w:r>
                </w:p>
              </w:tc>
              <w:tc>
                <w:tcPr>
                  <w:tcW w:w="1329" w:type="dxa"/>
                  <w:vAlign w:val="center"/>
                </w:tcPr>
                <w:p>
                  <w:pPr>
                    <w:pStyle w:val="101"/>
                    <w:adjustRightInd w:val="0"/>
                    <w:snapToGrid w:val="0"/>
                    <w:spacing w:line="240" w:lineRule="auto"/>
                    <w:ind w:firstLine="0" w:firstLineChars="0"/>
                    <w:jc w:val="center"/>
                    <w:rPr>
                      <w:rFonts w:ascii="Times New Roman" w:hAnsi="Times New Roman"/>
                      <w:b/>
                      <w:bCs/>
                      <w:color w:val="000000"/>
                      <w:kern w:val="2"/>
                      <w:sz w:val="21"/>
                      <w:szCs w:val="21"/>
                    </w:rPr>
                  </w:pPr>
                  <w:r>
                    <w:rPr>
                      <w:rFonts w:ascii="Times New Roman" w:hAnsi="Times New Roman"/>
                      <w:b/>
                      <w:bCs/>
                      <w:color w:val="000000"/>
                      <w:kern w:val="2"/>
                      <w:sz w:val="21"/>
                      <w:szCs w:val="21"/>
                    </w:rPr>
                    <w:t>分区类别</w:t>
                  </w:r>
                </w:p>
              </w:tc>
              <w:tc>
                <w:tcPr>
                  <w:tcW w:w="3105" w:type="dxa"/>
                  <w:vAlign w:val="center"/>
                </w:tcPr>
                <w:p>
                  <w:pPr>
                    <w:pStyle w:val="101"/>
                    <w:adjustRightInd w:val="0"/>
                    <w:snapToGrid w:val="0"/>
                    <w:spacing w:line="240" w:lineRule="auto"/>
                    <w:ind w:firstLine="0" w:firstLineChars="0"/>
                    <w:jc w:val="center"/>
                    <w:rPr>
                      <w:rFonts w:ascii="Times New Roman" w:hAnsi="Times New Roman"/>
                      <w:b/>
                      <w:bCs/>
                      <w:color w:val="000000"/>
                      <w:kern w:val="2"/>
                      <w:sz w:val="21"/>
                      <w:szCs w:val="21"/>
                    </w:rPr>
                  </w:pPr>
                  <w:r>
                    <w:rPr>
                      <w:rFonts w:ascii="Times New Roman" w:hAnsi="Times New Roman"/>
                      <w:b/>
                      <w:bCs/>
                      <w:color w:val="000000"/>
                      <w:kern w:val="2"/>
                      <w:sz w:val="21"/>
                      <w:szCs w:val="21"/>
                    </w:rPr>
                    <w:t>污染防治区域及部位</w:t>
                  </w:r>
                </w:p>
              </w:tc>
              <w:tc>
                <w:tcPr>
                  <w:tcW w:w="3886" w:type="dxa"/>
                  <w:vAlign w:val="center"/>
                </w:tcPr>
                <w:p>
                  <w:pPr>
                    <w:pStyle w:val="101"/>
                    <w:adjustRightInd w:val="0"/>
                    <w:snapToGrid w:val="0"/>
                    <w:spacing w:line="240" w:lineRule="auto"/>
                    <w:ind w:firstLine="0" w:firstLineChars="0"/>
                    <w:jc w:val="center"/>
                    <w:rPr>
                      <w:rFonts w:ascii="Times New Roman" w:hAnsi="Times New Roman"/>
                      <w:b/>
                      <w:bCs/>
                      <w:color w:val="000000"/>
                      <w:kern w:val="2"/>
                      <w:sz w:val="21"/>
                      <w:szCs w:val="21"/>
                    </w:rPr>
                  </w:pPr>
                  <w:r>
                    <w:rPr>
                      <w:rFonts w:ascii="Times New Roman" w:hAnsi="Times New Roman"/>
                      <w:b/>
                      <w:bCs/>
                      <w:color w:val="000000"/>
                      <w:kern w:val="2"/>
                      <w:sz w:val="21"/>
                      <w:szCs w:val="21"/>
                    </w:rPr>
                    <w:t>防渗技术要求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2" w:type="dxa"/>
                  <w:vAlign w:val="center"/>
                </w:tcPr>
                <w:p>
                  <w:pPr>
                    <w:pStyle w:val="101"/>
                    <w:adjustRightInd w:val="0"/>
                    <w:snapToGrid w:val="0"/>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1</w:t>
                  </w:r>
                </w:p>
              </w:tc>
              <w:tc>
                <w:tcPr>
                  <w:tcW w:w="1329" w:type="dxa"/>
                  <w:vAlign w:val="center"/>
                </w:tcPr>
                <w:p>
                  <w:pPr>
                    <w:pStyle w:val="101"/>
                    <w:adjustRightInd w:val="0"/>
                    <w:snapToGrid w:val="0"/>
                    <w:spacing w:line="240" w:lineRule="auto"/>
                    <w:ind w:firstLine="0" w:firstLineChars="0"/>
                    <w:jc w:val="center"/>
                    <w:rPr>
                      <w:rFonts w:ascii="Times New Roman" w:hAnsi="Times New Roman"/>
                      <w:b/>
                      <w:color w:val="000000"/>
                      <w:kern w:val="2"/>
                      <w:sz w:val="21"/>
                      <w:szCs w:val="21"/>
                    </w:rPr>
                  </w:pPr>
                  <w:r>
                    <w:rPr>
                      <w:rFonts w:ascii="Times New Roman" w:hAnsi="Times New Roman"/>
                      <w:color w:val="000000"/>
                      <w:kern w:val="2"/>
                      <w:sz w:val="21"/>
                      <w:szCs w:val="21"/>
                    </w:rPr>
                    <w:t>重点</w:t>
                  </w:r>
                  <w:r>
                    <w:rPr>
                      <w:rFonts w:ascii="Times New Roman" w:hAnsi="Times New Roman"/>
                      <w:snapToGrid w:val="0"/>
                      <w:color w:val="000000"/>
                      <w:sz w:val="21"/>
                      <w:szCs w:val="21"/>
                    </w:rPr>
                    <w:t>防渗</w:t>
                  </w:r>
                  <w:r>
                    <w:rPr>
                      <w:rFonts w:ascii="Times New Roman" w:hAnsi="Times New Roman"/>
                      <w:color w:val="000000"/>
                      <w:kern w:val="2"/>
                      <w:sz w:val="21"/>
                      <w:szCs w:val="21"/>
                    </w:rPr>
                    <w:t>区</w:t>
                  </w:r>
                </w:p>
              </w:tc>
              <w:tc>
                <w:tcPr>
                  <w:tcW w:w="3105" w:type="dxa"/>
                  <w:vAlign w:val="center"/>
                </w:tcPr>
                <w:p>
                  <w:pPr>
                    <w:pStyle w:val="101"/>
                    <w:adjustRightInd w:val="0"/>
                    <w:snapToGrid w:val="0"/>
                    <w:spacing w:line="240" w:lineRule="auto"/>
                    <w:ind w:firstLine="0" w:firstLineChars="0"/>
                    <w:jc w:val="center"/>
                    <w:rPr>
                      <w:rFonts w:ascii="Times New Roman" w:hAnsi="Times New Roman"/>
                      <w:color w:val="000000"/>
                      <w:kern w:val="2"/>
                      <w:sz w:val="21"/>
                      <w:szCs w:val="21"/>
                    </w:rPr>
                  </w:pPr>
                  <w:r>
                    <w:rPr>
                      <w:rFonts w:ascii="Times New Roman" w:hAnsi="Times New Roman"/>
                      <w:sz w:val="21"/>
                      <w:szCs w:val="21"/>
                    </w:rPr>
                    <w:t>化粪池</w:t>
                  </w:r>
                </w:p>
              </w:tc>
              <w:tc>
                <w:tcPr>
                  <w:tcW w:w="3886" w:type="dxa"/>
                  <w:vAlign w:val="center"/>
                </w:tcPr>
                <w:p>
                  <w:pPr>
                    <w:pStyle w:val="101"/>
                    <w:adjustRightInd w:val="0"/>
                    <w:snapToGrid w:val="0"/>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等效黏土防渗层 Mb≥6.0m，K≤1×10</w:t>
                  </w:r>
                  <w:r>
                    <w:rPr>
                      <w:rFonts w:ascii="Times New Roman" w:hAnsi="Times New Roman"/>
                      <w:color w:val="000000"/>
                      <w:kern w:val="2"/>
                      <w:sz w:val="21"/>
                      <w:szCs w:val="21"/>
                      <w:vertAlign w:val="superscript"/>
                    </w:rPr>
                    <w:t xml:space="preserve">-7 </w:t>
                  </w:r>
                  <w:r>
                    <w:rPr>
                      <w:rFonts w:ascii="Times New Roman" w:hAnsi="Times New Roman"/>
                      <w:color w:val="000000"/>
                      <w:kern w:val="2"/>
                      <w:sz w:val="21"/>
                      <w:szCs w:val="21"/>
                    </w:rPr>
                    <w:t>cm/s；或参照GB18598 执行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2" w:type="dxa"/>
                  <w:vAlign w:val="center"/>
                </w:tcPr>
                <w:p>
                  <w:pPr>
                    <w:pStyle w:val="101"/>
                    <w:adjustRightInd w:val="0"/>
                    <w:snapToGrid w:val="0"/>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2</w:t>
                  </w:r>
                </w:p>
              </w:tc>
              <w:tc>
                <w:tcPr>
                  <w:tcW w:w="1329" w:type="dxa"/>
                  <w:vAlign w:val="center"/>
                </w:tcPr>
                <w:p>
                  <w:pPr>
                    <w:pStyle w:val="101"/>
                    <w:adjustRightInd w:val="0"/>
                    <w:snapToGrid w:val="0"/>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一般</w:t>
                  </w:r>
                  <w:r>
                    <w:rPr>
                      <w:rFonts w:ascii="Times New Roman" w:hAnsi="Times New Roman"/>
                      <w:snapToGrid w:val="0"/>
                      <w:color w:val="000000"/>
                      <w:sz w:val="21"/>
                      <w:szCs w:val="21"/>
                    </w:rPr>
                    <w:t>防渗</w:t>
                  </w:r>
                  <w:r>
                    <w:rPr>
                      <w:rFonts w:ascii="Times New Roman" w:hAnsi="Times New Roman"/>
                      <w:color w:val="000000"/>
                      <w:kern w:val="2"/>
                      <w:sz w:val="21"/>
                      <w:szCs w:val="21"/>
                    </w:rPr>
                    <w:t>区</w:t>
                  </w:r>
                </w:p>
              </w:tc>
              <w:tc>
                <w:tcPr>
                  <w:tcW w:w="3105" w:type="dxa"/>
                  <w:vAlign w:val="center"/>
                </w:tcPr>
                <w:p>
                  <w:pPr>
                    <w:pStyle w:val="101"/>
                    <w:adjustRightInd w:val="0"/>
                    <w:snapToGrid w:val="0"/>
                    <w:spacing w:line="240" w:lineRule="auto"/>
                    <w:ind w:firstLine="0" w:firstLineChars="0"/>
                    <w:jc w:val="center"/>
                    <w:rPr>
                      <w:rFonts w:ascii="Times New Roman" w:hAnsi="Times New Roman"/>
                      <w:color w:val="000000"/>
                      <w:kern w:val="2"/>
                      <w:sz w:val="21"/>
                      <w:szCs w:val="21"/>
                    </w:rPr>
                  </w:pPr>
                  <w:r>
                    <w:rPr>
                      <w:rFonts w:ascii="Times New Roman" w:hAnsi="Times New Roman"/>
                      <w:sz w:val="21"/>
                      <w:szCs w:val="21"/>
                    </w:rPr>
                    <w:t>除重点防渗区以外的其他生产车间区域</w:t>
                  </w:r>
                </w:p>
              </w:tc>
              <w:tc>
                <w:tcPr>
                  <w:tcW w:w="3886" w:type="dxa"/>
                  <w:vAlign w:val="center"/>
                </w:tcPr>
                <w:p>
                  <w:pPr>
                    <w:pStyle w:val="101"/>
                    <w:adjustRightInd w:val="0"/>
                    <w:snapToGrid w:val="0"/>
                    <w:spacing w:line="240" w:lineRule="auto"/>
                    <w:ind w:firstLine="0" w:firstLineChars="0"/>
                    <w:jc w:val="center"/>
                    <w:rPr>
                      <w:rFonts w:ascii="Times New Roman" w:hAnsi="Times New Roman"/>
                      <w:color w:val="000000"/>
                      <w:kern w:val="2"/>
                      <w:sz w:val="21"/>
                      <w:szCs w:val="21"/>
                    </w:rPr>
                  </w:pPr>
                  <w:r>
                    <w:rPr>
                      <w:rFonts w:ascii="Times New Roman" w:hAnsi="Times New Roman"/>
                      <w:color w:val="000000"/>
                      <w:kern w:val="2"/>
                      <w:sz w:val="21"/>
                      <w:szCs w:val="21"/>
                    </w:rPr>
                    <w:t>等效黏土防渗层 Mb≥1.5m，K≤1×10</w:t>
                  </w:r>
                  <w:r>
                    <w:rPr>
                      <w:rFonts w:ascii="Times New Roman" w:hAnsi="Times New Roman"/>
                      <w:color w:val="000000"/>
                      <w:kern w:val="2"/>
                      <w:sz w:val="21"/>
                      <w:szCs w:val="21"/>
                      <w:vertAlign w:val="superscript"/>
                    </w:rPr>
                    <w:t>-7</w:t>
                  </w:r>
                  <w:r>
                    <w:rPr>
                      <w:rFonts w:ascii="Times New Roman" w:hAnsi="Times New Roman"/>
                      <w:color w:val="000000"/>
                      <w:kern w:val="2"/>
                      <w:sz w:val="21"/>
                      <w:szCs w:val="21"/>
                    </w:rPr>
                    <w:t>cm/s；或参照GB16889执行</w:t>
                  </w:r>
                </w:p>
              </w:tc>
            </w:tr>
          </w:tbl>
          <w:p>
            <w:pPr>
              <w:adjustRightInd w:val="0"/>
              <w:snapToGrid w:val="0"/>
              <w:spacing w:line="360" w:lineRule="auto"/>
              <w:ind w:firstLine="480" w:firstLineChars="200"/>
              <w:rPr>
                <w:sz w:val="24"/>
              </w:rPr>
            </w:pPr>
            <w:r>
              <w:rPr>
                <w:sz w:val="24"/>
              </w:rPr>
              <w:t>综上，本项目在完善项目区防渗防漏措施下，对周围地下水和土壤的环境影响较小，从环境角度是可行的，项目运营过程对其附近区域地下水和土壤不会造成较大影响。</w:t>
            </w:r>
          </w:p>
          <w:p>
            <w:pPr>
              <w:adjustRightInd w:val="0"/>
              <w:snapToGrid w:val="0"/>
              <w:spacing w:line="360" w:lineRule="auto"/>
              <w:ind w:firstLine="442" w:firstLineChars="200"/>
              <w:rPr>
                <w:b/>
                <w:spacing w:val="-10"/>
                <w:sz w:val="24"/>
              </w:rPr>
            </w:pPr>
            <w:r>
              <w:rPr>
                <w:b/>
                <w:spacing w:val="-10"/>
                <w:sz w:val="24"/>
              </w:rPr>
              <w:t>六、生态</w:t>
            </w:r>
          </w:p>
          <w:p>
            <w:pPr>
              <w:adjustRightInd w:val="0"/>
              <w:snapToGrid w:val="0"/>
              <w:spacing w:line="360" w:lineRule="auto"/>
              <w:ind w:firstLine="480" w:firstLineChars="200"/>
              <w:rPr>
                <w:b/>
                <w:bCs/>
                <w:kern w:val="21"/>
                <w:sz w:val="24"/>
              </w:rPr>
            </w:pPr>
            <w:r>
              <w:rPr>
                <w:sz w:val="24"/>
              </w:rPr>
              <w:t>本项目占地范围内不含生态环境保护目标，废气采用合理的处理措施，能够达标排放，废水不外排，厂区内种植灌木、花草，减少裸露地面，能隔声、吸尘、吸收有害气体。能起到降低扬尘、净化空气、改善环境的作用。因此，本项目对周围生态环境影响较小。</w:t>
            </w:r>
          </w:p>
          <w:p>
            <w:pPr>
              <w:spacing w:line="360" w:lineRule="auto"/>
              <w:ind w:firstLine="482" w:firstLineChars="200"/>
              <w:rPr>
                <w:b/>
                <w:color w:val="000000"/>
                <w:kern w:val="0"/>
                <w:sz w:val="24"/>
              </w:rPr>
            </w:pPr>
            <w:r>
              <w:rPr>
                <w:b/>
                <w:color w:val="000000"/>
                <w:kern w:val="0"/>
                <w:sz w:val="24"/>
              </w:rPr>
              <w:t>七、环境风险</w:t>
            </w:r>
          </w:p>
          <w:p>
            <w:pPr>
              <w:adjustRightInd w:val="0"/>
              <w:snapToGrid w:val="0"/>
              <w:spacing w:line="360" w:lineRule="auto"/>
              <w:ind w:firstLine="480" w:firstLineChars="200"/>
              <w:rPr>
                <w:bCs/>
                <w:color w:val="000000"/>
                <w:sz w:val="24"/>
              </w:rPr>
            </w:pPr>
            <w:r>
              <w:rPr>
                <w:bCs/>
                <w:color w:val="000000"/>
                <w:sz w:val="24"/>
              </w:rPr>
              <w:t>环境风险是指突发性事故对环境（或健康）的危害程度。建设项目环境风险评价，主要是对建设项目建设和运行期间发生的可预测突发性事件或事故（一般不包括人为破坏及自然灾害）引起有毒有害、易燃易爆等物质泄露，或突发事件产生的新的有毒有害物质，所造成的对人身安全与环境的影响和损害，进行评估，提出防范、应急与减缓措施，以使建设项目事故率、损失和环境影响达到可接受水平。</w:t>
            </w:r>
          </w:p>
          <w:p>
            <w:pPr>
              <w:adjustRightInd w:val="0"/>
              <w:snapToGrid w:val="0"/>
              <w:spacing w:line="360" w:lineRule="auto"/>
              <w:ind w:firstLine="480" w:firstLineChars="200"/>
              <w:rPr>
                <w:bCs/>
                <w:color w:val="000000"/>
                <w:sz w:val="24"/>
              </w:rPr>
            </w:pPr>
            <w:r>
              <w:rPr>
                <w:bCs/>
                <w:color w:val="000000"/>
                <w:sz w:val="24"/>
              </w:rPr>
              <w:t>本次评价遵照国家环保部《关于进一步加强环境影响评价管理防范环境风险的通知》（环发[2012]77号）精神，以《建设项目环境风险评价技术导则》（HJ169-2018）为指导，通过对本项目进行风险识别、源项分析和风险影响分析，提出减缓风险的措施和应急预案，为环境管理提供资料和依据，达到降低危险、减少危害的目的。</w:t>
            </w:r>
          </w:p>
          <w:p>
            <w:pPr>
              <w:numPr>
                <w:ilvl w:val="0"/>
                <w:numId w:val="13"/>
              </w:numPr>
              <w:spacing w:line="360" w:lineRule="auto"/>
              <w:ind w:firstLine="480"/>
              <w:rPr>
                <w:sz w:val="24"/>
              </w:rPr>
            </w:pPr>
            <w:r>
              <w:rPr>
                <w:sz w:val="24"/>
              </w:rPr>
              <w:t>评价依据</w:t>
            </w:r>
          </w:p>
          <w:p>
            <w:pPr>
              <w:adjustRightInd w:val="0"/>
              <w:snapToGrid w:val="0"/>
              <w:spacing w:line="360" w:lineRule="auto"/>
              <w:ind w:firstLine="480" w:firstLineChars="200"/>
              <w:rPr>
                <w:color w:val="000000"/>
                <w:sz w:val="24"/>
              </w:rPr>
            </w:pPr>
            <w:r>
              <w:rPr>
                <w:sz w:val="24"/>
              </w:rPr>
              <w:t xml:space="preserve"> 1.</w:t>
            </w:r>
            <w:r>
              <w:rPr>
                <w:color w:val="000000"/>
                <w:sz w:val="24"/>
              </w:rPr>
              <w:t>风险调查</w:t>
            </w:r>
          </w:p>
          <w:p>
            <w:pPr>
              <w:pStyle w:val="102"/>
              <w:adjustRightInd w:val="0"/>
              <w:snapToGrid w:val="0"/>
              <w:spacing w:line="360" w:lineRule="auto"/>
              <w:ind w:firstLine="480" w:firstLineChars="200"/>
              <w:jc w:val="both"/>
              <w:rPr>
                <w:b w:val="0"/>
                <w:bCs/>
                <w:snapToGrid w:val="0"/>
                <w:kern w:val="0"/>
              </w:rPr>
            </w:pPr>
            <w:r>
              <w:rPr>
                <w:b w:val="0"/>
                <w:bCs/>
              </w:rPr>
              <w:t>本次评价项目风险源调查根据《建设项目环境风险评价技术导则》（HJ169-2018）附录B进行调查。</w:t>
            </w:r>
          </w:p>
          <w:p>
            <w:pPr>
              <w:adjustRightInd w:val="0"/>
              <w:snapToGrid w:val="0"/>
              <w:spacing w:line="360" w:lineRule="auto"/>
              <w:ind w:firstLine="480" w:firstLineChars="200"/>
              <w:rPr>
                <w:sz w:val="24"/>
              </w:rPr>
            </w:pPr>
            <w:r>
              <w:rPr>
                <w:sz w:val="24"/>
              </w:rPr>
              <w:t>①危险物质调查</w:t>
            </w:r>
          </w:p>
          <w:p>
            <w:pPr>
              <w:adjustRightInd w:val="0"/>
              <w:snapToGrid w:val="0"/>
              <w:spacing w:line="360" w:lineRule="auto"/>
              <w:ind w:firstLine="480" w:firstLineChars="200"/>
              <w:rPr>
                <w:sz w:val="24"/>
              </w:rPr>
            </w:pPr>
            <w:r>
              <w:rPr>
                <w:sz w:val="24"/>
              </w:rPr>
              <w:t>根据《企业突发环境事件风险分级方法》附录A“突发环境事件风险物质及临界量清单”，本项目生产过程中涉及风险物质为天然气，项目天然气年用量为</w:t>
            </w:r>
            <w:r>
              <w:rPr>
                <w:rFonts w:hint="eastAsia"/>
                <w:sz w:val="24"/>
                <w:lang w:val="en-US" w:eastAsia="zh-CN"/>
              </w:rPr>
              <w:t>7.2</w:t>
            </w:r>
            <w:r>
              <w:rPr>
                <w:sz w:val="24"/>
              </w:rPr>
              <w:t>万m³，平均每天用量为</w:t>
            </w:r>
            <w:r>
              <w:rPr>
                <w:rFonts w:hint="eastAsia"/>
                <w:sz w:val="24"/>
                <w:lang w:val="en-US" w:eastAsia="zh-CN"/>
              </w:rPr>
              <w:t>240</w:t>
            </w:r>
            <w:r>
              <w:rPr>
                <w:sz w:val="24"/>
              </w:rPr>
              <w:t>m³，天然气的密度</w:t>
            </w:r>
            <w:r>
              <w:rPr>
                <w:rFonts w:hint="eastAsia"/>
                <w:sz w:val="24"/>
                <w:lang w:val="en-US" w:eastAsia="zh-CN"/>
              </w:rPr>
              <w:t>按</w:t>
            </w:r>
            <w:r>
              <w:rPr>
                <w:sz w:val="24"/>
              </w:rPr>
              <w:t>0.7174Kg/m</w:t>
            </w:r>
            <w:r>
              <w:rPr>
                <w:sz w:val="24"/>
                <w:vertAlign w:val="superscript"/>
              </w:rPr>
              <w:t>3</w:t>
            </w:r>
            <w:r>
              <w:rPr>
                <w:rFonts w:hint="eastAsia"/>
                <w:sz w:val="24"/>
                <w:vertAlign w:val="baseline"/>
                <w:lang w:val="en-US" w:eastAsia="zh-CN"/>
              </w:rPr>
              <w:t>计，天然气用量为0.17t/d（约51.65t/a），企业</w:t>
            </w:r>
            <w:r>
              <w:rPr>
                <w:rFonts w:hint="eastAsia"/>
                <w:sz w:val="24"/>
                <w:lang w:val="en-US" w:eastAsia="zh-CN"/>
              </w:rPr>
              <w:t>外购气瓶装天然气，根据企业提供资料，</w:t>
            </w:r>
            <w:r>
              <w:rPr>
                <w:sz w:val="24"/>
              </w:rPr>
              <w:t>每次外购</w:t>
            </w:r>
            <w:r>
              <w:rPr>
                <w:rFonts w:hint="eastAsia"/>
                <w:sz w:val="24"/>
                <w:lang w:val="en-US" w:eastAsia="zh-CN"/>
              </w:rPr>
              <w:t>两天</w:t>
            </w:r>
            <w:r>
              <w:rPr>
                <w:sz w:val="24"/>
              </w:rPr>
              <w:t>用量，</w:t>
            </w:r>
            <w:r>
              <w:rPr>
                <w:rFonts w:hint="eastAsia"/>
                <w:sz w:val="24"/>
                <w:lang w:val="en-US" w:eastAsia="zh-CN"/>
              </w:rPr>
              <w:t>即天然气</w:t>
            </w:r>
            <w:r>
              <w:rPr>
                <w:sz w:val="24"/>
              </w:rPr>
              <w:t>最大储存量约为0.</w:t>
            </w:r>
            <w:r>
              <w:rPr>
                <w:rFonts w:hint="eastAsia"/>
                <w:sz w:val="24"/>
                <w:lang w:val="en-US" w:eastAsia="zh-CN"/>
              </w:rPr>
              <w:t>36</w:t>
            </w:r>
            <w:r>
              <w:rPr>
                <w:sz w:val="24"/>
              </w:rPr>
              <w:t>t，临界量为10t，经计算项目Q值为0.03</w:t>
            </w:r>
            <w:r>
              <w:rPr>
                <w:rFonts w:hint="eastAsia"/>
                <w:sz w:val="24"/>
                <w:lang w:val="en-US" w:eastAsia="zh-CN"/>
              </w:rPr>
              <w:t>6</w:t>
            </w:r>
            <w:r>
              <w:rPr>
                <w:sz w:val="24"/>
              </w:rPr>
              <w:t>＜1，则本项目环境风险潜势为Ⅰ。</w:t>
            </w:r>
          </w:p>
          <w:p>
            <w:pPr>
              <w:adjustRightInd w:val="0"/>
              <w:snapToGrid w:val="0"/>
              <w:spacing w:line="360" w:lineRule="auto"/>
              <w:ind w:firstLine="480" w:firstLineChars="200"/>
              <w:rPr>
                <w:sz w:val="24"/>
              </w:rPr>
            </w:pPr>
            <w:r>
              <w:rPr>
                <w:sz w:val="24"/>
              </w:rPr>
              <w:t>②生产工艺调查</w:t>
            </w:r>
          </w:p>
          <w:p>
            <w:pPr>
              <w:adjustRightInd w:val="0"/>
              <w:snapToGrid w:val="0"/>
              <w:spacing w:line="360" w:lineRule="auto"/>
              <w:ind w:firstLine="480" w:firstLineChars="200"/>
              <w:rPr>
                <w:color w:val="000000"/>
                <w:sz w:val="24"/>
              </w:rPr>
            </w:pPr>
            <w:r>
              <w:rPr>
                <w:sz w:val="24"/>
              </w:rPr>
              <w:t>本项目不涉及危险工艺。</w:t>
            </w:r>
          </w:p>
          <w:p>
            <w:pPr>
              <w:numPr>
                <w:ilvl w:val="0"/>
                <w:numId w:val="13"/>
              </w:numPr>
              <w:spacing w:line="360" w:lineRule="auto"/>
              <w:ind w:firstLine="480"/>
              <w:rPr>
                <w:sz w:val="24"/>
              </w:rPr>
            </w:pPr>
            <w:r>
              <w:rPr>
                <w:sz w:val="24"/>
              </w:rPr>
              <w:t>评价等级</w:t>
            </w:r>
          </w:p>
          <w:p>
            <w:pPr>
              <w:adjustRightInd w:val="0"/>
              <w:snapToGrid w:val="0"/>
              <w:spacing w:line="360" w:lineRule="auto"/>
              <w:ind w:firstLine="480" w:firstLineChars="200"/>
              <w:rPr>
                <w:sz w:val="24"/>
              </w:rPr>
            </w:pPr>
            <w:r>
              <w:rPr>
                <w:sz w:val="24"/>
              </w:rPr>
              <w:t>根据《建设项目环境风险评价技术导则》（HJ 169－2018）评价工作等级划分要求，确定本项目环境风险评价等级为简单分析。</w:t>
            </w:r>
          </w:p>
          <w:p>
            <w:pPr>
              <w:snapToGrid w:val="0"/>
              <w:jc w:val="center"/>
              <w:rPr>
                <w:szCs w:val="21"/>
              </w:rPr>
            </w:pPr>
            <w:r>
              <w:rPr>
                <w:b/>
                <w:sz w:val="24"/>
              </w:rPr>
              <w:t>表4-14  风险评价工作级别划分</w:t>
            </w:r>
          </w:p>
          <w:tbl>
            <w:tblPr>
              <w:tblStyle w:val="35"/>
              <w:tblW w:w="892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152"/>
              <w:gridCol w:w="1643"/>
              <w:gridCol w:w="1540"/>
              <w:gridCol w:w="1190"/>
              <w:gridCol w:w="23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152" w:type="dxa"/>
                  <w:tcBorders>
                    <w:tl2br w:val="nil"/>
                    <w:tr2bl w:val="nil"/>
                  </w:tcBorders>
                  <w:vAlign w:val="center"/>
                </w:tcPr>
                <w:p>
                  <w:pPr>
                    <w:snapToGrid w:val="0"/>
                    <w:jc w:val="center"/>
                    <w:rPr>
                      <w:b/>
                      <w:szCs w:val="21"/>
                    </w:rPr>
                  </w:pPr>
                  <w:r>
                    <w:rPr>
                      <w:b/>
                      <w:szCs w:val="21"/>
                    </w:rPr>
                    <w:t>环境风险潜势</w:t>
                  </w:r>
                </w:p>
              </w:tc>
              <w:tc>
                <w:tcPr>
                  <w:tcW w:w="1643" w:type="dxa"/>
                  <w:tcBorders>
                    <w:tl2br w:val="nil"/>
                    <w:tr2bl w:val="nil"/>
                  </w:tcBorders>
                  <w:vAlign w:val="center"/>
                </w:tcPr>
                <w:p>
                  <w:pPr>
                    <w:snapToGrid w:val="0"/>
                    <w:jc w:val="center"/>
                    <w:rPr>
                      <w:b/>
                      <w:szCs w:val="21"/>
                    </w:rPr>
                  </w:pPr>
                  <w:r>
                    <w:rPr>
                      <w:b/>
                      <w:szCs w:val="21"/>
                    </w:rPr>
                    <w:t>IV</w:t>
                  </w:r>
                  <w:r>
                    <w:rPr>
                      <w:b/>
                      <w:szCs w:val="21"/>
                      <w:vertAlign w:val="superscript"/>
                    </w:rPr>
                    <w:t>+</w:t>
                  </w:r>
                  <w:r>
                    <w:rPr>
                      <w:b/>
                      <w:szCs w:val="21"/>
                    </w:rPr>
                    <w:t>、IV</w:t>
                  </w:r>
                </w:p>
              </w:tc>
              <w:tc>
                <w:tcPr>
                  <w:tcW w:w="1540" w:type="dxa"/>
                  <w:tcBorders>
                    <w:tl2br w:val="nil"/>
                    <w:tr2bl w:val="nil"/>
                  </w:tcBorders>
                  <w:vAlign w:val="center"/>
                </w:tcPr>
                <w:p>
                  <w:pPr>
                    <w:snapToGrid w:val="0"/>
                    <w:jc w:val="center"/>
                    <w:rPr>
                      <w:b/>
                      <w:szCs w:val="21"/>
                    </w:rPr>
                  </w:pPr>
                  <w:r>
                    <w:rPr>
                      <w:b/>
                      <w:szCs w:val="21"/>
                    </w:rPr>
                    <w:t>III</w:t>
                  </w:r>
                </w:p>
              </w:tc>
              <w:tc>
                <w:tcPr>
                  <w:tcW w:w="1190" w:type="dxa"/>
                  <w:tcBorders>
                    <w:tl2br w:val="nil"/>
                    <w:tr2bl w:val="nil"/>
                  </w:tcBorders>
                  <w:vAlign w:val="center"/>
                </w:tcPr>
                <w:p>
                  <w:pPr>
                    <w:snapToGrid w:val="0"/>
                    <w:jc w:val="center"/>
                    <w:rPr>
                      <w:b/>
                      <w:szCs w:val="21"/>
                    </w:rPr>
                  </w:pPr>
                  <w:r>
                    <w:rPr>
                      <w:b/>
                      <w:szCs w:val="21"/>
                    </w:rPr>
                    <w:t>II</w:t>
                  </w:r>
                </w:p>
              </w:tc>
              <w:tc>
                <w:tcPr>
                  <w:tcW w:w="2396" w:type="dxa"/>
                  <w:tcBorders>
                    <w:tl2br w:val="nil"/>
                    <w:tr2bl w:val="nil"/>
                  </w:tcBorders>
                  <w:vAlign w:val="center"/>
                </w:tcPr>
                <w:p>
                  <w:pPr>
                    <w:snapToGrid w:val="0"/>
                    <w:jc w:val="center"/>
                    <w:rPr>
                      <w:b/>
                      <w:szCs w:val="21"/>
                    </w:rPr>
                  </w:pPr>
                  <w:r>
                    <w:rPr>
                      <w:b/>
                      <w:szCs w:val="21"/>
                    </w:rPr>
                    <w:t>I</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152" w:type="dxa"/>
                  <w:tcBorders>
                    <w:tl2br w:val="nil"/>
                    <w:tr2bl w:val="nil"/>
                  </w:tcBorders>
                  <w:vAlign w:val="center"/>
                </w:tcPr>
                <w:p>
                  <w:pPr>
                    <w:pStyle w:val="103"/>
                    <w:snapToGrid w:val="0"/>
                    <w:spacing w:line="240" w:lineRule="auto"/>
                    <w:ind w:firstLine="0"/>
                    <w:rPr>
                      <w:rFonts w:ascii="Times New Roman" w:hAnsi="Times New Roman" w:eastAsia="宋体"/>
                      <w:kern w:val="2"/>
                      <w:sz w:val="21"/>
                      <w:szCs w:val="21"/>
                    </w:rPr>
                  </w:pPr>
                  <w:r>
                    <w:rPr>
                      <w:rFonts w:ascii="Times New Roman" w:hAnsi="Times New Roman" w:eastAsia="宋体"/>
                      <w:kern w:val="2"/>
                      <w:sz w:val="21"/>
                      <w:szCs w:val="21"/>
                    </w:rPr>
                    <w:t>评价工作等级</w:t>
                  </w:r>
                </w:p>
              </w:tc>
              <w:tc>
                <w:tcPr>
                  <w:tcW w:w="1643" w:type="dxa"/>
                  <w:tcBorders>
                    <w:tl2br w:val="nil"/>
                    <w:tr2bl w:val="nil"/>
                  </w:tcBorders>
                  <w:vAlign w:val="center"/>
                </w:tcPr>
                <w:p>
                  <w:pPr>
                    <w:snapToGrid w:val="0"/>
                    <w:jc w:val="center"/>
                    <w:rPr>
                      <w:b/>
                      <w:szCs w:val="21"/>
                    </w:rPr>
                  </w:pPr>
                  <w:r>
                    <w:rPr>
                      <w:b/>
                      <w:szCs w:val="21"/>
                    </w:rPr>
                    <w:t>一</w:t>
                  </w:r>
                </w:p>
              </w:tc>
              <w:tc>
                <w:tcPr>
                  <w:tcW w:w="1540" w:type="dxa"/>
                  <w:tcBorders>
                    <w:tl2br w:val="nil"/>
                    <w:tr2bl w:val="nil"/>
                  </w:tcBorders>
                  <w:vAlign w:val="center"/>
                </w:tcPr>
                <w:p>
                  <w:pPr>
                    <w:pStyle w:val="103"/>
                    <w:snapToGrid w:val="0"/>
                    <w:spacing w:line="240" w:lineRule="auto"/>
                    <w:ind w:firstLine="0"/>
                    <w:rPr>
                      <w:rFonts w:ascii="Times New Roman" w:hAnsi="Times New Roman" w:eastAsia="宋体"/>
                      <w:kern w:val="2"/>
                      <w:sz w:val="21"/>
                      <w:szCs w:val="21"/>
                    </w:rPr>
                  </w:pPr>
                  <w:r>
                    <w:rPr>
                      <w:rFonts w:ascii="Times New Roman" w:hAnsi="Times New Roman" w:eastAsia="宋体"/>
                      <w:kern w:val="2"/>
                      <w:sz w:val="21"/>
                      <w:szCs w:val="21"/>
                    </w:rPr>
                    <w:t>二</w:t>
                  </w:r>
                </w:p>
              </w:tc>
              <w:tc>
                <w:tcPr>
                  <w:tcW w:w="1190" w:type="dxa"/>
                  <w:tcBorders>
                    <w:tl2br w:val="nil"/>
                    <w:tr2bl w:val="nil"/>
                  </w:tcBorders>
                  <w:vAlign w:val="center"/>
                </w:tcPr>
                <w:p>
                  <w:pPr>
                    <w:snapToGrid w:val="0"/>
                    <w:jc w:val="center"/>
                    <w:rPr>
                      <w:szCs w:val="21"/>
                    </w:rPr>
                  </w:pPr>
                  <w:r>
                    <w:rPr>
                      <w:szCs w:val="21"/>
                    </w:rPr>
                    <w:t>三</w:t>
                  </w:r>
                </w:p>
              </w:tc>
              <w:tc>
                <w:tcPr>
                  <w:tcW w:w="2396" w:type="dxa"/>
                  <w:tcBorders>
                    <w:tl2br w:val="nil"/>
                    <w:tr2bl w:val="nil"/>
                  </w:tcBorders>
                  <w:vAlign w:val="center"/>
                </w:tcPr>
                <w:p>
                  <w:pPr>
                    <w:snapToGrid w:val="0"/>
                    <w:jc w:val="center"/>
                    <w:rPr>
                      <w:szCs w:val="21"/>
                    </w:rPr>
                  </w:pPr>
                  <w:r>
                    <w:rPr>
                      <w:szCs w:val="21"/>
                    </w:rPr>
                    <w:t>简单分析</w:t>
                  </w:r>
                  <w:r>
                    <w:rPr>
                      <w:szCs w:val="21"/>
                      <w:vertAlign w:val="superscript"/>
                    </w:rPr>
                    <w:t>a</w:t>
                  </w:r>
                </w:p>
              </w:tc>
            </w:tr>
          </w:tbl>
          <w:p>
            <w:pPr>
              <w:numPr>
                <w:ilvl w:val="0"/>
                <w:numId w:val="13"/>
              </w:numPr>
              <w:spacing w:line="360" w:lineRule="auto"/>
              <w:ind w:firstLine="480"/>
              <w:rPr>
                <w:sz w:val="24"/>
              </w:rPr>
            </w:pPr>
            <w:r>
              <w:rPr>
                <w:sz w:val="24"/>
              </w:rPr>
              <w:t>环境敏感目标概况</w:t>
            </w:r>
          </w:p>
          <w:p>
            <w:pPr>
              <w:keepNext/>
              <w:keepLines/>
              <w:adjustRightInd w:val="0"/>
              <w:snapToGrid w:val="0"/>
              <w:spacing w:line="360" w:lineRule="auto"/>
              <w:ind w:firstLine="480" w:firstLineChars="200"/>
              <w:jc w:val="left"/>
              <w:outlineLvl w:val="2"/>
              <w:rPr>
                <w:color w:val="000000"/>
                <w:sz w:val="24"/>
              </w:rPr>
            </w:pPr>
            <w:r>
              <w:rPr>
                <w:color w:val="000000"/>
                <w:sz w:val="24"/>
              </w:rPr>
              <w:t>本项目环境风险潜势为Ⅰ，对周围环境影响较小。</w:t>
            </w:r>
          </w:p>
          <w:p>
            <w:pPr>
              <w:numPr>
                <w:ilvl w:val="0"/>
                <w:numId w:val="13"/>
              </w:numPr>
              <w:spacing w:line="360" w:lineRule="auto"/>
              <w:ind w:firstLine="480"/>
              <w:rPr>
                <w:sz w:val="24"/>
              </w:rPr>
            </w:pPr>
            <w:r>
              <w:rPr>
                <w:sz w:val="24"/>
              </w:rPr>
              <w:t>风险源项分析</w:t>
            </w:r>
          </w:p>
          <w:p>
            <w:pPr>
              <w:keepNext/>
              <w:keepLines/>
              <w:adjustRightInd w:val="0"/>
              <w:snapToGrid w:val="0"/>
              <w:spacing w:line="360" w:lineRule="auto"/>
              <w:ind w:firstLine="480" w:firstLineChars="200"/>
              <w:jc w:val="left"/>
              <w:outlineLvl w:val="2"/>
              <w:rPr>
                <w:color w:val="000000"/>
                <w:sz w:val="24"/>
              </w:rPr>
            </w:pPr>
            <w:r>
              <w:rPr>
                <w:color w:val="000000"/>
                <w:sz w:val="24"/>
              </w:rPr>
              <w:t>本项目原料天然气为易燃物质，有发生火灾的风险。分析同类企业发生风险物质及危险废物环境事故的原因，主要包括：泄漏、火灾、违反操作规程、外部因素等，具体见下表。</w:t>
            </w:r>
          </w:p>
          <w:p>
            <w:pPr>
              <w:spacing w:line="360" w:lineRule="auto"/>
              <w:ind w:firstLine="482" w:firstLineChars="200"/>
              <w:jc w:val="center"/>
              <w:rPr>
                <w:b/>
                <w:bCs/>
                <w:szCs w:val="21"/>
              </w:rPr>
            </w:pPr>
            <w:r>
              <w:rPr>
                <w:b/>
                <w:bCs/>
                <w:sz w:val="24"/>
              </w:rPr>
              <w:t>表4-15   风险事故类型及对环境的影响</w:t>
            </w:r>
          </w:p>
          <w:tbl>
            <w:tblPr>
              <w:tblStyle w:val="35"/>
              <w:tblW w:w="785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90"/>
              <w:gridCol w:w="1660"/>
              <w:gridCol w:w="3001"/>
              <w:gridCol w:w="17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1490" w:type="dxa"/>
                  <w:tcBorders>
                    <w:top w:val="single" w:color="000000" w:sz="4" w:space="0"/>
                    <w:left w:val="single" w:color="auto" w:sz="0" w:space="0"/>
                  </w:tcBorders>
                  <w:vAlign w:val="center"/>
                </w:tcPr>
                <w:p>
                  <w:pPr>
                    <w:adjustRightInd w:val="0"/>
                    <w:snapToGrid w:val="0"/>
                    <w:jc w:val="center"/>
                    <w:rPr>
                      <w:b/>
                      <w:bCs/>
                      <w:szCs w:val="21"/>
                    </w:rPr>
                  </w:pPr>
                  <w:r>
                    <w:rPr>
                      <w:b/>
                      <w:bCs/>
                      <w:szCs w:val="21"/>
                    </w:rPr>
                    <w:t>风险物质</w:t>
                  </w:r>
                </w:p>
              </w:tc>
              <w:tc>
                <w:tcPr>
                  <w:tcW w:w="1660" w:type="dxa"/>
                  <w:tcBorders>
                    <w:top w:val="single" w:color="000000" w:sz="4" w:space="0"/>
                  </w:tcBorders>
                  <w:vAlign w:val="center"/>
                </w:tcPr>
                <w:p>
                  <w:pPr>
                    <w:adjustRightInd w:val="0"/>
                    <w:snapToGrid w:val="0"/>
                    <w:jc w:val="center"/>
                    <w:rPr>
                      <w:b/>
                      <w:bCs/>
                      <w:szCs w:val="21"/>
                    </w:rPr>
                  </w:pPr>
                  <w:r>
                    <w:rPr>
                      <w:b/>
                      <w:bCs/>
                      <w:szCs w:val="21"/>
                    </w:rPr>
                    <w:t>风险类型</w:t>
                  </w:r>
                </w:p>
              </w:tc>
              <w:tc>
                <w:tcPr>
                  <w:tcW w:w="3001" w:type="dxa"/>
                  <w:tcBorders>
                    <w:top w:val="single" w:color="000000" w:sz="4" w:space="0"/>
                  </w:tcBorders>
                  <w:vAlign w:val="center"/>
                </w:tcPr>
                <w:p>
                  <w:pPr>
                    <w:adjustRightInd w:val="0"/>
                    <w:snapToGrid w:val="0"/>
                    <w:jc w:val="center"/>
                    <w:rPr>
                      <w:b/>
                      <w:bCs/>
                      <w:szCs w:val="21"/>
                    </w:rPr>
                  </w:pPr>
                  <w:r>
                    <w:rPr>
                      <w:b/>
                      <w:bCs/>
                      <w:szCs w:val="21"/>
                    </w:rPr>
                    <w:t>原因分析</w:t>
                  </w:r>
                </w:p>
              </w:tc>
              <w:tc>
                <w:tcPr>
                  <w:tcW w:w="1707" w:type="dxa"/>
                  <w:tcBorders>
                    <w:top w:val="single" w:color="000000" w:sz="4" w:space="0"/>
                    <w:right w:val="single" w:color="000000" w:sz="4" w:space="0"/>
                  </w:tcBorders>
                  <w:vAlign w:val="center"/>
                </w:tcPr>
                <w:p>
                  <w:pPr>
                    <w:adjustRightInd w:val="0"/>
                    <w:snapToGrid w:val="0"/>
                    <w:jc w:val="center"/>
                    <w:rPr>
                      <w:b/>
                      <w:bCs/>
                      <w:szCs w:val="21"/>
                    </w:rPr>
                  </w:pPr>
                  <w:r>
                    <w:rPr>
                      <w:b/>
                      <w:bCs/>
                      <w:szCs w:val="21"/>
                    </w:rPr>
                    <w:t>危害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20" w:hRule="atLeast"/>
                <w:jc w:val="center"/>
              </w:trPr>
              <w:tc>
                <w:tcPr>
                  <w:tcW w:w="1490" w:type="dxa"/>
                  <w:tcBorders>
                    <w:left w:val="single" w:color="000000" w:sz="4" w:space="0"/>
                  </w:tcBorders>
                  <w:vAlign w:val="center"/>
                </w:tcPr>
                <w:p>
                  <w:pPr>
                    <w:adjustRightInd w:val="0"/>
                    <w:snapToGrid w:val="0"/>
                    <w:jc w:val="center"/>
                    <w:rPr>
                      <w:szCs w:val="21"/>
                    </w:rPr>
                  </w:pPr>
                  <w:r>
                    <w:rPr>
                      <w:szCs w:val="21"/>
                    </w:rPr>
                    <w:t>天然气</w:t>
                  </w:r>
                </w:p>
              </w:tc>
              <w:tc>
                <w:tcPr>
                  <w:tcW w:w="1660" w:type="dxa"/>
                  <w:vAlign w:val="center"/>
                </w:tcPr>
                <w:p>
                  <w:pPr>
                    <w:adjustRightInd w:val="0"/>
                    <w:snapToGrid w:val="0"/>
                    <w:jc w:val="center"/>
                    <w:rPr>
                      <w:szCs w:val="21"/>
                    </w:rPr>
                  </w:pPr>
                  <w:r>
                    <w:rPr>
                      <w:szCs w:val="21"/>
                    </w:rPr>
                    <w:t>火灾</w:t>
                  </w:r>
                </w:p>
              </w:tc>
              <w:tc>
                <w:tcPr>
                  <w:tcW w:w="3001" w:type="dxa"/>
                  <w:vAlign w:val="center"/>
                </w:tcPr>
                <w:p>
                  <w:pPr>
                    <w:adjustRightInd w:val="0"/>
                    <w:snapToGrid w:val="0"/>
                    <w:jc w:val="center"/>
                    <w:rPr>
                      <w:szCs w:val="21"/>
                    </w:rPr>
                  </w:pPr>
                  <w:r>
                    <w:rPr>
                      <w:szCs w:val="21"/>
                    </w:rPr>
                    <w:t>贮存、生产过程中遇明火</w:t>
                  </w:r>
                </w:p>
              </w:tc>
              <w:tc>
                <w:tcPr>
                  <w:tcW w:w="1707" w:type="dxa"/>
                  <w:tcBorders>
                    <w:right w:val="single" w:color="000000" w:sz="4" w:space="0"/>
                  </w:tcBorders>
                  <w:vAlign w:val="center"/>
                </w:tcPr>
                <w:p>
                  <w:pPr>
                    <w:adjustRightInd w:val="0"/>
                    <w:snapToGrid w:val="0"/>
                    <w:jc w:val="center"/>
                    <w:rPr>
                      <w:szCs w:val="21"/>
                    </w:rPr>
                  </w:pPr>
                  <w:r>
                    <w:rPr>
                      <w:szCs w:val="21"/>
                    </w:rPr>
                    <w:t>火灾爆炸、污染大气</w:t>
                  </w:r>
                </w:p>
              </w:tc>
            </w:tr>
          </w:tbl>
          <w:p>
            <w:pPr>
              <w:numPr>
                <w:ilvl w:val="0"/>
                <w:numId w:val="13"/>
              </w:numPr>
              <w:spacing w:line="360" w:lineRule="auto"/>
              <w:ind w:firstLine="480"/>
              <w:rPr>
                <w:sz w:val="24"/>
              </w:rPr>
            </w:pPr>
            <w:r>
              <w:rPr>
                <w:sz w:val="24"/>
              </w:rPr>
              <w:t>环境风险影响评估</w:t>
            </w:r>
          </w:p>
          <w:p>
            <w:pPr>
              <w:adjustRightInd w:val="0"/>
              <w:snapToGrid w:val="0"/>
              <w:spacing w:line="360" w:lineRule="auto"/>
              <w:ind w:firstLine="480" w:firstLineChars="200"/>
              <w:rPr>
                <w:sz w:val="24"/>
              </w:rPr>
            </w:pPr>
            <w:r>
              <w:rPr>
                <w:sz w:val="24"/>
              </w:rPr>
              <w:t>建议企业并加强人员教育，制定严格的工艺操作流程，防止误操作造成的火灾、泄漏事故。使企业能够有效的减少环境风险事故的发生几率，环境风险达到可接受水平。</w:t>
            </w:r>
          </w:p>
          <w:p>
            <w:pPr>
              <w:numPr>
                <w:ilvl w:val="0"/>
                <w:numId w:val="13"/>
              </w:numPr>
              <w:spacing w:line="360" w:lineRule="auto"/>
              <w:ind w:firstLine="480"/>
              <w:rPr>
                <w:sz w:val="24"/>
              </w:rPr>
            </w:pPr>
            <w:r>
              <w:rPr>
                <w:sz w:val="24"/>
              </w:rPr>
              <w:t>风险管理</w:t>
            </w:r>
          </w:p>
          <w:p>
            <w:pPr>
              <w:spacing w:line="360" w:lineRule="auto"/>
              <w:ind w:firstLine="480" w:firstLineChars="200"/>
              <w:rPr>
                <w:sz w:val="24"/>
              </w:rPr>
            </w:pPr>
            <w:r>
              <w:rPr>
                <w:sz w:val="24"/>
              </w:rPr>
              <w:t>安全防范措施</w:t>
            </w:r>
          </w:p>
          <w:p>
            <w:pPr>
              <w:adjustRightInd w:val="0"/>
              <w:snapToGrid w:val="0"/>
              <w:spacing w:line="360" w:lineRule="auto"/>
              <w:ind w:firstLine="480" w:firstLineChars="200"/>
              <w:rPr>
                <w:sz w:val="24"/>
              </w:rPr>
            </w:pPr>
            <w:r>
              <w:rPr>
                <w:sz w:val="24"/>
              </w:rPr>
              <w:t>（1）总平面布置、防火间距符合《建筑设计防火规范》（GB50016-2014）（2018年修订版）和《工业企业总平面设计规范》（GB50187-2012）等相关规定。生产区车间、物料储存车间、危废暂存间等建、构筑物的设计火灾类别相应的防火对策措施，建筑耐火等级符合《建筑设计防火规范》的有关规定。</w:t>
            </w:r>
          </w:p>
          <w:p>
            <w:pPr>
              <w:adjustRightInd w:val="0"/>
              <w:snapToGrid w:val="0"/>
              <w:spacing w:line="360" w:lineRule="auto"/>
              <w:ind w:firstLine="480" w:firstLineChars="200"/>
              <w:rPr>
                <w:sz w:val="24"/>
              </w:rPr>
            </w:pPr>
            <w:r>
              <w:rPr>
                <w:sz w:val="24"/>
              </w:rPr>
              <w:t>（2）加强管理，设专人负责各类物料的安全贮存、厂内输运及使用，按照其物化性质、危险特性等采取相应的安全贮存方式；</w:t>
            </w:r>
          </w:p>
          <w:p>
            <w:pPr>
              <w:adjustRightInd w:val="0"/>
              <w:snapToGrid w:val="0"/>
              <w:spacing w:line="360" w:lineRule="auto"/>
              <w:ind w:firstLine="480" w:firstLineChars="200"/>
              <w:rPr>
                <w:sz w:val="24"/>
              </w:rPr>
            </w:pPr>
            <w:r>
              <w:rPr>
                <w:sz w:val="24"/>
              </w:rPr>
              <w:t>（3）制定严格的操作规程，相关操作人员进行必要的安全培训后方可上岗；</w:t>
            </w:r>
          </w:p>
          <w:p>
            <w:pPr>
              <w:adjustRightInd w:val="0"/>
              <w:snapToGrid w:val="0"/>
              <w:spacing w:line="360" w:lineRule="auto"/>
              <w:ind w:firstLine="480" w:firstLineChars="200"/>
              <w:rPr>
                <w:sz w:val="24"/>
              </w:rPr>
            </w:pPr>
            <w:r>
              <w:rPr>
                <w:sz w:val="24"/>
              </w:rPr>
              <w:t>（4）不同类别的物品按其性质单独存放，避免不相容的物品混合运输或者存放；</w:t>
            </w:r>
          </w:p>
          <w:p>
            <w:pPr>
              <w:adjustRightInd w:val="0"/>
              <w:snapToGrid w:val="0"/>
              <w:spacing w:line="360" w:lineRule="auto"/>
              <w:ind w:firstLine="480" w:firstLineChars="200"/>
              <w:rPr>
                <w:sz w:val="24"/>
              </w:rPr>
            </w:pPr>
            <w:r>
              <w:rPr>
                <w:sz w:val="24"/>
              </w:rPr>
              <w:t>（5）定期检验化学品容器的密封性能，及时淘汰出现安全隐患的容器；</w:t>
            </w:r>
          </w:p>
          <w:p>
            <w:pPr>
              <w:adjustRightInd w:val="0"/>
              <w:snapToGrid w:val="0"/>
              <w:spacing w:line="360" w:lineRule="auto"/>
              <w:ind w:firstLine="480" w:firstLineChars="200"/>
              <w:rPr>
                <w:sz w:val="24"/>
              </w:rPr>
            </w:pPr>
            <w:r>
              <w:rPr>
                <w:sz w:val="24"/>
              </w:rPr>
              <w:t>（6）结合消防等专业制定不同物品事故应急预案，一旦发生事故后能够及时采取有效措施进行科学处置，将事故破坏降至最低程度，同时考虑各种处置方案的科学性、合理性和有效性。</w:t>
            </w:r>
          </w:p>
          <w:p>
            <w:pPr>
              <w:spacing w:line="360" w:lineRule="auto"/>
              <w:ind w:firstLine="480" w:firstLineChars="200"/>
              <w:rPr>
                <w:sz w:val="24"/>
              </w:rPr>
            </w:pPr>
            <w:r>
              <w:rPr>
                <w:sz w:val="24"/>
              </w:rPr>
              <w:t>风险事故的应急措施</w:t>
            </w:r>
          </w:p>
          <w:p>
            <w:pPr>
              <w:tabs>
                <w:tab w:val="left" w:pos="0"/>
              </w:tabs>
              <w:spacing w:line="360" w:lineRule="auto"/>
              <w:ind w:firstLine="540" w:firstLineChars="225"/>
              <w:rPr>
                <w:sz w:val="24"/>
              </w:rPr>
            </w:pPr>
            <w:r>
              <w:rPr>
                <w:sz w:val="24"/>
              </w:rPr>
              <w:t>（1）当发生火灾事故时，现场人员或其他人员应该立刻拨打火警电话119并立即通知有关人员停止作业，尽快切断所有电源，组织人员和其他易燃物品的疏散，并利用就近的消防器材将火苗扑灭，但不可用水救火。当火灾进入发展阶段、猛烈阶段，应由消防队来组织灭火，现场人员在确保安全的情况下不可逃离现场，应和消防人员配合，做好灭火工作。</w:t>
            </w:r>
          </w:p>
          <w:p>
            <w:pPr>
              <w:tabs>
                <w:tab w:val="left" w:pos="0"/>
              </w:tabs>
              <w:spacing w:line="360" w:lineRule="auto"/>
              <w:ind w:firstLine="540" w:firstLineChars="225"/>
              <w:rPr>
                <w:sz w:val="24"/>
              </w:rPr>
            </w:pPr>
            <w:r>
              <w:rPr>
                <w:sz w:val="24"/>
              </w:rPr>
              <w:t>（2）建立有效的厂区内外环保应急隔离系统。厂区内部必须雨（清）污水分流，各自独立构建既能互相贯通又能迅速隔离的雨（清）水系统和污水系统，禁止事故状态下污染物外排环境。</w:t>
            </w:r>
          </w:p>
          <w:p>
            <w:pPr>
              <w:tabs>
                <w:tab w:val="left" w:pos="0"/>
              </w:tabs>
              <w:spacing w:line="360" w:lineRule="auto"/>
              <w:ind w:firstLine="540" w:firstLineChars="225"/>
              <w:rPr>
                <w:sz w:val="24"/>
              </w:rPr>
            </w:pPr>
            <w:r>
              <w:rPr>
                <w:sz w:val="24"/>
              </w:rPr>
              <w:t>（3）在车间配备灭火器，灭火器的质量、数量等应符合消防要求。鉴于贮存量不大，建议采用干式或泡沫灭火器。</w:t>
            </w:r>
          </w:p>
          <w:p>
            <w:pPr>
              <w:spacing w:line="360" w:lineRule="auto"/>
              <w:ind w:firstLine="480" w:firstLineChars="200"/>
              <w:rPr>
                <w:color w:val="000000"/>
                <w:sz w:val="24"/>
              </w:rPr>
            </w:pPr>
            <w:r>
              <w:rPr>
                <w:color w:val="000000"/>
                <w:sz w:val="24"/>
              </w:rPr>
              <w:t>应急监测计划</w:t>
            </w:r>
          </w:p>
          <w:p>
            <w:pPr>
              <w:spacing w:line="360" w:lineRule="auto"/>
              <w:ind w:firstLine="480" w:firstLineChars="200"/>
              <w:rPr>
                <w:color w:val="000000"/>
                <w:sz w:val="24"/>
              </w:rPr>
            </w:pPr>
            <w:r>
              <w:rPr>
                <w:color w:val="000000"/>
                <w:sz w:val="24"/>
              </w:rPr>
              <w:t>事故情况下环境监测与例行监测不同，事故风险发生时，环境监测人员应迅速到达事故现场，用小型、便携、简易、快速检测仪器或装置，在尽可能短的时间内对下述内容：① 污染物质种类；② 污染物质的浓度；③ 污染的范围及其可能的危害等作出判断。实施应急监测是做好突发性环境污染事故处置、处理的前提和关键。</w:t>
            </w:r>
          </w:p>
          <w:p>
            <w:pPr>
              <w:spacing w:line="360" w:lineRule="auto"/>
              <w:ind w:firstLine="480" w:firstLineChars="200"/>
              <w:rPr>
                <w:color w:val="000000"/>
                <w:sz w:val="24"/>
              </w:rPr>
            </w:pPr>
            <w:r>
              <w:rPr>
                <w:color w:val="000000"/>
                <w:sz w:val="24"/>
              </w:rPr>
              <w:t>监测内容：二氧化硫、氮氧化物、CO、烟尘等。</w:t>
            </w:r>
          </w:p>
          <w:p>
            <w:pPr>
              <w:spacing w:line="360" w:lineRule="auto"/>
              <w:ind w:firstLine="480" w:firstLineChars="200"/>
              <w:rPr>
                <w:color w:val="000000"/>
                <w:sz w:val="24"/>
              </w:rPr>
            </w:pPr>
            <w:r>
              <w:rPr>
                <w:color w:val="000000"/>
                <w:sz w:val="24"/>
              </w:rPr>
              <w:t>监测方法：</w:t>
            </w:r>
          </w:p>
          <w:p>
            <w:pPr>
              <w:spacing w:line="360" w:lineRule="auto"/>
              <w:ind w:firstLine="480" w:firstLineChars="200"/>
              <w:rPr>
                <w:color w:val="000000"/>
                <w:sz w:val="24"/>
              </w:rPr>
            </w:pPr>
            <w:r>
              <w:rPr>
                <w:color w:val="000000"/>
                <w:sz w:val="24"/>
              </w:rPr>
              <w:t>1、快速检测管；</w:t>
            </w:r>
          </w:p>
          <w:p>
            <w:pPr>
              <w:spacing w:line="360" w:lineRule="auto"/>
              <w:ind w:firstLine="480" w:firstLineChars="200"/>
              <w:rPr>
                <w:color w:val="000000"/>
                <w:sz w:val="24"/>
              </w:rPr>
            </w:pPr>
            <w:r>
              <w:rPr>
                <w:color w:val="000000"/>
                <w:sz w:val="24"/>
              </w:rPr>
              <w:t>2、感官检测；</w:t>
            </w:r>
          </w:p>
          <w:p>
            <w:pPr>
              <w:spacing w:line="360" w:lineRule="auto"/>
              <w:ind w:firstLine="480" w:firstLineChars="200"/>
              <w:rPr>
                <w:color w:val="000000"/>
                <w:sz w:val="24"/>
              </w:rPr>
            </w:pPr>
            <w:r>
              <w:rPr>
                <w:color w:val="000000"/>
                <w:sz w:val="24"/>
              </w:rPr>
              <w:t>3、用专用注射器采集现场气样，注入便携式气相色谱仪，可在现场用外标法进行定量测试；</w:t>
            </w:r>
          </w:p>
          <w:p>
            <w:pPr>
              <w:spacing w:line="360" w:lineRule="auto"/>
              <w:ind w:firstLine="480" w:firstLineChars="200"/>
              <w:rPr>
                <w:color w:val="000000"/>
                <w:sz w:val="24"/>
              </w:rPr>
            </w:pPr>
            <w:r>
              <w:rPr>
                <w:color w:val="000000"/>
                <w:sz w:val="24"/>
              </w:rPr>
              <w:t>4、如现场无条件测定，可将样品采集在专用注射器上尽快带回实验室分析。</w:t>
            </w:r>
          </w:p>
          <w:p>
            <w:pPr>
              <w:pStyle w:val="80"/>
              <w:rPr>
                <w:color w:val="000000"/>
              </w:rPr>
            </w:pPr>
            <w:r>
              <w:rPr>
                <w:color w:val="000000"/>
              </w:rPr>
              <w:t>具体内容见表4-16。</w:t>
            </w:r>
          </w:p>
          <w:p>
            <w:pPr>
              <w:pStyle w:val="121"/>
              <w:spacing w:line="240" w:lineRule="auto"/>
              <w:rPr>
                <w:color w:val="000000"/>
                <w:sz w:val="21"/>
              </w:rPr>
            </w:pPr>
            <w:r>
              <w:rPr>
                <w:color w:val="000000"/>
                <w:szCs w:val="24"/>
              </w:rPr>
              <w:t>表4-16  事故情况下环境应急监测方案一览表</w:t>
            </w:r>
          </w:p>
          <w:tbl>
            <w:tblPr>
              <w:tblStyle w:val="35"/>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2580"/>
              <w:gridCol w:w="1183"/>
              <w:gridCol w:w="1657"/>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48" w:type="dxa"/>
                  <w:tcBorders>
                    <w:tl2br w:val="nil"/>
                    <w:tr2bl w:val="nil"/>
                  </w:tcBorders>
                  <w:vAlign w:val="center"/>
                </w:tcPr>
                <w:p>
                  <w:pPr>
                    <w:tabs>
                      <w:tab w:val="center" w:pos="4452"/>
                    </w:tabs>
                    <w:jc w:val="center"/>
                    <w:rPr>
                      <w:b/>
                      <w:bCs/>
                      <w:color w:val="000000"/>
                      <w:kern w:val="0"/>
                      <w:szCs w:val="21"/>
                    </w:rPr>
                  </w:pPr>
                  <w:r>
                    <w:rPr>
                      <w:b/>
                      <w:bCs/>
                      <w:color w:val="000000"/>
                      <w:kern w:val="0"/>
                      <w:szCs w:val="21"/>
                    </w:rPr>
                    <w:t>项目</w:t>
                  </w:r>
                </w:p>
              </w:tc>
              <w:tc>
                <w:tcPr>
                  <w:tcW w:w="2580" w:type="dxa"/>
                  <w:tcBorders>
                    <w:tl2br w:val="nil"/>
                    <w:tr2bl w:val="nil"/>
                  </w:tcBorders>
                  <w:vAlign w:val="center"/>
                </w:tcPr>
                <w:p>
                  <w:pPr>
                    <w:tabs>
                      <w:tab w:val="center" w:pos="4452"/>
                    </w:tabs>
                    <w:jc w:val="center"/>
                    <w:rPr>
                      <w:b/>
                      <w:bCs/>
                      <w:color w:val="000000"/>
                      <w:kern w:val="0"/>
                      <w:szCs w:val="21"/>
                    </w:rPr>
                  </w:pPr>
                  <w:r>
                    <w:rPr>
                      <w:b/>
                      <w:bCs/>
                      <w:color w:val="000000"/>
                      <w:kern w:val="0"/>
                      <w:szCs w:val="21"/>
                    </w:rPr>
                    <w:t>监测位置</w:t>
                  </w:r>
                </w:p>
              </w:tc>
              <w:tc>
                <w:tcPr>
                  <w:tcW w:w="1183" w:type="dxa"/>
                  <w:tcBorders>
                    <w:tl2br w:val="nil"/>
                    <w:tr2bl w:val="nil"/>
                  </w:tcBorders>
                  <w:vAlign w:val="center"/>
                </w:tcPr>
                <w:p>
                  <w:pPr>
                    <w:tabs>
                      <w:tab w:val="center" w:pos="4452"/>
                    </w:tabs>
                    <w:jc w:val="center"/>
                    <w:rPr>
                      <w:b/>
                      <w:bCs/>
                      <w:color w:val="000000"/>
                      <w:kern w:val="0"/>
                      <w:szCs w:val="21"/>
                    </w:rPr>
                  </w:pPr>
                  <w:r>
                    <w:rPr>
                      <w:b/>
                      <w:bCs/>
                      <w:color w:val="000000"/>
                      <w:kern w:val="0"/>
                      <w:szCs w:val="21"/>
                    </w:rPr>
                    <w:t>监测因子</w:t>
                  </w:r>
                </w:p>
              </w:tc>
              <w:tc>
                <w:tcPr>
                  <w:tcW w:w="1657" w:type="dxa"/>
                  <w:tcBorders>
                    <w:tl2br w:val="nil"/>
                    <w:tr2bl w:val="nil"/>
                  </w:tcBorders>
                  <w:vAlign w:val="center"/>
                </w:tcPr>
                <w:p>
                  <w:pPr>
                    <w:tabs>
                      <w:tab w:val="center" w:pos="4452"/>
                    </w:tabs>
                    <w:jc w:val="center"/>
                    <w:rPr>
                      <w:b/>
                      <w:bCs/>
                      <w:color w:val="000000"/>
                      <w:kern w:val="0"/>
                      <w:szCs w:val="21"/>
                    </w:rPr>
                  </w:pPr>
                  <w:r>
                    <w:rPr>
                      <w:b/>
                      <w:bCs/>
                      <w:color w:val="000000"/>
                      <w:kern w:val="0"/>
                      <w:szCs w:val="21"/>
                    </w:rPr>
                    <w:t>监测频率</w:t>
                  </w:r>
                </w:p>
              </w:tc>
              <w:tc>
                <w:tcPr>
                  <w:tcW w:w="1890" w:type="dxa"/>
                  <w:tcBorders>
                    <w:tl2br w:val="nil"/>
                    <w:tr2bl w:val="nil"/>
                  </w:tcBorders>
                  <w:vAlign w:val="center"/>
                </w:tcPr>
                <w:p>
                  <w:pPr>
                    <w:tabs>
                      <w:tab w:val="center" w:pos="4452"/>
                    </w:tabs>
                    <w:jc w:val="center"/>
                    <w:rPr>
                      <w:b/>
                      <w:bCs/>
                      <w:color w:val="000000"/>
                      <w:kern w:val="0"/>
                      <w:szCs w:val="21"/>
                    </w:rPr>
                  </w:pPr>
                  <w:r>
                    <w:rPr>
                      <w:b/>
                      <w:bCs/>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548" w:type="dxa"/>
                  <w:vMerge w:val="restart"/>
                  <w:tcBorders>
                    <w:tl2br w:val="nil"/>
                    <w:tr2bl w:val="nil"/>
                  </w:tcBorders>
                  <w:vAlign w:val="center"/>
                </w:tcPr>
                <w:p>
                  <w:pPr>
                    <w:tabs>
                      <w:tab w:val="center" w:pos="4452"/>
                    </w:tabs>
                    <w:jc w:val="center"/>
                    <w:rPr>
                      <w:color w:val="000000"/>
                      <w:kern w:val="0"/>
                      <w:szCs w:val="21"/>
                    </w:rPr>
                  </w:pPr>
                  <w:r>
                    <w:rPr>
                      <w:color w:val="000000"/>
                      <w:kern w:val="0"/>
                      <w:szCs w:val="21"/>
                    </w:rPr>
                    <w:t>废气</w:t>
                  </w:r>
                </w:p>
              </w:tc>
              <w:tc>
                <w:tcPr>
                  <w:tcW w:w="2580" w:type="dxa"/>
                  <w:tcBorders>
                    <w:tl2br w:val="nil"/>
                    <w:tr2bl w:val="nil"/>
                  </w:tcBorders>
                  <w:vAlign w:val="center"/>
                </w:tcPr>
                <w:p>
                  <w:pPr>
                    <w:tabs>
                      <w:tab w:val="center" w:pos="4452"/>
                    </w:tabs>
                    <w:jc w:val="center"/>
                    <w:rPr>
                      <w:color w:val="000000"/>
                      <w:kern w:val="0"/>
                      <w:szCs w:val="21"/>
                    </w:rPr>
                  </w:pPr>
                  <w:r>
                    <w:rPr>
                      <w:color w:val="000000"/>
                      <w:kern w:val="0"/>
                      <w:szCs w:val="21"/>
                    </w:rPr>
                    <w:t>装置附近</w:t>
                  </w:r>
                </w:p>
              </w:tc>
              <w:tc>
                <w:tcPr>
                  <w:tcW w:w="1183" w:type="dxa"/>
                  <w:vMerge w:val="restart"/>
                  <w:tcBorders>
                    <w:tl2br w:val="nil"/>
                    <w:tr2bl w:val="nil"/>
                  </w:tcBorders>
                  <w:vAlign w:val="center"/>
                </w:tcPr>
                <w:p>
                  <w:pPr>
                    <w:tabs>
                      <w:tab w:val="center" w:pos="4452"/>
                    </w:tabs>
                    <w:jc w:val="center"/>
                    <w:rPr>
                      <w:color w:val="000000"/>
                      <w:kern w:val="0"/>
                      <w:szCs w:val="21"/>
                    </w:rPr>
                  </w:pPr>
                  <w:r>
                    <w:rPr>
                      <w:color w:val="000000"/>
                      <w:kern w:val="0"/>
                      <w:szCs w:val="21"/>
                    </w:rPr>
                    <w:t>二氧化硫、氮氧化物、CO、烟尘</w:t>
                  </w:r>
                  <w:r>
                    <w:t>等</w:t>
                  </w:r>
                </w:p>
              </w:tc>
              <w:tc>
                <w:tcPr>
                  <w:tcW w:w="1657" w:type="dxa"/>
                  <w:vMerge w:val="restart"/>
                  <w:tcBorders>
                    <w:tl2br w:val="nil"/>
                    <w:tr2bl w:val="nil"/>
                  </w:tcBorders>
                  <w:vAlign w:val="center"/>
                </w:tcPr>
                <w:p>
                  <w:pPr>
                    <w:tabs>
                      <w:tab w:val="center" w:pos="4452"/>
                    </w:tabs>
                    <w:jc w:val="center"/>
                    <w:rPr>
                      <w:color w:val="000000"/>
                      <w:kern w:val="0"/>
                      <w:szCs w:val="21"/>
                    </w:rPr>
                  </w:pPr>
                  <w:r>
                    <w:rPr>
                      <w:color w:val="000000"/>
                      <w:kern w:val="0"/>
                      <w:szCs w:val="21"/>
                    </w:rPr>
                    <w:t>事故发生及处理过程中进行实时监测，过后20分钟一次直至应急结束</w:t>
                  </w:r>
                </w:p>
              </w:tc>
              <w:tc>
                <w:tcPr>
                  <w:tcW w:w="1890" w:type="dxa"/>
                  <w:vMerge w:val="restart"/>
                  <w:tcBorders>
                    <w:tl2br w:val="nil"/>
                    <w:tr2bl w:val="nil"/>
                  </w:tcBorders>
                  <w:vAlign w:val="center"/>
                </w:tcPr>
                <w:p>
                  <w:pPr>
                    <w:tabs>
                      <w:tab w:val="center" w:pos="4452"/>
                    </w:tabs>
                    <w:jc w:val="center"/>
                    <w:rPr>
                      <w:color w:val="000000"/>
                      <w:kern w:val="0"/>
                      <w:szCs w:val="21"/>
                    </w:rPr>
                  </w:pPr>
                  <w:r>
                    <w:rPr>
                      <w:color w:val="000000"/>
                      <w:kern w:val="0"/>
                      <w:szCs w:val="21"/>
                    </w:rPr>
                    <w:t>根据发生事故的装置确定具体的监测因子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548" w:type="dxa"/>
                  <w:vMerge w:val="continue"/>
                  <w:tcBorders>
                    <w:tl2br w:val="nil"/>
                    <w:tr2bl w:val="nil"/>
                  </w:tcBorders>
                  <w:vAlign w:val="center"/>
                </w:tcPr>
                <w:p>
                  <w:pPr>
                    <w:tabs>
                      <w:tab w:val="center" w:pos="4452"/>
                    </w:tabs>
                    <w:jc w:val="center"/>
                    <w:rPr>
                      <w:color w:val="000000"/>
                      <w:kern w:val="0"/>
                      <w:szCs w:val="21"/>
                    </w:rPr>
                  </w:pPr>
                </w:p>
              </w:tc>
              <w:tc>
                <w:tcPr>
                  <w:tcW w:w="2580" w:type="dxa"/>
                  <w:tcBorders>
                    <w:tl2br w:val="nil"/>
                    <w:tr2bl w:val="nil"/>
                  </w:tcBorders>
                  <w:vAlign w:val="center"/>
                </w:tcPr>
                <w:p>
                  <w:pPr>
                    <w:tabs>
                      <w:tab w:val="center" w:pos="4452"/>
                    </w:tabs>
                    <w:jc w:val="center"/>
                    <w:rPr>
                      <w:color w:val="000000"/>
                      <w:kern w:val="0"/>
                      <w:szCs w:val="21"/>
                    </w:rPr>
                  </w:pPr>
                  <w:r>
                    <w:rPr>
                      <w:color w:val="000000"/>
                      <w:kern w:val="0"/>
                      <w:szCs w:val="21"/>
                    </w:rPr>
                    <w:t>厂界</w:t>
                  </w:r>
                </w:p>
              </w:tc>
              <w:tc>
                <w:tcPr>
                  <w:tcW w:w="1183" w:type="dxa"/>
                  <w:vMerge w:val="continue"/>
                  <w:tcBorders>
                    <w:tl2br w:val="nil"/>
                    <w:tr2bl w:val="nil"/>
                  </w:tcBorders>
                  <w:vAlign w:val="center"/>
                </w:tcPr>
                <w:p>
                  <w:pPr>
                    <w:tabs>
                      <w:tab w:val="center" w:pos="4452"/>
                    </w:tabs>
                    <w:jc w:val="center"/>
                    <w:rPr>
                      <w:color w:val="000000"/>
                      <w:kern w:val="0"/>
                      <w:szCs w:val="21"/>
                    </w:rPr>
                  </w:pPr>
                </w:p>
              </w:tc>
              <w:tc>
                <w:tcPr>
                  <w:tcW w:w="1657" w:type="dxa"/>
                  <w:vMerge w:val="continue"/>
                  <w:tcBorders>
                    <w:tl2br w:val="nil"/>
                    <w:tr2bl w:val="nil"/>
                  </w:tcBorders>
                  <w:vAlign w:val="center"/>
                </w:tcPr>
                <w:p>
                  <w:pPr>
                    <w:tabs>
                      <w:tab w:val="center" w:pos="4452"/>
                    </w:tabs>
                    <w:jc w:val="center"/>
                    <w:rPr>
                      <w:color w:val="000000"/>
                      <w:kern w:val="0"/>
                      <w:szCs w:val="21"/>
                    </w:rPr>
                  </w:pPr>
                </w:p>
              </w:tc>
              <w:tc>
                <w:tcPr>
                  <w:tcW w:w="1890" w:type="dxa"/>
                  <w:vMerge w:val="continue"/>
                  <w:tcBorders>
                    <w:tl2br w:val="nil"/>
                    <w:tr2bl w:val="nil"/>
                  </w:tcBorders>
                  <w:vAlign w:val="center"/>
                </w:tcPr>
                <w:p>
                  <w:pPr>
                    <w:tabs>
                      <w:tab w:val="center" w:pos="4452"/>
                    </w:tabs>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548" w:type="dxa"/>
                  <w:vMerge w:val="continue"/>
                  <w:tcBorders>
                    <w:tl2br w:val="nil"/>
                    <w:tr2bl w:val="nil"/>
                  </w:tcBorders>
                  <w:vAlign w:val="center"/>
                </w:tcPr>
                <w:p>
                  <w:pPr>
                    <w:tabs>
                      <w:tab w:val="center" w:pos="4452"/>
                    </w:tabs>
                    <w:jc w:val="center"/>
                    <w:rPr>
                      <w:color w:val="000000"/>
                      <w:kern w:val="0"/>
                      <w:szCs w:val="21"/>
                    </w:rPr>
                  </w:pPr>
                </w:p>
              </w:tc>
              <w:tc>
                <w:tcPr>
                  <w:tcW w:w="2580" w:type="dxa"/>
                  <w:tcBorders>
                    <w:tl2br w:val="nil"/>
                    <w:tr2bl w:val="nil"/>
                  </w:tcBorders>
                  <w:vAlign w:val="center"/>
                </w:tcPr>
                <w:p>
                  <w:pPr>
                    <w:tabs>
                      <w:tab w:val="center" w:pos="4452"/>
                    </w:tabs>
                    <w:jc w:val="center"/>
                    <w:rPr>
                      <w:color w:val="000000"/>
                      <w:kern w:val="0"/>
                      <w:szCs w:val="21"/>
                    </w:rPr>
                  </w:pPr>
                  <w:r>
                    <w:rPr>
                      <w:color w:val="000000"/>
                      <w:kern w:val="0"/>
                      <w:szCs w:val="21"/>
                    </w:rPr>
                    <w:t>距离较近的敏感点</w:t>
                  </w:r>
                </w:p>
              </w:tc>
              <w:tc>
                <w:tcPr>
                  <w:tcW w:w="1183" w:type="dxa"/>
                  <w:vMerge w:val="continue"/>
                  <w:tcBorders>
                    <w:tl2br w:val="nil"/>
                    <w:tr2bl w:val="nil"/>
                  </w:tcBorders>
                  <w:vAlign w:val="center"/>
                </w:tcPr>
                <w:p>
                  <w:pPr>
                    <w:tabs>
                      <w:tab w:val="center" w:pos="4452"/>
                    </w:tabs>
                    <w:jc w:val="center"/>
                    <w:rPr>
                      <w:color w:val="000000"/>
                      <w:kern w:val="0"/>
                      <w:szCs w:val="21"/>
                    </w:rPr>
                  </w:pPr>
                </w:p>
              </w:tc>
              <w:tc>
                <w:tcPr>
                  <w:tcW w:w="1657" w:type="dxa"/>
                  <w:vMerge w:val="continue"/>
                  <w:tcBorders>
                    <w:tl2br w:val="nil"/>
                    <w:tr2bl w:val="nil"/>
                  </w:tcBorders>
                  <w:vAlign w:val="center"/>
                </w:tcPr>
                <w:p>
                  <w:pPr>
                    <w:tabs>
                      <w:tab w:val="center" w:pos="4452"/>
                    </w:tabs>
                    <w:jc w:val="center"/>
                    <w:rPr>
                      <w:color w:val="000000"/>
                      <w:kern w:val="0"/>
                      <w:szCs w:val="21"/>
                    </w:rPr>
                  </w:pPr>
                </w:p>
              </w:tc>
              <w:tc>
                <w:tcPr>
                  <w:tcW w:w="1890" w:type="dxa"/>
                  <w:vMerge w:val="continue"/>
                  <w:tcBorders>
                    <w:tl2br w:val="nil"/>
                    <w:tr2bl w:val="nil"/>
                  </w:tcBorders>
                  <w:vAlign w:val="center"/>
                </w:tcPr>
                <w:p>
                  <w:pPr>
                    <w:tabs>
                      <w:tab w:val="center" w:pos="4452"/>
                    </w:tabs>
                    <w:jc w:val="center"/>
                    <w:rPr>
                      <w:color w:val="000000"/>
                      <w:kern w:val="0"/>
                      <w:szCs w:val="21"/>
                    </w:rPr>
                  </w:pPr>
                </w:p>
              </w:tc>
            </w:tr>
          </w:tbl>
          <w:p>
            <w:pPr>
              <w:spacing w:line="360" w:lineRule="auto"/>
              <w:ind w:firstLine="480" w:firstLineChars="200"/>
              <w:rPr>
                <w:sz w:val="24"/>
              </w:rPr>
            </w:pPr>
            <w:r>
              <w:rPr>
                <w:sz w:val="24"/>
              </w:rPr>
              <w:t>应急预案</w:t>
            </w:r>
          </w:p>
          <w:p>
            <w:pPr>
              <w:spacing w:line="360" w:lineRule="auto"/>
              <w:ind w:firstLine="480" w:firstLineChars="200"/>
              <w:rPr>
                <w:sz w:val="24"/>
              </w:rPr>
            </w:pPr>
            <w:r>
              <w:rPr>
                <w:snapToGrid w:val="0"/>
                <w:kern w:val="0"/>
                <w:sz w:val="24"/>
              </w:rPr>
              <w:t>依据</w:t>
            </w:r>
            <w:r>
              <w:rPr>
                <w:sz w:val="24"/>
              </w:rPr>
              <w:t>《建设项目环境风险评价技术导则》（HJ 169-2018）：“应急预案主要内容应是消除污染环境和人员伤害的事故应急处理法案，并应根据需清理的危险物质的特性，有针对性地提出消除环境污染的应急处理方案”，根据本项目特点制定应急预案，其主要内容如下表：</w:t>
            </w:r>
          </w:p>
          <w:p>
            <w:pPr>
              <w:jc w:val="center"/>
              <w:rPr>
                <w:szCs w:val="21"/>
              </w:rPr>
            </w:pPr>
            <w:r>
              <w:rPr>
                <w:b/>
                <w:bCs/>
                <w:sz w:val="24"/>
              </w:rPr>
              <w:t>表4-17  应急预案内容</w:t>
            </w:r>
          </w:p>
          <w:tbl>
            <w:tblPr>
              <w:tblStyle w:val="35"/>
              <w:tblW w:w="79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7"/>
              <w:gridCol w:w="2269"/>
              <w:gridCol w:w="50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tblHeader/>
                <w:jc w:val="center"/>
              </w:trPr>
              <w:tc>
                <w:tcPr>
                  <w:tcW w:w="657" w:type="dxa"/>
                  <w:vAlign w:val="center"/>
                </w:tcPr>
                <w:p>
                  <w:pPr>
                    <w:jc w:val="center"/>
                    <w:rPr>
                      <w:b/>
                      <w:szCs w:val="21"/>
                    </w:rPr>
                  </w:pPr>
                  <w:r>
                    <w:rPr>
                      <w:b/>
                      <w:szCs w:val="21"/>
                    </w:rPr>
                    <w:t>序号</w:t>
                  </w:r>
                </w:p>
              </w:tc>
              <w:tc>
                <w:tcPr>
                  <w:tcW w:w="2269" w:type="dxa"/>
                  <w:vAlign w:val="center"/>
                </w:tcPr>
                <w:p>
                  <w:pPr>
                    <w:jc w:val="center"/>
                    <w:rPr>
                      <w:b/>
                      <w:szCs w:val="21"/>
                    </w:rPr>
                  </w:pPr>
                  <w:r>
                    <w:rPr>
                      <w:b/>
                      <w:szCs w:val="21"/>
                    </w:rPr>
                    <w:t>项目</w:t>
                  </w:r>
                </w:p>
              </w:tc>
              <w:tc>
                <w:tcPr>
                  <w:tcW w:w="5012" w:type="dxa"/>
                  <w:vAlign w:val="center"/>
                </w:tcPr>
                <w:p>
                  <w:pPr>
                    <w:jc w:val="center"/>
                    <w:rPr>
                      <w:b/>
                      <w:szCs w:val="21"/>
                    </w:rPr>
                  </w:pPr>
                  <w:r>
                    <w:rPr>
                      <w:b/>
                      <w:szCs w:val="21"/>
                    </w:rPr>
                    <w:t>内容及要求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657" w:type="dxa"/>
                  <w:vAlign w:val="center"/>
                </w:tcPr>
                <w:p>
                  <w:pPr>
                    <w:jc w:val="center"/>
                    <w:rPr>
                      <w:szCs w:val="21"/>
                    </w:rPr>
                  </w:pPr>
                  <w:r>
                    <w:rPr>
                      <w:szCs w:val="21"/>
                    </w:rPr>
                    <w:t>1</w:t>
                  </w:r>
                </w:p>
              </w:tc>
              <w:tc>
                <w:tcPr>
                  <w:tcW w:w="2269" w:type="dxa"/>
                  <w:vAlign w:val="center"/>
                </w:tcPr>
                <w:p>
                  <w:pPr>
                    <w:jc w:val="center"/>
                    <w:rPr>
                      <w:szCs w:val="21"/>
                    </w:rPr>
                  </w:pPr>
                  <w:r>
                    <w:rPr>
                      <w:szCs w:val="21"/>
                    </w:rPr>
                    <w:t>应急计划区</w:t>
                  </w:r>
                </w:p>
              </w:tc>
              <w:tc>
                <w:tcPr>
                  <w:tcW w:w="5012" w:type="dxa"/>
                  <w:vAlign w:val="center"/>
                </w:tcPr>
                <w:p>
                  <w:pPr>
                    <w:jc w:val="center"/>
                    <w:rPr>
                      <w:szCs w:val="21"/>
                    </w:rPr>
                  </w:pPr>
                  <w:r>
                    <w:rPr>
                      <w:szCs w:val="21"/>
                    </w:rPr>
                    <w:t>危险目标：生产区和储存区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657" w:type="dxa"/>
                  <w:vAlign w:val="center"/>
                </w:tcPr>
                <w:p>
                  <w:pPr>
                    <w:jc w:val="center"/>
                    <w:rPr>
                      <w:szCs w:val="21"/>
                    </w:rPr>
                  </w:pPr>
                  <w:r>
                    <w:rPr>
                      <w:szCs w:val="21"/>
                    </w:rPr>
                    <w:t>2</w:t>
                  </w:r>
                </w:p>
              </w:tc>
              <w:tc>
                <w:tcPr>
                  <w:tcW w:w="2269" w:type="dxa"/>
                  <w:vAlign w:val="center"/>
                </w:tcPr>
                <w:p>
                  <w:pPr>
                    <w:jc w:val="center"/>
                    <w:rPr>
                      <w:szCs w:val="21"/>
                    </w:rPr>
                  </w:pPr>
                  <w:r>
                    <w:rPr>
                      <w:szCs w:val="21"/>
                    </w:rPr>
                    <w:t>应急组织机构、人员</w:t>
                  </w:r>
                </w:p>
              </w:tc>
              <w:tc>
                <w:tcPr>
                  <w:tcW w:w="5012" w:type="dxa"/>
                  <w:vAlign w:val="center"/>
                </w:tcPr>
                <w:p>
                  <w:pPr>
                    <w:jc w:val="center"/>
                    <w:rPr>
                      <w:szCs w:val="21"/>
                    </w:rPr>
                  </w:pPr>
                  <w:r>
                    <w:rPr>
                      <w:szCs w:val="21"/>
                    </w:rPr>
                    <w:t>厂区、地区应急组织机构、人员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657" w:type="dxa"/>
                  <w:vAlign w:val="center"/>
                </w:tcPr>
                <w:p>
                  <w:pPr>
                    <w:jc w:val="center"/>
                    <w:rPr>
                      <w:szCs w:val="21"/>
                    </w:rPr>
                  </w:pPr>
                  <w:r>
                    <w:rPr>
                      <w:szCs w:val="21"/>
                    </w:rPr>
                    <w:t>3</w:t>
                  </w:r>
                </w:p>
              </w:tc>
              <w:tc>
                <w:tcPr>
                  <w:tcW w:w="2269" w:type="dxa"/>
                  <w:vAlign w:val="center"/>
                </w:tcPr>
                <w:p>
                  <w:pPr>
                    <w:jc w:val="center"/>
                    <w:rPr>
                      <w:szCs w:val="21"/>
                    </w:rPr>
                  </w:pPr>
                  <w:r>
                    <w:rPr>
                      <w:szCs w:val="21"/>
                    </w:rPr>
                    <w:t>预案分级响应条件</w:t>
                  </w:r>
                </w:p>
              </w:tc>
              <w:tc>
                <w:tcPr>
                  <w:tcW w:w="5012" w:type="dxa"/>
                  <w:vAlign w:val="center"/>
                </w:tcPr>
                <w:p>
                  <w:pPr>
                    <w:jc w:val="center"/>
                    <w:rPr>
                      <w:szCs w:val="21"/>
                    </w:rPr>
                  </w:pPr>
                  <w:r>
                    <w:rPr>
                      <w:szCs w:val="21"/>
                    </w:rPr>
                    <w:t>规定预案的级别及分级响应程序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657" w:type="dxa"/>
                  <w:vAlign w:val="center"/>
                </w:tcPr>
                <w:p>
                  <w:pPr>
                    <w:jc w:val="center"/>
                    <w:rPr>
                      <w:szCs w:val="21"/>
                    </w:rPr>
                  </w:pPr>
                  <w:r>
                    <w:rPr>
                      <w:szCs w:val="21"/>
                    </w:rPr>
                    <w:t>4</w:t>
                  </w:r>
                </w:p>
              </w:tc>
              <w:tc>
                <w:tcPr>
                  <w:tcW w:w="2269" w:type="dxa"/>
                  <w:vAlign w:val="center"/>
                </w:tcPr>
                <w:p>
                  <w:pPr>
                    <w:jc w:val="center"/>
                    <w:rPr>
                      <w:szCs w:val="21"/>
                    </w:rPr>
                  </w:pPr>
                  <w:r>
                    <w:rPr>
                      <w:szCs w:val="21"/>
                    </w:rPr>
                    <w:t>应急救援保障</w:t>
                  </w:r>
                </w:p>
              </w:tc>
              <w:tc>
                <w:tcPr>
                  <w:tcW w:w="5012" w:type="dxa"/>
                  <w:vAlign w:val="center"/>
                </w:tcPr>
                <w:p>
                  <w:pPr>
                    <w:jc w:val="center"/>
                    <w:rPr>
                      <w:szCs w:val="21"/>
                    </w:rPr>
                  </w:pPr>
                  <w:r>
                    <w:rPr>
                      <w:szCs w:val="21"/>
                    </w:rPr>
                    <w:t>应急设施，设备与器材等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1" w:hRule="atLeast"/>
                <w:jc w:val="center"/>
              </w:trPr>
              <w:tc>
                <w:tcPr>
                  <w:tcW w:w="657" w:type="dxa"/>
                  <w:vAlign w:val="center"/>
                </w:tcPr>
                <w:p>
                  <w:pPr>
                    <w:jc w:val="center"/>
                    <w:rPr>
                      <w:szCs w:val="21"/>
                    </w:rPr>
                  </w:pPr>
                  <w:r>
                    <w:rPr>
                      <w:szCs w:val="21"/>
                    </w:rPr>
                    <w:t>5</w:t>
                  </w:r>
                </w:p>
              </w:tc>
              <w:tc>
                <w:tcPr>
                  <w:tcW w:w="2269" w:type="dxa"/>
                  <w:vAlign w:val="center"/>
                </w:tcPr>
                <w:p>
                  <w:pPr>
                    <w:jc w:val="center"/>
                    <w:rPr>
                      <w:szCs w:val="21"/>
                    </w:rPr>
                  </w:pPr>
                  <w:r>
                    <w:rPr>
                      <w:szCs w:val="21"/>
                    </w:rPr>
                    <w:t>报警、通讯联络方式</w:t>
                  </w:r>
                </w:p>
              </w:tc>
              <w:tc>
                <w:tcPr>
                  <w:tcW w:w="5012" w:type="dxa"/>
                  <w:vAlign w:val="center"/>
                </w:tcPr>
                <w:p>
                  <w:pPr>
                    <w:jc w:val="center"/>
                    <w:rPr>
                      <w:szCs w:val="21"/>
                    </w:rPr>
                  </w:pPr>
                  <w:r>
                    <w:rPr>
                      <w:szCs w:val="21"/>
                    </w:rPr>
                    <w:t>规定应急状态下的报警通讯方式、通知方式和交通保障、管制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657" w:type="dxa"/>
                  <w:vAlign w:val="center"/>
                </w:tcPr>
                <w:p>
                  <w:pPr>
                    <w:jc w:val="center"/>
                    <w:rPr>
                      <w:szCs w:val="21"/>
                    </w:rPr>
                  </w:pPr>
                  <w:r>
                    <w:rPr>
                      <w:szCs w:val="21"/>
                    </w:rPr>
                    <w:t>6</w:t>
                  </w:r>
                </w:p>
              </w:tc>
              <w:tc>
                <w:tcPr>
                  <w:tcW w:w="2269" w:type="dxa"/>
                  <w:vAlign w:val="center"/>
                </w:tcPr>
                <w:p>
                  <w:pPr>
                    <w:jc w:val="center"/>
                    <w:rPr>
                      <w:szCs w:val="21"/>
                    </w:rPr>
                  </w:pPr>
                  <w:r>
                    <w:rPr>
                      <w:szCs w:val="21"/>
                    </w:rPr>
                    <w:t>应急环境监测、抢险、救援及控制措施</w:t>
                  </w:r>
                </w:p>
              </w:tc>
              <w:tc>
                <w:tcPr>
                  <w:tcW w:w="5012" w:type="dxa"/>
                  <w:vAlign w:val="center"/>
                </w:tcPr>
                <w:p>
                  <w:pPr>
                    <w:adjustRightInd w:val="0"/>
                    <w:jc w:val="center"/>
                    <w:textAlignment w:val="baseline"/>
                    <w:rPr>
                      <w:bCs/>
                      <w:szCs w:val="21"/>
                    </w:rPr>
                  </w:pPr>
                  <w:r>
                    <w:rPr>
                      <w:bCs/>
                      <w:szCs w:val="21"/>
                    </w:rPr>
                    <w:t>由专业队伍负责对事故现场进行侦察监测，对事故性质、参数与后果进行评估，为指挥部门提供决策依据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657" w:type="dxa"/>
                  <w:vAlign w:val="center"/>
                </w:tcPr>
                <w:p>
                  <w:pPr>
                    <w:jc w:val="center"/>
                    <w:rPr>
                      <w:szCs w:val="21"/>
                    </w:rPr>
                  </w:pPr>
                  <w:r>
                    <w:rPr>
                      <w:szCs w:val="21"/>
                    </w:rPr>
                    <w:t>7</w:t>
                  </w:r>
                </w:p>
              </w:tc>
              <w:tc>
                <w:tcPr>
                  <w:tcW w:w="2269" w:type="dxa"/>
                  <w:vAlign w:val="center"/>
                </w:tcPr>
                <w:p>
                  <w:pPr>
                    <w:jc w:val="center"/>
                    <w:rPr>
                      <w:szCs w:val="21"/>
                    </w:rPr>
                  </w:pPr>
                  <w:r>
                    <w:rPr>
                      <w:szCs w:val="21"/>
                    </w:rPr>
                    <w:t>应急检测、防护措施、清除泄漏措施和器材</w:t>
                  </w:r>
                </w:p>
              </w:tc>
              <w:tc>
                <w:tcPr>
                  <w:tcW w:w="5012" w:type="dxa"/>
                  <w:vAlign w:val="center"/>
                </w:tcPr>
                <w:p>
                  <w:pPr>
                    <w:jc w:val="center"/>
                    <w:rPr>
                      <w:szCs w:val="21"/>
                    </w:rPr>
                  </w:pPr>
                  <w:r>
                    <w:rPr>
                      <w:szCs w:val="21"/>
                    </w:rPr>
                    <w:t>事故现场、邻近区域、控制防火区域，控制和清除污染措施及相应设备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jc w:val="center"/>
              </w:trPr>
              <w:tc>
                <w:tcPr>
                  <w:tcW w:w="657" w:type="dxa"/>
                  <w:vAlign w:val="center"/>
                </w:tcPr>
                <w:p>
                  <w:pPr>
                    <w:jc w:val="center"/>
                    <w:rPr>
                      <w:szCs w:val="21"/>
                    </w:rPr>
                  </w:pPr>
                  <w:r>
                    <w:rPr>
                      <w:szCs w:val="21"/>
                    </w:rPr>
                    <w:t>8</w:t>
                  </w:r>
                </w:p>
              </w:tc>
              <w:tc>
                <w:tcPr>
                  <w:tcW w:w="2269" w:type="dxa"/>
                  <w:vAlign w:val="center"/>
                </w:tcPr>
                <w:p>
                  <w:pPr>
                    <w:jc w:val="center"/>
                    <w:rPr>
                      <w:szCs w:val="21"/>
                    </w:rPr>
                  </w:pPr>
                  <w:r>
                    <w:rPr>
                      <w:szCs w:val="21"/>
                    </w:rPr>
                    <w:t>人员紧急撤离、疏散，应急剂量控制、撤离组织计划</w:t>
                  </w:r>
                </w:p>
              </w:tc>
              <w:tc>
                <w:tcPr>
                  <w:tcW w:w="5012" w:type="dxa"/>
                  <w:vAlign w:val="center"/>
                </w:tcPr>
                <w:p>
                  <w:pPr>
                    <w:jc w:val="center"/>
                    <w:rPr>
                      <w:szCs w:val="21"/>
                    </w:rPr>
                  </w:pPr>
                  <w:r>
                    <w:rPr>
                      <w:szCs w:val="21"/>
                    </w:rPr>
                    <w:t>事故现场、工厂邻近区、受事故影响的区域人员撤离组织计划及救护，医疗救护与公众健康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jc w:val="center"/>
              </w:trPr>
              <w:tc>
                <w:tcPr>
                  <w:tcW w:w="657" w:type="dxa"/>
                  <w:vAlign w:val="center"/>
                </w:tcPr>
                <w:p>
                  <w:pPr>
                    <w:jc w:val="center"/>
                    <w:rPr>
                      <w:szCs w:val="21"/>
                    </w:rPr>
                  </w:pPr>
                  <w:r>
                    <w:rPr>
                      <w:szCs w:val="21"/>
                    </w:rPr>
                    <w:t>9</w:t>
                  </w:r>
                </w:p>
              </w:tc>
              <w:tc>
                <w:tcPr>
                  <w:tcW w:w="2269" w:type="dxa"/>
                  <w:vAlign w:val="center"/>
                </w:tcPr>
                <w:p>
                  <w:pPr>
                    <w:jc w:val="center"/>
                    <w:rPr>
                      <w:szCs w:val="21"/>
                    </w:rPr>
                  </w:pPr>
                  <w:r>
                    <w:rPr>
                      <w:szCs w:val="21"/>
                    </w:rPr>
                    <w:t>事故应急救援关闭程序与恢复措施</w:t>
                  </w:r>
                </w:p>
              </w:tc>
              <w:tc>
                <w:tcPr>
                  <w:tcW w:w="5012" w:type="dxa"/>
                  <w:vAlign w:val="center"/>
                </w:tcPr>
                <w:p>
                  <w:pPr>
                    <w:jc w:val="center"/>
                    <w:rPr>
                      <w:szCs w:val="21"/>
                    </w:rPr>
                  </w:pPr>
                  <w:r>
                    <w:rPr>
                      <w:szCs w:val="21"/>
                    </w:rPr>
                    <w:t>规定应急状态终止程序</w:t>
                  </w:r>
                </w:p>
                <w:p>
                  <w:pPr>
                    <w:jc w:val="center"/>
                    <w:rPr>
                      <w:szCs w:val="21"/>
                    </w:rPr>
                  </w:pPr>
                  <w:r>
                    <w:rPr>
                      <w:szCs w:val="21"/>
                    </w:rPr>
                    <w:t>事故现场善后处理，恢复措施</w:t>
                  </w:r>
                </w:p>
                <w:p>
                  <w:pPr>
                    <w:jc w:val="center"/>
                    <w:rPr>
                      <w:szCs w:val="21"/>
                    </w:rPr>
                  </w:pPr>
                  <w:r>
                    <w:rPr>
                      <w:szCs w:val="21"/>
                    </w:rPr>
                    <w:t>邻近区域解除事故警戒及善后恢复措施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657" w:type="dxa"/>
                  <w:vAlign w:val="center"/>
                </w:tcPr>
                <w:p>
                  <w:pPr>
                    <w:jc w:val="center"/>
                    <w:rPr>
                      <w:szCs w:val="21"/>
                    </w:rPr>
                  </w:pPr>
                  <w:r>
                    <w:rPr>
                      <w:szCs w:val="21"/>
                    </w:rPr>
                    <w:t>10</w:t>
                  </w:r>
                </w:p>
              </w:tc>
              <w:tc>
                <w:tcPr>
                  <w:tcW w:w="2269" w:type="dxa"/>
                  <w:vAlign w:val="center"/>
                </w:tcPr>
                <w:p>
                  <w:pPr>
                    <w:jc w:val="center"/>
                    <w:rPr>
                      <w:szCs w:val="21"/>
                    </w:rPr>
                  </w:pPr>
                  <w:r>
                    <w:rPr>
                      <w:szCs w:val="21"/>
                    </w:rPr>
                    <w:t>应急培训计划</w:t>
                  </w:r>
                </w:p>
              </w:tc>
              <w:tc>
                <w:tcPr>
                  <w:tcW w:w="5012" w:type="dxa"/>
                  <w:vAlign w:val="center"/>
                </w:tcPr>
                <w:p>
                  <w:pPr>
                    <w:jc w:val="center"/>
                    <w:rPr>
                      <w:szCs w:val="21"/>
                    </w:rPr>
                  </w:pPr>
                  <w:r>
                    <w:rPr>
                      <w:szCs w:val="21"/>
                    </w:rPr>
                    <w:t>应急计划制定后，平时安排人员培训与演练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657" w:type="dxa"/>
                  <w:vAlign w:val="center"/>
                </w:tcPr>
                <w:p>
                  <w:pPr>
                    <w:jc w:val="center"/>
                    <w:rPr>
                      <w:szCs w:val="21"/>
                    </w:rPr>
                  </w:pPr>
                  <w:r>
                    <w:rPr>
                      <w:szCs w:val="21"/>
                    </w:rPr>
                    <w:t>11</w:t>
                  </w:r>
                </w:p>
              </w:tc>
              <w:tc>
                <w:tcPr>
                  <w:tcW w:w="2269" w:type="dxa"/>
                  <w:vAlign w:val="center"/>
                </w:tcPr>
                <w:p>
                  <w:pPr>
                    <w:jc w:val="center"/>
                    <w:rPr>
                      <w:szCs w:val="21"/>
                    </w:rPr>
                  </w:pPr>
                  <w:r>
                    <w:rPr>
                      <w:szCs w:val="21"/>
                    </w:rPr>
                    <w:t>公众教育和信息</w:t>
                  </w:r>
                </w:p>
              </w:tc>
              <w:tc>
                <w:tcPr>
                  <w:tcW w:w="5012" w:type="dxa"/>
                  <w:vAlign w:val="center"/>
                </w:tcPr>
                <w:p>
                  <w:pPr>
                    <w:jc w:val="center"/>
                    <w:rPr>
                      <w:szCs w:val="21"/>
                    </w:rPr>
                  </w:pPr>
                  <w:r>
                    <w:rPr>
                      <w:szCs w:val="21"/>
                    </w:rPr>
                    <w:t>对工厂邻近地区开展公众教育、培训和发布有关信息</w:t>
                  </w:r>
                </w:p>
              </w:tc>
            </w:tr>
          </w:tbl>
          <w:p>
            <w:pPr>
              <w:spacing w:line="360" w:lineRule="auto"/>
              <w:ind w:firstLine="480" w:firstLineChars="200"/>
              <w:jc w:val="left"/>
              <w:rPr>
                <w:sz w:val="24"/>
              </w:rPr>
            </w:pPr>
            <w:r>
              <w:rPr>
                <w:sz w:val="24"/>
              </w:rPr>
              <w:t>（七）评价结论</w:t>
            </w:r>
          </w:p>
          <w:p>
            <w:pPr>
              <w:adjustRightInd w:val="0"/>
              <w:snapToGrid w:val="0"/>
              <w:spacing w:line="360" w:lineRule="auto"/>
              <w:ind w:firstLine="480" w:firstLineChars="200"/>
              <w:rPr>
                <w:kern w:val="0"/>
                <w:sz w:val="24"/>
              </w:rPr>
            </w:pPr>
            <w:r>
              <w:rPr>
                <w:sz w:val="24"/>
              </w:rPr>
              <w:t>本项目在认真落实本报告提出的各项风险防范和应急措施后，项目的风险处于可接受的水平</w:t>
            </w:r>
            <w:r>
              <w:rPr>
                <w:kern w:val="0"/>
                <w:sz w:val="24"/>
              </w:rPr>
              <w:t>。</w:t>
            </w:r>
          </w:p>
          <w:p>
            <w:pPr>
              <w:autoSpaceDE w:val="0"/>
              <w:autoSpaceDN w:val="0"/>
              <w:spacing w:line="360" w:lineRule="auto"/>
              <w:ind w:firstLine="482" w:firstLineChars="200"/>
              <w:rPr>
                <w:b/>
                <w:bCs/>
                <w:color w:val="000000"/>
                <w:kern w:val="0"/>
                <w:sz w:val="24"/>
              </w:rPr>
            </w:pPr>
            <w:r>
              <w:rPr>
                <w:b/>
                <w:bCs/>
                <w:color w:val="000000"/>
                <w:kern w:val="0"/>
                <w:sz w:val="24"/>
              </w:rPr>
              <w:t>八、监测平台和排污口规范化设置要求</w:t>
            </w:r>
          </w:p>
          <w:p>
            <w:pPr>
              <w:snapToGrid w:val="0"/>
              <w:spacing w:line="360" w:lineRule="auto"/>
              <w:ind w:firstLine="480" w:firstLineChars="200"/>
              <w:rPr>
                <w:color w:val="000000"/>
                <w:sz w:val="24"/>
              </w:rPr>
            </w:pPr>
            <w:r>
              <w:rPr>
                <w:color w:val="000000"/>
                <w:sz w:val="24"/>
              </w:rPr>
              <w:t>排污口是项目投产后污染物进入环境、对环境产生影响的通道，强化污染物排放的管理是实施污染物总量控制的基础工作之一，也是区域环境管理逐步实现污染物排放科学化、定量化的重要手段。</w:t>
            </w:r>
          </w:p>
          <w:p>
            <w:pPr>
              <w:snapToGrid w:val="0"/>
              <w:spacing w:line="360" w:lineRule="auto"/>
              <w:ind w:firstLine="482" w:firstLineChars="200"/>
              <w:rPr>
                <w:b/>
                <w:bCs/>
                <w:color w:val="000000"/>
                <w:sz w:val="24"/>
              </w:rPr>
            </w:pPr>
            <w:r>
              <w:rPr>
                <w:b/>
                <w:bCs/>
                <w:color w:val="000000"/>
                <w:sz w:val="24"/>
              </w:rPr>
              <w:t>1、排污口规范化管理的基本原则</w:t>
            </w:r>
          </w:p>
          <w:p>
            <w:pPr>
              <w:snapToGrid w:val="0"/>
              <w:spacing w:line="360" w:lineRule="auto"/>
              <w:ind w:firstLine="480" w:firstLineChars="200"/>
              <w:rPr>
                <w:color w:val="000000"/>
                <w:sz w:val="24"/>
              </w:rPr>
            </w:pPr>
            <w:r>
              <w:rPr>
                <w:color w:val="000000"/>
                <w:sz w:val="24"/>
              </w:rPr>
              <w:t>①向环境排放污染物的排污口必须规范化；</w:t>
            </w:r>
          </w:p>
          <w:p>
            <w:pPr>
              <w:snapToGrid w:val="0"/>
              <w:spacing w:line="360" w:lineRule="auto"/>
              <w:ind w:firstLine="480" w:firstLineChars="200"/>
              <w:rPr>
                <w:color w:val="000000"/>
                <w:sz w:val="24"/>
              </w:rPr>
            </w:pPr>
            <w:r>
              <w:rPr>
                <w:color w:val="000000"/>
                <w:sz w:val="24"/>
              </w:rPr>
              <w:t>②排污口应便于采样与计量检测，便于日常现场监督检查。</w:t>
            </w:r>
          </w:p>
          <w:p>
            <w:pPr>
              <w:spacing w:line="336" w:lineRule="auto"/>
              <w:ind w:firstLine="482" w:firstLineChars="200"/>
              <w:rPr>
                <w:b/>
                <w:bCs/>
                <w:color w:val="000000"/>
                <w:sz w:val="24"/>
              </w:rPr>
            </w:pPr>
            <w:r>
              <w:rPr>
                <w:b/>
                <w:bCs/>
                <w:color w:val="000000"/>
                <w:sz w:val="24"/>
              </w:rPr>
              <w:t>2、设置依据</w:t>
            </w:r>
          </w:p>
          <w:p>
            <w:pPr>
              <w:spacing w:line="336" w:lineRule="auto"/>
              <w:ind w:firstLine="480" w:firstLineChars="200"/>
              <w:rPr>
                <w:color w:val="000000"/>
                <w:sz w:val="24"/>
              </w:rPr>
            </w:pPr>
            <w:r>
              <w:rPr>
                <w:color w:val="000000"/>
                <w:sz w:val="24"/>
              </w:rPr>
              <w:t>建设单位应根据《排污口规范化整治技术要求（试行）》、《关于印发排放口标志牌技术规格的通知》（环办[2003]95号）、《山东省污水排放口环境信息公开技术规范》（DB37/T2643-2014）以及</w:t>
            </w:r>
            <w:r>
              <w:rPr>
                <w:bCs/>
                <w:color w:val="000000"/>
                <w:sz w:val="24"/>
              </w:rPr>
              <w:t>山东省《区域性大气污染物综合排放标准》（DB37/2376-2019）</w:t>
            </w:r>
            <w:r>
              <w:rPr>
                <w:color w:val="000000"/>
                <w:sz w:val="24"/>
              </w:rPr>
              <w:t>中有关排放口规范化设置的规定，设置规范化的排放口。</w:t>
            </w:r>
          </w:p>
          <w:p>
            <w:pPr>
              <w:spacing w:line="336" w:lineRule="auto"/>
              <w:ind w:firstLine="482" w:firstLineChars="200"/>
              <w:rPr>
                <w:b/>
                <w:bCs/>
                <w:color w:val="000000"/>
                <w:kern w:val="21"/>
                <w:sz w:val="24"/>
              </w:rPr>
            </w:pPr>
            <w:r>
              <w:rPr>
                <w:b/>
                <w:bCs/>
                <w:color w:val="000000"/>
                <w:kern w:val="21"/>
                <w:sz w:val="24"/>
              </w:rPr>
              <w:t>3、排污口规范化技术要求</w:t>
            </w:r>
          </w:p>
          <w:p>
            <w:pPr>
              <w:pStyle w:val="2"/>
              <w:spacing w:after="0" w:line="336" w:lineRule="auto"/>
              <w:ind w:left="0" w:leftChars="0" w:firstLine="480"/>
              <w:rPr>
                <w:color w:val="000000"/>
                <w:kern w:val="21"/>
                <w:szCs w:val="24"/>
              </w:rPr>
            </w:pPr>
            <w:r>
              <w:rPr>
                <w:color w:val="000000"/>
                <w:kern w:val="21"/>
                <w:szCs w:val="24"/>
              </w:rPr>
              <w:t>（1）污水排放口</w:t>
            </w:r>
          </w:p>
          <w:p>
            <w:pPr>
              <w:pStyle w:val="2"/>
              <w:spacing w:after="0" w:line="336" w:lineRule="auto"/>
              <w:ind w:left="0" w:leftChars="0" w:firstLine="480"/>
              <w:rPr>
                <w:color w:val="000000"/>
                <w:kern w:val="21"/>
                <w:szCs w:val="24"/>
              </w:rPr>
            </w:pPr>
            <w:r>
              <w:rPr>
                <w:color w:val="000000"/>
                <w:kern w:val="21"/>
                <w:szCs w:val="24"/>
              </w:rPr>
              <w:t>项目无废水外排，不需要设置污水排放口。</w:t>
            </w:r>
          </w:p>
          <w:p>
            <w:pPr>
              <w:pStyle w:val="2"/>
              <w:spacing w:after="0" w:line="336" w:lineRule="auto"/>
              <w:ind w:left="0" w:leftChars="0" w:firstLine="480"/>
              <w:rPr>
                <w:color w:val="000000"/>
                <w:kern w:val="21"/>
                <w:szCs w:val="24"/>
              </w:rPr>
            </w:pPr>
            <w:r>
              <w:rPr>
                <w:color w:val="000000"/>
                <w:kern w:val="21"/>
                <w:szCs w:val="24"/>
              </w:rPr>
              <w:t>（2）废气排放口</w:t>
            </w:r>
          </w:p>
          <w:p>
            <w:pPr>
              <w:pStyle w:val="2"/>
              <w:spacing w:after="0" w:line="336" w:lineRule="auto"/>
              <w:ind w:left="0" w:leftChars="0" w:firstLine="480"/>
              <w:rPr>
                <w:color w:val="000000"/>
                <w:kern w:val="21"/>
                <w:szCs w:val="24"/>
              </w:rPr>
            </w:pPr>
            <w:r>
              <w:rPr>
                <w:color w:val="000000"/>
                <w:kern w:val="21"/>
                <w:szCs w:val="24"/>
              </w:rPr>
              <w:t>项目废气为有组织排放，废气排放口应张贴废气排放口标志。</w:t>
            </w:r>
          </w:p>
          <w:p>
            <w:pPr>
              <w:pStyle w:val="2"/>
              <w:spacing w:after="0" w:line="336" w:lineRule="auto"/>
              <w:ind w:left="0" w:leftChars="0" w:firstLine="480"/>
              <w:rPr>
                <w:color w:val="000000"/>
                <w:kern w:val="21"/>
                <w:szCs w:val="24"/>
              </w:rPr>
            </w:pPr>
            <w:r>
              <w:rPr>
                <w:color w:val="000000"/>
                <w:kern w:val="21"/>
                <w:szCs w:val="24"/>
              </w:rPr>
              <w:t>（3）固体废物贮存、堆放场</w:t>
            </w:r>
          </w:p>
          <w:p>
            <w:pPr>
              <w:pStyle w:val="2"/>
              <w:spacing w:after="0" w:line="336" w:lineRule="auto"/>
              <w:ind w:left="0" w:leftChars="0" w:firstLine="480"/>
              <w:rPr>
                <w:color w:val="000000"/>
                <w:kern w:val="21"/>
                <w:szCs w:val="24"/>
              </w:rPr>
            </w:pPr>
            <w:r>
              <w:rPr>
                <w:color w:val="000000"/>
                <w:kern w:val="21"/>
                <w:szCs w:val="24"/>
              </w:rPr>
              <w:t>一般固体废物暂存间应张贴环保标识</w:t>
            </w:r>
            <w:r>
              <w:rPr>
                <w:color w:val="000000"/>
                <w:szCs w:val="24"/>
              </w:rPr>
              <w:t>。</w:t>
            </w:r>
          </w:p>
          <w:p>
            <w:pPr>
              <w:pStyle w:val="2"/>
              <w:spacing w:after="0" w:line="336" w:lineRule="auto"/>
              <w:ind w:left="0" w:leftChars="0" w:firstLine="480"/>
              <w:rPr>
                <w:color w:val="000000"/>
                <w:kern w:val="21"/>
                <w:szCs w:val="24"/>
              </w:rPr>
            </w:pPr>
            <w:r>
              <w:rPr>
                <w:color w:val="000000"/>
                <w:kern w:val="21"/>
                <w:szCs w:val="24"/>
              </w:rPr>
              <w:t>（4）固定噪声排放源</w:t>
            </w:r>
          </w:p>
          <w:p>
            <w:pPr>
              <w:pStyle w:val="2"/>
              <w:spacing w:after="0" w:line="336" w:lineRule="auto"/>
              <w:ind w:left="0" w:leftChars="0" w:firstLine="480"/>
              <w:rPr>
                <w:color w:val="000000"/>
                <w:kern w:val="21"/>
                <w:szCs w:val="24"/>
              </w:rPr>
            </w:pPr>
            <w:r>
              <w:rPr>
                <w:color w:val="000000"/>
                <w:kern w:val="21"/>
                <w:szCs w:val="24"/>
              </w:rPr>
              <w:t>在固定噪声源厂界噪声敏感设置该噪声源的监测点。</w:t>
            </w:r>
          </w:p>
          <w:p>
            <w:pPr>
              <w:spacing w:line="336" w:lineRule="auto"/>
              <w:ind w:firstLine="482" w:firstLineChars="200"/>
              <w:rPr>
                <w:b/>
                <w:bCs/>
                <w:color w:val="000000"/>
                <w:kern w:val="21"/>
                <w:sz w:val="24"/>
              </w:rPr>
            </w:pPr>
            <w:r>
              <w:rPr>
                <w:b/>
                <w:bCs/>
                <w:color w:val="000000"/>
                <w:kern w:val="21"/>
                <w:sz w:val="24"/>
              </w:rPr>
              <w:t>4、排污口立标要求</w:t>
            </w:r>
          </w:p>
          <w:p>
            <w:pPr>
              <w:pStyle w:val="2"/>
              <w:spacing w:after="0" w:line="336" w:lineRule="auto"/>
              <w:ind w:left="0" w:leftChars="0" w:firstLine="480"/>
              <w:jc w:val="left"/>
              <w:rPr>
                <w:color w:val="000000"/>
                <w:kern w:val="21"/>
                <w:szCs w:val="24"/>
              </w:rPr>
            </w:pPr>
            <w:r>
              <w:rPr>
                <w:color w:val="000000"/>
                <w:kern w:val="21"/>
                <w:szCs w:val="24"/>
              </w:rPr>
              <w:t>建设单位应按照国家标准《环境保护图形标志》(GB15562.1—1995)、(GB15562.2—1995)的规定，设置与之相适应的环境保护图形标志牌。</w:t>
            </w:r>
          </w:p>
          <w:p>
            <w:pPr>
              <w:pStyle w:val="2"/>
              <w:spacing w:after="0" w:line="336" w:lineRule="auto"/>
              <w:ind w:left="0" w:leftChars="0" w:firstLine="480"/>
              <w:rPr>
                <w:color w:val="000000"/>
                <w:kern w:val="21"/>
                <w:szCs w:val="24"/>
              </w:rPr>
            </w:pPr>
            <w:r>
              <w:rPr>
                <w:color w:val="000000"/>
                <w:kern w:val="21"/>
                <w:szCs w:val="24"/>
              </w:rPr>
              <w:t>①环境保护图形标志牌设置位置应距污染物排放口(源)及固体废物贮存(处置)场或采样点较近且醒目处，并能长久保留，其中：噪声排放源标志牌应设置在距选定监测点较近且醒目处。设置高度一般为：环境保护图形标志牌上缘距离地面2米。</w:t>
            </w:r>
          </w:p>
          <w:p>
            <w:pPr>
              <w:pStyle w:val="2"/>
              <w:spacing w:after="0" w:line="336" w:lineRule="auto"/>
              <w:ind w:left="0" w:leftChars="0" w:firstLine="480"/>
              <w:rPr>
                <w:color w:val="000000"/>
                <w:kern w:val="21"/>
                <w:szCs w:val="24"/>
              </w:rPr>
            </w:pPr>
            <w:r>
              <w:rPr>
                <w:color w:val="000000"/>
                <w:kern w:val="21"/>
                <w:szCs w:val="24"/>
              </w:rPr>
              <w:t>②一般排污单位的污染物排放口(源)或固体废物贮存、处置场，可根据情况分别选择设置立式或平面固定式标志牌。</w:t>
            </w:r>
          </w:p>
          <w:p>
            <w:pPr>
              <w:pStyle w:val="2"/>
              <w:spacing w:after="0" w:line="336" w:lineRule="auto"/>
              <w:ind w:left="0" w:leftChars="0" w:firstLine="480"/>
              <w:rPr>
                <w:color w:val="000000"/>
                <w:kern w:val="21"/>
                <w:szCs w:val="24"/>
              </w:rPr>
            </w:pPr>
            <w:r>
              <w:rPr>
                <w:color w:val="000000"/>
                <w:kern w:val="21"/>
                <w:szCs w:val="24"/>
              </w:rPr>
              <w:t>③一般性污染物排放口(源)或固体废物贮存、处置场，设置提示性环境保护图形标志牌。</w:t>
            </w:r>
          </w:p>
          <w:p>
            <w:pPr>
              <w:spacing w:line="336" w:lineRule="auto"/>
              <w:ind w:firstLine="482" w:firstLineChars="200"/>
              <w:rPr>
                <w:color w:val="000000"/>
                <w:kern w:val="21"/>
                <w:sz w:val="24"/>
              </w:rPr>
            </w:pPr>
            <w:r>
              <w:rPr>
                <w:b/>
                <w:bCs/>
                <w:color w:val="000000"/>
                <w:sz w:val="24"/>
              </w:rPr>
              <w:t>5、排污口图形标志</w:t>
            </w:r>
          </w:p>
          <w:p>
            <w:pPr>
              <w:spacing w:line="336" w:lineRule="auto"/>
              <w:ind w:firstLine="480" w:firstLineChars="200"/>
              <w:rPr>
                <w:color w:val="000000"/>
                <w:sz w:val="24"/>
              </w:rPr>
            </w:pPr>
            <w:r>
              <w:rPr>
                <w:color w:val="000000"/>
                <w:kern w:val="21"/>
                <w:sz w:val="24"/>
              </w:rPr>
              <w:t>固废堆场以及主要固定噪声源附近应设置环境保护图形标志牌，包括</w:t>
            </w:r>
            <w:r>
              <w:rPr>
                <w:color w:val="000000"/>
                <w:sz w:val="24"/>
              </w:rPr>
              <w:t>提示图形</w:t>
            </w:r>
            <w:r>
              <w:rPr>
                <w:color w:val="000000"/>
                <w:kern w:val="21"/>
                <w:sz w:val="24"/>
              </w:rPr>
              <w:t>标志牌</w:t>
            </w:r>
            <w:r>
              <w:rPr>
                <w:color w:val="000000"/>
                <w:sz w:val="24"/>
              </w:rPr>
              <w:t>和警告图形</w:t>
            </w:r>
            <w:r>
              <w:rPr>
                <w:color w:val="000000"/>
                <w:kern w:val="21"/>
                <w:sz w:val="24"/>
              </w:rPr>
              <w:t>标志牌。具体见表</w:t>
            </w:r>
            <w:r>
              <w:rPr>
                <w:rFonts w:eastAsia="Times New Roman"/>
                <w:color w:val="000000"/>
                <w:kern w:val="21"/>
                <w:sz w:val="24"/>
              </w:rPr>
              <w:t>4-16</w:t>
            </w:r>
            <w:r>
              <w:rPr>
                <w:color w:val="000000"/>
                <w:kern w:val="21"/>
                <w:sz w:val="24"/>
              </w:rPr>
              <w:t>和表</w:t>
            </w:r>
            <w:r>
              <w:rPr>
                <w:rFonts w:eastAsia="Times New Roman"/>
                <w:color w:val="000000"/>
                <w:kern w:val="21"/>
                <w:sz w:val="24"/>
              </w:rPr>
              <w:t>4-17</w:t>
            </w:r>
            <w:r>
              <w:rPr>
                <w:color w:val="000000"/>
                <w:kern w:val="21"/>
                <w:sz w:val="24"/>
              </w:rPr>
              <w:t>。</w:t>
            </w:r>
          </w:p>
          <w:p>
            <w:pPr>
              <w:tabs>
                <w:tab w:val="left" w:pos="3256"/>
              </w:tabs>
              <w:jc w:val="center"/>
              <w:outlineLvl w:val="3"/>
              <w:rPr>
                <w:color w:val="000000"/>
                <w:kern w:val="21"/>
                <w:szCs w:val="21"/>
              </w:rPr>
            </w:pPr>
            <w:r>
              <w:rPr>
                <w:b/>
                <w:bCs/>
                <w:color w:val="000000"/>
                <w:kern w:val="21"/>
                <w:sz w:val="24"/>
              </w:rPr>
              <w:t>表</w:t>
            </w:r>
            <w:r>
              <w:rPr>
                <w:rFonts w:eastAsia="Times New Roman"/>
                <w:b/>
                <w:bCs/>
                <w:color w:val="000000"/>
                <w:kern w:val="21"/>
                <w:sz w:val="24"/>
              </w:rPr>
              <w:t xml:space="preserve">4-16  </w:t>
            </w:r>
            <w:r>
              <w:rPr>
                <w:b/>
                <w:bCs/>
                <w:color w:val="000000"/>
                <w:kern w:val="21"/>
                <w:sz w:val="24"/>
              </w:rPr>
              <w:t>环境保护图形标志的形状及颜色表</w:t>
            </w:r>
          </w:p>
          <w:tbl>
            <w:tblPr>
              <w:tblStyle w:val="3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Change w:id="0" w:author="Administrator" w:date="2023-08-23T14:10:00Z">
                <w:tblPr>
                  <w:tblStyle w:val="35"/>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PrChange>
            </w:tblPr>
            <w:tblGrid>
              <w:gridCol w:w="2053"/>
              <w:gridCol w:w="2054"/>
              <w:gridCol w:w="2054"/>
              <w:gridCol w:w="2056"/>
              <w:tblGridChange w:id="1">
                <w:tblGrid>
                  <w:gridCol w:w="2053"/>
                  <w:gridCol w:w="2054"/>
                  <w:gridCol w:w="2054"/>
                  <w:gridCol w:w="2056"/>
                </w:tblGrid>
              </w:tblGridChange>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Change w:id="2" w:author="Administrator" w:date="2023-08-23T14:10:00Z">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blPrExChange>
              </w:tblPrEx>
              <w:trPr>
                <w:trHeight w:val="409" w:hRule="atLeast"/>
                <w:jc w:val="center"/>
                <w:trPrChange w:id="2" w:author="Administrator" w:date="2023-08-23T14:10:00Z">
                  <w:trPr>
                    <w:trHeight w:val="409" w:hRule="atLeast"/>
                  </w:trPr>
                </w:trPrChange>
              </w:trPr>
              <w:tc>
                <w:tcPr>
                  <w:tcW w:w="2053" w:type="dxa"/>
                  <w:vAlign w:val="center"/>
                  <w:tcPrChange w:id="3" w:author="Administrator" w:date="2023-08-23T14:10:00Z">
                    <w:tcPr>
                      <w:tcW w:w="2053" w:type="dxa"/>
                      <w:vAlign w:val="center"/>
                    </w:tcPr>
                  </w:tcPrChange>
                </w:tcPr>
                <w:p>
                  <w:pPr>
                    <w:jc w:val="center"/>
                    <w:rPr>
                      <w:color w:val="000000"/>
                      <w:kern w:val="21"/>
                      <w:szCs w:val="21"/>
                    </w:rPr>
                  </w:pPr>
                  <w:r>
                    <w:rPr>
                      <w:color w:val="000000"/>
                      <w:kern w:val="21"/>
                      <w:szCs w:val="21"/>
                    </w:rPr>
                    <w:t>标志名称</w:t>
                  </w:r>
                </w:p>
              </w:tc>
              <w:tc>
                <w:tcPr>
                  <w:tcW w:w="2054" w:type="dxa"/>
                  <w:vAlign w:val="center"/>
                  <w:tcPrChange w:id="4" w:author="Administrator" w:date="2023-08-23T14:10:00Z">
                    <w:tcPr>
                      <w:tcW w:w="2054" w:type="dxa"/>
                      <w:vAlign w:val="center"/>
                    </w:tcPr>
                  </w:tcPrChange>
                </w:tcPr>
                <w:p>
                  <w:pPr>
                    <w:jc w:val="center"/>
                    <w:rPr>
                      <w:color w:val="000000"/>
                      <w:kern w:val="21"/>
                      <w:szCs w:val="21"/>
                    </w:rPr>
                  </w:pPr>
                  <w:r>
                    <w:rPr>
                      <w:color w:val="000000"/>
                      <w:kern w:val="21"/>
                      <w:szCs w:val="21"/>
                    </w:rPr>
                    <w:t>形状</w:t>
                  </w:r>
                </w:p>
              </w:tc>
              <w:tc>
                <w:tcPr>
                  <w:tcW w:w="2054" w:type="dxa"/>
                  <w:vAlign w:val="center"/>
                  <w:tcPrChange w:id="5" w:author="Administrator" w:date="2023-08-23T14:10:00Z">
                    <w:tcPr>
                      <w:tcW w:w="2054" w:type="dxa"/>
                      <w:vAlign w:val="center"/>
                    </w:tcPr>
                  </w:tcPrChange>
                </w:tcPr>
                <w:p>
                  <w:pPr>
                    <w:jc w:val="center"/>
                    <w:rPr>
                      <w:color w:val="000000"/>
                      <w:kern w:val="21"/>
                      <w:szCs w:val="21"/>
                    </w:rPr>
                  </w:pPr>
                  <w:r>
                    <w:rPr>
                      <w:color w:val="000000"/>
                      <w:kern w:val="21"/>
                      <w:szCs w:val="21"/>
                    </w:rPr>
                    <w:t>背景颜色</w:t>
                  </w:r>
                </w:p>
              </w:tc>
              <w:tc>
                <w:tcPr>
                  <w:tcW w:w="2056" w:type="dxa"/>
                  <w:vAlign w:val="center"/>
                  <w:tcPrChange w:id="6" w:author="Administrator" w:date="2023-08-23T14:10:00Z">
                    <w:tcPr>
                      <w:tcW w:w="2056" w:type="dxa"/>
                      <w:vAlign w:val="center"/>
                    </w:tcPr>
                  </w:tcPrChange>
                </w:tcPr>
                <w:p>
                  <w:pPr>
                    <w:jc w:val="center"/>
                    <w:rPr>
                      <w:color w:val="000000"/>
                      <w:kern w:val="21"/>
                      <w:szCs w:val="21"/>
                    </w:rPr>
                  </w:pPr>
                  <w:r>
                    <w:rPr>
                      <w:color w:val="000000"/>
                      <w:kern w:val="21"/>
                      <w:szCs w:val="21"/>
                    </w:rPr>
                    <w:t>图形颜色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Change w:id="7" w:author="Administrator" w:date="2023-08-23T14:10:00Z">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blPrExChange>
              </w:tblPrEx>
              <w:trPr>
                <w:trHeight w:val="409" w:hRule="atLeast"/>
                <w:jc w:val="center"/>
                <w:trPrChange w:id="7" w:author="Administrator" w:date="2023-08-23T14:10:00Z">
                  <w:trPr>
                    <w:trHeight w:val="409" w:hRule="atLeast"/>
                  </w:trPr>
                </w:trPrChange>
              </w:trPr>
              <w:tc>
                <w:tcPr>
                  <w:tcW w:w="2053" w:type="dxa"/>
                  <w:vAlign w:val="center"/>
                  <w:tcPrChange w:id="8" w:author="Administrator" w:date="2023-08-23T14:10:00Z">
                    <w:tcPr>
                      <w:tcW w:w="2053" w:type="dxa"/>
                      <w:vAlign w:val="center"/>
                    </w:tcPr>
                  </w:tcPrChange>
                </w:tcPr>
                <w:p>
                  <w:pPr>
                    <w:jc w:val="center"/>
                    <w:rPr>
                      <w:color w:val="000000"/>
                      <w:kern w:val="21"/>
                      <w:szCs w:val="21"/>
                    </w:rPr>
                  </w:pPr>
                  <w:r>
                    <w:rPr>
                      <w:color w:val="000000"/>
                      <w:kern w:val="21"/>
                      <w:szCs w:val="21"/>
                    </w:rPr>
                    <w:t>警告标志</w:t>
                  </w:r>
                </w:p>
              </w:tc>
              <w:tc>
                <w:tcPr>
                  <w:tcW w:w="2054" w:type="dxa"/>
                  <w:vAlign w:val="center"/>
                  <w:tcPrChange w:id="9" w:author="Administrator" w:date="2023-08-23T14:10:00Z">
                    <w:tcPr>
                      <w:tcW w:w="2054" w:type="dxa"/>
                      <w:vAlign w:val="center"/>
                    </w:tcPr>
                  </w:tcPrChange>
                </w:tcPr>
                <w:p>
                  <w:pPr>
                    <w:jc w:val="center"/>
                    <w:rPr>
                      <w:color w:val="000000"/>
                      <w:kern w:val="21"/>
                      <w:szCs w:val="21"/>
                    </w:rPr>
                  </w:pPr>
                  <w:r>
                    <w:rPr>
                      <w:color w:val="000000"/>
                      <w:kern w:val="21"/>
                      <w:szCs w:val="21"/>
                    </w:rPr>
                    <w:t>三角形边框</w:t>
                  </w:r>
                </w:p>
              </w:tc>
              <w:tc>
                <w:tcPr>
                  <w:tcW w:w="2054" w:type="dxa"/>
                  <w:vAlign w:val="center"/>
                  <w:tcPrChange w:id="10" w:author="Administrator" w:date="2023-08-23T14:10:00Z">
                    <w:tcPr>
                      <w:tcW w:w="2054" w:type="dxa"/>
                      <w:vAlign w:val="center"/>
                    </w:tcPr>
                  </w:tcPrChange>
                </w:tcPr>
                <w:p>
                  <w:pPr>
                    <w:jc w:val="center"/>
                    <w:rPr>
                      <w:color w:val="000000"/>
                      <w:kern w:val="21"/>
                      <w:szCs w:val="21"/>
                    </w:rPr>
                  </w:pPr>
                  <w:r>
                    <w:rPr>
                      <w:color w:val="000000"/>
                      <w:kern w:val="21"/>
                      <w:szCs w:val="21"/>
                    </w:rPr>
                    <w:t>黄色</w:t>
                  </w:r>
                </w:p>
              </w:tc>
              <w:tc>
                <w:tcPr>
                  <w:tcW w:w="2056" w:type="dxa"/>
                  <w:vAlign w:val="center"/>
                  <w:tcPrChange w:id="11" w:author="Administrator" w:date="2023-08-23T14:10:00Z">
                    <w:tcPr>
                      <w:tcW w:w="2056" w:type="dxa"/>
                      <w:vAlign w:val="center"/>
                    </w:tcPr>
                  </w:tcPrChange>
                </w:tcPr>
                <w:p>
                  <w:pPr>
                    <w:jc w:val="center"/>
                    <w:rPr>
                      <w:color w:val="000000"/>
                      <w:kern w:val="21"/>
                      <w:szCs w:val="21"/>
                    </w:rPr>
                  </w:pPr>
                  <w:r>
                    <w:rPr>
                      <w:color w:val="000000"/>
                      <w:kern w:val="21"/>
                      <w:szCs w:val="21"/>
                    </w:rPr>
                    <w:t>黑色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Change w:id="12" w:author="Administrator" w:date="2023-08-23T14:10:00Z">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blPrExChange>
              </w:tblPrEx>
              <w:trPr>
                <w:trHeight w:val="452" w:hRule="atLeast"/>
                <w:jc w:val="center"/>
                <w:trPrChange w:id="12" w:author="Administrator" w:date="2023-08-23T14:10:00Z">
                  <w:trPr>
                    <w:trHeight w:val="452" w:hRule="atLeast"/>
                  </w:trPr>
                </w:trPrChange>
              </w:trPr>
              <w:tc>
                <w:tcPr>
                  <w:tcW w:w="2053" w:type="dxa"/>
                  <w:vAlign w:val="center"/>
                  <w:tcPrChange w:id="13" w:author="Administrator" w:date="2023-08-23T14:10:00Z">
                    <w:tcPr>
                      <w:tcW w:w="2053" w:type="dxa"/>
                      <w:vAlign w:val="center"/>
                    </w:tcPr>
                  </w:tcPrChange>
                </w:tcPr>
                <w:p>
                  <w:pPr>
                    <w:jc w:val="center"/>
                    <w:rPr>
                      <w:color w:val="000000"/>
                      <w:kern w:val="21"/>
                      <w:szCs w:val="21"/>
                    </w:rPr>
                  </w:pPr>
                  <w:r>
                    <w:rPr>
                      <w:color w:val="000000"/>
                      <w:kern w:val="21"/>
                      <w:szCs w:val="21"/>
                    </w:rPr>
                    <w:t>提示标志</w:t>
                  </w:r>
                </w:p>
              </w:tc>
              <w:tc>
                <w:tcPr>
                  <w:tcW w:w="2054" w:type="dxa"/>
                  <w:vAlign w:val="center"/>
                  <w:tcPrChange w:id="14" w:author="Administrator" w:date="2023-08-23T14:10:00Z">
                    <w:tcPr>
                      <w:tcW w:w="2054" w:type="dxa"/>
                      <w:vAlign w:val="center"/>
                    </w:tcPr>
                  </w:tcPrChange>
                </w:tcPr>
                <w:p>
                  <w:pPr>
                    <w:jc w:val="center"/>
                    <w:rPr>
                      <w:color w:val="000000"/>
                      <w:kern w:val="21"/>
                      <w:szCs w:val="21"/>
                    </w:rPr>
                  </w:pPr>
                  <w:r>
                    <w:rPr>
                      <w:color w:val="000000"/>
                      <w:kern w:val="21"/>
                      <w:szCs w:val="21"/>
                    </w:rPr>
                    <w:t>正方形边框</w:t>
                  </w:r>
                </w:p>
              </w:tc>
              <w:tc>
                <w:tcPr>
                  <w:tcW w:w="2054" w:type="dxa"/>
                  <w:vAlign w:val="center"/>
                  <w:tcPrChange w:id="15" w:author="Administrator" w:date="2023-08-23T14:10:00Z">
                    <w:tcPr>
                      <w:tcW w:w="2054" w:type="dxa"/>
                      <w:vAlign w:val="center"/>
                    </w:tcPr>
                  </w:tcPrChange>
                </w:tcPr>
                <w:p>
                  <w:pPr>
                    <w:jc w:val="center"/>
                    <w:rPr>
                      <w:color w:val="000000"/>
                      <w:kern w:val="21"/>
                      <w:szCs w:val="21"/>
                    </w:rPr>
                  </w:pPr>
                  <w:r>
                    <w:rPr>
                      <w:color w:val="000000"/>
                      <w:kern w:val="21"/>
                      <w:szCs w:val="21"/>
                    </w:rPr>
                    <w:t>绿色</w:t>
                  </w:r>
                </w:p>
              </w:tc>
              <w:tc>
                <w:tcPr>
                  <w:tcW w:w="2056" w:type="dxa"/>
                  <w:vAlign w:val="center"/>
                  <w:tcPrChange w:id="16" w:author="Administrator" w:date="2023-08-23T14:10:00Z">
                    <w:tcPr>
                      <w:tcW w:w="2056" w:type="dxa"/>
                      <w:vAlign w:val="center"/>
                    </w:tcPr>
                  </w:tcPrChange>
                </w:tcPr>
                <w:p>
                  <w:pPr>
                    <w:jc w:val="center"/>
                    <w:rPr>
                      <w:color w:val="000000"/>
                      <w:kern w:val="21"/>
                      <w:szCs w:val="21"/>
                    </w:rPr>
                  </w:pPr>
                  <w:r>
                    <w:rPr>
                      <w:color w:val="000000"/>
                      <w:kern w:val="21"/>
                      <w:szCs w:val="21"/>
                    </w:rPr>
                    <w:t>白色</w:t>
                  </w:r>
                </w:p>
              </w:tc>
            </w:tr>
          </w:tbl>
          <w:p>
            <w:pPr>
              <w:tabs>
                <w:tab w:val="left" w:pos="4176"/>
              </w:tabs>
              <w:spacing w:before="104"/>
              <w:ind w:left="2904"/>
              <w:outlineLvl w:val="3"/>
              <w:rPr>
                <w:color w:val="000000"/>
                <w:kern w:val="21"/>
                <w:szCs w:val="21"/>
              </w:rPr>
            </w:pPr>
            <w:r>
              <w:rPr>
                <w:b/>
                <w:bCs/>
                <w:color w:val="000000"/>
                <w:kern w:val="21"/>
                <w:sz w:val="24"/>
              </w:rPr>
              <w:t>表4-17 环保图形标志</w:t>
            </w:r>
          </w:p>
          <w:tbl>
            <w:tblPr>
              <w:tblStyle w:val="35"/>
              <w:tblW w:w="4998" w:type="pct"/>
              <w:tblInd w:w="0" w:type="dxa"/>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Layout w:type="fixed"/>
              <w:tblCellMar>
                <w:top w:w="0" w:type="dxa"/>
                <w:left w:w="0" w:type="dxa"/>
                <w:bottom w:w="0" w:type="dxa"/>
                <w:right w:w="0" w:type="dxa"/>
              </w:tblCellMar>
            </w:tblPr>
            <w:tblGrid>
              <w:gridCol w:w="834"/>
              <w:gridCol w:w="3879"/>
              <w:gridCol w:w="3522"/>
              <w:gridCol w:w="846"/>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0" w:type="dxa"/>
                  <w:bottom w:w="0" w:type="dxa"/>
                  <w:right w:w="0" w:type="dxa"/>
                </w:tblCellMar>
              </w:tblPrEx>
              <w:trPr>
                <w:trHeight w:val="397" w:hRule="atLeast"/>
              </w:trPr>
              <w:tc>
                <w:tcPr>
                  <w:tcW w:w="459" w:type="pct"/>
                  <w:vAlign w:val="center"/>
                </w:tcPr>
                <w:p>
                  <w:pPr>
                    <w:jc w:val="center"/>
                    <w:rPr>
                      <w:color w:val="000000"/>
                      <w:kern w:val="21"/>
                      <w:szCs w:val="21"/>
                      <w:lang w:eastAsia="en-US"/>
                    </w:rPr>
                  </w:pPr>
                  <w:r>
                    <w:rPr>
                      <w:color w:val="000000"/>
                      <w:kern w:val="21"/>
                      <w:szCs w:val="21"/>
                      <w:lang w:eastAsia="en-US"/>
                    </w:rPr>
                    <w:t>序号</w:t>
                  </w:r>
                </w:p>
              </w:tc>
              <w:tc>
                <w:tcPr>
                  <w:tcW w:w="2135" w:type="pct"/>
                  <w:vAlign w:val="center"/>
                </w:tcPr>
                <w:p>
                  <w:pPr>
                    <w:jc w:val="center"/>
                    <w:rPr>
                      <w:color w:val="000000"/>
                      <w:kern w:val="21"/>
                      <w:szCs w:val="21"/>
                      <w:lang w:eastAsia="en-US"/>
                    </w:rPr>
                  </w:pPr>
                  <w:r>
                    <w:rPr>
                      <w:color w:val="000000"/>
                      <w:kern w:val="21"/>
                      <w:szCs w:val="21"/>
                      <w:lang w:eastAsia="en-US"/>
                    </w:rPr>
                    <w:t>提示性图形符号</w:t>
                  </w:r>
                </w:p>
              </w:tc>
              <w:tc>
                <w:tcPr>
                  <w:tcW w:w="1938" w:type="pct"/>
                  <w:vAlign w:val="center"/>
                </w:tcPr>
                <w:p>
                  <w:pPr>
                    <w:jc w:val="center"/>
                    <w:rPr>
                      <w:color w:val="000000"/>
                      <w:kern w:val="21"/>
                      <w:szCs w:val="21"/>
                      <w:lang w:eastAsia="en-US"/>
                    </w:rPr>
                  </w:pPr>
                  <w:r>
                    <w:rPr>
                      <w:color w:val="000000"/>
                      <w:kern w:val="21"/>
                      <w:szCs w:val="21"/>
                      <w:lang w:eastAsia="en-US"/>
                    </w:rPr>
                    <w:t>警告图形符号</w:t>
                  </w:r>
                </w:p>
              </w:tc>
              <w:tc>
                <w:tcPr>
                  <w:tcW w:w="466" w:type="pct"/>
                  <w:vAlign w:val="center"/>
                </w:tcPr>
                <w:p>
                  <w:pPr>
                    <w:jc w:val="center"/>
                    <w:rPr>
                      <w:color w:val="000000"/>
                      <w:kern w:val="21"/>
                      <w:szCs w:val="21"/>
                      <w:lang w:eastAsia="en-US"/>
                    </w:rPr>
                  </w:pPr>
                  <w:r>
                    <w:rPr>
                      <w:color w:val="000000"/>
                      <w:kern w:val="21"/>
                      <w:szCs w:val="21"/>
                      <w:lang w:eastAsia="en-US"/>
                    </w:rPr>
                    <w:t>排放口及堆场</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0" w:type="dxa"/>
                  <w:bottom w:w="0" w:type="dxa"/>
                  <w:right w:w="0" w:type="dxa"/>
                </w:tblCellMar>
              </w:tblPrEx>
              <w:trPr>
                <w:trHeight w:val="397" w:hRule="atLeast"/>
              </w:trPr>
              <w:tc>
                <w:tcPr>
                  <w:tcW w:w="459" w:type="pct"/>
                  <w:vAlign w:val="center"/>
                </w:tcPr>
                <w:p>
                  <w:pPr>
                    <w:jc w:val="center"/>
                    <w:rPr>
                      <w:color w:val="000000"/>
                      <w:kern w:val="21"/>
                      <w:szCs w:val="21"/>
                    </w:rPr>
                  </w:pPr>
                  <w:r>
                    <w:rPr>
                      <w:color w:val="000000"/>
                      <w:kern w:val="21"/>
                      <w:szCs w:val="21"/>
                    </w:rPr>
                    <w:t>1</w:t>
                  </w:r>
                </w:p>
              </w:tc>
              <w:tc>
                <w:tcPr>
                  <w:tcW w:w="2135" w:type="pct"/>
                  <w:vAlign w:val="center"/>
                </w:tcPr>
                <w:p>
                  <w:pPr>
                    <w:jc w:val="center"/>
                    <w:rPr>
                      <w:rFonts w:eastAsia="Times New Roman"/>
                      <w:color w:val="000000"/>
                      <w:kern w:val="21"/>
                      <w:szCs w:val="21"/>
                      <w:lang w:eastAsia="en-US"/>
                    </w:rPr>
                  </w:pPr>
                  <w:r>
                    <w:rPr>
                      <w:rFonts w:eastAsia="Calibri"/>
                      <w:color w:val="000000"/>
                      <w:kern w:val="21"/>
                      <w:szCs w:val="21"/>
                      <w:lang w:eastAsia="en-US"/>
                    </w:rPr>
                    <w:drawing>
                      <wp:inline distT="0" distB="0" distL="114300" distR="114300">
                        <wp:extent cx="586740" cy="586740"/>
                        <wp:effectExtent l="0" t="0" r="3810" b="381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19"/>
                                <a:stretch>
                                  <a:fillRect/>
                                </a:stretch>
                              </pic:blipFill>
                              <pic:spPr>
                                <a:xfrm>
                                  <a:off x="0" y="0"/>
                                  <a:ext cx="586740" cy="586740"/>
                                </a:xfrm>
                                <a:prstGeom prst="rect">
                                  <a:avLst/>
                                </a:prstGeom>
                                <a:noFill/>
                                <a:ln>
                                  <a:noFill/>
                                </a:ln>
                              </pic:spPr>
                            </pic:pic>
                          </a:graphicData>
                        </a:graphic>
                      </wp:inline>
                    </w:drawing>
                  </w:r>
                </w:p>
              </w:tc>
              <w:tc>
                <w:tcPr>
                  <w:tcW w:w="1938" w:type="pct"/>
                  <w:vAlign w:val="center"/>
                </w:tcPr>
                <w:p>
                  <w:pPr>
                    <w:jc w:val="center"/>
                    <w:rPr>
                      <w:rFonts w:eastAsia="Times New Roman"/>
                      <w:color w:val="000000"/>
                      <w:kern w:val="21"/>
                      <w:szCs w:val="21"/>
                      <w:lang w:eastAsia="en-US"/>
                    </w:rPr>
                  </w:pPr>
                  <w:r>
                    <w:rPr>
                      <w:rFonts w:eastAsia="Calibri"/>
                      <w:color w:val="000000"/>
                      <w:kern w:val="21"/>
                      <w:szCs w:val="21"/>
                      <w:lang w:eastAsia="en-US"/>
                    </w:rPr>
                    <w:drawing>
                      <wp:inline distT="0" distB="0" distL="114300" distR="114300">
                        <wp:extent cx="658495" cy="586740"/>
                        <wp:effectExtent l="0" t="0" r="8255" b="381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0"/>
                                <a:stretch>
                                  <a:fillRect/>
                                </a:stretch>
                              </pic:blipFill>
                              <pic:spPr>
                                <a:xfrm>
                                  <a:off x="0" y="0"/>
                                  <a:ext cx="658495" cy="586740"/>
                                </a:xfrm>
                                <a:prstGeom prst="rect">
                                  <a:avLst/>
                                </a:prstGeom>
                                <a:noFill/>
                                <a:ln>
                                  <a:noFill/>
                                </a:ln>
                              </pic:spPr>
                            </pic:pic>
                          </a:graphicData>
                        </a:graphic>
                      </wp:inline>
                    </w:drawing>
                  </w:r>
                </w:p>
              </w:tc>
              <w:tc>
                <w:tcPr>
                  <w:tcW w:w="466" w:type="pct"/>
                  <w:vAlign w:val="center"/>
                </w:tcPr>
                <w:p>
                  <w:pPr>
                    <w:jc w:val="center"/>
                    <w:rPr>
                      <w:color w:val="000000"/>
                      <w:kern w:val="21"/>
                      <w:szCs w:val="21"/>
                      <w:lang w:eastAsia="en-US"/>
                    </w:rPr>
                  </w:pPr>
                  <w:r>
                    <w:rPr>
                      <w:color w:val="000000"/>
                      <w:kern w:val="21"/>
                      <w:szCs w:val="21"/>
                      <w:lang w:eastAsia="en-US"/>
                    </w:rPr>
                    <w:t>噪声排放源</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6" w:space="0"/>
                </w:tblBorders>
                <w:tblCellMar>
                  <w:top w:w="0" w:type="dxa"/>
                  <w:left w:w="0" w:type="dxa"/>
                  <w:bottom w:w="0" w:type="dxa"/>
                  <w:right w:w="0" w:type="dxa"/>
                </w:tblCellMar>
              </w:tblPrEx>
              <w:trPr>
                <w:trHeight w:val="397" w:hRule="atLeast"/>
              </w:trPr>
              <w:tc>
                <w:tcPr>
                  <w:tcW w:w="459" w:type="pct"/>
                  <w:vAlign w:val="center"/>
                </w:tcPr>
                <w:p>
                  <w:pPr>
                    <w:jc w:val="center"/>
                    <w:rPr>
                      <w:rFonts w:eastAsia="Calibri"/>
                      <w:color w:val="000000"/>
                      <w:kern w:val="21"/>
                      <w:szCs w:val="21"/>
                      <w:lang w:eastAsia="en-US"/>
                    </w:rPr>
                  </w:pPr>
                </w:p>
                <w:p>
                  <w:pPr>
                    <w:jc w:val="center"/>
                    <w:rPr>
                      <w:color w:val="000000"/>
                      <w:kern w:val="21"/>
                      <w:szCs w:val="21"/>
                    </w:rPr>
                  </w:pPr>
                  <w:r>
                    <w:rPr>
                      <w:color w:val="000000"/>
                      <w:kern w:val="21"/>
                      <w:szCs w:val="21"/>
                    </w:rPr>
                    <w:t>2</w:t>
                  </w:r>
                </w:p>
              </w:tc>
              <w:tc>
                <w:tcPr>
                  <w:tcW w:w="2135" w:type="pct"/>
                  <w:vAlign w:val="center"/>
                </w:tcPr>
                <w:p>
                  <w:pPr>
                    <w:jc w:val="center"/>
                    <w:rPr>
                      <w:rFonts w:eastAsia="Times New Roman"/>
                      <w:color w:val="000000"/>
                      <w:kern w:val="21"/>
                      <w:szCs w:val="21"/>
                      <w:lang w:eastAsia="en-US"/>
                    </w:rPr>
                  </w:pPr>
                  <w:r>
                    <w:rPr>
                      <w:rFonts w:eastAsia="Calibri"/>
                      <w:color w:val="000000"/>
                      <w:kern w:val="21"/>
                      <w:szCs w:val="21"/>
                      <w:lang w:eastAsia="en-US"/>
                    </w:rPr>
                    <w:drawing>
                      <wp:inline distT="0" distB="0" distL="114300" distR="114300">
                        <wp:extent cx="598805" cy="586740"/>
                        <wp:effectExtent l="0" t="0" r="10795" b="381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21"/>
                                <a:stretch>
                                  <a:fillRect/>
                                </a:stretch>
                              </pic:blipFill>
                              <pic:spPr>
                                <a:xfrm>
                                  <a:off x="0" y="0"/>
                                  <a:ext cx="598805" cy="586740"/>
                                </a:xfrm>
                                <a:prstGeom prst="rect">
                                  <a:avLst/>
                                </a:prstGeom>
                                <a:noFill/>
                                <a:ln>
                                  <a:noFill/>
                                </a:ln>
                              </pic:spPr>
                            </pic:pic>
                          </a:graphicData>
                        </a:graphic>
                      </wp:inline>
                    </w:drawing>
                  </w:r>
                </w:p>
              </w:tc>
              <w:tc>
                <w:tcPr>
                  <w:tcW w:w="1938" w:type="pct"/>
                  <w:vAlign w:val="center"/>
                </w:tcPr>
                <w:p>
                  <w:pPr>
                    <w:jc w:val="center"/>
                    <w:rPr>
                      <w:rFonts w:eastAsia="Times New Roman"/>
                      <w:color w:val="000000"/>
                      <w:kern w:val="21"/>
                      <w:szCs w:val="21"/>
                      <w:lang w:eastAsia="en-US"/>
                    </w:rPr>
                  </w:pPr>
                  <w:r>
                    <w:rPr>
                      <w:rFonts w:eastAsia="Calibri"/>
                      <w:color w:val="000000"/>
                      <w:kern w:val="21"/>
                      <w:szCs w:val="21"/>
                      <w:lang w:eastAsia="en-US"/>
                    </w:rPr>
                    <w:drawing>
                      <wp:inline distT="0" distB="0" distL="114300" distR="114300">
                        <wp:extent cx="658495" cy="586740"/>
                        <wp:effectExtent l="0" t="0" r="8255" b="381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22"/>
                                <a:stretch>
                                  <a:fillRect/>
                                </a:stretch>
                              </pic:blipFill>
                              <pic:spPr>
                                <a:xfrm>
                                  <a:off x="0" y="0"/>
                                  <a:ext cx="658495" cy="586740"/>
                                </a:xfrm>
                                <a:prstGeom prst="rect">
                                  <a:avLst/>
                                </a:prstGeom>
                                <a:noFill/>
                                <a:ln>
                                  <a:noFill/>
                                </a:ln>
                              </pic:spPr>
                            </pic:pic>
                          </a:graphicData>
                        </a:graphic>
                      </wp:inline>
                    </w:drawing>
                  </w:r>
                </w:p>
              </w:tc>
              <w:tc>
                <w:tcPr>
                  <w:tcW w:w="466" w:type="pct"/>
                  <w:vAlign w:val="center"/>
                </w:tcPr>
                <w:p>
                  <w:pPr>
                    <w:jc w:val="center"/>
                    <w:rPr>
                      <w:color w:val="000000"/>
                      <w:kern w:val="21"/>
                      <w:szCs w:val="21"/>
                    </w:rPr>
                  </w:pPr>
                  <w:r>
                    <w:rPr>
                      <w:color w:val="000000"/>
                      <w:kern w:val="21"/>
                      <w:szCs w:val="21"/>
                    </w:rPr>
                    <w:t>一般固体废物</w:t>
                  </w:r>
                </w:p>
              </w:tc>
            </w:tr>
          </w:tbl>
          <w:p>
            <w:pPr>
              <w:adjustRightInd w:val="0"/>
              <w:snapToGrid w:val="0"/>
              <w:spacing w:line="360" w:lineRule="auto"/>
              <w:ind w:firstLine="482" w:firstLineChars="200"/>
              <w:rPr>
                <w:b/>
                <w:bCs/>
                <w:sz w:val="24"/>
              </w:rPr>
            </w:pPr>
            <w:r>
              <w:rPr>
                <w:b/>
                <w:bCs/>
                <w:sz w:val="24"/>
              </w:rPr>
              <w:t>九、电磁辐射</w:t>
            </w:r>
          </w:p>
          <w:p>
            <w:pPr>
              <w:adjustRightInd w:val="0"/>
              <w:snapToGrid w:val="0"/>
              <w:spacing w:line="360" w:lineRule="auto"/>
              <w:ind w:firstLine="480" w:firstLineChars="200"/>
              <w:rPr>
                <w:sz w:val="24"/>
              </w:rPr>
            </w:pPr>
            <w:r>
              <w:rPr>
                <w:sz w:val="24"/>
              </w:rPr>
              <w:t>本项目不涉及电磁辐射。</w:t>
            </w:r>
          </w:p>
          <w:p>
            <w:pPr>
              <w:adjustRightInd w:val="0"/>
              <w:snapToGrid w:val="0"/>
              <w:spacing w:line="360" w:lineRule="auto"/>
              <w:ind w:firstLine="482" w:firstLineChars="200"/>
              <w:rPr>
                <w:b/>
                <w:bCs/>
                <w:sz w:val="24"/>
              </w:rPr>
            </w:pPr>
            <w:r>
              <w:rPr>
                <w:b/>
                <w:bCs/>
                <w:sz w:val="24"/>
              </w:rPr>
              <w:t>十、项目与排污许可衔接</w:t>
            </w:r>
          </w:p>
          <w:p>
            <w:pPr>
              <w:adjustRightInd w:val="0"/>
              <w:snapToGrid w:val="0"/>
              <w:spacing w:line="360" w:lineRule="auto"/>
              <w:ind w:firstLine="480" w:firstLineChars="200"/>
              <w:rPr>
                <w:szCs w:val="21"/>
              </w:rPr>
            </w:pPr>
            <w:r>
              <w:rPr>
                <w:sz w:val="24"/>
              </w:rPr>
              <w:t>根据《排污许可管理办法（试行）》（环保部令第48号）、《固定污染源排污许可分类管理名录（2020年版）》（中华人民共和国生态环境部令第11号）的要求，本项目属于“二十五、非金属矿物制品制造30；70、石墨及其他非金属矿物制品制造309*；其他”，属于登记管理，本项目应在正式投入运营前完成排污许可登记备案。</w:t>
            </w:r>
          </w:p>
          <w:p>
            <w:pPr>
              <w:adjustRightInd w:val="0"/>
              <w:spacing w:line="360" w:lineRule="auto"/>
              <w:rPr>
                <w:bCs/>
                <w:spacing w:val="-10"/>
                <w:szCs w:val="21"/>
              </w:rPr>
            </w:pPr>
          </w:p>
        </w:tc>
      </w:tr>
    </w:tbl>
    <w:p>
      <w:pPr>
        <w:adjustRightInd w:val="0"/>
        <w:snapToGrid w:val="0"/>
        <w:spacing w:line="360" w:lineRule="auto"/>
        <w:rPr>
          <w:rFonts w:ascii="宋体" w:cs="宋体"/>
          <w:b/>
          <w:kern w:val="0"/>
          <w:szCs w:val="21"/>
        </w:rPr>
        <w:sectPr>
          <w:pgSz w:w="11907" w:h="16840"/>
          <w:pgMar w:top="1440" w:right="1440" w:bottom="1440" w:left="1440" w:header="851" w:footer="850" w:gutter="0"/>
          <w:cols w:space="720" w:num="1"/>
          <w:docGrid w:type="lines" w:linePitch="312" w:charSpace="0"/>
        </w:sectPr>
      </w:pPr>
    </w:p>
    <w:p>
      <w:pPr>
        <w:pStyle w:val="32"/>
        <w:spacing w:before="0" w:beforeAutospacing="0" w:after="0" w:afterAutospacing="0"/>
        <w:jc w:val="center"/>
        <w:outlineLvl w:val="0"/>
        <w:rPr>
          <w:rFonts w:ascii="黑体" w:hAnsi="黑体" w:eastAsia="黑体"/>
          <w:snapToGrid w:val="0"/>
          <w:sz w:val="30"/>
          <w:szCs w:val="30"/>
          <w:highlight w:val="yellow"/>
        </w:rPr>
      </w:pPr>
      <w:r>
        <w:rPr>
          <w:rFonts w:hint="eastAsia" w:ascii="黑体" w:hAnsi="黑体" w:eastAsia="黑体"/>
          <w:snapToGrid w:val="0"/>
          <w:sz w:val="30"/>
          <w:szCs w:val="30"/>
        </w:rPr>
        <w:t>五、</w:t>
      </w:r>
      <w:bookmarkStart w:id="4" w:name="_Hlk54167917"/>
      <w:r>
        <w:rPr>
          <w:rFonts w:hint="eastAsia" w:ascii="黑体" w:hAnsi="黑体" w:eastAsia="黑体"/>
          <w:snapToGrid w:val="0"/>
          <w:sz w:val="30"/>
          <w:szCs w:val="30"/>
        </w:rPr>
        <w:t>环境保护措施监督检查清单</w:t>
      </w:r>
      <w:bookmarkEnd w:id="4"/>
    </w:p>
    <w:tbl>
      <w:tblPr>
        <w:tblStyle w:val="35"/>
        <w:tblW w:w="98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957"/>
        <w:gridCol w:w="958"/>
        <w:gridCol w:w="1325"/>
        <w:gridCol w:w="2025"/>
        <w:gridCol w:w="28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78" w:type="dxa"/>
            <w:tcBorders>
              <w:tl2br w:val="nil"/>
              <w:tr2bl w:val="nil"/>
            </w:tcBorders>
          </w:tcPr>
          <w:p>
            <w:pPr>
              <w:adjustRightInd w:val="0"/>
              <w:snapToGrid w:val="0"/>
              <w:ind w:firstLine="840"/>
              <w:rPr>
                <w:szCs w:val="21"/>
              </w:rPr>
            </w:pPr>
            <w:r>
              <w:rPr>
                <w:sz w:val="24"/>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53975</wp:posOffset>
                      </wp:positionV>
                      <wp:extent cx="1060450" cy="400050"/>
                      <wp:effectExtent l="1905" t="4445" r="4445" b="14605"/>
                      <wp:wrapNone/>
                      <wp:docPr id="1" name="直线 1400"/>
                      <wp:cNvGraphicFramePr/>
                      <a:graphic xmlns:a="http://schemas.openxmlformats.org/drawingml/2006/main">
                        <a:graphicData uri="http://schemas.microsoft.com/office/word/2010/wordprocessingShape">
                          <wps:wsp>
                            <wps:cNvCnPr/>
                            <wps:spPr>
                              <a:xfrm>
                                <a:off x="0" y="0"/>
                                <a:ext cx="1060450" cy="40005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400" o:spid="_x0000_s1026" o:spt="20" style="position:absolute;left:0pt;margin-left:-1.5pt;margin-top:4.25pt;height:31.5pt;width:83.5pt;z-index:251659264;mso-width-relative:page;mso-height-relative:page;" filled="f" stroked="t" coordsize="21600,21600" o:gfxdata="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fRDHA1gAAAAcBAAAP&#10;AAAAAAAAAAEAIAAAACIAAABkcnMvZG93bnJldi54bWxQSwECFAAUAAAACACHTuJAIqEtE+EBAADX&#10;AwAADgAAAAAAAAABACAAAAAlAQAAZHJzL2Uyb0RvYy54bWxQSwUGAAAAAAYABgBZAQAAeAUAAAAA&#10;">
                      <v:fill on="f" focussize="0,0"/>
                      <v:stroke color="#000000" joinstyle="round"/>
                      <v:imagedata o:title=""/>
                      <o:lock v:ext="edit" aspectratio="f"/>
                    </v:line>
                  </w:pict>
                </mc:Fallback>
              </mc:AlternateContent>
            </w:r>
            <w:r>
              <w:rPr>
                <w:szCs w:val="21"/>
              </w:rPr>
              <w:t>内容</w:t>
            </w:r>
          </w:p>
          <w:p>
            <w:pPr>
              <w:adjustRightInd w:val="0"/>
              <w:snapToGrid w:val="0"/>
              <w:rPr>
                <w:szCs w:val="21"/>
              </w:rPr>
            </w:pPr>
            <w:r>
              <w:rPr>
                <w:szCs w:val="21"/>
              </w:rPr>
              <w:t>要素</w:t>
            </w:r>
          </w:p>
        </w:tc>
        <w:tc>
          <w:tcPr>
            <w:tcW w:w="1915" w:type="dxa"/>
            <w:gridSpan w:val="2"/>
            <w:tcBorders>
              <w:tl2br w:val="nil"/>
              <w:tr2bl w:val="nil"/>
            </w:tcBorders>
            <w:vAlign w:val="center"/>
          </w:tcPr>
          <w:p>
            <w:pPr>
              <w:adjustRightInd w:val="0"/>
              <w:snapToGrid w:val="0"/>
              <w:jc w:val="center"/>
              <w:rPr>
                <w:szCs w:val="21"/>
              </w:rPr>
            </w:pPr>
            <w:r>
              <w:rPr>
                <w:szCs w:val="21"/>
              </w:rPr>
              <w:t>排放口/污染源</w:t>
            </w:r>
          </w:p>
        </w:tc>
        <w:tc>
          <w:tcPr>
            <w:tcW w:w="1325" w:type="dxa"/>
            <w:tcBorders>
              <w:tl2br w:val="nil"/>
              <w:tr2bl w:val="nil"/>
            </w:tcBorders>
            <w:vAlign w:val="center"/>
          </w:tcPr>
          <w:p>
            <w:pPr>
              <w:adjustRightInd w:val="0"/>
              <w:snapToGrid w:val="0"/>
              <w:jc w:val="center"/>
              <w:rPr>
                <w:szCs w:val="21"/>
              </w:rPr>
            </w:pPr>
            <w:r>
              <w:rPr>
                <w:szCs w:val="21"/>
              </w:rPr>
              <w:t>污染物项目</w:t>
            </w:r>
          </w:p>
        </w:tc>
        <w:tc>
          <w:tcPr>
            <w:tcW w:w="2025" w:type="dxa"/>
            <w:tcBorders>
              <w:tl2br w:val="nil"/>
              <w:tr2bl w:val="nil"/>
            </w:tcBorders>
            <w:vAlign w:val="center"/>
          </w:tcPr>
          <w:p>
            <w:pPr>
              <w:adjustRightInd w:val="0"/>
              <w:snapToGrid w:val="0"/>
              <w:jc w:val="center"/>
              <w:rPr>
                <w:szCs w:val="21"/>
              </w:rPr>
            </w:pPr>
            <w:r>
              <w:rPr>
                <w:szCs w:val="21"/>
              </w:rPr>
              <w:t>环境保护措施</w:t>
            </w:r>
          </w:p>
        </w:tc>
        <w:tc>
          <w:tcPr>
            <w:tcW w:w="2821" w:type="dxa"/>
            <w:tcBorders>
              <w:tl2br w:val="nil"/>
              <w:tr2bl w:val="nil"/>
            </w:tcBorders>
            <w:vAlign w:val="center"/>
          </w:tcPr>
          <w:p>
            <w:pPr>
              <w:adjustRightInd w:val="0"/>
              <w:snapToGrid w:val="0"/>
              <w:jc w:val="center"/>
              <w:rPr>
                <w:szCs w:val="21"/>
              </w:rPr>
            </w:pPr>
            <w:r>
              <w:rPr>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778" w:type="dxa"/>
            <w:vMerge w:val="restart"/>
            <w:tcBorders>
              <w:tl2br w:val="nil"/>
              <w:tr2bl w:val="nil"/>
            </w:tcBorders>
            <w:vAlign w:val="center"/>
          </w:tcPr>
          <w:p>
            <w:pPr>
              <w:adjustRightInd w:val="0"/>
              <w:snapToGrid w:val="0"/>
              <w:jc w:val="center"/>
              <w:rPr>
                <w:szCs w:val="21"/>
              </w:rPr>
            </w:pPr>
            <w:r>
              <w:rPr>
                <w:szCs w:val="21"/>
              </w:rPr>
              <w:t>大气环境</w:t>
            </w:r>
          </w:p>
        </w:tc>
        <w:tc>
          <w:tcPr>
            <w:tcW w:w="957" w:type="dxa"/>
            <w:vMerge w:val="restart"/>
            <w:tcBorders>
              <w:tl2br w:val="nil"/>
              <w:tr2bl w:val="nil"/>
            </w:tcBorders>
            <w:vAlign w:val="center"/>
          </w:tcPr>
          <w:p>
            <w:pPr>
              <w:jc w:val="center"/>
              <w:rPr>
                <w:szCs w:val="21"/>
              </w:rPr>
            </w:pPr>
            <w:r>
              <w:rPr>
                <w:rFonts w:hint="eastAsia"/>
                <w:szCs w:val="21"/>
              </w:rPr>
              <w:t>有组织</w:t>
            </w:r>
          </w:p>
        </w:tc>
        <w:tc>
          <w:tcPr>
            <w:tcW w:w="958" w:type="dxa"/>
            <w:tcBorders>
              <w:tl2br w:val="nil"/>
              <w:tr2bl w:val="nil"/>
            </w:tcBorders>
            <w:vAlign w:val="center"/>
          </w:tcPr>
          <w:p>
            <w:pPr>
              <w:jc w:val="center"/>
              <w:rPr>
                <w:szCs w:val="21"/>
              </w:rPr>
            </w:pPr>
            <w:r>
              <w:rPr>
                <w:rFonts w:hint="eastAsia"/>
                <w:szCs w:val="21"/>
              </w:rPr>
              <w:t>DA001</w:t>
            </w:r>
          </w:p>
        </w:tc>
        <w:tc>
          <w:tcPr>
            <w:tcW w:w="1325" w:type="dxa"/>
            <w:tcBorders>
              <w:tl2br w:val="nil"/>
              <w:tr2bl w:val="nil"/>
            </w:tcBorders>
            <w:vAlign w:val="center"/>
          </w:tcPr>
          <w:p>
            <w:pPr>
              <w:pStyle w:val="19"/>
              <w:adjustRightInd w:val="0"/>
              <w:snapToGrid w:val="0"/>
              <w:jc w:val="center"/>
              <w:rPr>
                <w:rFonts w:ascii="Times New Roman" w:hAnsi="Times New Roman" w:cs="Times New Roman"/>
              </w:rPr>
            </w:pPr>
            <w:r>
              <w:rPr>
                <w:rFonts w:hint="eastAsia" w:ascii="Times New Roman" w:hAnsi="Times New Roman" w:cs="Times New Roman"/>
                <w:bCs/>
              </w:rPr>
              <w:t>颗粒物</w:t>
            </w:r>
          </w:p>
        </w:tc>
        <w:tc>
          <w:tcPr>
            <w:tcW w:w="2025" w:type="dxa"/>
            <w:tcBorders>
              <w:tl2br w:val="nil"/>
              <w:tr2bl w:val="nil"/>
            </w:tcBorders>
            <w:vAlign w:val="center"/>
          </w:tcPr>
          <w:p>
            <w:pPr>
              <w:adjustRightInd w:val="0"/>
              <w:snapToGrid w:val="0"/>
              <w:jc w:val="center"/>
              <w:rPr>
                <w:szCs w:val="21"/>
              </w:rPr>
            </w:pPr>
            <w:r>
              <w:rPr>
                <w:rFonts w:hint="eastAsia"/>
                <w:szCs w:val="21"/>
              </w:rPr>
              <w:t>袋式除尘器</w:t>
            </w:r>
            <w:r>
              <w:rPr>
                <w:szCs w:val="21"/>
              </w:rPr>
              <w:t>+15m排气筒</w:t>
            </w:r>
          </w:p>
        </w:tc>
        <w:tc>
          <w:tcPr>
            <w:tcW w:w="2821" w:type="dxa"/>
            <w:vMerge w:val="restart"/>
            <w:tcBorders>
              <w:tl2br w:val="nil"/>
              <w:tr2bl w:val="nil"/>
            </w:tcBorders>
            <w:vAlign w:val="center"/>
          </w:tcPr>
          <w:p>
            <w:pPr>
              <w:adjustRightInd w:val="0"/>
              <w:snapToGrid w:val="0"/>
              <w:jc w:val="center"/>
              <w:rPr>
                <w:szCs w:val="21"/>
              </w:rPr>
            </w:pPr>
            <w:r>
              <w:rPr>
                <w:szCs w:val="21"/>
              </w:rPr>
              <w:t>有组织排放浓度满足《区域性大气污染物综合排放标准》（DB37/2376-2019）表1中一般控制区排放浓度限值，排放速率满足《大气污染物综合排放标准》(GB16297-1996)表2中的标准要求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778" w:type="dxa"/>
            <w:vMerge w:val="continue"/>
            <w:tcBorders>
              <w:tl2br w:val="nil"/>
              <w:tr2bl w:val="nil"/>
            </w:tcBorders>
            <w:vAlign w:val="center"/>
          </w:tcPr>
          <w:p>
            <w:pPr>
              <w:adjustRightInd w:val="0"/>
              <w:snapToGrid w:val="0"/>
              <w:jc w:val="center"/>
            </w:pPr>
          </w:p>
        </w:tc>
        <w:tc>
          <w:tcPr>
            <w:tcW w:w="957" w:type="dxa"/>
            <w:vMerge w:val="continue"/>
            <w:tcBorders>
              <w:tl2br w:val="nil"/>
              <w:tr2bl w:val="nil"/>
            </w:tcBorders>
            <w:vAlign w:val="center"/>
          </w:tcPr>
          <w:p>
            <w:pPr>
              <w:adjustRightInd w:val="0"/>
              <w:snapToGrid w:val="0"/>
              <w:jc w:val="center"/>
            </w:pPr>
          </w:p>
        </w:tc>
        <w:tc>
          <w:tcPr>
            <w:tcW w:w="958" w:type="dxa"/>
            <w:vMerge w:val="restart"/>
            <w:tcBorders>
              <w:tl2br w:val="nil"/>
              <w:tr2bl w:val="nil"/>
            </w:tcBorders>
            <w:vAlign w:val="center"/>
          </w:tcPr>
          <w:p>
            <w:pPr>
              <w:adjustRightInd w:val="0"/>
              <w:snapToGrid w:val="0"/>
              <w:jc w:val="center"/>
              <w:rPr>
                <w:szCs w:val="21"/>
              </w:rPr>
            </w:pPr>
            <w:r>
              <w:rPr>
                <w:rFonts w:hint="eastAsia"/>
                <w:szCs w:val="21"/>
              </w:rPr>
              <w:t>DA002</w:t>
            </w:r>
          </w:p>
        </w:tc>
        <w:tc>
          <w:tcPr>
            <w:tcW w:w="1325" w:type="dxa"/>
            <w:tcBorders>
              <w:tl2br w:val="nil"/>
              <w:tr2bl w:val="nil"/>
            </w:tcBorders>
            <w:vAlign w:val="center"/>
          </w:tcPr>
          <w:p>
            <w:pPr>
              <w:adjustRightInd w:val="0"/>
              <w:snapToGrid w:val="0"/>
              <w:jc w:val="center"/>
              <w:rPr>
                <w:szCs w:val="21"/>
              </w:rPr>
            </w:pPr>
            <w:r>
              <w:rPr>
                <w:rFonts w:hint="eastAsia"/>
                <w:szCs w:val="21"/>
              </w:rPr>
              <w:t>颗粒物</w:t>
            </w:r>
          </w:p>
        </w:tc>
        <w:tc>
          <w:tcPr>
            <w:tcW w:w="2025" w:type="dxa"/>
            <w:vMerge w:val="restart"/>
            <w:tcBorders>
              <w:tl2br w:val="nil"/>
              <w:tr2bl w:val="nil"/>
            </w:tcBorders>
            <w:vAlign w:val="center"/>
          </w:tcPr>
          <w:p>
            <w:pPr>
              <w:adjustRightInd w:val="0"/>
              <w:snapToGrid w:val="0"/>
              <w:jc w:val="center"/>
              <w:rPr>
                <w:szCs w:val="21"/>
              </w:rPr>
            </w:pPr>
            <w:r>
              <w:rPr>
                <w:rFonts w:hint="eastAsia"/>
                <w:szCs w:val="21"/>
              </w:rPr>
              <w:t>低氮燃烧器+袋式除尘器+15m排气筒</w:t>
            </w:r>
          </w:p>
        </w:tc>
        <w:tc>
          <w:tcPr>
            <w:tcW w:w="2821" w:type="dxa"/>
            <w:vMerge w:val="continue"/>
            <w:tcBorders>
              <w:tl2br w:val="nil"/>
              <w:tr2bl w:val="nil"/>
            </w:tcBorders>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778" w:type="dxa"/>
            <w:vMerge w:val="continue"/>
            <w:tcBorders>
              <w:tl2br w:val="nil"/>
              <w:tr2bl w:val="nil"/>
            </w:tcBorders>
            <w:vAlign w:val="center"/>
          </w:tcPr>
          <w:p>
            <w:pPr>
              <w:adjustRightInd w:val="0"/>
              <w:snapToGrid w:val="0"/>
              <w:jc w:val="center"/>
            </w:pPr>
          </w:p>
        </w:tc>
        <w:tc>
          <w:tcPr>
            <w:tcW w:w="957" w:type="dxa"/>
            <w:vMerge w:val="continue"/>
            <w:tcBorders>
              <w:tl2br w:val="nil"/>
              <w:tr2bl w:val="nil"/>
            </w:tcBorders>
            <w:vAlign w:val="center"/>
          </w:tcPr>
          <w:p>
            <w:pPr>
              <w:adjustRightInd w:val="0"/>
              <w:snapToGrid w:val="0"/>
              <w:jc w:val="center"/>
            </w:pPr>
          </w:p>
        </w:tc>
        <w:tc>
          <w:tcPr>
            <w:tcW w:w="958" w:type="dxa"/>
            <w:vMerge w:val="continue"/>
            <w:tcBorders>
              <w:tl2br w:val="nil"/>
              <w:tr2bl w:val="nil"/>
            </w:tcBorders>
            <w:vAlign w:val="center"/>
          </w:tcPr>
          <w:p>
            <w:pPr>
              <w:adjustRightInd w:val="0"/>
              <w:snapToGrid w:val="0"/>
              <w:jc w:val="center"/>
            </w:pPr>
          </w:p>
        </w:tc>
        <w:tc>
          <w:tcPr>
            <w:tcW w:w="1325" w:type="dxa"/>
            <w:tcBorders>
              <w:tl2br w:val="nil"/>
              <w:tr2bl w:val="nil"/>
            </w:tcBorders>
            <w:vAlign w:val="center"/>
          </w:tcPr>
          <w:p>
            <w:pPr>
              <w:adjustRightInd w:val="0"/>
              <w:snapToGrid w:val="0"/>
              <w:jc w:val="center"/>
              <w:rPr>
                <w:szCs w:val="21"/>
              </w:rPr>
            </w:pPr>
            <w:r>
              <w:rPr>
                <w:rFonts w:hint="eastAsia"/>
                <w:szCs w:val="21"/>
              </w:rPr>
              <w:t>二氧化硫</w:t>
            </w:r>
          </w:p>
        </w:tc>
        <w:tc>
          <w:tcPr>
            <w:tcW w:w="2025" w:type="dxa"/>
            <w:vMerge w:val="continue"/>
            <w:tcBorders>
              <w:tl2br w:val="nil"/>
              <w:tr2bl w:val="nil"/>
            </w:tcBorders>
            <w:vAlign w:val="center"/>
          </w:tcPr>
          <w:p>
            <w:pPr>
              <w:adjustRightInd w:val="0"/>
              <w:snapToGrid w:val="0"/>
              <w:jc w:val="center"/>
              <w:rPr>
                <w:szCs w:val="21"/>
              </w:rPr>
            </w:pPr>
          </w:p>
        </w:tc>
        <w:tc>
          <w:tcPr>
            <w:tcW w:w="2821" w:type="dxa"/>
            <w:vMerge w:val="continue"/>
            <w:tcBorders>
              <w:tl2br w:val="nil"/>
              <w:tr2bl w:val="nil"/>
            </w:tcBorders>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778" w:type="dxa"/>
            <w:vMerge w:val="continue"/>
            <w:tcBorders>
              <w:tl2br w:val="nil"/>
              <w:tr2bl w:val="nil"/>
            </w:tcBorders>
            <w:vAlign w:val="center"/>
          </w:tcPr>
          <w:p>
            <w:pPr>
              <w:adjustRightInd w:val="0"/>
              <w:snapToGrid w:val="0"/>
              <w:jc w:val="center"/>
              <w:rPr>
                <w:szCs w:val="21"/>
              </w:rPr>
            </w:pPr>
          </w:p>
        </w:tc>
        <w:tc>
          <w:tcPr>
            <w:tcW w:w="957" w:type="dxa"/>
            <w:vMerge w:val="continue"/>
            <w:tcBorders>
              <w:tl2br w:val="nil"/>
              <w:tr2bl w:val="nil"/>
            </w:tcBorders>
            <w:vAlign w:val="center"/>
          </w:tcPr>
          <w:p>
            <w:pPr>
              <w:adjustRightInd w:val="0"/>
              <w:snapToGrid w:val="0"/>
              <w:jc w:val="center"/>
              <w:rPr>
                <w:szCs w:val="21"/>
              </w:rPr>
            </w:pPr>
          </w:p>
        </w:tc>
        <w:tc>
          <w:tcPr>
            <w:tcW w:w="958" w:type="dxa"/>
            <w:vMerge w:val="continue"/>
            <w:tcBorders>
              <w:tl2br w:val="nil"/>
              <w:tr2bl w:val="nil"/>
            </w:tcBorders>
            <w:vAlign w:val="center"/>
          </w:tcPr>
          <w:p>
            <w:pPr>
              <w:adjustRightInd w:val="0"/>
              <w:snapToGrid w:val="0"/>
              <w:jc w:val="center"/>
              <w:rPr>
                <w:szCs w:val="21"/>
              </w:rPr>
            </w:pPr>
          </w:p>
        </w:tc>
        <w:tc>
          <w:tcPr>
            <w:tcW w:w="1325" w:type="dxa"/>
            <w:tcBorders>
              <w:tl2br w:val="nil"/>
              <w:tr2bl w:val="nil"/>
            </w:tcBorders>
            <w:vAlign w:val="center"/>
          </w:tcPr>
          <w:p>
            <w:pPr>
              <w:adjustRightInd w:val="0"/>
              <w:snapToGrid w:val="0"/>
              <w:jc w:val="center"/>
              <w:rPr>
                <w:szCs w:val="21"/>
              </w:rPr>
            </w:pPr>
            <w:r>
              <w:rPr>
                <w:rFonts w:hint="eastAsia"/>
                <w:szCs w:val="21"/>
              </w:rPr>
              <w:t>氮氧化物</w:t>
            </w:r>
          </w:p>
        </w:tc>
        <w:tc>
          <w:tcPr>
            <w:tcW w:w="2025" w:type="dxa"/>
            <w:vMerge w:val="continue"/>
            <w:tcBorders>
              <w:tl2br w:val="nil"/>
              <w:tr2bl w:val="nil"/>
            </w:tcBorders>
            <w:vAlign w:val="center"/>
          </w:tcPr>
          <w:p>
            <w:pPr>
              <w:adjustRightInd w:val="0"/>
              <w:snapToGrid w:val="0"/>
              <w:jc w:val="center"/>
              <w:rPr>
                <w:szCs w:val="21"/>
              </w:rPr>
            </w:pPr>
          </w:p>
        </w:tc>
        <w:tc>
          <w:tcPr>
            <w:tcW w:w="2821" w:type="dxa"/>
            <w:vMerge w:val="continue"/>
            <w:tcBorders>
              <w:tl2br w:val="nil"/>
              <w:tr2bl w:val="nil"/>
            </w:tcBorders>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78" w:type="dxa"/>
            <w:vMerge w:val="continue"/>
            <w:tcBorders>
              <w:tl2br w:val="nil"/>
              <w:tr2bl w:val="nil"/>
            </w:tcBorders>
            <w:vAlign w:val="center"/>
          </w:tcPr>
          <w:p>
            <w:pPr>
              <w:adjustRightInd w:val="0"/>
              <w:snapToGrid w:val="0"/>
              <w:jc w:val="center"/>
            </w:pPr>
          </w:p>
        </w:tc>
        <w:tc>
          <w:tcPr>
            <w:tcW w:w="957" w:type="dxa"/>
            <w:tcBorders>
              <w:tl2br w:val="nil"/>
              <w:tr2bl w:val="nil"/>
            </w:tcBorders>
            <w:vAlign w:val="center"/>
          </w:tcPr>
          <w:p>
            <w:pPr>
              <w:adjustRightInd w:val="0"/>
              <w:snapToGrid w:val="0"/>
              <w:jc w:val="center"/>
              <w:rPr>
                <w:szCs w:val="21"/>
              </w:rPr>
            </w:pPr>
            <w:r>
              <w:rPr>
                <w:rFonts w:hint="eastAsia"/>
                <w:szCs w:val="21"/>
              </w:rPr>
              <w:t>无组织</w:t>
            </w:r>
          </w:p>
        </w:tc>
        <w:tc>
          <w:tcPr>
            <w:tcW w:w="958" w:type="dxa"/>
            <w:tcBorders>
              <w:tl2br w:val="nil"/>
              <w:tr2bl w:val="nil"/>
            </w:tcBorders>
            <w:vAlign w:val="center"/>
          </w:tcPr>
          <w:p>
            <w:pPr>
              <w:adjustRightInd w:val="0"/>
              <w:snapToGrid w:val="0"/>
              <w:jc w:val="center"/>
              <w:rPr>
                <w:szCs w:val="21"/>
              </w:rPr>
            </w:pPr>
            <w:r>
              <w:rPr>
                <w:rFonts w:hint="eastAsia"/>
                <w:szCs w:val="21"/>
              </w:rPr>
              <w:t>厂界</w:t>
            </w:r>
          </w:p>
        </w:tc>
        <w:tc>
          <w:tcPr>
            <w:tcW w:w="1325" w:type="dxa"/>
            <w:tcBorders>
              <w:tl2br w:val="nil"/>
              <w:tr2bl w:val="nil"/>
            </w:tcBorders>
            <w:vAlign w:val="center"/>
          </w:tcPr>
          <w:p>
            <w:pPr>
              <w:adjustRightInd w:val="0"/>
              <w:snapToGrid w:val="0"/>
              <w:jc w:val="center"/>
              <w:rPr>
                <w:szCs w:val="21"/>
              </w:rPr>
            </w:pPr>
            <w:r>
              <w:rPr>
                <w:rFonts w:hint="eastAsia"/>
                <w:bCs/>
                <w:szCs w:val="21"/>
              </w:rPr>
              <w:t>颗粒物</w:t>
            </w:r>
          </w:p>
        </w:tc>
        <w:tc>
          <w:tcPr>
            <w:tcW w:w="2025" w:type="dxa"/>
            <w:tcBorders>
              <w:tl2br w:val="nil"/>
              <w:tr2bl w:val="nil"/>
            </w:tcBorders>
            <w:vAlign w:val="center"/>
          </w:tcPr>
          <w:p>
            <w:pPr>
              <w:adjustRightInd w:val="0"/>
              <w:snapToGrid w:val="0"/>
              <w:jc w:val="center"/>
              <w:rPr>
                <w:szCs w:val="21"/>
              </w:rPr>
            </w:pPr>
            <w:r>
              <w:rPr>
                <w:szCs w:val="21"/>
              </w:rPr>
              <w:t>密闭作业，强化收集效率</w:t>
            </w:r>
          </w:p>
        </w:tc>
        <w:tc>
          <w:tcPr>
            <w:tcW w:w="2821" w:type="dxa"/>
            <w:tcBorders>
              <w:tl2br w:val="nil"/>
              <w:tr2bl w:val="nil"/>
            </w:tcBorders>
            <w:vAlign w:val="center"/>
          </w:tcPr>
          <w:p>
            <w:pPr>
              <w:adjustRightInd w:val="0"/>
              <w:snapToGrid w:val="0"/>
              <w:jc w:val="center"/>
              <w:rPr>
                <w:szCs w:val="21"/>
              </w:rPr>
            </w:pPr>
            <w:r>
              <w:rPr>
                <w:szCs w:val="21"/>
              </w:rPr>
              <w:t>《大气污染物综合排放标准》(GB16297-1996)厂界监控点浓度限值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tcBorders>
              <w:tl2br w:val="nil"/>
              <w:tr2bl w:val="nil"/>
            </w:tcBorders>
            <w:vAlign w:val="center"/>
          </w:tcPr>
          <w:p>
            <w:pPr>
              <w:adjustRightInd w:val="0"/>
              <w:snapToGrid w:val="0"/>
              <w:jc w:val="center"/>
              <w:rPr>
                <w:szCs w:val="21"/>
              </w:rPr>
            </w:pPr>
            <w:r>
              <w:rPr>
                <w:szCs w:val="21"/>
              </w:rPr>
              <w:t>地表水环境</w:t>
            </w:r>
          </w:p>
        </w:tc>
        <w:tc>
          <w:tcPr>
            <w:tcW w:w="1915" w:type="dxa"/>
            <w:gridSpan w:val="2"/>
            <w:tcBorders>
              <w:tl2br w:val="nil"/>
              <w:tr2bl w:val="nil"/>
            </w:tcBorders>
            <w:vAlign w:val="center"/>
          </w:tcPr>
          <w:p>
            <w:pPr>
              <w:adjustRightInd w:val="0"/>
              <w:snapToGrid w:val="0"/>
              <w:jc w:val="center"/>
              <w:rPr>
                <w:szCs w:val="21"/>
              </w:rPr>
            </w:pPr>
            <w:r>
              <w:rPr>
                <w:szCs w:val="21"/>
              </w:rPr>
              <w:t>生活污水</w:t>
            </w:r>
          </w:p>
        </w:tc>
        <w:tc>
          <w:tcPr>
            <w:tcW w:w="1325" w:type="dxa"/>
            <w:tcBorders>
              <w:tl2br w:val="nil"/>
              <w:tr2bl w:val="nil"/>
            </w:tcBorders>
            <w:vAlign w:val="center"/>
          </w:tcPr>
          <w:p>
            <w:pPr>
              <w:adjustRightInd w:val="0"/>
              <w:snapToGrid w:val="0"/>
              <w:jc w:val="center"/>
              <w:rPr>
                <w:szCs w:val="21"/>
              </w:rPr>
            </w:pPr>
            <w:r>
              <w:rPr>
                <w:szCs w:val="21"/>
              </w:rPr>
              <w:t>CODcr</w:t>
            </w:r>
          </w:p>
          <w:p>
            <w:pPr>
              <w:adjustRightInd w:val="0"/>
              <w:snapToGrid w:val="0"/>
              <w:jc w:val="center"/>
              <w:rPr>
                <w:szCs w:val="21"/>
              </w:rPr>
            </w:pPr>
            <w:r>
              <w:rPr>
                <w:szCs w:val="21"/>
              </w:rPr>
              <w:t>BOD</w:t>
            </w:r>
            <w:r>
              <w:rPr>
                <w:szCs w:val="21"/>
                <w:vertAlign w:val="subscript"/>
              </w:rPr>
              <w:t>5</w:t>
            </w:r>
          </w:p>
          <w:p>
            <w:pPr>
              <w:adjustRightInd w:val="0"/>
              <w:snapToGrid w:val="0"/>
              <w:jc w:val="center"/>
              <w:rPr>
                <w:szCs w:val="21"/>
              </w:rPr>
            </w:pPr>
            <w:r>
              <w:rPr>
                <w:szCs w:val="21"/>
              </w:rPr>
              <w:t>氨氮</w:t>
            </w:r>
          </w:p>
          <w:p>
            <w:pPr>
              <w:adjustRightInd w:val="0"/>
              <w:snapToGrid w:val="0"/>
              <w:jc w:val="center"/>
              <w:rPr>
                <w:szCs w:val="21"/>
              </w:rPr>
            </w:pPr>
            <w:r>
              <w:rPr>
                <w:szCs w:val="21"/>
              </w:rPr>
              <w:t>SS</w:t>
            </w:r>
          </w:p>
        </w:tc>
        <w:tc>
          <w:tcPr>
            <w:tcW w:w="2025" w:type="dxa"/>
            <w:tcBorders>
              <w:tl2br w:val="nil"/>
              <w:tr2bl w:val="nil"/>
            </w:tcBorders>
            <w:vAlign w:val="center"/>
          </w:tcPr>
          <w:p>
            <w:pPr>
              <w:adjustRightInd w:val="0"/>
              <w:snapToGrid w:val="0"/>
              <w:jc w:val="center"/>
              <w:rPr>
                <w:szCs w:val="21"/>
              </w:rPr>
            </w:pPr>
            <w:r>
              <w:rPr>
                <w:szCs w:val="21"/>
              </w:rPr>
              <w:t>经</w:t>
            </w:r>
            <w:r>
              <w:rPr>
                <w:rFonts w:hint="eastAsia"/>
                <w:szCs w:val="21"/>
              </w:rPr>
              <w:t>厂区化粪池处理后外运堆肥，不外排</w:t>
            </w:r>
          </w:p>
        </w:tc>
        <w:tc>
          <w:tcPr>
            <w:tcW w:w="2821" w:type="dxa"/>
            <w:tcBorders>
              <w:tl2br w:val="nil"/>
              <w:tr2bl w:val="nil"/>
            </w:tcBorders>
            <w:vAlign w:val="center"/>
          </w:tcPr>
          <w:p>
            <w:pPr>
              <w:adjustRightInd w:val="0"/>
              <w:snapToGrid w:val="0"/>
              <w:jc w:val="center"/>
              <w:rPr>
                <w:szCs w:val="21"/>
              </w:rPr>
            </w:pPr>
            <w:r>
              <w:rPr>
                <w:rFonts w:hint="eastAsia"/>
                <w:szCs w:val="21"/>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778" w:type="dxa"/>
            <w:tcBorders>
              <w:tl2br w:val="nil"/>
              <w:tr2bl w:val="nil"/>
            </w:tcBorders>
            <w:vAlign w:val="center"/>
          </w:tcPr>
          <w:p>
            <w:pPr>
              <w:adjustRightInd w:val="0"/>
              <w:snapToGrid w:val="0"/>
              <w:jc w:val="center"/>
              <w:rPr>
                <w:szCs w:val="21"/>
              </w:rPr>
            </w:pPr>
            <w:r>
              <w:rPr>
                <w:szCs w:val="21"/>
              </w:rPr>
              <w:t>声环境</w:t>
            </w:r>
          </w:p>
        </w:tc>
        <w:tc>
          <w:tcPr>
            <w:tcW w:w="1915" w:type="dxa"/>
            <w:gridSpan w:val="2"/>
            <w:tcBorders>
              <w:tl2br w:val="nil"/>
              <w:tr2bl w:val="nil"/>
            </w:tcBorders>
            <w:vAlign w:val="center"/>
          </w:tcPr>
          <w:p>
            <w:pPr>
              <w:adjustRightInd w:val="0"/>
              <w:snapToGrid w:val="0"/>
              <w:jc w:val="center"/>
              <w:rPr>
                <w:szCs w:val="21"/>
              </w:rPr>
            </w:pPr>
            <w:r>
              <w:rPr>
                <w:szCs w:val="21"/>
              </w:rPr>
              <w:t>生产设备</w:t>
            </w:r>
          </w:p>
        </w:tc>
        <w:tc>
          <w:tcPr>
            <w:tcW w:w="1325" w:type="dxa"/>
            <w:tcBorders>
              <w:tl2br w:val="nil"/>
              <w:tr2bl w:val="nil"/>
            </w:tcBorders>
            <w:vAlign w:val="center"/>
          </w:tcPr>
          <w:p>
            <w:pPr>
              <w:adjustRightInd w:val="0"/>
              <w:snapToGrid w:val="0"/>
              <w:jc w:val="center"/>
              <w:rPr>
                <w:szCs w:val="21"/>
              </w:rPr>
            </w:pPr>
            <w:r>
              <w:rPr>
                <w:szCs w:val="21"/>
              </w:rPr>
              <w:t>噪声</w:t>
            </w:r>
          </w:p>
        </w:tc>
        <w:tc>
          <w:tcPr>
            <w:tcW w:w="2025" w:type="dxa"/>
            <w:tcBorders>
              <w:tl2br w:val="nil"/>
              <w:tr2bl w:val="nil"/>
            </w:tcBorders>
            <w:vAlign w:val="center"/>
          </w:tcPr>
          <w:p>
            <w:pPr>
              <w:adjustRightInd w:val="0"/>
              <w:snapToGrid w:val="0"/>
              <w:jc w:val="center"/>
              <w:rPr>
                <w:szCs w:val="21"/>
              </w:rPr>
            </w:pPr>
            <w:r>
              <w:rPr>
                <w:szCs w:val="21"/>
              </w:rPr>
              <w:t>基础减振</w:t>
            </w:r>
          </w:p>
          <w:p>
            <w:pPr>
              <w:adjustRightInd w:val="0"/>
              <w:snapToGrid w:val="0"/>
              <w:jc w:val="center"/>
              <w:rPr>
                <w:szCs w:val="21"/>
              </w:rPr>
            </w:pPr>
            <w:r>
              <w:rPr>
                <w:szCs w:val="21"/>
              </w:rPr>
              <w:t>厂房隔声</w:t>
            </w:r>
          </w:p>
        </w:tc>
        <w:tc>
          <w:tcPr>
            <w:tcW w:w="2821" w:type="dxa"/>
            <w:tcBorders>
              <w:tl2br w:val="nil"/>
              <w:tr2bl w:val="nil"/>
            </w:tcBorders>
            <w:vAlign w:val="center"/>
          </w:tcPr>
          <w:p>
            <w:pPr>
              <w:adjustRightInd w:val="0"/>
              <w:snapToGrid w:val="0"/>
              <w:jc w:val="center"/>
              <w:rPr>
                <w:szCs w:val="21"/>
              </w:rPr>
            </w:pPr>
            <w:r>
              <w:rPr>
                <w:szCs w:val="21"/>
              </w:rPr>
              <w:t>《工业企业厂界环境噪声排放标准》（GB12348-2008）2类标准限值要求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78" w:type="dxa"/>
            <w:tcBorders>
              <w:tl2br w:val="nil"/>
              <w:tr2bl w:val="nil"/>
            </w:tcBorders>
            <w:vAlign w:val="center"/>
          </w:tcPr>
          <w:p>
            <w:pPr>
              <w:adjustRightInd w:val="0"/>
              <w:snapToGrid w:val="0"/>
              <w:jc w:val="center"/>
              <w:rPr>
                <w:szCs w:val="21"/>
              </w:rPr>
            </w:pPr>
            <w:r>
              <w:rPr>
                <w:szCs w:val="21"/>
              </w:rPr>
              <w:t>电磁辐射</w:t>
            </w:r>
          </w:p>
        </w:tc>
        <w:tc>
          <w:tcPr>
            <w:tcW w:w="1915" w:type="dxa"/>
            <w:gridSpan w:val="2"/>
            <w:tcBorders>
              <w:tl2br w:val="nil"/>
              <w:tr2bl w:val="nil"/>
            </w:tcBorders>
            <w:vAlign w:val="center"/>
          </w:tcPr>
          <w:p>
            <w:pPr>
              <w:adjustRightInd w:val="0"/>
              <w:snapToGrid w:val="0"/>
              <w:jc w:val="center"/>
              <w:rPr>
                <w:szCs w:val="21"/>
              </w:rPr>
            </w:pPr>
            <w:r>
              <w:rPr>
                <w:szCs w:val="21"/>
              </w:rPr>
              <w:t>/</w:t>
            </w:r>
          </w:p>
        </w:tc>
        <w:tc>
          <w:tcPr>
            <w:tcW w:w="1325" w:type="dxa"/>
            <w:tcBorders>
              <w:tl2br w:val="nil"/>
              <w:tr2bl w:val="nil"/>
            </w:tcBorders>
            <w:vAlign w:val="center"/>
          </w:tcPr>
          <w:p>
            <w:pPr>
              <w:adjustRightInd w:val="0"/>
              <w:snapToGrid w:val="0"/>
              <w:jc w:val="center"/>
              <w:rPr>
                <w:szCs w:val="21"/>
              </w:rPr>
            </w:pPr>
            <w:r>
              <w:rPr>
                <w:szCs w:val="21"/>
              </w:rPr>
              <w:t>/</w:t>
            </w:r>
          </w:p>
        </w:tc>
        <w:tc>
          <w:tcPr>
            <w:tcW w:w="2025" w:type="dxa"/>
            <w:tcBorders>
              <w:tl2br w:val="nil"/>
              <w:tr2bl w:val="nil"/>
            </w:tcBorders>
            <w:vAlign w:val="center"/>
          </w:tcPr>
          <w:p>
            <w:pPr>
              <w:adjustRightInd w:val="0"/>
              <w:snapToGrid w:val="0"/>
              <w:jc w:val="center"/>
              <w:rPr>
                <w:szCs w:val="21"/>
              </w:rPr>
            </w:pPr>
            <w:r>
              <w:rPr>
                <w:szCs w:val="21"/>
              </w:rPr>
              <w:t>/</w:t>
            </w:r>
          </w:p>
        </w:tc>
        <w:tc>
          <w:tcPr>
            <w:tcW w:w="2821" w:type="dxa"/>
            <w:tcBorders>
              <w:tl2br w:val="nil"/>
              <w:tr2bl w:val="nil"/>
            </w:tcBorders>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778" w:type="dxa"/>
            <w:vMerge w:val="restart"/>
            <w:tcBorders>
              <w:tl2br w:val="nil"/>
              <w:tr2bl w:val="nil"/>
            </w:tcBorders>
            <w:vAlign w:val="center"/>
          </w:tcPr>
          <w:p>
            <w:pPr>
              <w:adjustRightInd w:val="0"/>
              <w:snapToGrid w:val="0"/>
              <w:jc w:val="center"/>
              <w:rPr>
                <w:szCs w:val="21"/>
              </w:rPr>
            </w:pPr>
            <w:r>
              <w:rPr>
                <w:szCs w:val="21"/>
              </w:rPr>
              <w:t>固体废物</w:t>
            </w:r>
          </w:p>
        </w:tc>
        <w:tc>
          <w:tcPr>
            <w:tcW w:w="1915" w:type="dxa"/>
            <w:gridSpan w:val="2"/>
            <w:tcBorders>
              <w:bottom w:val="single" w:color="000000" w:sz="4" w:space="0"/>
              <w:tl2br w:val="nil"/>
              <w:tr2bl w:val="nil"/>
            </w:tcBorders>
            <w:vAlign w:val="center"/>
          </w:tcPr>
          <w:p>
            <w:pPr>
              <w:adjustRightInd w:val="0"/>
              <w:snapToGrid w:val="0"/>
              <w:jc w:val="center"/>
              <w:rPr>
                <w:szCs w:val="21"/>
              </w:rPr>
            </w:pPr>
            <w:r>
              <w:rPr>
                <w:rFonts w:hint="eastAsia"/>
                <w:szCs w:val="21"/>
              </w:rPr>
              <w:t>废气处理</w:t>
            </w:r>
          </w:p>
        </w:tc>
        <w:tc>
          <w:tcPr>
            <w:tcW w:w="1325" w:type="dxa"/>
            <w:tcBorders>
              <w:bottom w:val="single" w:color="000000" w:sz="4" w:space="0"/>
              <w:tl2br w:val="nil"/>
              <w:tr2bl w:val="nil"/>
            </w:tcBorders>
            <w:vAlign w:val="center"/>
          </w:tcPr>
          <w:p>
            <w:pPr>
              <w:widowControl/>
              <w:adjustRightInd w:val="0"/>
              <w:snapToGrid w:val="0"/>
              <w:jc w:val="center"/>
              <w:rPr>
                <w:szCs w:val="21"/>
              </w:rPr>
            </w:pPr>
            <w:r>
              <w:rPr>
                <w:rFonts w:hint="eastAsia"/>
                <w:szCs w:val="21"/>
              </w:rPr>
              <w:t>除尘器收集粉尘</w:t>
            </w:r>
          </w:p>
        </w:tc>
        <w:tc>
          <w:tcPr>
            <w:tcW w:w="2025" w:type="dxa"/>
            <w:vMerge w:val="restart"/>
            <w:tcBorders>
              <w:tl2br w:val="nil"/>
              <w:tr2bl w:val="nil"/>
            </w:tcBorders>
            <w:vAlign w:val="center"/>
          </w:tcPr>
          <w:p>
            <w:pPr>
              <w:adjustRightInd w:val="0"/>
              <w:snapToGrid w:val="0"/>
              <w:jc w:val="center"/>
              <w:rPr>
                <w:szCs w:val="21"/>
              </w:rPr>
            </w:pPr>
            <w:r>
              <w:rPr>
                <w:rFonts w:hint="eastAsia"/>
                <w:szCs w:val="21"/>
              </w:rPr>
              <w:t>收集后回用于生产</w:t>
            </w:r>
          </w:p>
        </w:tc>
        <w:tc>
          <w:tcPr>
            <w:tcW w:w="2821" w:type="dxa"/>
            <w:vMerge w:val="restart"/>
            <w:tcBorders>
              <w:tl2br w:val="nil"/>
              <w:tr2bl w:val="nil"/>
            </w:tcBorders>
            <w:vAlign w:val="center"/>
          </w:tcPr>
          <w:p>
            <w:pPr>
              <w:adjustRightInd w:val="0"/>
              <w:snapToGrid w:val="0"/>
              <w:jc w:val="center"/>
              <w:rPr>
                <w:szCs w:val="21"/>
              </w:rPr>
            </w:pPr>
            <w:r>
              <w:rPr>
                <w:szCs w:val="21"/>
              </w:rPr>
              <w:t>《一般工业固体废物贮存和填埋污染控制标准》（GB18599-2020）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78" w:type="dxa"/>
            <w:vMerge w:val="continue"/>
            <w:tcBorders>
              <w:tl2br w:val="nil"/>
              <w:tr2bl w:val="nil"/>
            </w:tcBorders>
            <w:vAlign w:val="center"/>
          </w:tcPr>
          <w:p>
            <w:pPr>
              <w:widowControl/>
              <w:adjustRightInd w:val="0"/>
              <w:snapToGrid w:val="0"/>
              <w:jc w:val="center"/>
            </w:pPr>
          </w:p>
        </w:tc>
        <w:tc>
          <w:tcPr>
            <w:tcW w:w="1915" w:type="dxa"/>
            <w:gridSpan w:val="2"/>
            <w:tcBorders>
              <w:bottom w:val="single" w:color="000000" w:sz="4" w:space="0"/>
              <w:tl2br w:val="nil"/>
              <w:tr2bl w:val="nil"/>
            </w:tcBorders>
            <w:vAlign w:val="center"/>
          </w:tcPr>
          <w:p>
            <w:pPr>
              <w:widowControl/>
              <w:adjustRightInd w:val="0"/>
              <w:snapToGrid w:val="0"/>
              <w:jc w:val="center"/>
              <w:rPr>
                <w:szCs w:val="21"/>
              </w:rPr>
            </w:pPr>
            <w:r>
              <w:rPr>
                <w:rFonts w:hint="eastAsia"/>
                <w:szCs w:val="21"/>
              </w:rPr>
              <w:t>筛分工序</w:t>
            </w:r>
          </w:p>
        </w:tc>
        <w:tc>
          <w:tcPr>
            <w:tcW w:w="1325" w:type="dxa"/>
            <w:tcBorders>
              <w:bottom w:val="single" w:color="000000" w:sz="4" w:space="0"/>
              <w:tl2br w:val="nil"/>
              <w:tr2bl w:val="nil"/>
            </w:tcBorders>
            <w:vAlign w:val="center"/>
          </w:tcPr>
          <w:p>
            <w:pPr>
              <w:widowControl/>
              <w:adjustRightInd w:val="0"/>
              <w:snapToGrid w:val="0"/>
              <w:jc w:val="center"/>
              <w:rPr>
                <w:szCs w:val="21"/>
              </w:rPr>
            </w:pPr>
            <w:r>
              <w:rPr>
                <w:rFonts w:hint="eastAsia"/>
                <w:szCs w:val="21"/>
              </w:rPr>
              <w:t>筛上物</w:t>
            </w:r>
          </w:p>
        </w:tc>
        <w:tc>
          <w:tcPr>
            <w:tcW w:w="2025" w:type="dxa"/>
            <w:vMerge w:val="continue"/>
            <w:tcBorders>
              <w:bottom w:val="single" w:color="000000" w:sz="4" w:space="0"/>
              <w:tl2br w:val="nil"/>
              <w:tr2bl w:val="nil"/>
            </w:tcBorders>
            <w:vAlign w:val="center"/>
          </w:tcPr>
          <w:p>
            <w:pPr>
              <w:widowControl/>
              <w:adjustRightInd w:val="0"/>
              <w:snapToGrid w:val="0"/>
              <w:jc w:val="center"/>
              <w:rPr>
                <w:szCs w:val="21"/>
              </w:rPr>
            </w:pPr>
          </w:p>
        </w:tc>
        <w:tc>
          <w:tcPr>
            <w:tcW w:w="2821" w:type="dxa"/>
            <w:vMerge w:val="continue"/>
            <w:tcBorders>
              <w:tl2br w:val="nil"/>
              <w:tr2bl w:val="nil"/>
            </w:tcBorders>
            <w:vAlign w:val="center"/>
          </w:tcPr>
          <w:p>
            <w:pPr>
              <w:widowControl/>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78" w:type="dxa"/>
            <w:vMerge w:val="continue"/>
            <w:tcBorders>
              <w:tl2br w:val="nil"/>
              <w:tr2bl w:val="nil"/>
            </w:tcBorders>
            <w:vAlign w:val="center"/>
          </w:tcPr>
          <w:p>
            <w:pPr>
              <w:widowControl/>
              <w:adjustRightInd w:val="0"/>
              <w:snapToGrid w:val="0"/>
              <w:jc w:val="center"/>
            </w:pPr>
          </w:p>
        </w:tc>
        <w:tc>
          <w:tcPr>
            <w:tcW w:w="1915" w:type="dxa"/>
            <w:gridSpan w:val="2"/>
            <w:tcBorders>
              <w:bottom w:val="single" w:color="000000" w:sz="4" w:space="0"/>
              <w:tl2br w:val="nil"/>
              <w:tr2bl w:val="nil"/>
            </w:tcBorders>
            <w:vAlign w:val="center"/>
          </w:tcPr>
          <w:p>
            <w:pPr>
              <w:widowControl/>
              <w:adjustRightInd w:val="0"/>
              <w:snapToGrid w:val="0"/>
              <w:jc w:val="center"/>
              <w:rPr>
                <w:szCs w:val="21"/>
              </w:rPr>
            </w:pPr>
            <w:r>
              <w:rPr>
                <w:rFonts w:hint="eastAsia"/>
                <w:szCs w:val="21"/>
              </w:rPr>
              <w:t>废水处理</w:t>
            </w:r>
          </w:p>
        </w:tc>
        <w:tc>
          <w:tcPr>
            <w:tcW w:w="1325" w:type="dxa"/>
            <w:tcBorders>
              <w:bottom w:val="single" w:color="000000" w:sz="4" w:space="0"/>
              <w:tl2br w:val="nil"/>
              <w:tr2bl w:val="nil"/>
            </w:tcBorders>
            <w:vAlign w:val="center"/>
          </w:tcPr>
          <w:p>
            <w:pPr>
              <w:widowControl/>
              <w:adjustRightInd w:val="0"/>
              <w:snapToGrid w:val="0"/>
              <w:jc w:val="center"/>
              <w:rPr>
                <w:szCs w:val="21"/>
              </w:rPr>
            </w:pPr>
            <w:r>
              <w:rPr>
                <w:rFonts w:hint="eastAsia"/>
                <w:szCs w:val="21"/>
              </w:rPr>
              <w:t>沉淀池沉渣</w:t>
            </w:r>
          </w:p>
        </w:tc>
        <w:tc>
          <w:tcPr>
            <w:tcW w:w="2025" w:type="dxa"/>
            <w:vMerge w:val="continue"/>
            <w:tcBorders>
              <w:bottom w:val="single" w:color="000000" w:sz="4" w:space="0"/>
              <w:tl2br w:val="nil"/>
              <w:tr2bl w:val="nil"/>
            </w:tcBorders>
            <w:vAlign w:val="center"/>
          </w:tcPr>
          <w:p>
            <w:pPr>
              <w:widowControl/>
              <w:adjustRightInd w:val="0"/>
              <w:snapToGrid w:val="0"/>
              <w:jc w:val="center"/>
              <w:rPr>
                <w:szCs w:val="21"/>
              </w:rPr>
            </w:pPr>
          </w:p>
        </w:tc>
        <w:tc>
          <w:tcPr>
            <w:tcW w:w="2821" w:type="dxa"/>
            <w:vMerge w:val="continue"/>
            <w:tcBorders>
              <w:tl2br w:val="nil"/>
              <w:tr2bl w:val="nil"/>
            </w:tcBorders>
            <w:vAlign w:val="center"/>
          </w:tcPr>
          <w:p>
            <w:pPr>
              <w:widowControl/>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778" w:type="dxa"/>
            <w:vMerge w:val="continue"/>
            <w:tcBorders>
              <w:tl2br w:val="nil"/>
              <w:tr2bl w:val="nil"/>
            </w:tcBorders>
            <w:vAlign w:val="center"/>
          </w:tcPr>
          <w:p>
            <w:pPr>
              <w:adjustRightInd w:val="0"/>
              <w:snapToGrid w:val="0"/>
              <w:jc w:val="center"/>
              <w:rPr>
                <w:szCs w:val="21"/>
              </w:rPr>
            </w:pPr>
          </w:p>
        </w:tc>
        <w:tc>
          <w:tcPr>
            <w:tcW w:w="1915" w:type="dxa"/>
            <w:gridSpan w:val="2"/>
            <w:tcBorders>
              <w:top w:val="single" w:color="000000" w:sz="4" w:space="0"/>
              <w:tl2br w:val="nil"/>
              <w:tr2bl w:val="nil"/>
            </w:tcBorders>
            <w:vAlign w:val="center"/>
          </w:tcPr>
          <w:p>
            <w:pPr>
              <w:adjustRightInd w:val="0"/>
              <w:snapToGrid w:val="0"/>
              <w:jc w:val="center"/>
              <w:rPr>
                <w:szCs w:val="21"/>
              </w:rPr>
            </w:pPr>
            <w:r>
              <w:rPr>
                <w:rFonts w:hint="eastAsia"/>
                <w:szCs w:val="21"/>
              </w:rPr>
              <w:t>职工生活</w:t>
            </w:r>
          </w:p>
        </w:tc>
        <w:tc>
          <w:tcPr>
            <w:tcW w:w="1325" w:type="dxa"/>
            <w:tcBorders>
              <w:top w:val="single" w:color="000000" w:sz="4" w:space="0"/>
              <w:tl2br w:val="nil"/>
              <w:tr2bl w:val="nil"/>
            </w:tcBorders>
            <w:vAlign w:val="center"/>
          </w:tcPr>
          <w:p>
            <w:pPr>
              <w:widowControl/>
              <w:adjustRightInd w:val="0"/>
              <w:snapToGrid w:val="0"/>
              <w:jc w:val="center"/>
              <w:rPr>
                <w:szCs w:val="21"/>
              </w:rPr>
            </w:pPr>
            <w:r>
              <w:rPr>
                <w:rFonts w:hint="eastAsia"/>
                <w:szCs w:val="21"/>
              </w:rPr>
              <w:t>生活垃圾</w:t>
            </w:r>
          </w:p>
        </w:tc>
        <w:tc>
          <w:tcPr>
            <w:tcW w:w="2025" w:type="dxa"/>
            <w:tcBorders>
              <w:top w:val="single" w:color="000000" w:sz="4" w:space="0"/>
              <w:tl2br w:val="nil"/>
              <w:tr2bl w:val="nil"/>
            </w:tcBorders>
            <w:vAlign w:val="center"/>
          </w:tcPr>
          <w:p>
            <w:pPr>
              <w:adjustRightInd w:val="0"/>
              <w:snapToGrid w:val="0"/>
              <w:jc w:val="center"/>
              <w:rPr>
                <w:szCs w:val="21"/>
              </w:rPr>
            </w:pPr>
            <w:r>
              <w:rPr>
                <w:szCs w:val="21"/>
              </w:rPr>
              <w:t>环卫部门清运</w:t>
            </w:r>
          </w:p>
        </w:tc>
        <w:tc>
          <w:tcPr>
            <w:tcW w:w="2821" w:type="dxa"/>
            <w:vMerge w:val="continue"/>
            <w:tcBorders>
              <w:tl2br w:val="nil"/>
              <w:tr2bl w:val="nil"/>
            </w:tcBorders>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778" w:type="dxa"/>
            <w:tcBorders>
              <w:tl2br w:val="nil"/>
              <w:tr2bl w:val="nil"/>
            </w:tcBorders>
            <w:vAlign w:val="center"/>
          </w:tcPr>
          <w:p>
            <w:pPr>
              <w:adjustRightInd w:val="0"/>
              <w:snapToGrid w:val="0"/>
              <w:jc w:val="center"/>
              <w:rPr>
                <w:szCs w:val="21"/>
              </w:rPr>
            </w:pPr>
            <w:r>
              <w:rPr>
                <w:szCs w:val="21"/>
              </w:rPr>
              <w:t>土壤及地下水</w:t>
            </w:r>
          </w:p>
          <w:p>
            <w:pPr>
              <w:adjustRightInd w:val="0"/>
              <w:snapToGrid w:val="0"/>
              <w:jc w:val="center"/>
              <w:rPr>
                <w:szCs w:val="21"/>
              </w:rPr>
            </w:pPr>
            <w:r>
              <w:rPr>
                <w:szCs w:val="21"/>
              </w:rPr>
              <w:t>污染防治措施</w:t>
            </w:r>
          </w:p>
        </w:tc>
        <w:tc>
          <w:tcPr>
            <w:tcW w:w="8086" w:type="dxa"/>
            <w:gridSpan w:val="5"/>
            <w:tcBorders>
              <w:tl2br w:val="nil"/>
              <w:tr2bl w:val="nil"/>
            </w:tcBorders>
            <w:vAlign w:val="center"/>
          </w:tcPr>
          <w:p>
            <w:pPr>
              <w:adjustRightInd w:val="0"/>
              <w:snapToGrid w:val="0"/>
              <w:rPr>
                <w:szCs w:val="21"/>
              </w:rPr>
            </w:pPr>
            <w:r>
              <w:rPr>
                <w:szCs w:val="21"/>
              </w:rPr>
              <w:t>各项污染物均采取了相应的环保措施、源头控制、分区防渗、加强管理等</w:t>
            </w:r>
            <w:r>
              <w:rPr>
                <w:rFonts w:hint="eastAsia"/>
                <w:szCs w:val="21"/>
              </w:rPr>
              <w:t>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778" w:type="dxa"/>
            <w:tcBorders>
              <w:tl2br w:val="nil"/>
              <w:tr2bl w:val="nil"/>
            </w:tcBorders>
            <w:vAlign w:val="center"/>
          </w:tcPr>
          <w:p>
            <w:pPr>
              <w:adjustRightInd w:val="0"/>
              <w:snapToGrid w:val="0"/>
              <w:jc w:val="center"/>
              <w:rPr>
                <w:szCs w:val="21"/>
              </w:rPr>
            </w:pPr>
            <w:r>
              <w:rPr>
                <w:szCs w:val="21"/>
              </w:rPr>
              <w:t>生态保护措施</w:t>
            </w:r>
          </w:p>
        </w:tc>
        <w:tc>
          <w:tcPr>
            <w:tcW w:w="8086" w:type="dxa"/>
            <w:gridSpan w:val="5"/>
            <w:tcBorders>
              <w:tl2br w:val="nil"/>
              <w:tr2bl w:val="nil"/>
            </w:tcBorders>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1778" w:type="dxa"/>
            <w:tcBorders>
              <w:tl2br w:val="nil"/>
              <w:tr2bl w:val="nil"/>
            </w:tcBorders>
            <w:vAlign w:val="center"/>
          </w:tcPr>
          <w:p>
            <w:pPr>
              <w:adjustRightInd w:val="0"/>
              <w:snapToGrid w:val="0"/>
              <w:jc w:val="center"/>
              <w:rPr>
                <w:spacing w:val="-8"/>
                <w:szCs w:val="21"/>
              </w:rPr>
            </w:pPr>
            <w:r>
              <w:rPr>
                <w:spacing w:val="-8"/>
                <w:szCs w:val="21"/>
              </w:rPr>
              <w:t>环境风险</w:t>
            </w:r>
          </w:p>
          <w:p>
            <w:pPr>
              <w:adjustRightInd w:val="0"/>
              <w:snapToGrid w:val="0"/>
              <w:jc w:val="center"/>
              <w:rPr>
                <w:spacing w:val="-8"/>
                <w:szCs w:val="21"/>
              </w:rPr>
            </w:pPr>
            <w:r>
              <w:rPr>
                <w:spacing w:val="-8"/>
                <w:szCs w:val="21"/>
              </w:rPr>
              <w:t>防范措施</w:t>
            </w:r>
          </w:p>
        </w:tc>
        <w:tc>
          <w:tcPr>
            <w:tcW w:w="8086" w:type="dxa"/>
            <w:gridSpan w:val="5"/>
            <w:tcBorders>
              <w:tl2br w:val="nil"/>
              <w:tr2bl w:val="nil"/>
            </w:tcBorders>
            <w:vAlign w:val="center"/>
          </w:tcPr>
          <w:p>
            <w:pPr>
              <w:adjustRightInd w:val="0"/>
              <w:snapToGrid w:val="0"/>
              <w:rPr>
                <w:szCs w:val="21"/>
              </w:rPr>
            </w:pPr>
            <w:r>
              <w:rPr>
                <w:kern w:val="21"/>
                <w:szCs w:val="21"/>
              </w:rPr>
              <w:t>定期巡检、维护生产设备及环保治理设施；加强火源管理，配置合格的消防器材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778" w:type="dxa"/>
            <w:tcBorders>
              <w:tl2br w:val="nil"/>
              <w:tr2bl w:val="nil"/>
            </w:tcBorders>
            <w:vAlign w:val="center"/>
          </w:tcPr>
          <w:p>
            <w:pPr>
              <w:adjustRightInd w:val="0"/>
              <w:snapToGrid w:val="0"/>
              <w:jc w:val="center"/>
              <w:rPr>
                <w:spacing w:val="-8"/>
                <w:szCs w:val="21"/>
              </w:rPr>
            </w:pPr>
            <w:r>
              <w:rPr>
                <w:spacing w:val="-8"/>
                <w:szCs w:val="21"/>
              </w:rPr>
              <w:t>其他环境</w:t>
            </w:r>
          </w:p>
          <w:p>
            <w:pPr>
              <w:adjustRightInd w:val="0"/>
              <w:snapToGrid w:val="0"/>
              <w:jc w:val="center"/>
              <w:rPr>
                <w:spacing w:val="-8"/>
                <w:szCs w:val="21"/>
              </w:rPr>
            </w:pPr>
            <w:r>
              <w:rPr>
                <w:spacing w:val="-8"/>
                <w:szCs w:val="21"/>
              </w:rPr>
              <w:t>管理要求</w:t>
            </w:r>
          </w:p>
        </w:tc>
        <w:tc>
          <w:tcPr>
            <w:tcW w:w="8086" w:type="dxa"/>
            <w:gridSpan w:val="5"/>
            <w:tcBorders>
              <w:tl2br w:val="nil"/>
              <w:tr2bl w:val="nil"/>
            </w:tcBorders>
            <w:vAlign w:val="center"/>
          </w:tcPr>
          <w:p>
            <w:pPr>
              <w:adjustRightInd w:val="0"/>
              <w:snapToGrid w:val="0"/>
              <w:jc w:val="center"/>
              <w:rPr>
                <w:szCs w:val="21"/>
              </w:rPr>
            </w:pPr>
            <w:r>
              <w:rPr>
                <w:szCs w:val="21"/>
              </w:rPr>
              <w:t>按要求申请办理排污许可手续后，方可排污</w:t>
            </w:r>
          </w:p>
        </w:tc>
      </w:tr>
    </w:tbl>
    <w:p>
      <w:pPr>
        <w:pStyle w:val="32"/>
        <w:spacing w:before="0" w:beforeAutospacing="0" w:after="0" w:afterAutospacing="0"/>
        <w:jc w:val="center"/>
        <w:outlineLvl w:val="0"/>
        <w:rPr>
          <w:rFonts w:ascii="黑体" w:hAnsi="黑体" w:eastAsia="黑体"/>
          <w:snapToGrid w:val="0"/>
          <w:sz w:val="21"/>
          <w:szCs w:val="21"/>
          <w:highlight w:val="yellow"/>
        </w:rPr>
      </w:pPr>
      <w:r>
        <w:rPr>
          <w:snapToGrid w:val="0"/>
          <w:sz w:val="21"/>
          <w:szCs w:val="21"/>
        </w:rPr>
        <w:br w:type="page"/>
      </w:r>
      <w:r>
        <w:rPr>
          <w:rFonts w:hint="eastAsia" w:ascii="黑体" w:hAnsi="黑体" w:eastAsia="黑体"/>
          <w:snapToGrid w:val="0"/>
          <w:sz w:val="30"/>
          <w:szCs w:val="30"/>
        </w:rPr>
        <w:t>六、结论</w:t>
      </w:r>
    </w:p>
    <w:tbl>
      <w:tblPr>
        <w:tblStyle w:val="35"/>
        <w:tblW w:w="98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66" w:hRule="atLeast"/>
          <w:jc w:val="center"/>
        </w:trPr>
        <w:tc>
          <w:tcPr>
            <w:tcW w:w="9892" w:type="dxa"/>
            <w:tcBorders>
              <w:tl2br w:val="nil"/>
              <w:tr2bl w:val="nil"/>
            </w:tcBorders>
            <w:vAlign w:val="center"/>
          </w:tcPr>
          <w:p>
            <w:pPr>
              <w:spacing w:line="360" w:lineRule="auto"/>
              <w:ind w:firstLine="480" w:firstLineChars="200"/>
              <w:rPr>
                <w:rFonts w:ascii="宋体" w:cs="宋体"/>
                <w:szCs w:val="21"/>
              </w:rPr>
            </w:pPr>
            <w:r>
              <w:rPr>
                <w:rFonts w:hint="eastAsia" w:ascii="宋体" w:hAnsi="宋体" w:cs="宋体"/>
                <w:sz w:val="24"/>
                <w:lang w:val="zh-CN"/>
              </w:rPr>
              <w:t>项目建设符合国家产业政策，在确保报告表中提出的各项环境保护措施得到完全落实情况下，项目营运期产生的废气、废水、噪声能够做到达标排放；固废得到妥善处置，不会造成二次污染，对周围环境的影响较小。从环境的角度考虑，本项目的建设是可行的。</w:t>
            </w:r>
          </w:p>
        </w:tc>
      </w:tr>
    </w:tbl>
    <w:p>
      <w:pPr>
        <w:rPr>
          <w:rFonts w:ascii="宋体"/>
          <w:szCs w:val="21"/>
        </w:rPr>
        <w:sectPr>
          <w:pgSz w:w="11905" w:h="16838"/>
          <w:pgMar w:top="1440" w:right="1440" w:bottom="1440" w:left="1440" w:header="851" w:footer="850" w:gutter="0"/>
          <w:cols w:space="720" w:num="1"/>
          <w:docGrid w:type="lines" w:linePitch="322" w:charSpace="0"/>
        </w:sectPr>
      </w:pPr>
    </w:p>
    <w:p>
      <w:pPr>
        <w:pStyle w:val="32"/>
        <w:adjustRightInd w:val="0"/>
        <w:snapToGrid w:val="0"/>
        <w:spacing w:before="0" w:beforeAutospacing="0" w:after="0" w:afterAutospacing="0"/>
        <w:jc w:val="center"/>
        <w:outlineLvl w:val="0"/>
        <w:rPr>
          <w:rFonts w:ascii="方正小标宋_GBK" w:hAnsi="黑体" w:eastAsia="方正小标宋_GBK"/>
          <w:snapToGrid w:val="0"/>
          <w:sz w:val="30"/>
          <w:szCs w:val="30"/>
        </w:rPr>
      </w:pPr>
      <w:r>
        <w:rPr>
          <w:rFonts w:hint="eastAsia" w:ascii="方正小标宋_GBK" w:hAnsi="黑体" w:eastAsia="方正小标宋_GBK"/>
          <w:snapToGrid w:val="0"/>
          <w:sz w:val="30"/>
          <w:szCs w:val="30"/>
        </w:rPr>
        <w:t>建设项目污染物排放量汇总表</w:t>
      </w:r>
    </w:p>
    <w:tbl>
      <w:tblPr>
        <w:tblStyle w:val="35"/>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969"/>
        <w:gridCol w:w="1701"/>
        <w:gridCol w:w="1276"/>
        <w:gridCol w:w="1701"/>
        <w:gridCol w:w="1559"/>
        <w:gridCol w:w="1761"/>
        <w:gridCol w:w="1605"/>
        <w:gridCol w:w="11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6" w:type="dxa"/>
            <w:tcBorders>
              <w:tl2br w:val="single" w:color="auto" w:sz="4" w:space="0"/>
            </w:tcBorders>
            <w:tcMar>
              <w:left w:w="28" w:type="dxa"/>
              <w:right w:w="28" w:type="dxa"/>
            </w:tcMar>
            <w:vAlign w:val="center"/>
          </w:tcPr>
          <w:p>
            <w:pPr>
              <w:pStyle w:val="67"/>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 xml:space="preserve">   项目</w:t>
            </w:r>
          </w:p>
          <w:p>
            <w:pPr>
              <w:pStyle w:val="67"/>
              <w:spacing w:beforeLines="0" w:afterLines="0" w:line="240" w:lineRule="auto"/>
              <w:jc w:val="both"/>
              <w:rPr>
                <w:rFonts w:ascii="Times New Roman"/>
                <w:snapToGrid w:val="0"/>
                <w:color w:val="000000"/>
                <w:spacing w:val="-6"/>
                <w:kern w:val="21"/>
                <w:szCs w:val="21"/>
              </w:rPr>
            </w:pPr>
            <w:r>
              <w:rPr>
                <w:rFonts w:ascii="Times New Roman"/>
                <w:snapToGrid w:val="0"/>
                <w:color w:val="000000"/>
                <w:spacing w:val="-6"/>
                <w:kern w:val="21"/>
                <w:szCs w:val="21"/>
              </w:rPr>
              <w:t>分类</w:t>
            </w:r>
          </w:p>
        </w:tc>
        <w:tc>
          <w:tcPr>
            <w:tcW w:w="1969" w:type="dxa"/>
            <w:tcMar>
              <w:left w:w="28" w:type="dxa"/>
              <w:right w:w="28" w:type="dxa"/>
            </w:tcMar>
            <w:vAlign w:val="center"/>
          </w:tcPr>
          <w:p>
            <w:pPr>
              <w:pStyle w:val="67"/>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污染物名称</w:t>
            </w:r>
          </w:p>
        </w:tc>
        <w:tc>
          <w:tcPr>
            <w:tcW w:w="1701" w:type="dxa"/>
            <w:tcMar>
              <w:left w:w="28" w:type="dxa"/>
              <w:right w:w="28" w:type="dxa"/>
            </w:tcMar>
            <w:vAlign w:val="center"/>
          </w:tcPr>
          <w:p>
            <w:pPr>
              <w:pStyle w:val="67"/>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现有工程</w:t>
            </w:r>
          </w:p>
          <w:p>
            <w:pPr>
              <w:pStyle w:val="67"/>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排放量（固体废物产生量）</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ascii="Times New Roman"/>
                <w:color w:val="000000"/>
                <w:kern w:val="2"/>
                <w:szCs w:val="21"/>
              </w:rPr>
              <w:t>①</w:t>
            </w:r>
            <w:r>
              <w:rPr>
                <w:rFonts w:ascii="Times New Roman"/>
                <w:snapToGrid w:val="0"/>
                <w:color w:val="000000"/>
                <w:spacing w:val="-6"/>
                <w:kern w:val="21"/>
                <w:szCs w:val="21"/>
              </w:rPr>
              <w:fldChar w:fldCharType="end"/>
            </w:r>
          </w:p>
        </w:tc>
        <w:tc>
          <w:tcPr>
            <w:tcW w:w="1276" w:type="dxa"/>
            <w:tcMar>
              <w:left w:w="28" w:type="dxa"/>
              <w:right w:w="28" w:type="dxa"/>
            </w:tcMar>
            <w:vAlign w:val="center"/>
          </w:tcPr>
          <w:p>
            <w:pPr>
              <w:pStyle w:val="67"/>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现有工程</w:t>
            </w:r>
          </w:p>
          <w:p>
            <w:pPr>
              <w:pStyle w:val="67"/>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许可排放量</w:t>
            </w:r>
          </w:p>
          <w:p>
            <w:pPr>
              <w:pStyle w:val="67"/>
              <w:spacing w:beforeLines="0" w:afterLines="0"/>
              <w:rPr>
                <w:rFonts w:ascii="Times New Roman"/>
                <w:snapToGrid w:val="0"/>
                <w:color w:val="000000"/>
                <w:spacing w:val="-6"/>
                <w:kern w:val="21"/>
                <w:szCs w:val="21"/>
              </w:rPr>
            </w:pP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2 \* GB3 \* MERGEFORMAT </w:instrText>
            </w:r>
            <w:r>
              <w:rPr>
                <w:rFonts w:ascii="Times New Roman"/>
                <w:snapToGrid w:val="0"/>
                <w:color w:val="000000"/>
                <w:spacing w:val="-6"/>
                <w:kern w:val="21"/>
                <w:szCs w:val="21"/>
              </w:rPr>
              <w:fldChar w:fldCharType="separate"/>
            </w:r>
            <w:r>
              <w:rPr>
                <w:rFonts w:ascii="Times New Roman"/>
                <w:snapToGrid w:val="0"/>
                <w:color w:val="000000"/>
                <w:spacing w:val="-6"/>
                <w:kern w:val="21"/>
                <w:szCs w:val="21"/>
              </w:rPr>
              <w:t>②</w:t>
            </w:r>
            <w:r>
              <w:rPr>
                <w:rFonts w:ascii="Times New Roman"/>
                <w:snapToGrid w:val="0"/>
                <w:color w:val="000000"/>
                <w:spacing w:val="-6"/>
                <w:kern w:val="21"/>
                <w:szCs w:val="21"/>
              </w:rPr>
              <w:fldChar w:fldCharType="end"/>
            </w:r>
          </w:p>
        </w:tc>
        <w:tc>
          <w:tcPr>
            <w:tcW w:w="1701" w:type="dxa"/>
            <w:tcMar>
              <w:left w:w="28" w:type="dxa"/>
              <w:right w:w="28" w:type="dxa"/>
            </w:tcMar>
            <w:vAlign w:val="center"/>
          </w:tcPr>
          <w:p>
            <w:pPr>
              <w:pStyle w:val="67"/>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在建工程</w:t>
            </w:r>
          </w:p>
          <w:p>
            <w:pPr>
              <w:pStyle w:val="67"/>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排放量（固体废物产生量）</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Pr>
                <w:rFonts w:ascii="Times New Roman"/>
                <w:snapToGrid w:val="0"/>
                <w:color w:val="000000"/>
                <w:spacing w:val="-6"/>
                <w:kern w:val="21"/>
                <w:szCs w:val="21"/>
              </w:rPr>
              <w:fldChar w:fldCharType="separate"/>
            </w:r>
            <w:r>
              <w:rPr>
                <w:rFonts w:ascii="Times New Roman"/>
                <w:color w:val="000000"/>
                <w:kern w:val="2"/>
                <w:szCs w:val="21"/>
              </w:rPr>
              <w:t>③</w:t>
            </w:r>
            <w:r>
              <w:rPr>
                <w:rFonts w:ascii="Times New Roman"/>
                <w:snapToGrid w:val="0"/>
                <w:color w:val="000000"/>
                <w:spacing w:val="-6"/>
                <w:kern w:val="21"/>
                <w:szCs w:val="21"/>
              </w:rPr>
              <w:fldChar w:fldCharType="end"/>
            </w:r>
          </w:p>
        </w:tc>
        <w:tc>
          <w:tcPr>
            <w:tcW w:w="1559" w:type="dxa"/>
            <w:tcMar>
              <w:left w:w="28" w:type="dxa"/>
              <w:right w:w="28" w:type="dxa"/>
            </w:tcMar>
            <w:vAlign w:val="center"/>
          </w:tcPr>
          <w:p>
            <w:pPr>
              <w:pStyle w:val="67"/>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本项目</w:t>
            </w:r>
          </w:p>
          <w:p>
            <w:pPr>
              <w:pStyle w:val="67"/>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排放量（固体废物产生量）</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Pr>
                <w:rFonts w:ascii="Times New Roman"/>
                <w:snapToGrid w:val="0"/>
                <w:color w:val="000000"/>
                <w:spacing w:val="-6"/>
                <w:kern w:val="21"/>
                <w:szCs w:val="21"/>
              </w:rPr>
              <w:fldChar w:fldCharType="separate"/>
            </w:r>
            <w:r>
              <w:rPr>
                <w:rFonts w:ascii="Times New Roman"/>
                <w:color w:val="000000"/>
                <w:kern w:val="2"/>
                <w:szCs w:val="21"/>
              </w:rPr>
              <w:t>④</w:t>
            </w:r>
            <w:r>
              <w:rPr>
                <w:rFonts w:ascii="Times New Roman"/>
                <w:snapToGrid w:val="0"/>
                <w:color w:val="000000"/>
                <w:spacing w:val="-6"/>
                <w:kern w:val="21"/>
                <w:szCs w:val="21"/>
              </w:rPr>
              <w:fldChar w:fldCharType="end"/>
            </w:r>
          </w:p>
        </w:tc>
        <w:tc>
          <w:tcPr>
            <w:tcW w:w="1761" w:type="dxa"/>
            <w:tcMar>
              <w:left w:w="28" w:type="dxa"/>
              <w:right w:w="28" w:type="dxa"/>
            </w:tcMar>
            <w:vAlign w:val="center"/>
          </w:tcPr>
          <w:p>
            <w:pPr>
              <w:pStyle w:val="67"/>
              <w:spacing w:beforeLines="0" w:afterLines="0" w:line="240" w:lineRule="auto"/>
              <w:rPr>
                <w:rFonts w:ascii="Times New Roman"/>
                <w:snapToGrid w:val="0"/>
                <w:color w:val="000000"/>
                <w:spacing w:val="-16"/>
                <w:kern w:val="21"/>
                <w:szCs w:val="21"/>
              </w:rPr>
            </w:pPr>
            <w:r>
              <w:rPr>
                <w:rFonts w:ascii="Times New Roman"/>
                <w:snapToGrid w:val="0"/>
                <w:color w:val="000000"/>
                <w:spacing w:val="-16"/>
                <w:kern w:val="21"/>
                <w:szCs w:val="21"/>
              </w:rPr>
              <w:t>以新带老削减量</w:t>
            </w:r>
          </w:p>
          <w:p>
            <w:pPr>
              <w:pStyle w:val="67"/>
              <w:spacing w:beforeLines="0" w:afterLines="0" w:line="240" w:lineRule="auto"/>
              <w:rPr>
                <w:rFonts w:ascii="Times New Roman"/>
                <w:snapToGrid w:val="0"/>
                <w:color w:val="000000"/>
                <w:spacing w:val="-16"/>
                <w:kern w:val="21"/>
                <w:szCs w:val="21"/>
              </w:rPr>
            </w:pPr>
            <w:r>
              <w:rPr>
                <w:rFonts w:ascii="Times New Roman"/>
                <w:snapToGrid w:val="0"/>
                <w:color w:val="000000"/>
                <w:spacing w:val="-16"/>
                <w:kern w:val="21"/>
                <w:szCs w:val="21"/>
              </w:rPr>
              <w:t>（新建项目不填）</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Pr>
                <w:rFonts w:ascii="Times New Roman"/>
                <w:snapToGrid w:val="0"/>
                <w:color w:val="000000"/>
                <w:spacing w:val="-16"/>
                <w:kern w:val="21"/>
                <w:szCs w:val="21"/>
              </w:rPr>
              <w:fldChar w:fldCharType="separate"/>
            </w:r>
            <w:r>
              <w:rPr>
                <w:rFonts w:ascii="Times New Roman"/>
                <w:color w:val="000000"/>
                <w:kern w:val="2"/>
                <w:szCs w:val="21"/>
              </w:rPr>
              <w:t>⑤</w:t>
            </w:r>
            <w:r>
              <w:rPr>
                <w:rFonts w:ascii="Times New Roman"/>
                <w:snapToGrid w:val="0"/>
                <w:color w:val="000000"/>
                <w:spacing w:val="-16"/>
                <w:kern w:val="21"/>
                <w:szCs w:val="21"/>
              </w:rPr>
              <w:fldChar w:fldCharType="end"/>
            </w:r>
          </w:p>
        </w:tc>
        <w:tc>
          <w:tcPr>
            <w:tcW w:w="1605" w:type="dxa"/>
            <w:tcMar>
              <w:left w:w="28" w:type="dxa"/>
              <w:right w:w="28" w:type="dxa"/>
            </w:tcMar>
            <w:vAlign w:val="center"/>
          </w:tcPr>
          <w:p>
            <w:pPr>
              <w:pStyle w:val="67"/>
              <w:spacing w:beforeLines="0" w:afterLines="0" w:line="240" w:lineRule="auto"/>
              <w:rPr>
                <w:rFonts w:ascii="Times New Roman"/>
                <w:snapToGrid w:val="0"/>
                <w:color w:val="000000"/>
                <w:spacing w:val="-16"/>
                <w:kern w:val="21"/>
                <w:szCs w:val="21"/>
              </w:rPr>
            </w:pPr>
            <w:r>
              <w:rPr>
                <w:rFonts w:ascii="Times New Roman"/>
                <w:snapToGrid w:val="0"/>
                <w:color w:val="000000"/>
                <w:spacing w:val="-16"/>
                <w:kern w:val="21"/>
                <w:szCs w:val="21"/>
              </w:rPr>
              <w:t>本项目建成后</w:t>
            </w:r>
          </w:p>
          <w:p>
            <w:pPr>
              <w:pStyle w:val="67"/>
              <w:spacing w:beforeLines="0" w:afterLines="0" w:line="240" w:lineRule="auto"/>
              <w:rPr>
                <w:rFonts w:ascii="Times New Roman"/>
                <w:snapToGrid w:val="0"/>
                <w:color w:val="000000"/>
                <w:spacing w:val="-16"/>
                <w:kern w:val="21"/>
                <w:szCs w:val="21"/>
              </w:rPr>
            </w:pPr>
            <w:r>
              <w:rPr>
                <w:rFonts w:ascii="Times New Roman"/>
                <w:snapToGrid w:val="0"/>
                <w:color w:val="000000"/>
                <w:spacing w:val="-16"/>
                <w:kern w:val="21"/>
                <w:szCs w:val="21"/>
              </w:rPr>
              <w:t>全厂排放量（固体废物产生量）</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ascii="Times New Roman"/>
                <w:color w:val="000000"/>
                <w:kern w:val="2"/>
                <w:szCs w:val="21"/>
              </w:rPr>
              <w:t>⑥</w:t>
            </w:r>
            <w:r>
              <w:rPr>
                <w:rFonts w:ascii="Times New Roman"/>
                <w:snapToGrid w:val="0"/>
                <w:color w:val="000000"/>
                <w:spacing w:val="-16"/>
                <w:kern w:val="21"/>
                <w:szCs w:val="21"/>
              </w:rPr>
              <w:fldChar w:fldCharType="end"/>
            </w:r>
          </w:p>
        </w:tc>
        <w:tc>
          <w:tcPr>
            <w:tcW w:w="1180" w:type="dxa"/>
            <w:tcMar>
              <w:left w:w="28" w:type="dxa"/>
              <w:right w:w="28" w:type="dxa"/>
            </w:tcMar>
            <w:vAlign w:val="center"/>
          </w:tcPr>
          <w:p>
            <w:pPr>
              <w:pStyle w:val="67"/>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变化量</w:t>
            </w:r>
          </w:p>
          <w:p>
            <w:pPr>
              <w:pStyle w:val="67"/>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Pr>
                <w:rFonts w:ascii="Times New Roman"/>
                <w:snapToGrid w:val="0"/>
                <w:color w:val="000000"/>
                <w:spacing w:val="-6"/>
                <w:kern w:val="21"/>
                <w:szCs w:val="21"/>
              </w:rPr>
              <w:fldChar w:fldCharType="separate"/>
            </w:r>
            <w:r>
              <w:rPr>
                <w:rFonts w:ascii="Times New Roman"/>
                <w:color w:val="000000"/>
                <w:kern w:val="2"/>
                <w:szCs w:val="21"/>
              </w:rPr>
              <w:t>⑦</w:t>
            </w:r>
            <w:r>
              <w:rPr>
                <w:rFonts w:ascii="Times New Roman"/>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6" w:type="dxa"/>
            <w:vMerge w:val="restart"/>
            <w:vAlign w:val="center"/>
          </w:tcPr>
          <w:p>
            <w:pPr>
              <w:pStyle w:val="67"/>
              <w:spacing w:beforeLines="0" w:afterLines="0" w:line="240" w:lineRule="auto"/>
              <w:rPr>
                <w:rFonts w:ascii="Times New Roman"/>
                <w:snapToGrid w:val="0"/>
                <w:color w:val="000000"/>
                <w:kern w:val="21"/>
                <w:szCs w:val="21"/>
              </w:rPr>
            </w:pPr>
            <w:r>
              <w:rPr>
                <w:rFonts w:ascii="Times New Roman"/>
                <w:snapToGrid w:val="0"/>
                <w:color w:val="000000"/>
                <w:kern w:val="21"/>
                <w:szCs w:val="21"/>
              </w:rPr>
              <w:t>废气</w:t>
            </w:r>
          </w:p>
        </w:tc>
        <w:tc>
          <w:tcPr>
            <w:tcW w:w="1969" w:type="dxa"/>
            <w:vAlign w:val="center"/>
          </w:tcPr>
          <w:p>
            <w:pPr>
              <w:adjustRightInd w:val="0"/>
              <w:snapToGrid w:val="0"/>
              <w:jc w:val="center"/>
              <w:rPr>
                <w:snapToGrid w:val="0"/>
                <w:color w:val="000000"/>
                <w:kern w:val="21"/>
                <w:szCs w:val="21"/>
              </w:rPr>
            </w:pPr>
            <w:r>
              <w:rPr>
                <w:color w:val="000000"/>
                <w:szCs w:val="21"/>
              </w:rPr>
              <w:t>颗粒物</w:t>
            </w:r>
          </w:p>
        </w:tc>
        <w:tc>
          <w:tcPr>
            <w:tcW w:w="1701" w:type="dxa"/>
            <w:vAlign w:val="center"/>
          </w:tcPr>
          <w:p>
            <w:pPr>
              <w:widowControl/>
              <w:jc w:val="center"/>
              <w:textAlignment w:val="center"/>
              <w:rPr>
                <w:snapToGrid w:val="0"/>
                <w:color w:val="000000"/>
                <w:kern w:val="21"/>
                <w:szCs w:val="21"/>
              </w:rPr>
            </w:pPr>
            <w:r>
              <w:rPr>
                <w:snapToGrid w:val="0"/>
                <w:color w:val="000000"/>
                <w:kern w:val="21"/>
                <w:szCs w:val="21"/>
              </w:rPr>
              <w:t>/</w:t>
            </w:r>
          </w:p>
        </w:tc>
        <w:tc>
          <w:tcPr>
            <w:tcW w:w="1276" w:type="dxa"/>
            <w:vAlign w:val="center"/>
          </w:tcPr>
          <w:p>
            <w:pPr>
              <w:pStyle w:val="67"/>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701" w:type="dxa"/>
            <w:vAlign w:val="center"/>
          </w:tcPr>
          <w:p>
            <w:pPr>
              <w:pStyle w:val="67"/>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559" w:type="dxa"/>
            <w:vAlign w:val="center"/>
          </w:tcPr>
          <w:p>
            <w:pPr>
              <w:widowControl/>
              <w:jc w:val="center"/>
              <w:textAlignment w:val="center"/>
              <w:rPr>
                <w:snapToGrid w:val="0"/>
                <w:color w:val="000000"/>
                <w:kern w:val="21"/>
                <w:szCs w:val="21"/>
              </w:rPr>
            </w:pPr>
            <w:r>
              <w:rPr>
                <w:rFonts w:hint="eastAsia"/>
                <w:color w:val="000000"/>
                <w:szCs w:val="21"/>
              </w:rPr>
              <w:t>0.</w:t>
            </w:r>
            <w:r>
              <w:rPr>
                <w:rFonts w:hint="eastAsia"/>
                <w:color w:val="000000"/>
                <w:szCs w:val="21"/>
                <w:lang w:val="en-US" w:eastAsia="zh-CN"/>
              </w:rPr>
              <w:t>059</w:t>
            </w:r>
            <w:r>
              <w:rPr>
                <w:bCs/>
                <w:color w:val="000000"/>
                <w:szCs w:val="21"/>
              </w:rPr>
              <w:t>t/a</w:t>
            </w:r>
          </w:p>
        </w:tc>
        <w:tc>
          <w:tcPr>
            <w:tcW w:w="1761" w:type="dxa"/>
            <w:vAlign w:val="center"/>
          </w:tcPr>
          <w:p>
            <w:pPr>
              <w:widowControl/>
              <w:jc w:val="center"/>
              <w:textAlignment w:val="center"/>
              <w:rPr>
                <w:snapToGrid w:val="0"/>
                <w:color w:val="000000"/>
                <w:kern w:val="21"/>
                <w:szCs w:val="21"/>
              </w:rPr>
            </w:pPr>
            <w:r>
              <w:rPr>
                <w:rFonts w:hint="eastAsia"/>
                <w:color w:val="000000"/>
                <w:szCs w:val="21"/>
              </w:rPr>
              <w:t>/</w:t>
            </w:r>
          </w:p>
        </w:tc>
        <w:tc>
          <w:tcPr>
            <w:tcW w:w="1605" w:type="dxa"/>
            <w:vAlign w:val="center"/>
          </w:tcPr>
          <w:p>
            <w:pPr>
              <w:widowControl/>
              <w:jc w:val="center"/>
              <w:textAlignment w:val="center"/>
              <w:rPr>
                <w:snapToGrid w:val="0"/>
                <w:color w:val="000000"/>
                <w:kern w:val="21"/>
                <w:szCs w:val="21"/>
              </w:rPr>
            </w:pPr>
            <w:r>
              <w:rPr>
                <w:rFonts w:hint="eastAsia"/>
                <w:color w:val="000000"/>
                <w:szCs w:val="21"/>
              </w:rPr>
              <w:t>0.</w:t>
            </w:r>
            <w:r>
              <w:rPr>
                <w:rFonts w:hint="eastAsia"/>
                <w:color w:val="000000"/>
                <w:szCs w:val="21"/>
                <w:lang w:val="en-US" w:eastAsia="zh-CN"/>
              </w:rPr>
              <w:t>059</w:t>
            </w:r>
            <w:r>
              <w:rPr>
                <w:bCs/>
                <w:color w:val="000000"/>
                <w:szCs w:val="21"/>
              </w:rPr>
              <w:t>t/a</w:t>
            </w:r>
          </w:p>
        </w:tc>
        <w:tc>
          <w:tcPr>
            <w:tcW w:w="1180" w:type="dxa"/>
            <w:vAlign w:val="center"/>
          </w:tcPr>
          <w:p>
            <w:pPr>
              <w:widowControl/>
              <w:jc w:val="center"/>
              <w:textAlignment w:val="center"/>
              <w:rPr>
                <w:snapToGrid w:val="0"/>
                <w:color w:val="000000"/>
                <w:kern w:val="21"/>
                <w:szCs w:val="21"/>
              </w:rPr>
            </w:pPr>
            <w:r>
              <w:rPr>
                <w:rFonts w:hint="eastAsia"/>
                <w:color w:val="000000"/>
                <w:szCs w:val="21"/>
              </w:rPr>
              <w:t>+0.</w:t>
            </w:r>
            <w:r>
              <w:rPr>
                <w:rFonts w:hint="eastAsia"/>
                <w:color w:val="000000"/>
                <w:szCs w:val="21"/>
                <w:lang w:val="en-US" w:eastAsia="zh-CN"/>
              </w:rPr>
              <w:t>059</w:t>
            </w:r>
            <w:r>
              <w:rPr>
                <w:bCs/>
                <w:color w:val="00000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6" w:type="dxa"/>
            <w:vMerge w:val="continue"/>
            <w:vAlign w:val="center"/>
          </w:tcPr>
          <w:p>
            <w:pPr>
              <w:pStyle w:val="67"/>
              <w:spacing w:beforeLines="0" w:afterLines="0" w:line="240" w:lineRule="auto"/>
              <w:rPr>
                <w:rFonts w:ascii="Times New Roman"/>
                <w:snapToGrid w:val="0"/>
                <w:color w:val="000000"/>
                <w:kern w:val="21"/>
                <w:szCs w:val="21"/>
              </w:rPr>
            </w:pPr>
          </w:p>
        </w:tc>
        <w:tc>
          <w:tcPr>
            <w:tcW w:w="1969" w:type="dxa"/>
            <w:vAlign w:val="center"/>
          </w:tcPr>
          <w:p>
            <w:pPr>
              <w:adjustRightInd w:val="0"/>
              <w:snapToGrid w:val="0"/>
              <w:jc w:val="center"/>
              <w:rPr>
                <w:color w:val="000000"/>
                <w:szCs w:val="21"/>
              </w:rPr>
            </w:pPr>
            <w:r>
              <w:rPr>
                <w:rFonts w:hint="eastAsia"/>
                <w:color w:val="000000"/>
                <w:szCs w:val="21"/>
              </w:rPr>
              <w:t>二氧化硫</w:t>
            </w:r>
          </w:p>
        </w:tc>
        <w:tc>
          <w:tcPr>
            <w:tcW w:w="1701" w:type="dxa"/>
            <w:vAlign w:val="center"/>
          </w:tcPr>
          <w:p>
            <w:pPr>
              <w:widowControl/>
              <w:jc w:val="center"/>
              <w:textAlignment w:val="center"/>
              <w:rPr>
                <w:snapToGrid w:val="0"/>
                <w:color w:val="000000"/>
                <w:kern w:val="21"/>
                <w:szCs w:val="21"/>
              </w:rPr>
            </w:pPr>
            <w:r>
              <w:rPr>
                <w:rFonts w:hint="eastAsia"/>
                <w:snapToGrid w:val="0"/>
                <w:color w:val="000000"/>
                <w:kern w:val="21"/>
                <w:szCs w:val="21"/>
              </w:rPr>
              <w:t>/</w:t>
            </w:r>
          </w:p>
        </w:tc>
        <w:tc>
          <w:tcPr>
            <w:tcW w:w="1276" w:type="dxa"/>
            <w:vAlign w:val="center"/>
          </w:tcPr>
          <w:p>
            <w:pPr>
              <w:pStyle w:val="67"/>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vAlign w:val="center"/>
          </w:tcPr>
          <w:p>
            <w:pPr>
              <w:pStyle w:val="67"/>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vAlign w:val="center"/>
          </w:tcPr>
          <w:p>
            <w:pPr>
              <w:widowControl/>
              <w:jc w:val="center"/>
              <w:textAlignment w:val="center"/>
              <w:rPr>
                <w:color w:val="000000"/>
                <w:szCs w:val="21"/>
              </w:rPr>
            </w:pPr>
            <w:r>
              <w:rPr>
                <w:rFonts w:hint="eastAsia"/>
                <w:color w:val="000000"/>
                <w:szCs w:val="21"/>
              </w:rPr>
              <w:t>0.029</w:t>
            </w:r>
            <w:r>
              <w:rPr>
                <w:bCs/>
                <w:color w:val="000000"/>
                <w:szCs w:val="21"/>
              </w:rPr>
              <w:t>t/a</w:t>
            </w:r>
          </w:p>
        </w:tc>
        <w:tc>
          <w:tcPr>
            <w:tcW w:w="1761" w:type="dxa"/>
            <w:vAlign w:val="center"/>
          </w:tcPr>
          <w:p>
            <w:pPr>
              <w:widowControl/>
              <w:jc w:val="center"/>
              <w:textAlignment w:val="center"/>
              <w:rPr>
                <w:snapToGrid w:val="0"/>
                <w:color w:val="000000"/>
                <w:kern w:val="21"/>
                <w:szCs w:val="21"/>
              </w:rPr>
            </w:pPr>
            <w:r>
              <w:rPr>
                <w:rFonts w:hint="eastAsia"/>
                <w:color w:val="000000"/>
                <w:szCs w:val="21"/>
              </w:rPr>
              <w:t>/</w:t>
            </w:r>
          </w:p>
        </w:tc>
        <w:tc>
          <w:tcPr>
            <w:tcW w:w="1605" w:type="dxa"/>
            <w:vAlign w:val="center"/>
          </w:tcPr>
          <w:p>
            <w:pPr>
              <w:widowControl/>
              <w:jc w:val="center"/>
              <w:textAlignment w:val="center"/>
              <w:rPr>
                <w:color w:val="000000"/>
                <w:szCs w:val="21"/>
              </w:rPr>
            </w:pPr>
            <w:r>
              <w:rPr>
                <w:rFonts w:hint="eastAsia"/>
                <w:color w:val="000000"/>
                <w:szCs w:val="21"/>
              </w:rPr>
              <w:t>0.02</w:t>
            </w:r>
            <w:r>
              <w:rPr>
                <w:rFonts w:hint="eastAsia"/>
                <w:bCs/>
                <w:color w:val="000000"/>
                <w:szCs w:val="21"/>
              </w:rPr>
              <w:t>9</w:t>
            </w:r>
            <w:r>
              <w:rPr>
                <w:bCs/>
                <w:color w:val="000000"/>
                <w:szCs w:val="21"/>
              </w:rPr>
              <w:t>/a</w:t>
            </w:r>
          </w:p>
        </w:tc>
        <w:tc>
          <w:tcPr>
            <w:tcW w:w="1180" w:type="dxa"/>
            <w:vAlign w:val="center"/>
          </w:tcPr>
          <w:p>
            <w:pPr>
              <w:widowControl/>
              <w:jc w:val="center"/>
              <w:textAlignment w:val="center"/>
              <w:rPr>
                <w:bCs/>
                <w:color w:val="000000"/>
                <w:szCs w:val="21"/>
              </w:rPr>
            </w:pPr>
            <w:r>
              <w:rPr>
                <w:rFonts w:hint="eastAsia"/>
                <w:color w:val="000000"/>
                <w:szCs w:val="21"/>
              </w:rPr>
              <w:t>+0.029</w:t>
            </w:r>
            <w:r>
              <w:rPr>
                <w:bCs/>
                <w:color w:val="00000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6" w:type="dxa"/>
            <w:vMerge w:val="continue"/>
            <w:vAlign w:val="center"/>
          </w:tcPr>
          <w:p>
            <w:pPr>
              <w:pStyle w:val="67"/>
              <w:spacing w:beforeLines="0" w:afterLines="0" w:line="240" w:lineRule="auto"/>
              <w:rPr>
                <w:rFonts w:ascii="Times New Roman"/>
                <w:snapToGrid w:val="0"/>
                <w:color w:val="000000"/>
                <w:kern w:val="21"/>
                <w:szCs w:val="21"/>
              </w:rPr>
            </w:pPr>
          </w:p>
        </w:tc>
        <w:tc>
          <w:tcPr>
            <w:tcW w:w="1969" w:type="dxa"/>
            <w:vAlign w:val="center"/>
          </w:tcPr>
          <w:p>
            <w:pPr>
              <w:adjustRightInd w:val="0"/>
              <w:snapToGrid w:val="0"/>
              <w:jc w:val="center"/>
              <w:rPr>
                <w:color w:val="000000"/>
                <w:szCs w:val="21"/>
              </w:rPr>
            </w:pPr>
            <w:r>
              <w:rPr>
                <w:rFonts w:hint="eastAsia"/>
                <w:color w:val="000000"/>
                <w:szCs w:val="21"/>
              </w:rPr>
              <w:t>氮氧化物</w:t>
            </w:r>
          </w:p>
        </w:tc>
        <w:tc>
          <w:tcPr>
            <w:tcW w:w="1701" w:type="dxa"/>
            <w:vAlign w:val="center"/>
          </w:tcPr>
          <w:p>
            <w:pPr>
              <w:widowControl/>
              <w:jc w:val="center"/>
              <w:textAlignment w:val="center"/>
              <w:rPr>
                <w:snapToGrid w:val="0"/>
                <w:color w:val="000000"/>
                <w:kern w:val="21"/>
                <w:szCs w:val="21"/>
              </w:rPr>
            </w:pPr>
            <w:r>
              <w:rPr>
                <w:rFonts w:hint="eastAsia"/>
                <w:snapToGrid w:val="0"/>
                <w:color w:val="000000"/>
                <w:kern w:val="21"/>
                <w:szCs w:val="21"/>
              </w:rPr>
              <w:t>/</w:t>
            </w:r>
          </w:p>
        </w:tc>
        <w:tc>
          <w:tcPr>
            <w:tcW w:w="1276" w:type="dxa"/>
            <w:vAlign w:val="center"/>
          </w:tcPr>
          <w:p>
            <w:pPr>
              <w:pStyle w:val="67"/>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vAlign w:val="center"/>
          </w:tcPr>
          <w:p>
            <w:pPr>
              <w:pStyle w:val="67"/>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vAlign w:val="center"/>
          </w:tcPr>
          <w:p>
            <w:pPr>
              <w:widowControl/>
              <w:jc w:val="center"/>
              <w:textAlignment w:val="center"/>
              <w:rPr>
                <w:color w:val="000000"/>
                <w:szCs w:val="21"/>
              </w:rPr>
            </w:pPr>
            <w:r>
              <w:rPr>
                <w:rFonts w:hint="eastAsia"/>
                <w:bCs/>
                <w:szCs w:val="21"/>
              </w:rPr>
              <w:t>0.022</w:t>
            </w:r>
            <w:r>
              <w:rPr>
                <w:rFonts w:hint="eastAsia"/>
                <w:color w:val="000000"/>
                <w:szCs w:val="21"/>
              </w:rPr>
              <w:t>t/a</w:t>
            </w:r>
          </w:p>
        </w:tc>
        <w:tc>
          <w:tcPr>
            <w:tcW w:w="1761" w:type="dxa"/>
            <w:vAlign w:val="center"/>
          </w:tcPr>
          <w:p>
            <w:pPr>
              <w:widowControl/>
              <w:jc w:val="center"/>
              <w:textAlignment w:val="center"/>
              <w:rPr>
                <w:snapToGrid w:val="0"/>
                <w:color w:val="000000"/>
                <w:kern w:val="21"/>
                <w:szCs w:val="21"/>
              </w:rPr>
            </w:pPr>
            <w:r>
              <w:rPr>
                <w:rFonts w:hint="eastAsia"/>
                <w:color w:val="000000"/>
                <w:szCs w:val="21"/>
              </w:rPr>
              <w:t>/</w:t>
            </w:r>
          </w:p>
        </w:tc>
        <w:tc>
          <w:tcPr>
            <w:tcW w:w="1605" w:type="dxa"/>
            <w:vAlign w:val="center"/>
          </w:tcPr>
          <w:p>
            <w:pPr>
              <w:widowControl/>
              <w:jc w:val="center"/>
              <w:textAlignment w:val="center"/>
              <w:rPr>
                <w:color w:val="000000"/>
                <w:szCs w:val="21"/>
              </w:rPr>
            </w:pPr>
            <w:r>
              <w:rPr>
                <w:rFonts w:hint="eastAsia"/>
                <w:bCs/>
                <w:szCs w:val="21"/>
              </w:rPr>
              <w:t>0.022</w:t>
            </w:r>
            <w:r>
              <w:rPr>
                <w:rFonts w:hint="eastAsia"/>
                <w:color w:val="000000"/>
                <w:szCs w:val="21"/>
              </w:rPr>
              <w:t>t/a</w:t>
            </w:r>
          </w:p>
        </w:tc>
        <w:tc>
          <w:tcPr>
            <w:tcW w:w="1180" w:type="dxa"/>
            <w:vAlign w:val="center"/>
          </w:tcPr>
          <w:p>
            <w:pPr>
              <w:widowControl/>
              <w:jc w:val="center"/>
              <w:textAlignment w:val="center"/>
              <w:rPr>
                <w:bCs/>
                <w:color w:val="000000"/>
                <w:szCs w:val="21"/>
              </w:rPr>
            </w:pPr>
            <w:r>
              <w:rPr>
                <w:rFonts w:hint="eastAsia"/>
                <w:bCs/>
                <w:szCs w:val="21"/>
              </w:rPr>
              <w:t>+0.022</w:t>
            </w:r>
            <w:r>
              <w:rPr>
                <w:rFonts w:hint="eastAsia"/>
                <w:color w:val="00000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6" w:type="dxa"/>
            <w:vAlign w:val="center"/>
          </w:tcPr>
          <w:p>
            <w:pPr>
              <w:pStyle w:val="67"/>
              <w:spacing w:beforeLines="0" w:afterLines="0" w:line="240" w:lineRule="auto"/>
              <w:rPr>
                <w:rFonts w:ascii="Times New Roman"/>
                <w:snapToGrid w:val="0"/>
                <w:color w:val="000000"/>
                <w:kern w:val="21"/>
                <w:szCs w:val="21"/>
              </w:rPr>
            </w:pPr>
            <w:r>
              <w:rPr>
                <w:rFonts w:ascii="Times New Roman"/>
                <w:snapToGrid w:val="0"/>
                <w:color w:val="000000"/>
                <w:kern w:val="21"/>
                <w:szCs w:val="21"/>
              </w:rPr>
              <w:t>废水</w:t>
            </w:r>
          </w:p>
        </w:tc>
        <w:tc>
          <w:tcPr>
            <w:tcW w:w="1969" w:type="dxa"/>
            <w:vAlign w:val="center"/>
          </w:tcPr>
          <w:p>
            <w:pPr>
              <w:jc w:val="center"/>
              <w:rPr>
                <w:snapToGrid w:val="0"/>
                <w:color w:val="000000"/>
                <w:kern w:val="21"/>
                <w:szCs w:val="21"/>
              </w:rPr>
            </w:pPr>
            <w:r>
              <w:rPr>
                <w:snapToGrid w:val="0"/>
                <w:color w:val="000000"/>
                <w:kern w:val="21"/>
                <w:szCs w:val="21"/>
              </w:rPr>
              <w:t>/</w:t>
            </w:r>
          </w:p>
        </w:tc>
        <w:tc>
          <w:tcPr>
            <w:tcW w:w="1701" w:type="dxa"/>
            <w:vAlign w:val="center"/>
          </w:tcPr>
          <w:p>
            <w:pPr>
              <w:widowControl/>
              <w:jc w:val="center"/>
              <w:textAlignment w:val="center"/>
              <w:rPr>
                <w:snapToGrid w:val="0"/>
                <w:color w:val="000000"/>
                <w:kern w:val="21"/>
                <w:szCs w:val="21"/>
              </w:rPr>
            </w:pPr>
            <w:r>
              <w:rPr>
                <w:snapToGrid w:val="0"/>
                <w:color w:val="000000"/>
                <w:kern w:val="21"/>
                <w:szCs w:val="21"/>
              </w:rPr>
              <w:t>/</w:t>
            </w:r>
          </w:p>
        </w:tc>
        <w:tc>
          <w:tcPr>
            <w:tcW w:w="1276" w:type="dxa"/>
            <w:vAlign w:val="center"/>
          </w:tcPr>
          <w:p>
            <w:pPr>
              <w:pStyle w:val="67"/>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701" w:type="dxa"/>
            <w:vAlign w:val="center"/>
          </w:tcPr>
          <w:p>
            <w:pPr>
              <w:pStyle w:val="67"/>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559" w:type="dxa"/>
            <w:vAlign w:val="center"/>
          </w:tcPr>
          <w:p>
            <w:pPr>
              <w:jc w:val="center"/>
              <w:rPr>
                <w:snapToGrid w:val="0"/>
                <w:color w:val="000000"/>
                <w:kern w:val="21"/>
                <w:szCs w:val="21"/>
              </w:rPr>
            </w:pPr>
            <w:r>
              <w:rPr>
                <w:snapToGrid w:val="0"/>
                <w:color w:val="000000"/>
                <w:kern w:val="21"/>
                <w:szCs w:val="21"/>
              </w:rPr>
              <w:t>/</w:t>
            </w:r>
            <w:bookmarkStart w:id="5" w:name="_GoBack"/>
            <w:bookmarkEnd w:id="5"/>
          </w:p>
        </w:tc>
        <w:tc>
          <w:tcPr>
            <w:tcW w:w="1761" w:type="dxa"/>
            <w:vAlign w:val="center"/>
          </w:tcPr>
          <w:p>
            <w:pPr>
              <w:jc w:val="center"/>
              <w:rPr>
                <w:snapToGrid w:val="0"/>
                <w:color w:val="000000"/>
                <w:kern w:val="21"/>
                <w:szCs w:val="21"/>
              </w:rPr>
            </w:pPr>
            <w:r>
              <w:rPr>
                <w:rFonts w:hint="eastAsia"/>
                <w:color w:val="000000"/>
                <w:szCs w:val="21"/>
              </w:rPr>
              <w:t>/</w:t>
            </w:r>
          </w:p>
        </w:tc>
        <w:tc>
          <w:tcPr>
            <w:tcW w:w="1605" w:type="dxa"/>
            <w:vAlign w:val="center"/>
          </w:tcPr>
          <w:p>
            <w:pPr>
              <w:jc w:val="center"/>
              <w:rPr>
                <w:snapToGrid w:val="0"/>
                <w:color w:val="000000"/>
                <w:kern w:val="21"/>
                <w:szCs w:val="21"/>
              </w:rPr>
            </w:pPr>
            <w:r>
              <w:rPr>
                <w:snapToGrid w:val="0"/>
                <w:color w:val="000000"/>
                <w:kern w:val="21"/>
                <w:szCs w:val="21"/>
              </w:rPr>
              <w:t>/</w:t>
            </w:r>
          </w:p>
        </w:tc>
        <w:tc>
          <w:tcPr>
            <w:tcW w:w="1180" w:type="dxa"/>
            <w:vAlign w:val="center"/>
          </w:tcPr>
          <w:p>
            <w:pPr>
              <w:jc w:val="center"/>
              <w:rPr>
                <w:snapToGrid w:val="0"/>
                <w:color w:val="000000"/>
                <w:kern w:val="21"/>
                <w:szCs w:val="21"/>
              </w:rPr>
            </w:pPr>
            <w:r>
              <w:rPr>
                <w:snapToGrid w:val="0"/>
                <w:color w:val="00000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36" w:type="dxa"/>
            <w:vMerge w:val="restart"/>
            <w:vAlign w:val="center"/>
          </w:tcPr>
          <w:p>
            <w:pPr>
              <w:pStyle w:val="67"/>
              <w:spacing w:beforeLines="0" w:afterLines="0" w:line="240" w:lineRule="auto"/>
              <w:rPr>
                <w:rFonts w:ascii="Times New Roman"/>
                <w:snapToGrid w:val="0"/>
                <w:color w:val="000000"/>
                <w:kern w:val="21"/>
                <w:szCs w:val="21"/>
              </w:rPr>
            </w:pPr>
            <w:r>
              <w:rPr>
                <w:rFonts w:ascii="Times New Roman"/>
                <w:snapToGrid w:val="0"/>
                <w:color w:val="000000"/>
                <w:kern w:val="21"/>
                <w:szCs w:val="21"/>
              </w:rPr>
              <w:t>一般工业固体废物</w:t>
            </w:r>
          </w:p>
        </w:tc>
        <w:tc>
          <w:tcPr>
            <w:tcW w:w="1969" w:type="dxa"/>
            <w:vAlign w:val="center"/>
          </w:tcPr>
          <w:p>
            <w:pPr>
              <w:spacing w:line="280" w:lineRule="exact"/>
              <w:jc w:val="center"/>
              <w:rPr>
                <w:color w:val="000000"/>
                <w:szCs w:val="21"/>
              </w:rPr>
            </w:pPr>
            <w:r>
              <w:rPr>
                <w:rFonts w:hint="eastAsia"/>
                <w:color w:val="000000"/>
                <w:szCs w:val="21"/>
              </w:rPr>
              <w:t>除尘器收尘</w:t>
            </w:r>
          </w:p>
        </w:tc>
        <w:tc>
          <w:tcPr>
            <w:tcW w:w="1701" w:type="dxa"/>
            <w:vAlign w:val="center"/>
          </w:tcPr>
          <w:p>
            <w:pPr>
              <w:widowControl/>
              <w:jc w:val="center"/>
              <w:textAlignment w:val="center"/>
              <w:rPr>
                <w:snapToGrid w:val="0"/>
                <w:color w:val="000000"/>
                <w:kern w:val="21"/>
                <w:szCs w:val="21"/>
              </w:rPr>
            </w:pPr>
            <w:r>
              <w:rPr>
                <w:snapToGrid w:val="0"/>
                <w:color w:val="000000"/>
                <w:kern w:val="21"/>
                <w:szCs w:val="21"/>
              </w:rPr>
              <w:t>/</w:t>
            </w:r>
          </w:p>
        </w:tc>
        <w:tc>
          <w:tcPr>
            <w:tcW w:w="1276" w:type="dxa"/>
            <w:vAlign w:val="center"/>
          </w:tcPr>
          <w:p>
            <w:pPr>
              <w:pStyle w:val="67"/>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701" w:type="dxa"/>
            <w:vAlign w:val="center"/>
          </w:tcPr>
          <w:p>
            <w:pPr>
              <w:pStyle w:val="67"/>
              <w:spacing w:beforeLines="0" w:afterLines="0" w:line="240" w:lineRule="auto"/>
              <w:rPr>
                <w:rFonts w:ascii="Times New Roman"/>
                <w:snapToGrid w:val="0"/>
                <w:color w:val="000000"/>
                <w:kern w:val="21"/>
                <w:szCs w:val="21"/>
              </w:rPr>
            </w:pPr>
            <w:r>
              <w:rPr>
                <w:rFonts w:ascii="Times New Roman"/>
                <w:snapToGrid w:val="0"/>
                <w:color w:val="000000"/>
                <w:kern w:val="21"/>
                <w:szCs w:val="21"/>
              </w:rPr>
              <w:t>/</w:t>
            </w:r>
          </w:p>
        </w:tc>
        <w:tc>
          <w:tcPr>
            <w:tcW w:w="1559" w:type="dxa"/>
            <w:vAlign w:val="center"/>
          </w:tcPr>
          <w:p>
            <w:pPr>
              <w:spacing w:line="280" w:lineRule="exact"/>
              <w:jc w:val="center"/>
              <w:rPr>
                <w:color w:val="000000"/>
                <w:szCs w:val="21"/>
              </w:rPr>
            </w:pPr>
            <w:r>
              <w:rPr>
                <w:rFonts w:hint="eastAsia"/>
                <w:szCs w:val="21"/>
              </w:rPr>
              <w:t>5.6681</w:t>
            </w:r>
            <w:r>
              <w:rPr>
                <w:bCs/>
                <w:color w:val="000000"/>
                <w:szCs w:val="21"/>
              </w:rPr>
              <w:t>t/a</w:t>
            </w:r>
          </w:p>
        </w:tc>
        <w:tc>
          <w:tcPr>
            <w:tcW w:w="1761" w:type="dxa"/>
            <w:vAlign w:val="center"/>
          </w:tcPr>
          <w:p>
            <w:pPr>
              <w:jc w:val="center"/>
              <w:rPr>
                <w:snapToGrid w:val="0"/>
                <w:color w:val="000000"/>
                <w:kern w:val="21"/>
                <w:szCs w:val="21"/>
              </w:rPr>
            </w:pPr>
            <w:r>
              <w:rPr>
                <w:rFonts w:hint="eastAsia"/>
                <w:color w:val="000000"/>
                <w:szCs w:val="21"/>
              </w:rPr>
              <w:t>/</w:t>
            </w:r>
          </w:p>
        </w:tc>
        <w:tc>
          <w:tcPr>
            <w:tcW w:w="1605" w:type="dxa"/>
            <w:vAlign w:val="center"/>
          </w:tcPr>
          <w:p>
            <w:pPr>
              <w:spacing w:line="280" w:lineRule="exact"/>
              <w:jc w:val="center"/>
              <w:rPr>
                <w:color w:val="000000"/>
                <w:szCs w:val="21"/>
              </w:rPr>
            </w:pPr>
            <w:r>
              <w:rPr>
                <w:rFonts w:hint="eastAsia"/>
                <w:szCs w:val="21"/>
              </w:rPr>
              <w:t>5.6681</w:t>
            </w:r>
            <w:r>
              <w:rPr>
                <w:bCs/>
                <w:color w:val="000000"/>
                <w:szCs w:val="21"/>
              </w:rPr>
              <w:t>t/a</w:t>
            </w:r>
          </w:p>
        </w:tc>
        <w:tc>
          <w:tcPr>
            <w:tcW w:w="1180" w:type="dxa"/>
            <w:vAlign w:val="center"/>
          </w:tcPr>
          <w:p>
            <w:pPr>
              <w:spacing w:line="280" w:lineRule="exact"/>
              <w:jc w:val="center"/>
              <w:rPr>
                <w:color w:val="000000"/>
                <w:szCs w:val="21"/>
              </w:rPr>
            </w:pPr>
            <w:r>
              <w:rPr>
                <w:rFonts w:hint="eastAsia"/>
                <w:szCs w:val="21"/>
              </w:rPr>
              <w:t>+5.6681</w:t>
            </w:r>
            <w:r>
              <w:rPr>
                <w:bCs/>
                <w:color w:val="00000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6" w:type="dxa"/>
            <w:vMerge w:val="continue"/>
            <w:vAlign w:val="center"/>
          </w:tcPr>
          <w:p>
            <w:pPr>
              <w:pStyle w:val="67"/>
              <w:spacing w:beforeLines="0" w:afterLines="0" w:line="240" w:lineRule="auto"/>
              <w:rPr>
                <w:rFonts w:ascii="Times New Roman"/>
                <w:snapToGrid w:val="0"/>
                <w:color w:val="000000"/>
                <w:kern w:val="21"/>
                <w:szCs w:val="21"/>
              </w:rPr>
            </w:pPr>
          </w:p>
        </w:tc>
        <w:tc>
          <w:tcPr>
            <w:tcW w:w="1969" w:type="dxa"/>
            <w:vAlign w:val="center"/>
          </w:tcPr>
          <w:p>
            <w:pPr>
              <w:spacing w:line="280" w:lineRule="exact"/>
              <w:jc w:val="center"/>
              <w:rPr>
                <w:color w:val="000000"/>
                <w:szCs w:val="21"/>
              </w:rPr>
            </w:pPr>
            <w:r>
              <w:rPr>
                <w:rFonts w:hint="eastAsia"/>
                <w:color w:val="000000"/>
                <w:szCs w:val="21"/>
              </w:rPr>
              <w:t>筛上物</w:t>
            </w:r>
          </w:p>
        </w:tc>
        <w:tc>
          <w:tcPr>
            <w:tcW w:w="1701" w:type="dxa"/>
            <w:vAlign w:val="center"/>
          </w:tcPr>
          <w:p>
            <w:pPr>
              <w:widowControl/>
              <w:jc w:val="center"/>
              <w:textAlignment w:val="center"/>
              <w:rPr>
                <w:snapToGrid w:val="0"/>
                <w:color w:val="000000"/>
                <w:kern w:val="21"/>
                <w:szCs w:val="21"/>
              </w:rPr>
            </w:pPr>
            <w:r>
              <w:rPr>
                <w:rFonts w:hint="eastAsia"/>
                <w:snapToGrid w:val="0"/>
                <w:color w:val="000000"/>
                <w:kern w:val="21"/>
                <w:szCs w:val="21"/>
              </w:rPr>
              <w:t>/</w:t>
            </w:r>
          </w:p>
        </w:tc>
        <w:tc>
          <w:tcPr>
            <w:tcW w:w="1276" w:type="dxa"/>
            <w:vAlign w:val="center"/>
          </w:tcPr>
          <w:p>
            <w:pPr>
              <w:pStyle w:val="67"/>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vAlign w:val="center"/>
          </w:tcPr>
          <w:p>
            <w:pPr>
              <w:pStyle w:val="67"/>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vAlign w:val="center"/>
          </w:tcPr>
          <w:p>
            <w:pPr>
              <w:spacing w:line="280" w:lineRule="exact"/>
              <w:jc w:val="center"/>
              <w:rPr>
                <w:color w:val="000000"/>
                <w:szCs w:val="21"/>
              </w:rPr>
            </w:pPr>
            <w:r>
              <w:rPr>
                <w:rFonts w:hint="eastAsia"/>
                <w:color w:val="000000"/>
                <w:szCs w:val="21"/>
              </w:rPr>
              <w:t>100</w:t>
            </w:r>
            <w:r>
              <w:rPr>
                <w:bCs/>
                <w:color w:val="000000"/>
                <w:szCs w:val="21"/>
              </w:rPr>
              <w:t>t/a</w:t>
            </w:r>
          </w:p>
        </w:tc>
        <w:tc>
          <w:tcPr>
            <w:tcW w:w="1761" w:type="dxa"/>
            <w:vAlign w:val="center"/>
          </w:tcPr>
          <w:p>
            <w:pPr>
              <w:jc w:val="center"/>
              <w:rPr>
                <w:color w:val="000000"/>
                <w:szCs w:val="21"/>
              </w:rPr>
            </w:pPr>
            <w:r>
              <w:rPr>
                <w:rFonts w:hint="eastAsia"/>
                <w:color w:val="000000"/>
                <w:szCs w:val="21"/>
              </w:rPr>
              <w:t>/</w:t>
            </w:r>
          </w:p>
        </w:tc>
        <w:tc>
          <w:tcPr>
            <w:tcW w:w="1605" w:type="dxa"/>
            <w:vAlign w:val="center"/>
          </w:tcPr>
          <w:p>
            <w:pPr>
              <w:spacing w:line="280" w:lineRule="exact"/>
              <w:jc w:val="center"/>
              <w:rPr>
                <w:color w:val="000000"/>
                <w:szCs w:val="21"/>
              </w:rPr>
            </w:pPr>
            <w:r>
              <w:rPr>
                <w:rFonts w:hint="eastAsia"/>
                <w:color w:val="000000"/>
                <w:szCs w:val="21"/>
              </w:rPr>
              <w:t>100</w:t>
            </w:r>
            <w:r>
              <w:rPr>
                <w:bCs/>
                <w:color w:val="000000"/>
                <w:szCs w:val="21"/>
              </w:rPr>
              <w:t>t/a</w:t>
            </w:r>
          </w:p>
        </w:tc>
        <w:tc>
          <w:tcPr>
            <w:tcW w:w="1180" w:type="dxa"/>
            <w:vAlign w:val="center"/>
          </w:tcPr>
          <w:p>
            <w:pPr>
              <w:spacing w:line="280" w:lineRule="exact"/>
              <w:jc w:val="center"/>
              <w:rPr>
                <w:color w:val="000000"/>
                <w:szCs w:val="21"/>
              </w:rPr>
            </w:pPr>
            <w:r>
              <w:rPr>
                <w:rFonts w:hint="eastAsia"/>
                <w:color w:val="000000"/>
                <w:szCs w:val="21"/>
              </w:rPr>
              <w:t>+100</w:t>
            </w:r>
            <w:r>
              <w:rPr>
                <w:bCs/>
                <w:color w:val="00000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6" w:type="dxa"/>
            <w:vMerge w:val="continue"/>
            <w:vAlign w:val="center"/>
          </w:tcPr>
          <w:p>
            <w:pPr>
              <w:pStyle w:val="67"/>
              <w:spacing w:beforeLines="0" w:afterLines="0" w:line="240" w:lineRule="auto"/>
              <w:rPr>
                <w:rFonts w:ascii="Times New Roman"/>
                <w:snapToGrid w:val="0"/>
                <w:color w:val="000000"/>
                <w:kern w:val="21"/>
                <w:szCs w:val="21"/>
              </w:rPr>
            </w:pPr>
          </w:p>
        </w:tc>
        <w:tc>
          <w:tcPr>
            <w:tcW w:w="1969" w:type="dxa"/>
            <w:vAlign w:val="center"/>
          </w:tcPr>
          <w:p>
            <w:pPr>
              <w:spacing w:line="280" w:lineRule="exact"/>
              <w:jc w:val="center"/>
              <w:rPr>
                <w:color w:val="000000"/>
                <w:szCs w:val="21"/>
              </w:rPr>
            </w:pPr>
            <w:r>
              <w:rPr>
                <w:rFonts w:hint="eastAsia"/>
                <w:color w:val="000000"/>
                <w:szCs w:val="21"/>
              </w:rPr>
              <w:t>生活垃圾</w:t>
            </w:r>
          </w:p>
        </w:tc>
        <w:tc>
          <w:tcPr>
            <w:tcW w:w="1701" w:type="dxa"/>
            <w:vAlign w:val="center"/>
          </w:tcPr>
          <w:p>
            <w:pPr>
              <w:widowControl/>
              <w:jc w:val="center"/>
              <w:textAlignment w:val="center"/>
              <w:rPr>
                <w:snapToGrid w:val="0"/>
                <w:color w:val="000000"/>
                <w:kern w:val="21"/>
                <w:szCs w:val="21"/>
              </w:rPr>
            </w:pPr>
            <w:r>
              <w:rPr>
                <w:rFonts w:hint="eastAsia"/>
                <w:snapToGrid w:val="0"/>
                <w:color w:val="000000"/>
                <w:kern w:val="21"/>
                <w:szCs w:val="21"/>
              </w:rPr>
              <w:t>/</w:t>
            </w:r>
          </w:p>
        </w:tc>
        <w:tc>
          <w:tcPr>
            <w:tcW w:w="1276" w:type="dxa"/>
            <w:vAlign w:val="center"/>
          </w:tcPr>
          <w:p>
            <w:pPr>
              <w:pStyle w:val="67"/>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vAlign w:val="center"/>
          </w:tcPr>
          <w:p>
            <w:pPr>
              <w:pStyle w:val="67"/>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vAlign w:val="center"/>
          </w:tcPr>
          <w:p>
            <w:pPr>
              <w:spacing w:line="280" w:lineRule="exact"/>
              <w:jc w:val="center"/>
              <w:rPr>
                <w:color w:val="000000"/>
                <w:szCs w:val="21"/>
              </w:rPr>
            </w:pPr>
            <w:r>
              <w:rPr>
                <w:rFonts w:hint="eastAsia"/>
                <w:color w:val="000000"/>
                <w:szCs w:val="21"/>
              </w:rPr>
              <w:t>0.75t/a</w:t>
            </w:r>
          </w:p>
        </w:tc>
        <w:tc>
          <w:tcPr>
            <w:tcW w:w="1761" w:type="dxa"/>
            <w:vAlign w:val="center"/>
          </w:tcPr>
          <w:p>
            <w:pPr>
              <w:jc w:val="center"/>
              <w:rPr>
                <w:color w:val="000000"/>
                <w:szCs w:val="21"/>
              </w:rPr>
            </w:pPr>
            <w:r>
              <w:rPr>
                <w:rFonts w:hint="eastAsia"/>
                <w:color w:val="000000"/>
                <w:szCs w:val="21"/>
              </w:rPr>
              <w:t>/</w:t>
            </w:r>
          </w:p>
        </w:tc>
        <w:tc>
          <w:tcPr>
            <w:tcW w:w="1605" w:type="dxa"/>
            <w:vAlign w:val="center"/>
          </w:tcPr>
          <w:p>
            <w:pPr>
              <w:spacing w:line="280" w:lineRule="exact"/>
              <w:jc w:val="center"/>
              <w:rPr>
                <w:color w:val="000000"/>
                <w:szCs w:val="21"/>
              </w:rPr>
            </w:pPr>
            <w:r>
              <w:rPr>
                <w:rFonts w:hint="eastAsia"/>
                <w:color w:val="000000"/>
                <w:szCs w:val="21"/>
              </w:rPr>
              <w:t>0.75t/a</w:t>
            </w:r>
          </w:p>
        </w:tc>
        <w:tc>
          <w:tcPr>
            <w:tcW w:w="1180" w:type="dxa"/>
            <w:vAlign w:val="center"/>
          </w:tcPr>
          <w:p>
            <w:pPr>
              <w:spacing w:line="280" w:lineRule="exact"/>
              <w:jc w:val="center"/>
              <w:rPr>
                <w:color w:val="000000"/>
                <w:szCs w:val="21"/>
              </w:rPr>
            </w:pPr>
            <w:r>
              <w:rPr>
                <w:rFonts w:hint="eastAsia"/>
                <w:color w:val="000000"/>
                <w:szCs w:val="21"/>
              </w:rPr>
              <w:t>+0.75t/a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6" w:type="dxa"/>
            <w:vMerge w:val="continue"/>
            <w:vAlign w:val="center"/>
          </w:tcPr>
          <w:p>
            <w:pPr>
              <w:pStyle w:val="67"/>
              <w:spacing w:beforeLines="0" w:afterLines="0" w:line="240" w:lineRule="auto"/>
              <w:rPr>
                <w:rFonts w:ascii="Times New Roman"/>
                <w:snapToGrid w:val="0"/>
                <w:color w:val="000000"/>
                <w:kern w:val="21"/>
                <w:szCs w:val="21"/>
              </w:rPr>
            </w:pPr>
          </w:p>
        </w:tc>
        <w:tc>
          <w:tcPr>
            <w:tcW w:w="1969" w:type="dxa"/>
            <w:vAlign w:val="center"/>
          </w:tcPr>
          <w:p>
            <w:pPr>
              <w:spacing w:line="280" w:lineRule="exact"/>
              <w:jc w:val="center"/>
              <w:rPr>
                <w:color w:val="000000"/>
                <w:szCs w:val="21"/>
              </w:rPr>
            </w:pPr>
            <w:r>
              <w:rPr>
                <w:rFonts w:hint="eastAsia"/>
                <w:color w:val="000000"/>
                <w:szCs w:val="21"/>
              </w:rPr>
              <w:t>沉淀池沉渣</w:t>
            </w:r>
          </w:p>
        </w:tc>
        <w:tc>
          <w:tcPr>
            <w:tcW w:w="1701" w:type="dxa"/>
            <w:vAlign w:val="center"/>
          </w:tcPr>
          <w:p>
            <w:pPr>
              <w:widowControl/>
              <w:jc w:val="center"/>
              <w:textAlignment w:val="center"/>
              <w:rPr>
                <w:snapToGrid w:val="0"/>
                <w:color w:val="000000"/>
                <w:kern w:val="21"/>
                <w:szCs w:val="21"/>
              </w:rPr>
            </w:pPr>
            <w:r>
              <w:rPr>
                <w:rFonts w:hint="eastAsia"/>
                <w:color w:val="000000"/>
                <w:szCs w:val="21"/>
              </w:rPr>
              <w:t>/</w:t>
            </w:r>
          </w:p>
        </w:tc>
        <w:tc>
          <w:tcPr>
            <w:tcW w:w="1276" w:type="dxa"/>
            <w:vAlign w:val="center"/>
          </w:tcPr>
          <w:p>
            <w:pPr>
              <w:jc w:val="center"/>
              <w:rPr>
                <w:snapToGrid w:val="0"/>
                <w:color w:val="000000"/>
                <w:kern w:val="21"/>
                <w:szCs w:val="21"/>
              </w:rPr>
            </w:pPr>
            <w:r>
              <w:rPr>
                <w:rFonts w:hint="eastAsia"/>
                <w:color w:val="000000"/>
                <w:szCs w:val="21"/>
              </w:rPr>
              <w:t>/</w:t>
            </w:r>
          </w:p>
        </w:tc>
        <w:tc>
          <w:tcPr>
            <w:tcW w:w="1701" w:type="dxa"/>
            <w:vAlign w:val="center"/>
          </w:tcPr>
          <w:p>
            <w:pPr>
              <w:jc w:val="center"/>
              <w:rPr>
                <w:snapToGrid w:val="0"/>
                <w:color w:val="000000"/>
                <w:kern w:val="21"/>
                <w:szCs w:val="21"/>
              </w:rPr>
            </w:pPr>
            <w:r>
              <w:rPr>
                <w:rFonts w:hint="eastAsia"/>
                <w:color w:val="000000"/>
                <w:szCs w:val="21"/>
              </w:rPr>
              <w:t>/</w:t>
            </w:r>
          </w:p>
        </w:tc>
        <w:tc>
          <w:tcPr>
            <w:tcW w:w="1559" w:type="dxa"/>
            <w:vAlign w:val="center"/>
          </w:tcPr>
          <w:p>
            <w:pPr>
              <w:spacing w:line="280" w:lineRule="exact"/>
              <w:jc w:val="center"/>
              <w:rPr>
                <w:color w:val="000000"/>
                <w:szCs w:val="21"/>
              </w:rPr>
            </w:pPr>
            <w:r>
              <w:rPr>
                <w:rFonts w:hint="eastAsia"/>
                <w:color w:val="000000"/>
                <w:szCs w:val="21"/>
              </w:rPr>
              <w:t>1t/a</w:t>
            </w:r>
          </w:p>
        </w:tc>
        <w:tc>
          <w:tcPr>
            <w:tcW w:w="1761" w:type="dxa"/>
            <w:vAlign w:val="center"/>
          </w:tcPr>
          <w:p>
            <w:pPr>
              <w:jc w:val="center"/>
              <w:rPr>
                <w:color w:val="000000"/>
                <w:szCs w:val="21"/>
              </w:rPr>
            </w:pPr>
            <w:r>
              <w:rPr>
                <w:rFonts w:hint="eastAsia"/>
                <w:color w:val="000000"/>
                <w:szCs w:val="21"/>
              </w:rPr>
              <w:t>/</w:t>
            </w:r>
          </w:p>
        </w:tc>
        <w:tc>
          <w:tcPr>
            <w:tcW w:w="1605" w:type="dxa"/>
            <w:vAlign w:val="center"/>
          </w:tcPr>
          <w:p>
            <w:pPr>
              <w:spacing w:line="280" w:lineRule="exact"/>
              <w:jc w:val="center"/>
              <w:rPr>
                <w:color w:val="000000"/>
                <w:szCs w:val="21"/>
              </w:rPr>
            </w:pPr>
            <w:r>
              <w:rPr>
                <w:rFonts w:hint="eastAsia"/>
                <w:color w:val="000000"/>
                <w:szCs w:val="21"/>
              </w:rPr>
              <w:t>1t/a</w:t>
            </w:r>
          </w:p>
        </w:tc>
        <w:tc>
          <w:tcPr>
            <w:tcW w:w="1180" w:type="dxa"/>
            <w:vAlign w:val="center"/>
          </w:tcPr>
          <w:p>
            <w:pPr>
              <w:spacing w:line="280" w:lineRule="exact"/>
              <w:jc w:val="center"/>
              <w:rPr>
                <w:color w:val="000000"/>
                <w:szCs w:val="21"/>
              </w:rPr>
            </w:pPr>
            <w:r>
              <w:rPr>
                <w:rFonts w:hint="eastAsia"/>
                <w:color w:val="000000"/>
                <w:szCs w:val="21"/>
              </w:rPr>
              <w:t>+1t/a</w:t>
            </w:r>
          </w:p>
        </w:tc>
      </w:tr>
    </w:tbl>
    <w:p>
      <w:pPr>
        <w:pStyle w:val="29"/>
        <w:ind w:left="0" w:leftChars="0"/>
      </w:pPr>
    </w:p>
    <w:p>
      <w:pPr>
        <w:pStyle w:val="67"/>
        <w:spacing w:beforeLines="0" w:afterLines="0" w:line="260" w:lineRule="auto"/>
        <w:jc w:val="left"/>
        <w:rPr>
          <w:rFonts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sectPr>
          <w:footerReference r:id="rId6" w:type="default"/>
          <w:pgSz w:w="16838" w:h="11906" w:orient="landscape"/>
          <w:pgMar w:top="1800" w:right="1440" w:bottom="1800" w:left="1440" w:header="851" w:footer="992" w:gutter="0"/>
          <w:cols w:space="720" w:num="1"/>
          <w:docGrid w:type="lines" w:linePitch="312" w:charSpace="0"/>
        </w:sectPr>
      </w:pPr>
    </w:p>
    <w:p>
      <w:pPr>
        <w:jc w:val="left"/>
        <w:rPr>
          <w:color w:val="000000"/>
          <w:sz w:val="28"/>
          <w:szCs w:val="28"/>
        </w:rPr>
      </w:pPr>
      <w:r>
        <w:rPr>
          <w:color w:val="000000"/>
          <w:sz w:val="28"/>
          <w:szCs w:val="28"/>
        </w:rPr>
        <w:t>附件1委托书</w:t>
      </w:r>
    </w:p>
    <w:p>
      <w:pPr>
        <w:adjustRightInd w:val="0"/>
        <w:snapToGrid w:val="0"/>
        <w:jc w:val="left"/>
        <w:rPr>
          <w:color w:val="000000"/>
        </w:rPr>
      </w:pPr>
    </w:p>
    <w:p>
      <w:pPr>
        <w:pStyle w:val="2"/>
        <w:ind w:firstLine="480"/>
        <w:rPr>
          <w:color w:val="000000"/>
        </w:rPr>
      </w:pPr>
    </w:p>
    <w:p>
      <w:pPr>
        <w:jc w:val="center"/>
        <w:rPr>
          <w:b/>
          <w:color w:val="000000"/>
          <w:sz w:val="48"/>
          <w:szCs w:val="48"/>
        </w:rPr>
      </w:pPr>
      <w:r>
        <w:rPr>
          <w:b/>
          <w:color w:val="000000"/>
          <w:sz w:val="48"/>
          <w:szCs w:val="48"/>
        </w:rPr>
        <w:t>委托书</w:t>
      </w:r>
    </w:p>
    <w:p>
      <w:pPr>
        <w:rPr>
          <w:color w:val="000000"/>
          <w:sz w:val="30"/>
          <w:szCs w:val="30"/>
        </w:rPr>
      </w:pPr>
    </w:p>
    <w:p>
      <w:pPr>
        <w:rPr>
          <w:color w:val="000000"/>
          <w:sz w:val="30"/>
          <w:szCs w:val="30"/>
        </w:rPr>
      </w:pPr>
    </w:p>
    <w:p>
      <w:pPr>
        <w:spacing w:line="360" w:lineRule="auto"/>
        <w:jc w:val="left"/>
        <w:rPr>
          <w:bCs/>
          <w:color w:val="000000"/>
          <w:sz w:val="32"/>
          <w:szCs w:val="28"/>
        </w:rPr>
      </w:pPr>
      <w:r>
        <w:rPr>
          <w:bCs/>
          <w:color w:val="000000"/>
          <w:sz w:val="32"/>
          <w:szCs w:val="28"/>
          <w:u w:val="single"/>
        </w:rPr>
        <w:t xml:space="preserve"> </w:t>
      </w:r>
      <w:r>
        <w:rPr>
          <w:rFonts w:hint="eastAsia"/>
          <w:bCs/>
          <w:color w:val="000000"/>
          <w:sz w:val="32"/>
          <w:szCs w:val="28"/>
          <w:u w:val="single"/>
        </w:rPr>
        <w:t>济宁远恒环保科技有限公司</w:t>
      </w:r>
      <w:r>
        <w:rPr>
          <w:bCs/>
          <w:color w:val="000000"/>
          <w:sz w:val="32"/>
          <w:szCs w:val="28"/>
        </w:rPr>
        <w:t>：</w:t>
      </w:r>
    </w:p>
    <w:p>
      <w:pPr>
        <w:ind w:firstLine="640" w:firstLineChars="200"/>
        <w:rPr>
          <w:color w:val="000000"/>
          <w:sz w:val="30"/>
          <w:szCs w:val="30"/>
        </w:rPr>
      </w:pPr>
      <w:r>
        <w:rPr>
          <w:bCs/>
          <w:color w:val="000000"/>
          <w:sz w:val="32"/>
          <w:szCs w:val="32"/>
        </w:rPr>
        <w:t>我公司在</w:t>
      </w:r>
      <w:r>
        <w:rPr>
          <w:rFonts w:hint="eastAsia"/>
          <w:bCs/>
          <w:color w:val="000000"/>
          <w:sz w:val="32"/>
          <w:szCs w:val="32"/>
        </w:rPr>
        <w:t>山东省济宁市泗水县柘沟镇西大厂村东100米圣峰石材院内</w:t>
      </w:r>
      <w:r>
        <w:rPr>
          <w:bCs/>
          <w:color w:val="000000"/>
          <w:sz w:val="32"/>
          <w:szCs w:val="32"/>
        </w:rPr>
        <w:t>建设“</w:t>
      </w:r>
      <w:r>
        <w:rPr>
          <w:bCs/>
          <w:color w:val="000000"/>
          <w:sz w:val="32"/>
          <w:szCs w:val="32"/>
          <w:u w:val="single"/>
        </w:rPr>
        <w:t xml:space="preserve"> </w:t>
      </w:r>
      <w:r>
        <w:rPr>
          <w:rFonts w:hint="eastAsia"/>
          <w:bCs/>
          <w:color w:val="000000"/>
          <w:sz w:val="32"/>
          <w:szCs w:val="32"/>
          <w:u w:val="single"/>
        </w:rPr>
        <w:t>新建膨润土加工项目</w:t>
      </w:r>
      <w:r>
        <w:rPr>
          <w:bCs/>
          <w:color w:val="000000"/>
          <w:sz w:val="32"/>
          <w:szCs w:val="32"/>
        </w:rPr>
        <w:t>”。根据国家建设项目环境影响评价有关规定，需开展环境影响评价工</w:t>
      </w:r>
      <w:r>
        <w:rPr>
          <w:bCs/>
          <w:color w:val="000000"/>
          <w:sz w:val="32"/>
          <w:szCs w:val="28"/>
        </w:rPr>
        <w:t>作。现委托贵单位编制该项目环境影响报告表，请给予配合与支持</w:t>
      </w:r>
    </w:p>
    <w:p>
      <w:pPr>
        <w:rPr>
          <w:color w:val="000000"/>
          <w:sz w:val="30"/>
          <w:szCs w:val="30"/>
        </w:rPr>
      </w:pPr>
    </w:p>
    <w:p>
      <w:pPr>
        <w:rPr>
          <w:color w:val="000000"/>
          <w:sz w:val="30"/>
          <w:szCs w:val="30"/>
        </w:rPr>
      </w:pPr>
    </w:p>
    <w:p>
      <w:pPr>
        <w:rPr>
          <w:color w:val="000000"/>
          <w:sz w:val="30"/>
          <w:szCs w:val="30"/>
        </w:rPr>
      </w:pPr>
    </w:p>
    <w:p>
      <w:pPr>
        <w:rPr>
          <w:color w:val="000000"/>
          <w:sz w:val="30"/>
          <w:szCs w:val="30"/>
        </w:rPr>
      </w:pPr>
    </w:p>
    <w:p>
      <w:pPr>
        <w:wordWrap w:val="0"/>
        <w:spacing w:line="360" w:lineRule="auto"/>
        <w:ind w:firstLine="600"/>
        <w:jc w:val="right"/>
        <w:rPr>
          <w:bCs/>
          <w:color w:val="000000"/>
          <w:sz w:val="32"/>
          <w:szCs w:val="28"/>
        </w:rPr>
      </w:pPr>
      <w:r>
        <w:rPr>
          <w:bCs/>
          <w:color w:val="000000"/>
          <w:sz w:val="32"/>
          <w:szCs w:val="28"/>
        </w:rPr>
        <w:t xml:space="preserve">           </w:t>
      </w:r>
      <w:r>
        <w:rPr>
          <w:rFonts w:hint="eastAsia"/>
          <w:bCs/>
          <w:color w:val="000000"/>
          <w:sz w:val="32"/>
          <w:szCs w:val="28"/>
        </w:rPr>
        <w:t xml:space="preserve">          </w:t>
      </w:r>
      <w:r>
        <w:rPr>
          <w:bCs/>
          <w:color w:val="000000"/>
          <w:sz w:val="32"/>
          <w:szCs w:val="28"/>
        </w:rPr>
        <w:t>公司名称：</w:t>
      </w:r>
      <w:r>
        <w:rPr>
          <w:rFonts w:hint="eastAsia"/>
          <w:bCs/>
          <w:color w:val="000000"/>
          <w:sz w:val="32"/>
          <w:szCs w:val="28"/>
        </w:rPr>
        <w:t>泗水县睿成膨润土厂</w:t>
      </w:r>
      <w:r>
        <w:rPr>
          <w:bCs/>
          <w:color w:val="000000"/>
          <w:sz w:val="32"/>
          <w:szCs w:val="28"/>
        </w:rPr>
        <w:t xml:space="preserve">          </w:t>
      </w:r>
      <w:r>
        <w:rPr>
          <w:color w:val="000000"/>
          <w:sz w:val="32"/>
          <w:szCs w:val="28"/>
        </w:rPr>
        <w:t xml:space="preserve"> 202</w:t>
      </w:r>
      <w:r>
        <w:rPr>
          <w:rFonts w:hint="eastAsia"/>
          <w:color w:val="000000"/>
          <w:sz w:val="32"/>
          <w:szCs w:val="28"/>
        </w:rPr>
        <w:t>3</w:t>
      </w:r>
      <w:r>
        <w:rPr>
          <w:color w:val="000000"/>
          <w:sz w:val="32"/>
          <w:szCs w:val="28"/>
        </w:rPr>
        <w:t>年</w:t>
      </w:r>
      <w:r>
        <w:rPr>
          <w:rFonts w:hint="eastAsia"/>
          <w:color w:val="000000"/>
          <w:sz w:val="32"/>
          <w:szCs w:val="28"/>
        </w:rPr>
        <w:t>7</w:t>
      </w:r>
      <w:r>
        <w:rPr>
          <w:color w:val="000000"/>
          <w:sz w:val="32"/>
          <w:szCs w:val="28"/>
        </w:rPr>
        <w:t>月</w:t>
      </w:r>
    </w:p>
    <w:p>
      <w:pPr>
        <w:adjustRightInd w:val="0"/>
        <w:snapToGrid w:val="0"/>
        <w:jc w:val="left"/>
        <w:rPr>
          <w:color w:val="000000"/>
          <w:sz w:val="28"/>
          <w:szCs w:val="28"/>
        </w:rPr>
        <w:sectPr>
          <w:pgSz w:w="11906" w:h="16838"/>
          <w:pgMar w:top="993" w:right="1800" w:bottom="851" w:left="1800" w:header="851" w:footer="992" w:gutter="0"/>
          <w:cols w:space="720" w:num="1"/>
          <w:docGrid w:type="lines" w:linePitch="312" w:charSpace="0"/>
        </w:sectPr>
      </w:pPr>
    </w:p>
    <w:p>
      <w:pPr>
        <w:adjustRightInd w:val="0"/>
        <w:snapToGrid w:val="0"/>
        <w:jc w:val="left"/>
        <w:rPr>
          <w:color w:val="000000"/>
          <w:sz w:val="28"/>
          <w:szCs w:val="28"/>
        </w:rPr>
        <w:sectPr>
          <w:pgSz w:w="16838" w:h="11906" w:orient="landscape"/>
          <w:pgMar w:top="1800" w:right="993" w:bottom="1800" w:left="851" w:header="851" w:footer="992" w:gutter="0"/>
          <w:cols w:space="720" w:num="1"/>
          <w:docGrid w:type="lines" w:linePitch="312" w:charSpace="0"/>
        </w:sectPr>
      </w:pPr>
      <w:r>
        <w:rPr>
          <w:color w:val="000000"/>
          <w:sz w:val="28"/>
          <w:szCs w:val="28"/>
        </w:rPr>
        <w:t>附件2营业执照</w:t>
      </w:r>
      <w:r>
        <w:rPr>
          <w:rFonts w:hint="eastAsia"/>
          <w:color w:val="000000"/>
          <w:sz w:val="28"/>
          <w:szCs w:val="28"/>
        </w:rPr>
        <w:drawing>
          <wp:inline distT="0" distB="0" distL="114300" distR="114300">
            <wp:extent cx="8882380" cy="4945380"/>
            <wp:effectExtent l="0" t="0" r="13970" b="7620"/>
            <wp:docPr id="70" name="图片 70" descr="ff3f9044b1353d076870a1fe6f27a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ff3f9044b1353d076870a1fe6f27a76"/>
                    <pic:cNvPicPr>
                      <a:picLocks noChangeAspect="1"/>
                    </pic:cNvPicPr>
                  </pic:nvPicPr>
                  <pic:blipFill>
                    <a:blip r:embed="rId23"/>
                    <a:srcRect l="1553" r="3587"/>
                    <a:stretch>
                      <a:fillRect/>
                    </a:stretch>
                  </pic:blipFill>
                  <pic:spPr>
                    <a:xfrm rot="10800000">
                      <a:off x="0" y="0"/>
                      <a:ext cx="8882380" cy="4945380"/>
                    </a:xfrm>
                    <a:prstGeom prst="rect">
                      <a:avLst/>
                    </a:prstGeom>
                  </pic:spPr>
                </pic:pic>
              </a:graphicData>
            </a:graphic>
          </wp:inline>
        </w:drawing>
      </w:r>
    </w:p>
    <w:p>
      <w:pPr>
        <w:adjustRightInd w:val="0"/>
        <w:snapToGrid w:val="0"/>
        <w:jc w:val="left"/>
        <w:rPr>
          <w:color w:val="000000"/>
          <w:sz w:val="28"/>
          <w:szCs w:val="28"/>
        </w:rPr>
      </w:pPr>
      <w:r>
        <w:rPr>
          <w:color w:val="000000"/>
          <w:sz w:val="28"/>
          <w:szCs w:val="28"/>
        </w:rPr>
        <w:t>附件3</w:t>
      </w:r>
      <w:r>
        <w:rPr>
          <w:rFonts w:hint="eastAsia"/>
          <w:color w:val="000000"/>
          <w:sz w:val="28"/>
          <w:szCs w:val="28"/>
        </w:rPr>
        <w:t>项目</w:t>
      </w:r>
      <w:r>
        <w:rPr>
          <w:color w:val="000000"/>
          <w:sz w:val="28"/>
          <w:szCs w:val="28"/>
        </w:rPr>
        <w:t>备案证明</w:t>
      </w:r>
    </w:p>
    <w:p>
      <w:pPr>
        <w:rPr>
          <w:color w:val="000000"/>
        </w:rPr>
        <w:sectPr>
          <w:pgSz w:w="11906" w:h="16838"/>
          <w:pgMar w:top="993" w:right="1800" w:bottom="851" w:left="1800" w:header="851" w:footer="992" w:gutter="0"/>
          <w:cols w:space="720" w:num="1"/>
          <w:docGrid w:type="lines" w:linePitch="312" w:charSpace="0"/>
        </w:sectPr>
      </w:pPr>
      <w:r>
        <w:drawing>
          <wp:inline distT="0" distB="0" distL="114300" distR="114300">
            <wp:extent cx="4886325" cy="8712200"/>
            <wp:effectExtent l="0" t="0" r="9525"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4886325" cy="8712200"/>
                    </a:xfrm>
                    <a:prstGeom prst="rect">
                      <a:avLst/>
                    </a:prstGeom>
                    <a:noFill/>
                    <a:ln>
                      <a:noFill/>
                    </a:ln>
                  </pic:spPr>
                </pic:pic>
              </a:graphicData>
            </a:graphic>
          </wp:inline>
        </w:drawing>
      </w:r>
    </w:p>
    <w:p>
      <w:pPr>
        <w:adjustRightInd w:val="0"/>
        <w:snapToGrid w:val="0"/>
        <w:jc w:val="left"/>
        <w:rPr>
          <w:color w:val="000000"/>
          <w:sz w:val="28"/>
          <w:szCs w:val="28"/>
        </w:rPr>
      </w:pPr>
      <w:r>
        <w:rPr>
          <w:color w:val="000000"/>
          <w:sz w:val="28"/>
          <w:szCs w:val="28"/>
        </w:rPr>
        <w:t>附件4</w:t>
      </w:r>
      <w:r>
        <w:rPr>
          <w:rFonts w:hint="eastAsia"/>
          <w:color w:val="000000"/>
          <w:sz w:val="28"/>
          <w:szCs w:val="28"/>
        </w:rPr>
        <w:t>乡镇意见</w:t>
      </w:r>
      <w:r>
        <w:rPr>
          <w:color w:val="000000"/>
          <w:sz w:val="28"/>
          <w:szCs w:val="28"/>
        </w:rPr>
        <w:drawing>
          <wp:inline distT="0" distB="0" distL="114300" distR="114300">
            <wp:extent cx="5513070" cy="8157845"/>
            <wp:effectExtent l="0" t="0" r="11430" b="14605"/>
            <wp:docPr id="41" name="图片 41" descr="a071d1fdc1d5b7940c157416b750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a071d1fdc1d5b7940c157416b750af7"/>
                    <pic:cNvPicPr>
                      <a:picLocks noChangeAspect="1"/>
                    </pic:cNvPicPr>
                  </pic:nvPicPr>
                  <pic:blipFill>
                    <a:blip r:embed="rId25"/>
                    <a:srcRect l="2716" t="18449" r="3457" b="3457"/>
                    <a:stretch>
                      <a:fillRect/>
                    </a:stretch>
                  </pic:blipFill>
                  <pic:spPr>
                    <a:xfrm>
                      <a:off x="0" y="0"/>
                      <a:ext cx="5513070" cy="8157845"/>
                    </a:xfrm>
                    <a:prstGeom prst="rect">
                      <a:avLst/>
                    </a:prstGeom>
                  </pic:spPr>
                </pic:pic>
              </a:graphicData>
            </a:graphic>
          </wp:inline>
        </w:drawing>
      </w:r>
    </w:p>
    <w:p>
      <w:pPr>
        <w:rPr>
          <w:color w:val="000000"/>
          <w:sz w:val="28"/>
          <w:szCs w:val="28"/>
        </w:rPr>
      </w:pPr>
      <w:r>
        <w:rPr>
          <w:color w:val="000000"/>
          <w:sz w:val="28"/>
          <w:szCs w:val="28"/>
        </w:rPr>
        <w:br w:type="page"/>
      </w:r>
    </w:p>
    <w:p>
      <w:pPr>
        <w:adjustRightInd w:val="0"/>
        <w:snapToGrid w:val="0"/>
        <w:jc w:val="left"/>
        <w:rPr>
          <w:color w:val="000000"/>
          <w:sz w:val="28"/>
          <w:szCs w:val="28"/>
        </w:rPr>
        <w:sectPr>
          <w:pgSz w:w="11906" w:h="16838"/>
          <w:pgMar w:top="1701" w:right="1531" w:bottom="1701" w:left="1531" w:header="851" w:footer="851" w:gutter="0"/>
          <w:cols w:space="720" w:num="1"/>
          <w:docGrid w:linePitch="312" w:charSpace="0"/>
        </w:sectPr>
      </w:pPr>
      <w:r>
        <w:rPr>
          <w:color w:val="000000"/>
          <w:sz w:val="28"/>
          <w:szCs w:val="28"/>
        </w:rPr>
        <w:t>附件</w:t>
      </w:r>
      <w:r>
        <w:rPr>
          <w:rFonts w:hint="eastAsia"/>
          <w:color w:val="000000"/>
          <w:sz w:val="28"/>
          <w:szCs w:val="28"/>
        </w:rPr>
        <w:t>5租赁合同</w:t>
      </w:r>
      <w:r>
        <w:rPr>
          <w:rFonts w:hint="eastAsia"/>
          <w:color w:val="000000"/>
          <w:sz w:val="28"/>
          <w:szCs w:val="28"/>
        </w:rPr>
        <w:drawing>
          <wp:inline distT="0" distB="0" distL="114300" distR="114300">
            <wp:extent cx="8146415" cy="5551170"/>
            <wp:effectExtent l="0" t="0" r="11430" b="6985"/>
            <wp:docPr id="75" name="图片 75" descr="7d82e1db33d09db974b944df3a3c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7d82e1db33d09db974b944df3a3c540"/>
                    <pic:cNvPicPr>
                      <a:picLocks noChangeAspect="1"/>
                    </pic:cNvPicPr>
                  </pic:nvPicPr>
                  <pic:blipFill>
                    <a:blip r:embed="rId26"/>
                    <a:srcRect l="23829" b="3197"/>
                    <a:stretch>
                      <a:fillRect/>
                    </a:stretch>
                  </pic:blipFill>
                  <pic:spPr>
                    <a:xfrm rot="5400000">
                      <a:off x="0" y="0"/>
                      <a:ext cx="8146415" cy="5551170"/>
                    </a:xfrm>
                    <a:prstGeom prst="rect">
                      <a:avLst/>
                    </a:prstGeom>
                  </pic:spPr>
                </pic:pic>
              </a:graphicData>
            </a:graphic>
          </wp:inline>
        </w:drawing>
      </w:r>
    </w:p>
    <w:p>
      <w:pPr>
        <w:pStyle w:val="22"/>
        <w:jc w:val="left"/>
        <w:sectPr>
          <w:pgSz w:w="16838" w:h="11906" w:orient="landscape"/>
          <w:pgMar w:top="1800" w:right="1440" w:bottom="1800" w:left="1440" w:header="851" w:footer="992" w:gutter="0"/>
          <w:cols w:space="720" w:num="1"/>
          <w:docGrid w:type="lines" w:linePitch="312" w:charSpace="0"/>
        </w:sectPr>
      </w:pPr>
      <w:r>
        <w:rPr>
          <w:rFonts w:hint="eastAsia"/>
        </w:rPr>
        <w:t>附图1 项目地理位置图</w:t>
      </w:r>
      <w:r>
        <w:drawing>
          <wp:inline distT="0" distB="0" distL="114300" distR="114300">
            <wp:extent cx="8425180" cy="4743450"/>
            <wp:effectExtent l="0" t="0" r="1397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7"/>
                    <a:stretch>
                      <a:fillRect/>
                    </a:stretch>
                  </pic:blipFill>
                  <pic:spPr>
                    <a:xfrm>
                      <a:off x="0" y="0"/>
                      <a:ext cx="8425180" cy="4743450"/>
                    </a:xfrm>
                    <a:prstGeom prst="rect">
                      <a:avLst/>
                    </a:prstGeom>
                    <a:noFill/>
                    <a:ln>
                      <a:noFill/>
                    </a:ln>
                  </pic:spPr>
                </pic:pic>
              </a:graphicData>
            </a:graphic>
          </wp:inline>
        </w:drawing>
      </w:r>
      <w:r>
        <w:rPr>
          <w:rFonts w:hint="eastAsia"/>
        </w:rPr>
        <w:t>附图2 项目平面布置图</w:t>
      </w:r>
      <w:r>
        <w:drawing>
          <wp:inline distT="0" distB="0" distL="114300" distR="114300">
            <wp:extent cx="8406765" cy="4867275"/>
            <wp:effectExtent l="0" t="0" r="13335" b="952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8"/>
                    <a:stretch>
                      <a:fillRect/>
                    </a:stretch>
                  </pic:blipFill>
                  <pic:spPr>
                    <a:xfrm>
                      <a:off x="0" y="0"/>
                      <a:ext cx="8406765" cy="4867275"/>
                    </a:xfrm>
                    <a:prstGeom prst="rect">
                      <a:avLst/>
                    </a:prstGeom>
                    <a:noFill/>
                    <a:ln>
                      <a:noFill/>
                    </a:ln>
                  </pic:spPr>
                </pic:pic>
              </a:graphicData>
            </a:graphic>
          </wp:inline>
        </w:drawing>
      </w:r>
    </w:p>
    <w:p>
      <w:pPr>
        <w:pStyle w:val="22"/>
        <w:jc w:val="left"/>
        <w:rPr>
          <w:rFonts w:hint="eastAsia"/>
          <w:lang w:val="en-US" w:eastAsia="zh-CN"/>
        </w:rPr>
        <w:sectPr>
          <w:pgSz w:w="11906" w:h="16838"/>
          <w:pgMar w:top="1440" w:right="1800" w:bottom="1440" w:left="1800" w:header="851" w:footer="992" w:gutter="0"/>
          <w:cols w:space="720" w:num="1"/>
          <w:docGrid w:type="lines" w:linePitch="312" w:charSpace="0"/>
        </w:sectPr>
      </w:pPr>
      <w:r>
        <w:drawing>
          <wp:anchor distT="0" distB="0" distL="114300" distR="114300" simplePos="0" relativeHeight="251662336" behindDoc="0" locked="0" layoutInCell="1" allowOverlap="1">
            <wp:simplePos x="0" y="0"/>
            <wp:positionH relativeFrom="column">
              <wp:posOffset>22860</wp:posOffset>
            </wp:positionH>
            <wp:positionV relativeFrom="paragraph">
              <wp:posOffset>294005</wp:posOffset>
            </wp:positionV>
            <wp:extent cx="5139690" cy="8249285"/>
            <wp:effectExtent l="0" t="0" r="3810" b="18415"/>
            <wp:wrapNone/>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9"/>
                    <a:stretch>
                      <a:fillRect/>
                    </a:stretch>
                  </pic:blipFill>
                  <pic:spPr>
                    <a:xfrm>
                      <a:off x="0" y="0"/>
                      <a:ext cx="5139690" cy="8249285"/>
                    </a:xfrm>
                    <a:prstGeom prst="rect">
                      <a:avLst/>
                    </a:prstGeom>
                    <a:noFill/>
                    <a:ln>
                      <a:noFill/>
                    </a:ln>
                  </pic:spPr>
                </pic:pic>
              </a:graphicData>
            </a:graphic>
          </wp:anchor>
        </w:drawing>
      </w:r>
      <w:r>
        <w:rPr>
          <w:rFonts w:hint="eastAsia"/>
          <w:lang w:val="en-US" w:eastAsia="zh-CN"/>
        </w:rPr>
        <w:t>附</w:t>
      </w:r>
      <w:r>
        <w:rPr>
          <w:rFonts w:hint="eastAsia"/>
        </w:rPr>
        <w:t>图3 项目所在厂区图</w:t>
      </w:r>
    </w:p>
    <w:p>
      <w:pPr>
        <w:pStyle w:val="22"/>
        <w:ind w:left="0" w:firstLine="0"/>
        <w:jc w:val="left"/>
        <w:sectPr>
          <w:pgSz w:w="11906" w:h="16838"/>
          <w:pgMar w:top="1440" w:right="1800" w:bottom="1440" w:left="1800" w:header="851" w:footer="992" w:gutter="0"/>
          <w:cols w:space="720" w:num="1"/>
          <w:docGrid w:type="lines" w:linePitch="312" w:charSpace="0"/>
        </w:sectPr>
      </w:pPr>
      <w:r>
        <w:rPr>
          <w:rFonts w:hint="eastAsia"/>
        </w:rPr>
        <w:t>附图4 南水北调东线工程线路</w:t>
      </w:r>
      <w:r>
        <w:rPr>
          <w:rFonts w:hint="eastAsia"/>
          <w:lang w:val="en-US" w:eastAsia="zh-CN"/>
        </w:rPr>
        <w:t>图</w:t>
      </w:r>
      <w:r>
        <w:drawing>
          <wp:inline distT="0" distB="0" distL="114300" distR="114300">
            <wp:extent cx="5228590" cy="8142605"/>
            <wp:effectExtent l="0" t="0" r="10160" b="10795"/>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30"/>
                    <a:stretch>
                      <a:fillRect/>
                    </a:stretch>
                  </pic:blipFill>
                  <pic:spPr>
                    <a:xfrm>
                      <a:off x="0" y="0"/>
                      <a:ext cx="5228590" cy="8142605"/>
                    </a:xfrm>
                    <a:prstGeom prst="rect">
                      <a:avLst/>
                    </a:prstGeom>
                    <a:noFill/>
                    <a:ln>
                      <a:noFill/>
                    </a:ln>
                  </pic:spPr>
                </pic:pic>
              </a:graphicData>
            </a:graphic>
          </wp:inline>
        </w:drawing>
      </w:r>
      <w:r>
        <w:rPr>
          <w:rFonts w:hint="eastAsia" w:eastAsia="黑体"/>
          <w:szCs w:val="20"/>
        </w:rPr>
        <w:t>附图5济宁市生态保护红线</w:t>
      </w:r>
      <w:r>
        <w:rPr>
          <w:rFonts w:hint="eastAsia" w:eastAsia="黑体"/>
          <w:szCs w:val="20"/>
          <w:lang w:val="en-US" w:eastAsia="zh-CN"/>
        </w:rPr>
        <w:t>图</w:t>
      </w:r>
      <w:r>
        <w:drawing>
          <wp:inline distT="0" distB="0" distL="114300" distR="114300">
            <wp:extent cx="4855845" cy="8267065"/>
            <wp:effectExtent l="0" t="0" r="1905" b="63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31"/>
                    <a:stretch>
                      <a:fillRect/>
                    </a:stretch>
                  </pic:blipFill>
                  <pic:spPr>
                    <a:xfrm>
                      <a:off x="0" y="0"/>
                      <a:ext cx="4855845" cy="8267065"/>
                    </a:xfrm>
                    <a:prstGeom prst="rect">
                      <a:avLst/>
                    </a:prstGeom>
                    <a:noFill/>
                    <a:ln>
                      <a:noFill/>
                    </a:ln>
                  </pic:spPr>
                </pic:pic>
              </a:graphicData>
            </a:graphic>
          </wp:inline>
        </w:drawing>
      </w:r>
    </w:p>
    <w:p>
      <w:pPr>
        <w:pStyle w:val="23"/>
        <w:rPr>
          <w:rFonts w:hint="eastAsia" w:eastAsia="黑体"/>
          <w:szCs w:val="20"/>
          <w:lang w:val="en-US" w:eastAsia="zh-CN"/>
        </w:rPr>
      </w:pPr>
      <w:r>
        <w:rPr>
          <w:rFonts w:hint="eastAsia" w:eastAsia="黑体"/>
          <w:szCs w:val="20"/>
        </w:rPr>
        <w:t>附图6 项目与三区三线位置关系</w:t>
      </w:r>
      <w:r>
        <w:rPr>
          <w:rFonts w:hint="eastAsia" w:eastAsia="黑体"/>
          <w:szCs w:val="20"/>
          <w:lang w:val="en-US" w:eastAsia="zh-CN"/>
        </w:rPr>
        <w:t>图</w:t>
      </w:r>
    </w:p>
    <w:p>
      <w:pPr>
        <w:pStyle w:val="23"/>
        <w:sectPr>
          <w:pgSz w:w="16838" w:h="11906" w:orient="landscape"/>
          <w:pgMar w:top="1800" w:right="1440" w:bottom="1800" w:left="1440" w:header="851" w:footer="992" w:gutter="0"/>
          <w:cols w:space="720" w:num="1"/>
          <w:docGrid w:type="lines" w:linePitch="312" w:charSpace="0"/>
        </w:sectPr>
      </w:pPr>
      <w:r>
        <w:drawing>
          <wp:inline distT="0" distB="0" distL="114300" distR="114300">
            <wp:extent cx="8388985" cy="4541520"/>
            <wp:effectExtent l="0" t="0" r="12065" b="11430"/>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32"/>
                    <a:stretch>
                      <a:fillRect/>
                    </a:stretch>
                  </pic:blipFill>
                  <pic:spPr>
                    <a:xfrm>
                      <a:off x="0" y="0"/>
                      <a:ext cx="8388985" cy="4541520"/>
                    </a:xfrm>
                    <a:prstGeom prst="rect">
                      <a:avLst/>
                    </a:prstGeom>
                    <a:noFill/>
                    <a:ln>
                      <a:noFill/>
                    </a:ln>
                  </pic:spPr>
                </pic:pic>
              </a:graphicData>
            </a:graphic>
          </wp:inline>
        </w:drawing>
      </w:r>
    </w:p>
    <w:p>
      <w:pPr>
        <w:pStyle w:val="24"/>
        <w:keepNext w:val="0"/>
        <w:keepLines w:val="0"/>
        <w:pageBreakBefore w:val="0"/>
        <w:widowControl/>
        <w:kinsoku/>
        <w:wordWrap/>
        <w:overflowPunct/>
        <w:topLinePunct w:val="0"/>
        <w:autoSpaceDE/>
        <w:autoSpaceDN/>
        <w:bidi w:val="0"/>
        <w:adjustRightInd/>
        <w:snapToGrid/>
        <w:spacing w:before="0" w:after="0"/>
        <w:textAlignment w:val="auto"/>
        <w:rPr>
          <w:rFonts w:hint="eastAsia"/>
          <w:sz w:val="18"/>
          <w:szCs w:val="18"/>
          <w:lang w:val="en-US" w:eastAsia="zh-CN"/>
        </w:rPr>
      </w:pPr>
      <w:r>
        <w:rPr>
          <w:rFonts w:hint="eastAsia"/>
          <w:sz w:val="18"/>
          <w:szCs w:val="18"/>
        </w:rPr>
        <w:t>附图7 项目周边敏感目标分布</w:t>
      </w:r>
      <w:r>
        <w:rPr>
          <w:rFonts w:hint="eastAsia"/>
          <w:sz w:val="18"/>
          <w:szCs w:val="18"/>
          <w:lang w:val="en-US" w:eastAsia="zh-CN"/>
        </w:rPr>
        <w:t>图</w:t>
      </w:r>
    </w:p>
    <w:p>
      <w:pPr>
        <w:pStyle w:val="24"/>
      </w:pPr>
      <w:r>
        <w:drawing>
          <wp:anchor distT="0" distB="0" distL="114300" distR="114300" simplePos="0" relativeHeight="251663360" behindDoc="0" locked="0" layoutInCell="1" allowOverlap="1">
            <wp:simplePos x="0" y="0"/>
            <wp:positionH relativeFrom="column">
              <wp:posOffset>-31750</wp:posOffset>
            </wp:positionH>
            <wp:positionV relativeFrom="paragraph">
              <wp:posOffset>130175</wp:posOffset>
            </wp:positionV>
            <wp:extent cx="8541385" cy="4761230"/>
            <wp:effectExtent l="0" t="0" r="12065" b="1270"/>
            <wp:wrapNone/>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33"/>
                    <a:stretch>
                      <a:fillRect/>
                    </a:stretch>
                  </pic:blipFill>
                  <pic:spPr>
                    <a:xfrm>
                      <a:off x="0" y="0"/>
                      <a:ext cx="8541385" cy="4761230"/>
                    </a:xfrm>
                    <a:prstGeom prst="rect">
                      <a:avLst/>
                    </a:prstGeom>
                    <a:noFill/>
                    <a:ln>
                      <a:noFill/>
                    </a:ln>
                  </pic:spPr>
                </pic:pic>
              </a:graphicData>
            </a:graphic>
          </wp:anchor>
        </w:drawing>
      </w:r>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方正小标宋_GBK">
    <w:altName w:val="微软雅黑"/>
    <w:panose1 w:val="00000000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TimesNewRomanPSMT">
    <w:altName w:val="MS Gothic"/>
    <w:panose1 w:val="00000000000000000000"/>
    <w:charset w:val="80"/>
    <w:family w:val="auto"/>
    <w:pitch w:val="default"/>
    <w:sig w:usb0="00000000" w:usb1="00000000" w:usb2="00000000" w:usb3="00000000" w:csb0="0002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0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39"/>
      </w:rPr>
    </w:pPr>
    <w:r>
      <w:fldChar w:fldCharType="begin"/>
    </w:r>
    <w:r>
      <w:rPr>
        <w:rStyle w:val="39"/>
      </w:rPr>
      <w:instrText xml:space="preserve">PAGE  </w:instrText>
    </w:r>
    <w:r>
      <w:fldChar w:fldCharType="separate"/>
    </w:r>
    <w:r>
      <w:rPr>
        <w:rStyle w:val="39"/>
      </w:rPr>
      <w:t>39</w:t>
    </w:r>
    <w:r>
      <w:fldChar w:fldCharType="end"/>
    </w:r>
  </w:p>
  <w:p>
    <w:pPr>
      <w:pStyle w:val="2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jc w:val="center"/>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rPr>
                              <w:rStyle w:val="39"/>
                              <w:rFonts w:ascii="宋体" w:hAnsi="宋体"/>
                              <w:sz w:val="28"/>
                              <w:szCs w:val="28"/>
                            </w:rPr>
                          </w:pPr>
                          <w:r>
                            <w:rPr>
                              <w:rStyle w:val="39"/>
                              <w:rFonts w:hint="eastAsia" w:ascii="宋体" w:hAnsi="宋体"/>
                              <w:sz w:val="20"/>
                            </w:rPr>
                            <w:t xml:space="preserve"> </w:t>
                          </w:r>
                          <w:r>
                            <w:rPr>
                              <w:sz w:val="20"/>
                            </w:rPr>
                            <w:fldChar w:fldCharType="begin"/>
                          </w:r>
                          <w:r>
                            <w:rPr>
                              <w:rStyle w:val="39"/>
                              <w:sz w:val="20"/>
                            </w:rPr>
                            <w:instrText xml:space="preserve">PAGE  </w:instrText>
                          </w:r>
                          <w:r>
                            <w:rPr>
                              <w:sz w:val="20"/>
                            </w:rPr>
                            <w:fldChar w:fldCharType="separate"/>
                          </w:r>
                          <w:r>
                            <w:rPr>
                              <w:rStyle w:val="39"/>
                              <w:sz w:val="20"/>
                            </w:rPr>
                            <w:t>9</w:t>
                          </w:r>
                          <w:r>
                            <w:rPr>
                              <w:sz w:val="20"/>
                            </w:rPr>
                            <w:fldChar w:fldCharType="end"/>
                          </w:r>
                          <w:r>
                            <w:rPr>
                              <w:rStyle w:val="39"/>
                              <w:rFonts w:hint="eastAsia" w:ascii="宋体" w:hAnsi="宋体"/>
                              <w:sz w:val="20"/>
                            </w:rPr>
                            <w:t xml:space="preserve">  </w:t>
                          </w:r>
                        </w:p>
                      </w:txbxContent>
                    </wps:txbx>
                    <wps:bodyPr vert="horz" wrap="none" lIns="0" tIns="0" rIns="0" bIns="0" anchor="t" anchorCtr="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CRXObNkBAAC2AwAADgAAAAAAAAABACAA&#10;AAAeAQAAZHJzL2Uyb0RvYy54bWxQSwUGAAAAAAYABgBZAQAAaQUAAAAA&#10;">
              <v:fill on="f" focussize="0,0"/>
              <v:stroke on="f"/>
              <v:imagedata o:title=""/>
              <o:lock v:ext="edit" aspectratio="f"/>
              <v:textbox inset="0mm,0mm,0mm,0mm" style="mso-fit-shape-to-text:t;">
                <w:txbxContent>
                  <w:p>
                    <w:pPr>
                      <w:pStyle w:val="26"/>
                      <w:rPr>
                        <w:rStyle w:val="39"/>
                        <w:rFonts w:ascii="宋体" w:hAnsi="宋体"/>
                        <w:sz w:val="28"/>
                        <w:szCs w:val="28"/>
                      </w:rPr>
                    </w:pPr>
                    <w:r>
                      <w:rPr>
                        <w:rStyle w:val="39"/>
                        <w:rFonts w:hint="eastAsia" w:ascii="宋体" w:hAnsi="宋体"/>
                        <w:sz w:val="20"/>
                      </w:rPr>
                      <w:t xml:space="preserve"> </w:t>
                    </w:r>
                    <w:r>
                      <w:rPr>
                        <w:sz w:val="20"/>
                      </w:rPr>
                      <w:fldChar w:fldCharType="begin"/>
                    </w:r>
                    <w:r>
                      <w:rPr>
                        <w:rStyle w:val="39"/>
                        <w:sz w:val="20"/>
                      </w:rPr>
                      <w:instrText xml:space="preserve">PAGE  </w:instrText>
                    </w:r>
                    <w:r>
                      <w:rPr>
                        <w:sz w:val="20"/>
                      </w:rPr>
                      <w:fldChar w:fldCharType="separate"/>
                    </w:r>
                    <w:r>
                      <w:rPr>
                        <w:rStyle w:val="39"/>
                        <w:sz w:val="20"/>
                      </w:rPr>
                      <w:t>9</w:t>
                    </w:r>
                    <w:r>
                      <w:rPr>
                        <w:sz w:val="20"/>
                      </w:rPr>
                      <w:fldChar w:fldCharType="end"/>
                    </w:r>
                    <w:r>
                      <w:rPr>
                        <w:rStyle w:val="39"/>
                        <w:rFonts w:hint="eastAsia" w:ascii="宋体" w:hAnsi="宋体"/>
                        <w:sz w:val="20"/>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rPr>
                              <w:rStyle w:val="39"/>
                              <w:rFonts w:ascii="宋体" w:hAnsi="宋体"/>
                              <w:sz w:val="28"/>
                              <w:szCs w:val="28"/>
                            </w:rPr>
                          </w:pPr>
                          <w:r>
                            <w:rPr>
                              <w:rFonts w:ascii="宋体" w:hAnsi="宋体"/>
                              <w:sz w:val="26"/>
                              <w:szCs w:val="26"/>
                            </w:rPr>
                            <w:fldChar w:fldCharType="begin"/>
                          </w:r>
                          <w:r>
                            <w:rPr>
                              <w:rStyle w:val="39"/>
                              <w:rFonts w:ascii="宋体" w:hAnsi="宋体"/>
                              <w:sz w:val="26"/>
                              <w:szCs w:val="26"/>
                            </w:rPr>
                            <w:instrText xml:space="preserve">PAGE  </w:instrText>
                          </w:r>
                          <w:r>
                            <w:rPr>
                              <w:rFonts w:ascii="宋体" w:hAnsi="宋体"/>
                              <w:sz w:val="26"/>
                              <w:szCs w:val="26"/>
                            </w:rPr>
                            <w:fldChar w:fldCharType="separate"/>
                          </w:r>
                          <w:r>
                            <w:rPr>
                              <w:rStyle w:val="39"/>
                              <w:rFonts w:ascii="宋体" w:hAnsi="宋体"/>
                              <w:sz w:val="26"/>
                              <w:szCs w:val="26"/>
                            </w:rPr>
                            <w:t>11</w:t>
                          </w:r>
                          <w:r>
                            <w:rPr>
                              <w:rFonts w:ascii="宋体" w:hAnsi="宋体"/>
                              <w:sz w:val="26"/>
                              <w:szCs w:val="26"/>
                            </w:rPr>
                            <w:fldChar w:fldCharType="end"/>
                          </w:r>
                          <w:r>
                            <w:rPr>
                              <w:rStyle w:val="39"/>
                              <w:rFonts w:hint="eastAsia" w:ascii="宋体" w:hAnsi="宋体"/>
                              <w:sz w:val="20"/>
                            </w:rPr>
                            <w:t xml:space="preserve">  </w:t>
                          </w:r>
                        </w:p>
                      </w:txbxContent>
                    </wps:txbx>
                    <wps:bodyPr vert="horz" wrap="none" lIns="0" tIns="0" rIns="0" bIns="0" anchor="t" anchorCtr="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AQ22rN2wEAALYDAAAOAAAAAAAAAAEA&#10;IAAAAB4BAABkcnMvZTJvRG9jLnhtbFBLBQYAAAAABgAGAFkBAABrBQAAAAA=&#10;">
              <v:fill on="f" focussize="0,0"/>
              <v:stroke on="f"/>
              <v:imagedata o:title=""/>
              <o:lock v:ext="edit" aspectratio="f"/>
              <v:textbox inset="0mm,0mm,0mm,0mm" style="mso-fit-shape-to-text:t;">
                <w:txbxContent>
                  <w:p>
                    <w:pPr>
                      <w:pStyle w:val="26"/>
                      <w:rPr>
                        <w:rStyle w:val="39"/>
                        <w:rFonts w:ascii="宋体" w:hAnsi="宋体"/>
                        <w:sz w:val="28"/>
                        <w:szCs w:val="28"/>
                      </w:rPr>
                    </w:pPr>
                    <w:r>
                      <w:rPr>
                        <w:rFonts w:ascii="宋体" w:hAnsi="宋体"/>
                        <w:sz w:val="26"/>
                        <w:szCs w:val="26"/>
                      </w:rPr>
                      <w:fldChar w:fldCharType="begin"/>
                    </w:r>
                    <w:r>
                      <w:rPr>
                        <w:rStyle w:val="39"/>
                        <w:rFonts w:ascii="宋体" w:hAnsi="宋体"/>
                        <w:sz w:val="26"/>
                        <w:szCs w:val="26"/>
                      </w:rPr>
                      <w:instrText xml:space="preserve">PAGE  </w:instrText>
                    </w:r>
                    <w:r>
                      <w:rPr>
                        <w:rFonts w:ascii="宋体" w:hAnsi="宋体"/>
                        <w:sz w:val="26"/>
                        <w:szCs w:val="26"/>
                      </w:rPr>
                      <w:fldChar w:fldCharType="separate"/>
                    </w:r>
                    <w:r>
                      <w:rPr>
                        <w:rStyle w:val="39"/>
                        <w:rFonts w:ascii="宋体" w:hAnsi="宋体"/>
                        <w:sz w:val="26"/>
                        <w:szCs w:val="26"/>
                      </w:rPr>
                      <w:t>11</w:t>
                    </w:r>
                    <w:r>
                      <w:rPr>
                        <w:rFonts w:ascii="宋体" w:hAnsi="宋体"/>
                        <w:sz w:val="26"/>
                        <w:szCs w:val="26"/>
                      </w:rPr>
                      <w:fldChar w:fldCharType="end"/>
                    </w:r>
                    <w:r>
                      <w:rPr>
                        <w:rStyle w:val="39"/>
                        <w:rFonts w:hint="eastAsia" w:ascii="宋体" w:hAnsi="宋体"/>
                        <w:sz w:val="20"/>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DFA12C"/>
    <w:multiLevelType w:val="singleLevel"/>
    <w:tmpl w:val="A2DFA12C"/>
    <w:lvl w:ilvl="0" w:tentative="0">
      <w:start w:val="1"/>
      <w:numFmt w:val="decimal"/>
      <w:suff w:val="nothing"/>
      <w:lvlText w:val="%1、"/>
      <w:lvlJc w:val="left"/>
    </w:lvl>
  </w:abstractNum>
  <w:abstractNum w:abstractNumId="1">
    <w:nsid w:val="B14690D1"/>
    <w:multiLevelType w:val="singleLevel"/>
    <w:tmpl w:val="B14690D1"/>
    <w:lvl w:ilvl="0" w:tentative="0">
      <w:start w:val="1"/>
      <w:numFmt w:val="decimal"/>
      <w:suff w:val="space"/>
      <w:lvlText w:val="%1."/>
      <w:lvlJc w:val="left"/>
    </w:lvl>
  </w:abstractNum>
  <w:abstractNum w:abstractNumId="2">
    <w:nsid w:val="CE2CE1B2"/>
    <w:multiLevelType w:val="singleLevel"/>
    <w:tmpl w:val="CE2CE1B2"/>
    <w:lvl w:ilvl="0" w:tentative="0">
      <w:start w:val="1"/>
      <w:numFmt w:val="decimal"/>
      <w:suff w:val="nothing"/>
      <w:lvlText w:val="%1、"/>
      <w:lvlJc w:val="left"/>
    </w:lvl>
  </w:abstractNum>
  <w:abstractNum w:abstractNumId="3">
    <w:nsid w:val="D4FB8649"/>
    <w:multiLevelType w:val="singleLevel"/>
    <w:tmpl w:val="D4FB8649"/>
    <w:lvl w:ilvl="0" w:tentative="0">
      <w:start w:val="2"/>
      <w:numFmt w:val="decimal"/>
      <w:suff w:val="nothing"/>
      <w:lvlText w:val="（%1）"/>
      <w:lvlJc w:val="left"/>
    </w:lvl>
  </w:abstractNum>
  <w:abstractNum w:abstractNumId="4">
    <w:nsid w:val="E0E0D0DF"/>
    <w:multiLevelType w:val="singleLevel"/>
    <w:tmpl w:val="E0E0D0DF"/>
    <w:lvl w:ilvl="0" w:tentative="0">
      <w:start w:val="2"/>
      <w:numFmt w:val="chineseCounting"/>
      <w:suff w:val="nothing"/>
      <w:lvlText w:val="%1、"/>
      <w:lvlJc w:val="left"/>
      <w:rPr>
        <w:rFonts w:hint="eastAsia"/>
        <w:b/>
        <w:bCs/>
        <w:sz w:val="21"/>
        <w:szCs w:val="21"/>
      </w:rPr>
    </w:lvl>
  </w:abstractNum>
  <w:abstractNum w:abstractNumId="5">
    <w:nsid w:val="E999F45C"/>
    <w:multiLevelType w:val="singleLevel"/>
    <w:tmpl w:val="E999F45C"/>
    <w:lvl w:ilvl="0" w:tentative="0">
      <w:start w:val="1"/>
      <w:numFmt w:val="decimal"/>
      <w:suff w:val="nothing"/>
      <w:lvlText w:val="%1、"/>
      <w:lvlJc w:val="left"/>
      <w:rPr>
        <w:rFonts w:hint="default"/>
        <w:sz w:val="24"/>
        <w:szCs w:val="24"/>
      </w:rPr>
    </w:lvl>
  </w:abstractNum>
  <w:abstractNum w:abstractNumId="6">
    <w:nsid w:val="EF5C23F8"/>
    <w:multiLevelType w:val="singleLevel"/>
    <w:tmpl w:val="EF5C23F8"/>
    <w:lvl w:ilvl="0" w:tentative="0">
      <w:start w:val="1"/>
      <w:numFmt w:val="chineseCounting"/>
      <w:suff w:val="nothing"/>
      <w:lvlText w:val="（%1）"/>
      <w:lvlJc w:val="left"/>
      <w:rPr>
        <w:rFonts w:hint="eastAsia"/>
        <w:sz w:val="21"/>
        <w:szCs w:val="21"/>
      </w:rPr>
    </w:lvl>
  </w:abstractNum>
  <w:abstractNum w:abstractNumId="7">
    <w:nsid w:val="18D61D00"/>
    <w:multiLevelType w:val="singleLevel"/>
    <w:tmpl w:val="18D61D00"/>
    <w:lvl w:ilvl="0" w:tentative="0">
      <w:start w:val="12"/>
      <w:numFmt w:val="decimal"/>
      <w:suff w:val="nothing"/>
      <w:lvlText w:val="%1、"/>
      <w:lvlJc w:val="left"/>
    </w:lvl>
  </w:abstractNum>
  <w:abstractNum w:abstractNumId="8">
    <w:nsid w:val="1D625EC6"/>
    <w:multiLevelType w:val="multilevel"/>
    <w:tmpl w:val="1D625EC6"/>
    <w:lvl w:ilvl="0" w:tentative="0">
      <w:start w:val="1"/>
      <w:numFmt w:val="decimal"/>
      <w:pStyle w:val="86"/>
      <w:lvlText w:val="表%1"/>
      <w:lvlJc w:val="left"/>
      <w:pPr>
        <w:ind w:left="1020" w:hanging="420"/>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9">
    <w:nsid w:val="35D5F853"/>
    <w:multiLevelType w:val="singleLevel"/>
    <w:tmpl w:val="35D5F853"/>
    <w:lvl w:ilvl="0" w:tentative="0">
      <w:start w:val="1"/>
      <w:numFmt w:val="bullet"/>
      <w:pStyle w:val="13"/>
      <w:lvlText w:val=""/>
      <w:lvlJc w:val="left"/>
      <w:pPr>
        <w:tabs>
          <w:tab w:val="left" w:pos="360"/>
        </w:tabs>
        <w:ind w:left="360" w:hanging="360"/>
      </w:pPr>
      <w:rPr>
        <w:rFonts w:hint="default" w:ascii="Wingdings" w:hAnsi="Wingdings"/>
      </w:rPr>
    </w:lvl>
  </w:abstractNum>
  <w:abstractNum w:abstractNumId="10">
    <w:nsid w:val="4C4DD539"/>
    <w:multiLevelType w:val="singleLevel"/>
    <w:tmpl w:val="4C4DD539"/>
    <w:lvl w:ilvl="0" w:tentative="0">
      <w:start w:val="1"/>
      <w:numFmt w:val="decimal"/>
      <w:lvlText w:val="%1."/>
      <w:lvlJc w:val="left"/>
      <w:pPr>
        <w:tabs>
          <w:tab w:val="left" w:pos="312"/>
        </w:tabs>
      </w:pPr>
    </w:lvl>
  </w:abstractNum>
  <w:abstractNum w:abstractNumId="11">
    <w:nsid w:val="4E535BAD"/>
    <w:multiLevelType w:val="singleLevel"/>
    <w:tmpl w:val="4E535BAD"/>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12">
    <w:nsid w:val="51468AD7"/>
    <w:multiLevelType w:val="singleLevel"/>
    <w:tmpl w:val="51468AD7"/>
    <w:lvl w:ilvl="0" w:tentative="0">
      <w:start w:val="1"/>
      <w:numFmt w:val="chineseCounting"/>
      <w:suff w:val="nothing"/>
      <w:lvlText w:val="%1、"/>
      <w:lvlJc w:val="left"/>
      <w:rPr>
        <w:rFonts w:hint="eastAsia"/>
      </w:rPr>
    </w:lvl>
  </w:abstractNum>
  <w:num w:numId="1">
    <w:abstractNumId w:val="9"/>
  </w:num>
  <w:num w:numId="2">
    <w:abstractNumId w:val="11"/>
  </w:num>
  <w:num w:numId="3">
    <w:abstractNumId w:val="8"/>
  </w:num>
  <w:num w:numId="4">
    <w:abstractNumId w:val="10"/>
  </w:num>
  <w:num w:numId="5">
    <w:abstractNumId w:val="12"/>
  </w:num>
  <w:num w:numId="6">
    <w:abstractNumId w:val="7"/>
  </w:num>
  <w:num w:numId="7">
    <w:abstractNumId w:val="3"/>
  </w:num>
  <w:num w:numId="8">
    <w:abstractNumId w:val="5"/>
  </w:num>
  <w:num w:numId="9">
    <w:abstractNumId w:val="2"/>
  </w:num>
  <w:num w:numId="10">
    <w:abstractNumId w:val="4"/>
  </w:num>
  <w:num w:numId="11">
    <w:abstractNumId w:val="0"/>
  </w:num>
  <w:num w:numId="12">
    <w:abstractNumId w:val="1"/>
  </w:num>
  <w:num w:numId="13">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xYzA4Zjg2MzFmNGZjZjEwZjZiNGJiNDhiYTdiOTAifQ=="/>
  </w:docVars>
  <w:rsids>
    <w:rsidRoot w:val="00172A27"/>
    <w:rsid w:val="000060B3"/>
    <w:rsid w:val="00025491"/>
    <w:rsid w:val="0004364B"/>
    <w:rsid w:val="00044067"/>
    <w:rsid w:val="00044D4C"/>
    <w:rsid w:val="00061B1F"/>
    <w:rsid w:val="000708D8"/>
    <w:rsid w:val="000733C4"/>
    <w:rsid w:val="00074783"/>
    <w:rsid w:val="0008070B"/>
    <w:rsid w:val="000810AC"/>
    <w:rsid w:val="00081A02"/>
    <w:rsid w:val="00082231"/>
    <w:rsid w:val="00092D38"/>
    <w:rsid w:val="0009377B"/>
    <w:rsid w:val="000A060A"/>
    <w:rsid w:val="000A20C9"/>
    <w:rsid w:val="000B058F"/>
    <w:rsid w:val="000B4467"/>
    <w:rsid w:val="000B4DB9"/>
    <w:rsid w:val="000C09AC"/>
    <w:rsid w:val="000C767F"/>
    <w:rsid w:val="000D5A44"/>
    <w:rsid w:val="000E3ED2"/>
    <w:rsid w:val="0012434B"/>
    <w:rsid w:val="00131F42"/>
    <w:rsid w:val="001357F1"/>
    <w:rsid w:val="00140FA8"/>
    <w:rsid w:val="00142FEB"/>
    <w:rsid w:val="00143A2D"/>
    <w:rsid w:val="00145A41"/>
    <w:rsid w:val="00151675"/>
    <w:rsid w:val="00154051"/>
    <w:rsid w:val="00157435"/>
    <w:rsid w:val="00172A27"/>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B7F0C"/>
    <w:rsid w:val="002C2B17"/>
    <w:rsid w:val="002D2BA9"/>
    <w:rsid w:val="002D3DD0"/>
    <w:rsid w:val="002E1F3A"/>
    <w:rsid w:val="002E298A"/>
    <w:rsid w:val="00301978"/>
    <w:rsid w:val="0030332C"/>
    <w:rsid w:val="003051C2"/>
    <w:rsid w:val="00312296"/>
    <w:rsid w:val="00314F0E"/>
    <w:rsid w:val="0032161B"/>
    <w:rsid w:val="00321D8E"/>
    <w:rsid w:val="00325928"/>
    <w:rsid w:val="00332863"/>
    <w:rsid w:val="0033684D"/>
    <w:rsid w:val="00337B42"/>
    <w:rsid w:val="00341B42"/>
    <w:rsid w:val="0034348F"/>
    <w:rsid w:val="00347182"/>
    <w:rsid w:val="00356653"/>
    <w:rsid w:val="0035743F"/>
    <w:rsid w:val="00357BE2"/>
    <w:rsid w:val="0036170C"/>
    <w:rsid w:val="00366E0F"/>
    <w:rsid w:val="00381A72"/>
    <w:rsid w:val="00384676"/>
    <w:rsid w:val="00386DF4"/>
    <w:rsid w:val="00390857"/>
    <w:rsid w:val="003A4BF3"/>
    <w:rsid w:val="003B420D"/>
    <w:rsid w:val="003C6C16"/>
    <w:rsid w:val="003D794D"/>
    <w:rsid w:val="003E3058"/>
    <w:rsid w:val="003E76A9"/>
    <w:rsid w:val="003F0809"/>
    <w:rsid w:val="003F417C"/>
    <w:rsid w:val="003F6A8C"/>
    <w:rsid w:val="003F755C"/>
    <w:rsid w:val="00406F01"/>
    <w:rsid w:val="00414B4D"/>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B1D61"/>
    <w:rsid w:val="004E6946"/>
    <w:rsid w:val="004F1AD8"/>
    <w:rsid w:val="005039CB"/>
    <w:rsid w:val="0050558F"/>
    <w:rsid w:val="00506286"/>
    <w:rsid w:val="00510813"/>
    <w:rsid w:val="00511990"/>
    <w:rsid w:val="00511DE0"/>
    <w:rsid w:val="00514870"/>
    <w:rsid w:val="00514B9B"/>
    <w:rsid w:val="00517F02"/>
    <w:rsid w:val="00524303"/>
    <w:rsid w:val="005258A2"/>
    <w:rsid w:val="00532088"/>
    <w:rsid w:val="005401AE"/>
    <w:rsid w:val="00542E07"/>
    <w:rsid w:val="00545424"/>
    <w:rsid w:val="00554A7B"/>
    <w:rsid w:val="0055572C"/>
    <w:rsid w:val="0056106A"/>
    <w:rsid w:val="005720AE"/>
    <w:rsid w:val="00594D77"/>
    <w:rsid w:val="005969E4"/>
    <w:rsid w:val="005A06B7"/>
    <w:rsid w:val="005A1759"/>
    <w:rsid w:val="005A68A7"/>
    <w:rsid w:val="005D36AB"/>
    <w:rsid w:val="00605C68"/>
    <w:rsid w:val="00617CC3"/>
    <w:rsid w:val="006377A6"/>
    <w:rsid w:val="00637A3D"/>
    <w:rsid w:val="006411EF"/>
    <w:rsid w:val="00651BA5"/>
    <w:rsid w:val="006748B8"/>
    <w:rsid w:val="006775C3"/>
    <w:rsid w:val="00683523"/>
    <w:rsid w:val="00690FFC"/>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2EBC"/>
    <w:rsid w:val="00706C5D"/>
    <w:rsid w:val="007166E1"/>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C72D3"/>
    <w:rsid w:val="007E4BD2"/>
    <w:rsid w:val="00801393"/>
    <w:rsid w:val="00802F88"/>
    <w:rsid w:val="0081293E"/>
    <w:rsid w:val="00815465"/>
    <w:rsid w:val="00817E9A"/>
    <w:rsid w:val="008306BD"/>
    <w:rsid w:val="00831A80"/>
    <w:rsid w:val="00833743"/>
    <w:rsid w:val="008340A4"/>
    <w:rsid w:val="00852070"/>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214F5"/>
    <w:rsid w:val="0093037A"/>
    <w:rsid w:val="0094154D"/>
    <w:rsid w:val="0095155F"/>
    <w:rsid w:val="00954429"/>
    <w:rsid w:val="009563CE"/>
    <w:rsid w:val="00960920"/>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75020"/>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BF5D7D"/>
    <w:rsid w:val="00BF6844"/>
    <w:rsid w:val="00C10578"/>
    <w:rsid w:val="00C135BC"/>
    <w:rsid w:val="00C15C95"/>
    <w:rsid w:val="00C2596A"/>
    <w:rsid w:val="00C27537"/>
    <w:rsid w:val="00C328FE"/>
    <w:rsid w:val="00C33507"/>
    <w:rsid w:val="00C4409D"/>
    <w:rsid w:val="00C442B1"/>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63D"/>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03C42"/>
    <w:rsid w:val="00F14A7A"/>
    <w:rsid w:val="00F22985"/>
    <w:rsid w:val="00F3383E"/>
    <w:rsid w:val="00F461CF"/>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372FDB"/>
    <w:rsid w:val="01433670"/>
    <w:rsid w:val="01563F22"/>
    <w:rsid w:val="015D1E09"/>
    <w:rsid w:val="019C5E41"/>
    <w:rsid w:val="01AB4CB9"/>
    <w:rsid w:val="01CE57B8"/>
    <w:rsid w:val="01D54B64"/>
    <w:rsid w:val="01DB1C83"/>
    <w:rsid w:val="01DE1D53"/>
    <w:rsid w:val="01E31A67"/>
    <w:rsid w:val="01E8593D"/>
    <w:rsid w:val="02072D85"/>
    <w:rsid w:val="022B4EA9"/>
    <w:rsid w:val="02302EF6"/>
    <w:rsid w:val="02377801"/>
    <w:rsid w:val="0247556A"/>
    <w:rsid w:val="02536558"/>
    <w:rsid w:val="0258692B"/>
    <w:rsid w:val="025920CC"/>
    <w:rsid w:val="02667740"/>
    <w:rsid w:val="02697903"/>
    <w:rsid w:val="026E6953"/>
    <w:rsid w:val="027D18EE"/>
    <w:rsid w:val="028F5377"/>
    <w:rsid w:val="02F1604B"/>
    <w:rsid w:val="02F96569"/>
    <w:rsid w:val="030635BF"/>
    <w:rsid w:val="0314369E"/>
    <w:rsid w:val="0323246D"/>
    <w:rsid w:val="0324067A"/>
    <w:rsid w:val="0336065A"/>
    <w:rsid w:val="034073B0"/>
    <w:rsid w:val="034B7445"/>
    <w:rsid w:val="03681C3C"/>
    <w:rsid w:val="037B371D"/>
    <w:rsid w:val="03874046"/>
    <w:rsid w:val="038A25A4"/>
    <w:rsid w:val="03991002"/>
    <w:rsid w:val="039E28F7"/>
    <w:rsid w:val="03AA3C5A"/>
    <w:rsid w:val="03B24C65"/>
    <w:rsid w:val="03EA7B21"/>
    <w:rsid w:val="03EF7DB2"/>
    <w:rsid w:val="03FD19C8"/>
    <w:rsid w:val="04070354"/>
    <w:rsid w:val="04231898"/>
    <w:rsid w:val="0460610C"/>
    <w:rsid w:val="04940D6E"/>
    <w:rsid w:val="049B0108"/>
    <w:rsid w:val="04A17C77"/>
    <w:rsid w:val="04A9500A"/>
    <w:rsid w:val="04D22BDA"/>
    <w:rsid w:val="04F36E04"/>
    <w:rsid w:val="04F4123B"/>
    <w:rsid w:val="050F5F81"/>
    <w:rsid w:val="05290F57"/>
    <w:rsid w:val="053674EE"/>
    <w:rsid w:val="05574A24"/>
    <w:rsid w:val="055F7CCD"/>
    <w:rsid w:val="057F6DC9"/>
    <w:rsid w:val="0581172B"/>
    <w:rsid w:val="05915B61"/>
    <w:rsid w:val="059F6DC6"/>
    <w:rsid w:val="05B526CA"/>
    <w:rsid w:val="05BF7324"/>
    <w:rsid w:val="05EA6938"/>
    <w:rsid w:val="05F0155E"/>
    <w:rsid w:val="05F83EAE"/>
    <w:rsid w:val="061D0E3B"/>
    <w:rsid w:val="06304C93"/>
    <w:rsid w:val="06327BAC"/>
    <w:rsid w:val="063E7D85"/>
    <w:rsid w:val="06514C09"/>
    <w:rsid w:val="06654319"/>
    <w:rsid w:val="067373B7"/>
    <w:rsid w:val="06932839"/>
    <w:rsid w:val="0699316F"/>
    <w:rsid w:val="06C405DD"/>
    <w:rsid w:val="06C61153"/>
    <w:rsid w:val="06F34BCA"/>
    <w:rsid w:val="06FF01C2"/>
    <w:rsid w:val="07071775"/>
    <w:rsid w:val="07085D92"/>
    <w:rsid w:val="07293586"/>
    <w:rsid w:val="07295285"/>
    <w:rsid w:val="073A69A3"/>
    <w:rsid w:val="075760A0"/>
    <w:rsid w:val="07636392"/>
    <w:rsid w:val="076646E5"/>
    <w:rsid w:val="07763CA7"/>
    <w:rsid w:val="07764430"/>
    <w:rsid w:val="07770C56"/>
    <w:rsid w:val="078A2181"/>
    <w:rsid w:val="079E49ED"/>
    <w:rsid w:val="07B22470"/>
    <w:rsid w:val="07C93280"/>
    <w:rsid w:val="07E33D81"/>
    <w:rsid w:val="07E4059A"/>
    <w:rsid w:val="07FD2AFA"/>
    <w:rsid w:val="08216C71"/>
    <w:rsid w:val="083E1093"/>
    <w:rsid w:val="08467262"/>
    <w:rsid w:val="08582516"/>
    <w:rsid w:val="087E7D92"/>
    <w:rsid w:val="08C1403F"/>
    <w:rsid w:val="08C81884"/>
    <w:rsid w:val="08D900A1"/>
    <w:rsid w:val="08F81F25"/>
    <w:rsid w:val="08F90F29"/>
    <w:rsid w:val="08FB55D7"/>
    <w:rsid w:val="090B090E"/>
    <w:rsid w:val="092217DD"/>
    <w:rsid w:val="09282E4A"/>
    <w:rsid w:val="0929117F"/>
    <w:rsid w:val="093A7294"/>
    <w:rsid w:val="094527E7"/>
    <w:rsid w:val="095F4574"/>
    <w:rsid w:val="099512B1"/>
    <w:rsid w:val="09A7624F"/>
    <w:rsid w:val="09D80081"/>
    <w:rsid w:val="09E70EC8"/>
    <w:rsid w:val="09FA2A80"/>
    <w:rsid w:val="0A0E1796"/>
    <w:rsid w:val="0A1A6001"/>
    <w:rsid w:val="0A263993"/>
    <w:rsid w:val="0A2710A6"/>
    <w:rsid w:val="0A2A61E3"/>
    <w:rsid w:val="0A2D3AC2"/>
    <w:rsid w:val="0A592595"/>
    <w:rsid w:val="0A894F15"/>
    <w:rsid w:val="0AA755DF"/>
    <w:rsid w:val="0AB22E2B"/>
    <w:rsid w:val="0AC05B60"/>
    <w:rsid w:val="0AD010DC"/>
    <w:rsid w:val="0AD11E75"/>
    <w:rsid w:val="0AF0679F"/>
    <w:rsid w:val="0AF85B04"/>
    <w:rsid w:val="0B120D44"/>
    <w:rsid w:val="0B163D2C"/>
    <w:rsid w:val="0B2127CF"/>
    <w:rsid w:val="0B2675F5"/>
    <w:rsid w:val="0B267D50"/>
    <w:rsid w:val="0B363538"/>
    <w:rsid w:val="0B4E6BE4"/>
    <w:rsid w:val="0B532AC7"/>
    <w:rsid w:val="0B752D83"/>
    <w:rsid w:val="0B826739"/>
    <w:rsid w:val="0B95413B"/>
    <w:rsid w:val="0B9D7B62"/>
    <w:rsid w:val="0BA224DE"/>
    <w:rsid w:val="0BB126DD"/>
    <w:rsid w:val="0BB86C66"/>
    <w:rsid w:val="0BBD4055"/>
    <w:rsid w:val="0BD27BF6"/>
    <w:rsid w:val="0BD346BC"/>
    <w:rsid w:val="0BDB744F"/>
    <w:rsid w:val="0BDD781C"/>
    <w:rsid w:val="0C3177D1"/>
    <w:rsid w:val="0C3B3C7D"/>
    <w:rsid w:val="0C46012C"/>
    <w:rsid w:val="0C67478A"/>
    <w:rsid w:val="0C7E5B52"/>
    <w:rsid w:val="0CAB2EAE"/>
    <w:rsid w:val="0CBD72DC"/>
    <w:rsid w:val="0CC77C86"/>
    <w:rsid w:val="0CC93BF3"/>
    <w:rsid w:val="0CD10A5E"/>
    <w:rsid w:val="0D1A1FB0"/>
    <w:rsid w:val="0D1E75F8"/>
    <w:rsid w:val="0D3258E5"/>
    <w:rsid w:val="0D351E88"/>
    <w:rsid w:val="0D621C7D"/>
    <w:rsid w:val="0D875C91"/>
    <w:rsid w:val="0D9F3E2B"/>
    <w:rsid w:val="0DA36247"/>
    <w:rsid w:val="0DA42A91"/>
    <w:rsid w:val="0DEF6259"/>
    <w:rsid w:val="0DF10FCE"/>
    <w:rsid w:val="0DFA6280"/>
    <w:rsid w:val="0E0A3CFD"/>
    <w:rsid w:val="0E444851"/>
    <w:rsid w:val="0E4D3B7F"/>
    <w:rsid w:val="0E704D2E"/>
    <w:rsid w:val="0E73034D"/>
    <w:rsid w:val="0E7F55DC"/>
    <w:rsid w:val="0E8327C4"/>
    <w:rsid w:val="0E975954"/>
    <w:rsid w:val="0ECD1B35"/>
    <w:rsid w:val="0ED2440E"/>
    <w:rsid w:val="0EE16A6A"/>
    <w:rsid w:val="0EE7435D"/>
    <w:rsid w:val="0EE859DF"/>
    <w:rsid w:val="0EEF4FC5"/>
    <w:rsid w:val="0EF80318"/>
    <w:rsid w:val="0EFD592E"/>
    <w:rsid w:val="0F037CC3"/>
    <w:rsid w:val="0F13775A"/>
    <w:rsid w:val="0F363D74"/>
    <w:rsid w:val="0F5F45FE"/>
    <w:rsid w:val="0F625791"/>
    <w:rsid w:val="0F870493"/>
    <w:rsid w:val="0F8E2728"/>
    <w:rsid w:val="0F8F2340"/>
    <w:rsid w:val="0F9A112B"/>
    <w:rsid w:val="0FA22032"/>
    <w:rsid w:val="0FE6229B"/>
    <w:rsid w:val="0FEB7B4A"/>
    <w:rsid w:val="100F1899"/>
    <w:rsid w:val="10264AA8"/>
    <w:rsid w:val="103769B0"/>
    <w:rsid w:val="104D0D5E"/>
    <w:rsid w:val="106D2F64"/>
    <w:rsid w:val="107962EC"/>
    <w:rsid w:val="108A7EBA"/>
    <w:rsid w:val="10B63710"/>
    <w:rsid w:val="10C04EB0"/>
    <w:rsid w:val="10C954D8"/>
    <w:rsid w:val="10DC05C5"/>
    <w:rsid w:val="10E723F2"/>
    <w:rsid w:val="10F10820"/>
    <w:rsid w:val="110150CC"/>
    <w:rsid w:val="111C2F7A"/>
    <w:rsid w:val="112D573E"/>
    <w:rsid w:val="114333A1"/>
    <w:rsid w:val="115907BA"/>
    <w:rsid w:val="11665CA1"/>
    <w:rsid w:val="116F149C"/>
    <w:rsid w:val="117E5DC2"/>
    <w:rsid w:val="11964DEA"/>
    <w:rsid w:val="11B55066"/>
    <w:rsid w:val="11C249E9"/>
    <w:rsid w:val="11D9653E"/>
    <w:rsid w:val="11E46D3B"/>
    <w:rsid w:val="11F052D6"/>
    <w:rsid w:val="121A2353"/>
    <w:rsid w:val="12376050"/>
    <w:rsid w:val="125E3A08"/>
    <w:rsid w:val="12671B50"/>
    <w:rsid w:val="126839CF"/>
    <w:rsid w:val="126902DF"/>
    <w:rsid w:val="126B5580"/>
    <w:rsid w:val="12747CB6"/>
    <w:rsid w:val="127839EE"/>
    <w:rsid w:val="12A2086D"/>
    <w:rsid w:val="12AD6EE0"/>
    <w:rsid w:val="12B04016"/>
    <w:rsid w:val="12C86857"/>
    <w:rsid w:val="12CB4E2B"/>
    <w:rsid w:val="12DF0A6D"/>
    <w:rsid w:val="130E7A85"/>
    <w:rsid w:val="135B61B7"/>
    <w:rsid w:val="137141F5"/>
    <w:rsid w:val="13834AC8"/>
    <w:rsid w:val="13951726"/>
    <w:rsid w:val="139C7353"/>
    <w:rsid w:val="141A0163"/>
    <w:rsid w:val="14396509"/>
    <w:rsid w:val="143D524C"/>
    <w:rsid w:val="148B6C76"/>
    <w:rsid w:val="14A16D5C"/>
    <w:rsid w:val="14DD2C3C"/>
    <w:rsid w:val="14E5073D"/>
    <w:rsid w:val="14EC0D54"/>
    <w:rsid w:val="14EC2074"/>
    <w:rsid w:val="15064E11"/>
    <w:rsid w:val="151C771C"/>
    <w:rsid w:val="15505EEB"/>
    <w:rsid w:val="15783F61"/>
    <w:rsid w:val="157D6F53"/>
    <w:rsid w:val="159B264B"/>
    <w:rsid w:val="15A66E61"/>
    <w:rsid w:val="15AE34DE"/>
    <w:rsid w:val="15B12B42"/>
    <w:rsid w:val="15B63178"/>
    <w:rsid w:val="15BA1FBF"/>
    <w:rsid w:val="15BA6327"/>
    <w:rsid w:val="15BC5294"/>
    <w:rsid w:val="15BD2139"/>
    <w:rsid w:val="15D313AB"/>
    <w:rsid w:val="15DD1478"/>
    <w:rsid w:val="15F32AB8"/>
    <w:rsid w:val="16087E1D"/>
    <w:rsid w:val="161B15B6"/>
    <w:rsid w:val="161C50A6"/>
    <w:rsid w:val="16270C62"/>
    <w:rsid w:val="16404428"/>
    <w:rsid w:val="16642016"/>
    <w:rsid w:val="16750DF1"/>
    <w:rsid w:val="167A09B9"/>
    <w:rsid w:val="16854EBE"/>
    <w:rsid w:val="16927C28"/>
    <w:rsid w:val="169C6D04"/>
    <w:rsid w:val="16B234A2"/>
    <w:rsid w:val="16D57191"/>
    <w:rsid w:val="17084E91"/>
    <w:rsid w:val="170C2487"/>
    <w:rsid w:val="17701D14"/>
    <w:rsid w:val="17735226"/>
    <w:rsid w:val="177A2963"/>
    <w:rsid w:val="17982C6D"/>
    <w:rsid w:val="17A728DB"/>
    <w:rsid w:val="17B35ACD"/>
    <w:rsid w:val="17E614FF"/>
    <w:rsid w:val="180B60AB"/>
    <w:rsid w:val="180E4708"/>
    <w:rsid w:val="181370E5"/>
    <w:rsid w:val="18273EE7"/>
    <w:rsid w:val="1829415E"/>
    <w:rsid w:val="183F1FBD"/>
    <w:rsid w:val="18492DD1"/>
    <w:rsid w:val="18521154"/>
    <w:rsid w:val="18674AD8"/>
    <w:rsid w:val="18950986"/>
    <w:rsid w:val="18985DE5"/>
    <w:rsid w:val="189E4330"/>
    <w:rsid w:val="189F45F1"/>
    <w:rsid w:val="189F624C"/>
    <w:rsid w:val="18CF773B"/>
    <w:rsid w:val="18D53478"/>
    <w:rsid w:val="18E60E0A"/>
    <w:rsid w:val="18EE2794"/>
    <w:rsid w:val="1927179F"/>
    <w:rsid w:val="19466124"/>
    <w:rsid w:val="19516FA3"/>
    <w:rsid w:val="195B15A9"/>
    <w:rsid w:val="196427DC"/>
    <w:rsid w:val="196C0048"/>
    <w:rsid w:val="196C2021"/>
    <w:rsid w:val="19715036"/>
    <w:rsid w:val="19767113"/>
    <w:rsid w:val="19CF7EC7"/>
    <w:rsid w:val="19F8741E"/>
    <w:rsid w:val="1A052C1D"/>
    <w:rsid w:val="1A197438"/>
    <w:rsid w:val="1A1C66C0"/>
    <w:rsid w:val="1A42393B"/>
    <w:rsid w:val="1A540545"/>
    <w:rsid w:val="1A7E3DDA"/>
    <w:rsid w:val="1AAD45DE"/>
    <w:rsid w:val="1AAD6CE6"/>
    <w:rsid w:val="1AB62688"/>
    <w:rsid w:val="1AD5150D"/>
    <w:rsid w:val="1ADD2709"/>
    <w:rsid w:val="1ADE3A4D"/>
    <w:rsid w:val="1AFC0025"/>
    <w:rsid w:val="1B046F80"/>
    <w:rsid w:val="1B2E4C6C"/>
    <w:rsid w:val="1B3267B5"/>
    <w:rsid w:val="1B40161D"/>
    <w:rsid w:val="1B441859"/>
    <w:rsid w:val="1B554099"/>
    <w:rsid w:val="1B6606B1"/>
    <w:rsid w:val="1B77519E"/>
    <w:rsid w:val="1B7C271F"/>
    <w:rsid w:val="1B9107A3"/>
    <w:rsid w:val="1BA72D99"/>
    <w:rsid w:val="1BD531F8"/>
    <w:rsid w:val="1BF87F24"/>
    <w:rsid w:val="1C1A459F"/>
    <w:rsid w:val="1C401C48"/>
    <w:rsid w:val="1C5E7925"/>
    <w:rsid w:val="1C6954DC"/>
    <w:rsid w:val="1CAA420B"/>
    <w:rsid w:val="1CB12EC2"/>
    <w:rsid w:val="1CC77085"/>
    <w:rsid w:val="1CD64CCD"/>
    <w:rsid w:val="1CDD1A4C"/>
    <w:rsid w:val="1CE24C71"/>
    <w:rsid w:val="1CFD070F"/>
    <w:rsid w:val="1D0D10ED"/>
    <w:rsid w:val="1D1071A6"/>
    <w:rsid w:val="1D1167AF"/>
    <w:rsid w:val="1D175D3F"/>
    <w:rsid w:val="1D2A108E"/>
    <w:rsid w:val="1D55576E"/>
    <w:rsid w:val="1D5A3FAD"/>
    <w:rsid w:val="1D5F6196"/>
    <w:rsid w:val="1D6132A5"/>
    <w:rsid w:val="1D624856"/>
    <w:rsid w:val="1D636057"/>
    <w:rsid w:val="1D8E56D5"/>
    <w:rsid w:val="1D93066C"/>
    <w:rsid w:val="1DA072D1"/>
    <w:rsid w:val="1E0839A8"/>
    <w:rsid w:val="1E430E84"/>
    <w:rsid w:val="1E585566"/>
    <w:rsid w:val="1E6952C6"/>
    <w:rsid w:val="1E7A1067"/>
    <w:rsid w:val="1E7A43DA"/>
    <w:rsid w:val="1E8474D2"/>
    <w:rsid w:val="1EA42674"/>
    <w:rsid w:val="1EBF505E"/>
    <w:rsid w:val="1EC077E7"/>
    <w:rsid w:val="1EC96C8F"/>
    <w:rsid w:val="1ECD6B66"/>
    <w:rsid w:val="1EEB4571"/>
    <w:rsid w:val="1EF74148"/>
    <w:rsid w:val="1F182311"/>
    <w:rsid w:val="1F367250"/>
    <w:rsid w:val="1F392482"/>
    <w:rsid w:val="1F5D7651"/>
    <w:rsid w:val="1F982AB3"/>
    <w:rsid w:val="1FE7539E"/>
    <w:rsid w:val="1FFC0927"/>
    <w:rsid w:val="200F4DE6"/>
    <w:rsid w:val="202002A1"/>
    <w:rsid w:val="203F353B"/>
    <w:rsid w:val="204766E8"/>
    <w:rsid w:val="20671BE0"/>
    <w:rsid w:val="206E5DFF"/>
    <w:rsid w:val="20793E96"/>
    <w:rsid w:val="20963CB8"/>
    <w:rsid w:val="20976B46"/>
    <w:rsid w:val="20A81A1B"/>
    <w:rsid w:val="20B05BCD"/>
    <w:rsid w:val="20B07FB6"/>
    <w:rsid w:val="20B646FB"/>
    <w:rsid w:val="20D169C5"/>
    <w:rsid w:val="20D86F9F"/>
    <w:rsid w:val="20FB3664"/>
    <w:rsid w:val="21037197"/>
    <w:rsid w:val="213B74B1"/>
    <w:rsid w:val="213D605E"/>
    <w:rsid w:val="215A2310"/>
    <w:rsid w:val="21613F25"/>
    <w:rsid w:val="216310CC"/>
    <w:rsid w:val="21994430"/>
    <w:rsid w:val="219D44DC"/>
    <w:rsid w:val="21C3769C"/>
    <w:rsid w:val="21C674FC"/>
    <w:rsid w:val="21D2335B"/>
    <w:rsid w:val="21D4622A"/>
    <w:rsid w:val="21DE318A"/>
    <w:rsid w:val="21E34627"/>
    <w:rsid w:val="21EF5B80"/>
    <w:rsid w:val="221363D4"/>
    <w:rsid w:val="222E1450"/>
    <w:rsid w:val="2235141F"/>
    <w:rsid w:val="22471266"/>
    <w:rsid w:val="22557D4A"/>
    <w:rsid w:val="22576990"/>
    <w:rsid w:val="226D3526"/>
    <w:rsid w:val="22832737"/>
    <w:rsid w:val="22861367"/>
    <w:rsid w:val="22D81547"/>
    <w:rsid w:val="22F47480"/>
    <w:rsid w:val="22FA2C2D"/>
    <w:rsid w:val="23152DEF"/>
    <w:rsid w:val="231D13D1"/>
    <w:rsid w:val="23206952"/>
    <w:rsid w:val="233347B6"/>
    <w:rsid w:val="234F3E11"/>
    <w:rsid w:val="23603458"/>
    <w:rsid w:val="23675615"/>
    <w:rsid w:val="23695C56"/>
    <w:rsid w:val="23742129"/>
    <w:rsid w:val="23AC3027"/>
    <w:rsid w:val="23B31129"/>
    <w:rsid w:val="23B55134"/>
    <w:rsid w:val="23B84606"/>
    <w:rsid w:val="23C97062"/>
    <w:rsid w:val="23DE1C48"/>
    <w:rsid w:val="240210CD"/>
    <w:rsid w:val="241A61E3"/>
    <w:rsid w:val="241E3F25"/>
    <w:rsid w:val="2432352D"/>
    <w:rsid w:val="24404B19"/>
    <w:rsid w:val="244C4EF9"/>
    <w:rsid w:val="244F47F5"/>
    <w:rsid w:val="246D28F6"/>
    <w:rsid w:val="24754305"/>
    <w:rsid w:val="24894C24"/>
    <w:rsid w:val="24904C9C"/>
    <w:rsid w:val="24942F2E"/>
    <w:rsid w:val="24A91A32"/>
    <w:rsid w:val="24AF138D"/>
    <w:rsid w:val="24BF09F7"/>
    <w:rsid w:val="24CD2F0F"/>
    <w:rsid w:val="25112227"/>
    <w:rsid w:val="252B1FA1"/>
    <w:rsid w:val="252D53FE"/>
    <w:rsid w:val="252E1F46"/>
    <w:rsid w:val="25342E7D"/>
    <w:rsid w:val="258A0802"/>
    <w:rsid w:val="259721E1"/>
    <w:rsid w:val="259A4CB0"/>
    <w:rsid w:val="259C69B2"/>
    <w:rsid w:val="25A556D3"/>
    <w:rsid w:val="25BE3BA0"/>
    <w:rsid w:val="25C86F90"/>
    <w:rsid w:val="25CD4325"/>
    <w:rsid w:val="25D144FE"/>
    <w:rsid w:val="25EC2D81"/>
    <w:rsid w:val="25F413E1"/>
    <w:rsid w:val="260357AC"/>
    <w:rsid w:val="26103D41"/>
    <w:rsid w:val="2613482F"/>
    <w:rsid w:val="263733E1"/>
    <w:rsid w:val="263A365E"/>
    <w:rsid w:val="26561DA3"/>
    <w:rsid w:val="265D3C94"/>
    <w:rsid w:val="266320C3"/>
    <w:rsid w:val="26991969"/>
    <w:rsid w:val="269D7FD6"/>
    <w:rsid w:val="26CA155F"/>
    <w:rsid w:val="26F1577E"/>
    <w:rsid w:val="2735559F"/>
    <w:rsid w:val="2743357B"/>
    <w:rsid w:val="27486F32"/>
    <w:rsid w:val="2759504F"/>
    <w:rsid w:val="275F007C"/>
    <w:rsid w:val="27651E6B"/>
    <w:rsid w:val="277057A2"/>
    <w:rsid w:val="278F0A19"/>
    <w:rsid w:val="27AA5ABC"/>
    <w:rsid w:val="27B02F57"/>
    <w:rsid w:val="27CB7F20"/>
    <w:rsid w:val="27E42273"/>
    <w:rsid w:val="28022BE5"/>
    <w:rsid w:val="2802632B"/>
    <w:rsid w:val="280F4BD5"/>
    <w:rsid w:val="28334B38"/>
    <w:rsid w:val="284E04B8"/>
    <w:rsid w:val="287C121A"/>
    <w:rsid w:val="2887366B"/>
    <w:rsid w:val="28A6098D"/>
    <w:rsid w:val="28AD0713"/>
    <w:rsid w:val="28BB61E6"/>
    <w:rsid w:val="28D21E0C"/>
    <w:rsid w:val="28EB4CCA"/>
    <w:rsid w:val="290907F5"/>
    <w:rsid w:val="29117569"/>
    <w:rsid w:val="29206EB8"/>
    <w:rsid w:val="29595666"/>
    <w:rsid w:val="295D4D82"/>
    <w:rsid w:val="2961005D"/>
    <w:rsid w:val="297D4CFC"/>
    <w:rsid w:val="29874881"/>
    <w:rsid w:val="29965EDA"/>
    <w:rsid w:val="29A059C0"/>
    <w:rsid w:val="29B03871"/>
    <w:rsid w:val="29B350F7"/>
    <w:rsid w:val="29C95DB6"/>
    <w:rsid w:val="29DF4157"/>
    <w:rsid w:val="29E16707"/>
    <w:rsid w:val="29E325E0"/>
    <w:rsid w:val="2A1018B5"/>
    <w:rsid w:val="2A1C3834"/>
    <w:rsid w:val="2A1F6B56"/>
    <w:rsid w:val="2A452503"/>
    <w:rsid w:val="2A511DC0"/>
    <w:rsid w:val="2A960E24"/>
    <w:rsid w:val="2AB51A21"/>
    <w:rsid w:val="2ADD5E1B"/>
    <w:rsid w:val="2AE61278"/>
    <w:rsid w:val="2AF31EFB"/>
    <w:rsid w:val="2AF5102E"/>
    <w:rsid w:val="2B1820C4"/>
    <w:rsid w:val="2B1B11BE"/>
    <w:rsid w:val="2B242A5A"/>
    <w:rsid w:val="2B335785"/>
    <w:rsid w:val="2B4008AA"/>
    <w:rsid w:val="2B832000"/>
    <w:rsid w:val="2B881D64"/>
    <w:rsid w:val="2B982D21"/>
    <w:rsid w:val="2B9B1AF2"/>
    <w:rsid w:val="2BA936A8"/>
    <w:rsid w:val="2BBB48CC"/>
    <w:rsid w:val="2BC90EC4"/>
    <w:rsid w:val="2C121807"/>
    <w:rsid w:val="2C31056E"/>
    <w:rsid w:val="2C315A5A"/>
    <w:rsid w:val="2C371988"/>
    <w:rsid w:val="2C4B1C25"/>
    <w:rsid w:val="2C4E2CA7"/>
    <w:rsid w:val="2C51316A"/>
    <w:rsid w:val="2C540AA8"/>
    <w:rsid w:val="2C694A4D"/>
    <w:rsid w:val="2C7510DF"/>
    <w:rsid w:val="2C752B50"/>
    <w:rsid w:val="2C87561C"/>
    <w:rsid w:val="2D0778A3"/>
    <w:rsid w:val="2D362907"/>
    <w:rsid w:val="2D3D0787"/>
    <w:rsid w:val="2D443A4E"/>
    <w:rsid w:val="2D536CB5"/>
    <w:rsid w:val="2D5A7BFC"/>
    <w:rsid w:val="2D6373DE"/>
    <w:rsid w:val="2D6C2503"/>
    <w:rsid w:val="2D6C36DC"/>
    <w:rsid w:val="2D9E56F5"/>
    <w:rsid w:val="2D9E62FC"/>
    <w:rsid w:val="2DA9065B"/>
    <w:rsid w:val="2DA9336B"/>
    <w:rsid w:val="2DBB66ED"/>
    <w:rsid w:val="2DD74A9F"/>
    <w:rsid w:val="2DF83A39"/>
    <w:rsid w:val="2DFB3ED8"/>
    <w:rsid w:val="2E3A7EE1"/>
    <w:rsid w:val="2E5A0250"/>
    <w:rsid w:val="2E667F96"/>
    <w:rsid w:val="2E682FCF"/>
    <w:rsid w:val="2E8226AB"/>
    <w:rsid w:val="2E890615"/>
    <w:rsid w:val="2E941D53"/>
    <w:rsid w:val="2E970290"/>
    <w:rsid w:val="2EA83753"/>
    <w:rsid w:val="2EBB6DC0"/>
    <w:rsid w:val="2ED2428A"/>
    <w:rsid w:val="2EDA5D1B"/>
    <w:rsid w:val="2EEB0BE8"/>
    <w:rsid w:val="2EF22236"/>
    <w:rsid w:val="2EFE507F"/>
    <w:rsid w:val="2F0D0ED5"/>
    <w:rsid w:val="2F185E60"/>
    <w:rsid w:val="2F2B63B6"/>
    <w:rsid w:val="2F336D78"/>
    <w:rsid w:val="2F383388"/>
    <w:rsid w:val="2F4800A8"/>
    <w:rsid w:val="2F6125CE"/>
    <w:rsid w:val="2F7A22CF"/>
    <w:rsid w:val="2FBB52AF"/>
    <w:rsid w:val="2FC55544"/>
    <w:rsid w:val="2FD065E6"/>
    <w:rsid w:val="2FD96870"/>
    <w:rsid w:val="2FE25F0E"/>
    <w:rsid w:val="30000983"/>
    <w:rsid w:val="300566CB"/>
    <w:rsid w:val="30077F63"/>
    <w:rsid w:val="302A275A"/>
    <w:rsid w:val="30580BC9"/>
    <w:rsid w:val="30776BDB"/>
    <w:rsid w:val="30BA6A38"/>
    <w:rsid w:val="30BD0622"/>
    <w:rsid w:val="30CE0CCA"/>
    <w:rsid w:val="311E2ED7"/>
    <w:rsid w:val="31245362"/>
    <w:rsid w:val="314F63B7"/>
    <w:rsid w:val="315619EE"/>
    <w:rsid w:val="315732B7"/>
    <w:rsid w:val="315C449C"/>
    <w:rsid w:val="31B82709"/>
    <w:rsid w:val="31B9528D"/>
    <w:rsid w:val="31C75BFC"/>
    <w:rsid w:val="31D05482"/>
    <w:rsid w:val="31E16E0C"/>
    <w:rsid w:val="31FC2FF6"/>
    <w:rsid w:val="320A18D8"/>
    <w:rsid w:val="32220909"/>
    <w:rsid w:val="3236439E"/>
    <w:rsid w:val="3237610B"/>
    <w:rsid w:val="32400B34"/>
    <w:rsid w:val="32425283"/>
    <w:rsid w:val="324667E0"/>
    <w:rsid w:val="328235B2"/>
    <w:rsid w:val="32890AE9"/>
    <w:rsid w:val="32962D63"/>
    <w:rsid w:val="329E6876"/>
    <w:rsid w:val="32A914C8"/>
    <w:rsid w:val="32C043F9"/>
    <w:rsid w:val="32C97752"/>
    <w:rsid w:val="32CF6CF9"/>
    <w:rsid w:val="32D65578"/>
    <w:rsid w:val="32EE71B8"/>
    <w:rsid w:val="32F64990"/>
    <w:rsid w:val="333015F2"/>
    <w:rsid w:val="33404F09"/>
    <w:rsid w:val="334B6320"/>
    <w:rsid w:val="33543FB9"/>
    <w:rsid w:val="335D2E85"/>
    <w:rsid w:val="336665C8"/>
    <w:rsid w:val="33781C41"/>
    <w:rsid w:val="338616A3"/>
    <w:rsid w:val="338645C1"/>
    <w:rsid w:val="33995D38"/>
    <w:rsid w:val="33A5023F"/>
    <w:rsid w:val="33B63D78"/>
    <w:rsid w:val="33D12D62"/>
    <w:rsid w:val="33D934D4"/>
    <w:rsid w:val="33DB3A34"/>
    <w:rsid w:val="33E27C6F"/>
    <w:rsid w:val="33FE2F6A"/>
    <w:rsid w:val="340B44C2"/>
    <w:rsid w:val="340E07E5"/>
    <w:rsid w:val="341669C7"/>
    <w:rsid w:val="341E1111"/>
    <w:rsid w:val="34235BF7"/>
    <w:rsid w:val="345D127A"/>
    <w:rsid w:val="3469219F"/>
    <w:rsid w:val="34790EC0"/>
    <w:rsid w:val="349667E8"/>
    <w:rsid w:val="34BE06CE"/>
    <w:rsid w:val="34CE7974"/>
    <w:rsid w:val="34D907DD"/>
    <w:rsid w:val="3502169A"/>
    <w:rsid w:val="35064368"/>
    <w:rsid w:val="355A52D2"/>
    <w:rsid w:val="355D688E"/>
    <w:rsid w:val="356D58DA"/>
    <w:rsid w:val="356E3DC6"/>
    <w:rsid w:val="357E79B2"/>
    <w:rsid w:val="358142E1"/>
    <w:rsid w:val="358C5FA8"/>
    <w:rsid w:val="359A3628"/>
    <w:rsid w:val="35C15DF1"/>
    <w:rsid w:val="36074A7F"/>
    <w:rsid w:val="361D06C5"/>
    <w:rsid w:val="36377DD9"/>
    <w:rsid w:val="36687282"/>
    <w:rsid w:val="3684178D"/>
    <w:rsid w:val="36923549"/>
    <w:rsid w:val="369648D9"/>
    <w:rsid w:val="369A6D69"/>
    <w:rsid w:val="36AA15EE"/>
    <w:rsid w:val="36B75FBF"/>
    <w:rsid w:val="36BD0C45"/>
    <w:rsid w:val="36C73FA8"/>
    <w:rsid w:val="36CA17C9"/>
    <w:rsid w:val="36DD4121"/>
    <w:rsid w:val="36F206C5"/>
    <w:rsid w:val="372E4027"/>
    <w:rsid w:val="37322090"/>
    <w:rsid w:val="37585548"/>
    <w:rsid w:val="375D2C25"/>
    <w:rsid w:val="375F2433"/>
    <w:rsid w:val="375F3203"/>
    <w:rsid w:val="37687974"/>
    <w:rsid w:val="379A753A"/>
    <w:rsid w:val="37B81B43"/>
    <w:rsid w:val="37BF67F4"/>
    <w:rsid w:val="37E00298"/>
    <w:rsid w:val="37E16A3D"/>
    <w:rsid w:val="37E82BA7"/>
    <w:rsid w:val="38017BD9"/>
    <w:rsid w:val="380B39BA"/>
    <w:rsid w:val="381B2ED4"/>
    <w:rsid w:val="38205481"/>
    <w:rsid w:val="38271B74"/>
    <w:rsid w:val="382A795E"/>
    <w:rsid w:val="38335403"/>
    <w:rsid w:val="38336CBF"/>
    <w:rsid w:val="385434E3"/>
    <w:rsid w:val="386215E6"/>
    <w:rsid w:val="386A6ADE"/>
    <w:rsid w:val="38B302F9"/>
    <w:rsid w:val="38CF0F38"/>
    <w:rsid w:val="38D81BFD"/>
    <w:rsid w:val="38DE5A82"/>
    <w:rsid w:val="38E7521E"/>
    <w:rsid w:val="38F12CD3"/>
    <w:rsid w:val="38F94775"/>
    <w:rsid w:val="3905189C"/>
    <w:rsid w:val="390D7134"/>
    <w:rsid w:val="391272E9"/>
    <w:rsid w:val="392971ED"/>
    <w:rsid w:val="39325651"/>
    <w:rsid w:val="39390F59"/>
    <w:rsid w:val="393B393D"/>
    <w:rsid w:val="393F42CA"/>
    <w:rsid w:val="39504729"/>
    <w:rsid w:val="39603866"/>
    <w:rsid w:val="39616FEB"/>
    <w:rsid w:val="397A47A0"/>
    <w:rsid w:val="399E7116"/>
    <w:rsid w:val="39B02EEC"/>
    <w:rsid w:val="39C03F1F"/>
    <w:rsid w:val="39C37DBE"/>
    <w:rsid w:val="39C830A5"/>
    <w:rsid w:val="39DD08E7"/>
    <w:rsid w:val="3A2D1791"/>
    <w:rsid w:val="3A3A5061"/>
    <w:rsid w:val="3A50417A"/>
    <w:rsid w:val="3A647310"/>
    <w:rsid w:val="3A665166"/>
    <w:rsid w:val="3A7B5195"/>
    <w:rsid w:val="3A872856"/>
    <w:rsid w:val="3A953D8F"/>
    <w:rsid w:val="3A976388"/>
    <w:rsid w:val="3A9B7C26"/>
    <w:rsid w:val="3AAD14C4"/>
    <w:rsid w:val="3ACF68A0"/>
    <w:rsid w:val="3AE30103"/>
    <w:rsid w:val="3AF75585"/>
    <w:rsid w:val="3B033426"/>
    <w:rsid w:val="3B0457E2"/>
    <w:rsid w:val="3B0874F3"/>
    <w:rsid w:val="3B0C0B24"/>
    <w:rsid w:val="3B104FAB"/>
    <w:rsid w:val="3B1851B4"/>
    <w:rsid w:val="3B3763D1"/>
    <w:rsid w:val="3B3A743F"/>
    <w:rsid w:val="3B585D3F"/>
    <w:rsid w:val="3B592382"/>
    <w:rsid w:val="3B656D33"/>
    <w:rsid w:val="3BA945C4"/>
    <w:rsid w:val="3BAB14D8"/>
    <w:rsid w:val="3BAC19BF"/>
    <w:rsid w:val="3BB96083"/>
    <w:rsid w:val="3BEE1B4F"/>
    <w:rsid w:val="3BF56F9A"/>
    <w:rsid w:val="3C2123AD"/>
    <w:rsid w:val="3C2F6E1E"/>
    <w:rsid w:val="3C300842"/>
    <w:rsid w:val="3C4F64BA"/>
    <w:rsid w:val="3C564325"/>
    <w:rsid w:val="3C7E313B"/>
    <w:rsid w:val="3CB363B8"/>
    <w:rsid w:val="3CDA245A"/>
    <w:rsid w:val="3CDB7A5F"/>
    <w:rsid w:val="3D0639F9"/>
    <w:rsid w:val="3D1E06B7"/>
    <w:rsid w:val="3D203305"/>
    <w:rsid w:val="3D27741E"/>
    <w:rsid w:val="3D4470C4"/>
    <w:rsid w:val="3D496228"/>
    <w:rsid w:val="3D50297B"/>
    <w:rsid w:val="3D6D763F"/>
    <w:rsid w:val="3D934BE4"/>
    <w:rsid w:val="3D9D390F"/>
    <w:rsid w:val="3D9E365A"/>
    <w:rsid w:val="3DAF2535"/>
    <w:rsid w:val="3DB01C3A"/>
    <w:rsid w:val="3DCB1C4F"/>
    <w:rsid w:val="3DD75419"/>
    <w:rsid w:val="3E27364B"/>
    <w:rsid w:val="3E8D1F7B"/>
    <w:rsid w:val="3E9B4D4A"/>
    <w:rsid w:val="3E9E7765"/>
    <w:rsid w:val="3E9F347B"/>
    <w:rsid w:val="3EC040FF"/>
    <w:rsid w:val="3ED16CD3"/>
    <w:rsid w:val="3EDA0523"/>
    <w:rsid w:val="3EE33056"/>
    <w:rsid w:val="3F060590"/>
    <w:rsid w:val="3F191E46"/>
    <w:rsid w:val="3F1C22CE"/>
    <w:rsid w:val="3F334E6E"/>
    <w:rsid w:val="3F3379F4"/>
    <w:rsid w:val="3F4B012D"/>
    <w:rsid w:val="3F5465F5"/>
    <w:rsid w:val="3F6D1F20"/>
    <w:rsid w:val="3FA84699"/>
    <w:rsid w:val="3FD11A8E"/>
    <w:rsid w:val="3FE67B96"/>
    <w:rsid w:val="3FE84B4F"/>
    <w:rsid w:val="3FFD09B7"/>
    <w:rsid w:val="403B1563"/>
    <w:rsid w:val="405A5F2A"/>
    <w:rsid w:val="406A34D3"/>
    <w:rsid w:val="407A6407"/>
    <w:rsid w:val="408829FA"/>
    <w:rsid w:val="409A7AF7"/>
    <w:rsid w:val="40BA08D6"/>
    <w:rsid w:val="40BC6E75"/>
    <w:rsid w:val="40C363C4"/>
    <w:rsid w:val="40C52249"/>
    <w:rsid w:val="40DE5847"/>
    <w:rsid w:val="40F71CBC"/>
    <w:rsid w:val="410C1A83"/>
    <w:rsid w:val="410E01A4"/>
    <w:rsid w:val="41493F5C"/>
    <w:rsid w:val="415715E5"/>
    <w:rsid w:val="416109CE"/>
    <w:rsid w:val="4168063D"/>
    <w:rsid w:val="416D75AA"/>
    <w:rsid w:val="41765539"/>
    <w:rsid w:val="417B3F50"/>
    <w:rsid w:val="41847666"/>
    <w:rsid w:val="419165AC"/>
    <w:rsid w:val="419A2E36"/>
    <w:rsid w:val="41AC59EC"/>
    <w:rsid w:val="41C6583F"/>
    <w:rsid w:val="41D36A6E"/>
    <w:rsid w:val="4200449D"/>
    <w:rsid w:val="420503B8"/>
    <w:rsid w:val="42091919"/>
    <w:rsid w:val="4214206C"/>
    <w:rsid w:val="42204D0A"/>
    <w:rsid w:val="42257833"/>
    <w:rsid w:val="42342FFF"/>
    <w:rsid w:val="423A3BCC"/>
    <w:rsid w:val="42482A40"/>
    <w:rsid w:val="424A2F22"/>
    <w:rsid w:val="424E57D2"/>
    <w:rsid w:val="42781B72"/>
    <w:rsid w:val="42972635"/>
    <w:rsid w:val="42AC04F6"/>
    <w:rsid w:val="42B26C49"/>
    <w:rsid w:val="42F174FD"/>
    <w:rsid w:val="42F50C8B"/>
    <w:rsid w:val="42F82880"/>
    <w:rsid w:val="42FB3536"/>
    <w:rsid w:val="431D75C4"/>
    <w:rsid w:val="432E070E"/>
    <w:rsid w:val="433A6FE6"/>
    <w:rsid w:val="4346147D"/>
    <w:rsid w:val="43465BD6"/>
    <w:rsid w:val="43480868"/>
    <w:rsid w:val="4350713C"/>
    <w:rsid w:val="436653E0"/>
    <w:rsid w:val="436B05D9"/>
    <w:rsid w:val="436C331D"/>
    <w:rsid w:val="436D5ED7"/>
    <w:rsid w:val="438B0F7F"/>
    <w:rsid w:val="439146DC"/>
    <w:rsid w:val="43A24A1B"/>
    <w:rsid w:val="43AA0AC3"/>
    <w:rsid w:val="43B25232"/>
    <w:rsid w:val="43C4431A"/>
    <w:rsid w:val="43E05E88"/>
    <w:rsid w:val="43EC504E"/>
    <w:rsid w:val="4400299C"/>
    <w:rsid w:val="44373FFB"/>
    <w:rsid w:val="44683842"/>
    <w:rsid w:val="449408DB"/>
    <w:rsid w:val="44946BAD"/>
    <w:rsid w:val="44AD5AB7"/>
    <w:rsid w:val="44B33DBE"/>
    <w:rsid w:val="44B445D3"/>
    <w:rsid w:val="44B951CC"/>
    <w:rsid w:val="44C6361F"/>
    <w:rsid w:val="44C839F7"/>
    <w:rsid w:val="44CD14E0"/>
    <w:rsid w:val="44D43991"/>
    <w:rsid w:val="44F20B0B"/>
    <w:rsid w:val="450D07E3"/>
    <w:rsid w:val="45191600"/>
    <w:rsid w:val="452B7DF8"/>
    <w:rsid w:val="452E5F4C"/>
    <w:rsid w:val="453C4B77"/>
    <w:rsid w:val="45535663"/>
    <w:rsid w:val="455D2E01"/>
    <w:rsid w:val="45612018"/>
    <w:rsid w:val="4565155C"/>
    <w:rsid w:val="45801B53"/>
    <w:rsid w:val="4582483C"/>
    <w:rsid w:val="45846C8E"/>
    <w:rsid w:val="458946E9"/>
    <w:rsid w:val="458A3F12"/>
    <w:rsid w:val="45952715"/>
    <w:rsid w:val="45A349DB"/>
    <w:rsid w:val="45A47C0E"/>
    <w:rsid w:val="460E4388"/>
    <w:rsid w:val="4614655F"/>
    <w:rsid w:val="462638EC"/>
    <w:rsid w:val="46577FD6"/>
    <w:rsid w:val="46623757"/>
    <w:rsid w:val="468D0383"/>
    <w:rsid w:val="46B856BC"/>
    <w:rsid w:val="46D955A7"/>
    <w:rsid w:val="46F10A42"/>
    <w:rsid w:val="47133957"/>
    <w:rsid w:val="473016F6"/>
    <w:rsid w:val="475008EB"/>
    <w:rsid w:val="475270E7"/>
    <w:rsid w:val="475D4D4A"/>
    <w:rsid w:val="47792AB4"/>
    <w:rsid w:val="477A458E"/>
    <w:rsid w:val="477C2B9F"/>
    <w:rsid w:val="477D3B0A"/>
    <w:rsid w:val="47947052"/>
    <w:rsid w:val="4798403B"/>
    <w:rsid w:val="479D2C22"/>
    <w:rsid w:val="47A07E0C"/>
    <w:rsid w:val="47C307BC"/>
    <w:rsid w:val="47E30E5E"/>
    <w:rsid w:val="47FB61A8"/>
    <w:rsid w:val="4828267D"/>
    <w:rsid w:val="483F2AFA"/>
    <w:rsid w:val="48404DC5"/>
    <w:rsid w:val="484758BA"/>
    <w:rsid w:val="484960C2"/>
    <w:rsid w:val="486D4139"/>
    <w:rsid w:val="4870272E"/>
    <w:rsid w:val="48745337"/>
    <w:rsid w:val="487B4BF3"/>
    <w:rsid w:val="48873C55"/>
    <w:rsid w:val="488843A0"/>
    <w:rsid w:val="488C7810"/>
    <w:rsid w:val="488F68F0"/>
    <w:rsid w:val="48A31843"/>
    <w:rsid w:val="48AB7694"/>
    <w:rsid w:val="48E924A4"/>
    <w:rsid w:val="48FD385A"/>
    <w:rsid w:val="49097036"/>
    <w:rsid w:val="490D501D"/>
    <w:rsid w:val="4911089D"/>
    <w:rsid w:val="4946234A"/>
    <w:rsid w:val="4989333F"/>
    <w:rsid w:val="49B86B98"/>
    <w:rsid w:val="49D40A5E"/>
    <w:rsid w:val="49DC7715"/>
    <w:rsid w:val="4A023139"/>
    <w:rsid w:val="4A1048C9"/>
    <w:rsid w:val="4A275032"/>
    <w:rsid w:val="4A542827"/>
    <w:rsid w:val="4A557555"/>
    <w:rsid w:val="4A7B576F"/>
    <w:rsid w:val="4A9106FD"/>
    <w:rsid w:val="4AF561A9"/>
    <w:rsid w:val="4B08356E"/>
    <w:rsid w:val="4B0A5D1D"/>
    <w:rsid w:val="4B173C3F"/>
    <w:rsid w:val="4B343292"/>
    <w:rsid w:val="4B394D6B"/>
    <w:rsid w:val="4B626381"/>
    <w:rsid w:val="4B7842D3"/>
    <w:rsid w:val="4BAF2B03"/>
    <w:rsid w:val="4BB20481"/>
    <w:rsid w:val="4BE04A10"/>
    <w:rsid w:val="4BEB73C9"/>
    <w:rsid w:val="4C0C2A92"/>
    <w:rsid w:val="4C171CB7"/>
    <w:rsid w:val="4C236F0F"/>
    <w:rsid w:val="4C322162"/>
    <w:rsid w:val="4C4A0649"/>
    <w:rsid w:val="4C4B29EB"/>
    <w:rsid w:val="4C687B84"/>
    <w:rsid w:val="4C6E2397"/>
    <w:rsid w:val="4C7E5ECA"/>
    <w:rsid w:val="4C876AA5"/>
    <w:rsid w:val="4C8F6D3A"/>
    <w:rsid w:val="4C973AE5"/>
    <w:rsid w:val="4CAA0A32"/>
    <w:rsid w:val="4CCA5EB6"/>
    <w:rsid w:val="4CD34AAF"/>
    <w:rsid w:val="4CD86867"/>
    <w:rsid w:val="4CDB7AC1"/>
    <w:rsid w:val="4D0E00FB"/>
    <w:rsid w:val="4D176606"/>
    <w:rsid w:val="4D2E777B"/>
    <w:rsid w:val="4D455D66"/>
    <w:rsid w:val="4D5E23F2"/>
    <w:rsid w:val="4D616AAD"/>
    <w:rsid w:val="4D6E6C73"/>
    <w:rsid w:val="4DAD1CF2"/>
    <w:rsid w:val="4DD22822"/>
    <w:rsid w:val="4DDD5F09"/>
    <w:rsid w:val="4DE63E82"/>
    <w:rsid w:val="4DE7540B"/>
    <w:rsid w:val="4DE8080A"/>
    <w:rsid w:val="4DEC4FB0"/>
    <w:rsid w:val="4DF41C64"/>
    <w:rsid w:val="4E0153E7"/>
    <w:rsid w:val="4E075D8A"/>
    <w:rsid w:val="4E5D2B8E"/>
    <w:rsid w:val="4E64209B"/>
    <w:rsid w:val="4E660759"/>
    <w:rsid w:val="4EA07308"/>
    <w:rsid w:val="4EC00FAD"/>
    <w:rsid w:val="4EDE2296"/>
    <w:rsid w:val="4EDF3B85"/>
    <w:rsid w:val="4EF90542"/>
    <w:rsid w:val="4EFB7FFA"/>
    <w:rsid w:val="4F1C464B"/>
    <w:rsid w:val="4F2B0778"/>
    <w:rsid w:val="4F423474"/>
    <w:rsid w:val="4F4F5AE6"/>
    <w:rsid w:val="4F590C07"/>
    <w:rsid w:val="4F6208BA"/>
    <w:rsid w:val="4F624D5E"/>
    <w:rsid w:val="4F712E7D"/>
    <w:rsid w:val="4F7858BC"/>
    <w:rsid w:val="4F894099"/>
    <w:rsid w:val="4F9154B5"/>
    <w:rsid w:val="4F983358"/>
    <w:rsid w:val="4F9843DC"/>
    <w:rsid w:val="4FA4714D"/>
    <w:rsid w:val="4FB07878"/>
    <w:rsid w:val="4FB1539E"/>
    <w:rsid w:val="4FC62A8C"/>
    <w:rsid w:val="4FC97DE0"/>
    <w:rsid w:val="4FE20F0D"/>
    <w:rsid w:val="4FE51552"/>
    <w:rsid w:val="4FEB6B02"/>
    <w:rsid w:val="501248BD"/>
    <w:rsid w:val="50303FF4"/>
    <w:rsid w:val="50422451"/>
    <w:rsid w:val="504F50D2"/>
    <w:rsid w:val="50504C4B"/>
    <w:rsid w:val="5051105B"/>
    <w:rsid w:val="506B0893"/>
    <w:rsid w:val="50816F0F"/>
    <w:rsid w:val="508A4202"/>
    <w:rsid w:val="508E75C7"/>
    <w:rsid w:val="508E7A06"/>
    <w:rsid w:val="509C6E7C"/>
    <w:rsid w:val="509D309B"/>
    <w:rsid w:val="50A65EDA"/>
    <w:rsid w:val="50B12E24"/>
    <w:rsid w:val="50B41669"/>
    <w:rsid w:val="50CF1B4F"/>
    <w:rsid w:val="5127200F"/>
    <w:rsid w:val="5162104E"/>
    <w:rsid w:val="51684A3E"/>
    <w:rsid w:val="516F66B9"/>
    <w:rsid w:val="51991B2A"/>
    <w:rsid w:val="51A03AE0"/>
    <w:rsid w:val="51B8521F"/>
    <w:rsid w:val="51FF19D7"/>
    <w:rsid w:val="522B0053"/>
    <w:rsid w:val="522E47A0"/>
    <w:rsid w:val="52584031"/>
    <w:rsid w:val="52674624"/>
    <w:rsid w:val="527D4BDE"/>
    <w:rsid w:val="52847608"/>
    <w:rsid w:val="52990A81"/>
    <w:rsid w:val="52A2273A"/>
    <w:rsid w:val="52CE0586"/>
    <w:rsid w:val="52FB0B3B"/>
    <w:rsid w:val="531604D5"/>
    <w:rsid w:val="534E7AD3"/>
    <w:rsid w:val="536B2C7B"/>
    <w:rsid w:val="53925251"/>
    <w:rsid w:val="53A039CC"/>
    <w:rsid w:val="53A1505A"/>
    <w:rsid w:val="53A61243"/>
    <w:rsid w:val="53D02297"/>
    <w:rsid w:val="53E2021C"/>
    <w:rsid w:val="53E20AC7"/>
    <w:rsid w:val="53F332A5"/>
    <w:rsid w:val="53F57CA6"/>
    <w:rsid w:val="54063E08"/>
    <w:rsid w:val="5411792B"/>
    <w:rsid w:val="54156136"/>
    <w:rsid w:val="542C36B9"/>
    <w:rsid w:val="543437E8"/>
    <w:rsid w:val="54372316"/>
    <w:rsid w:val="54460C1C"/>
    <w:rsid w:val="545669E5"/>
    <w:rsid w:val="54720CB7"/>
    <w:rsid w:val="54745219"/>
    <w:rsid w:val="547A2637"/>
    <w:rsid w:val="547D507D"/>
    <w:rsid w:val="548B456E"/>
    <w:rsid w:val="54900D7F"/>
    <w:rsid w:val="549A6CD7"/>
    <w:rsid w:val="54AF5DF2"/>
    <w:rsid w:val="54BA0331"/>
    <w:rsid w:val="54BB274E"/>
    <w:rsid w:val="54C668C3"/>
    <w:rsid w:val="54D562EB"/>
    <w:rsid w:val="54F73313"/>
    <w:rsid w:val="54F80955"/>
    <w:rsid w:val="551513D7"/>
    <w:rsid w:val="55243733"/>
    <w:rsid w:val="554D2F50"/>
    <w:rsid w:val="555170A7"/>
    <w:rsid w:val="55560E8E"/>
    <w:rsid w:val="55560F2F"/>
    <w:rsid w:val="557002C3"/>
    <w:rsid w:val="55792F9F"/>
    <w:rsid w:val="557E0DDE"/>
    <w:rsid w:val="55850FB5"/>
    <w:rsid w:val="5587536D"/>
    <w:rsid w:val="5588094F"/>
    <w:rsid w:val="55967D0C"/>
    <w:rsid w:val="559B174B"/>
    <w:rsid w:val="559B1BB7"/>
    <w:rsid w:val="55BD7F83"/>
    <w:rsid w:val="55C86B1C"/>
    <w:rsid w:val="55CE0CF4"/>
    <w:rsid w:val="55E93AE3"/>
    <w:rsid w:val="55F9748F"/>
    <w:rsid w:val="56090BAD"/>
    <w:rsid w:val="56503AD8"/>
    <w:rsid w:val="56697458"/>
    <w:rsid w:val="567E350E"/>
    <w:rsid w:val="569B7B44"/>
    <w:rsid w:val="56B22A9C"/>
    <w:rsid w:val="56BA5A33"/>
    <w:rsid w:val="56CF3857"/>
    <w:rsid w:val="56DD6D7E"/>
    <w:rsid w:val="56DE116E"/>
    <w:rsid w:val="56E53F47"/>
    <w:rsid w:val="56EB443B"/>
    <w:rsid w:val="56F16A02"/>
    <w:rsid w:val="56F2291B"/>
    <w:rsid w:val="56FF104C"/>
    <w:rsid w:val="570649AA"/>
    <w:rsid w:val="571903F8"/>
    <w:rsid w:val="571D7A5C"/>
    <w:rsid w:val="572267FD"/>
    <w:rsid w:val="572F3778"/>
    <w:rsid w:val="573C7A22"/>
    <w:rsid w:val="574F17CC"/>
    <w:rsid w:val="575463AD"/>
    <w:rsid w:val="5756456E"/>
    <w:rsid w:val="575C5E18"/>
    <w:rsid w:val="57734BCC"/>
    <w:rsid w:val="57A12205"/>
    <w:rsid w:val="57B430C2"/>
    <w:rsid w:val="57B72A76"/>
    <w:rsid w:val="57C2283E"/>
    <w:rsid w:val="57C3426C"/>
    <w:rsid w:val="57CD0BBC"/>
    <w:rsid w:val="57CE1F93"/>
    <w:rsid w:val="57F347A6"/>
    <w:rsid w:val="580F6DE9"/>
    <w:rsid w:val="581800F2"/>
    <w:rsid w:val="581B1CCB"/>
    <w:rsid w:val="582E75B4"/>
    <w:rsid w:val="583C080F"/>
    <w:rsid w:val="585056AD"/>
    <w:rsid w:val="58863562"/>
    <w:rsid w:val="588743D1"/>
    <w:rsid w:val="5887701A"/>
    <w:rsid w:val="58B8511B"/>
    <w:rsid w:val="58C3686E"/>
    <w:rsid w:val="58D2260D"/>
    <w:rsid w:val="58F85DEC"/>
    <w:rsid w:val="58FA4BC7"/>
    <w:rsid w:val="590429E2"/>
    <w:rsid w:val="59260BAB"/>
    <w:rsid w:val="59266DFD"/>
    <w:rsid w:val="5943350B"/>
    <w:rsid w:val="595132D5"/>
    <w:rsid w:val="59675731"/>
    <w:rsid w:val="59836E62"/>
    <w:rsid w:val="598F6D6B"/>
    <w:rsid w:val="599363A7"/>
    <w:rsid w:val="59B32943"/>
    <w:rsid w:val="59B937CD"/>
    <w:rsid w:val="59C0439F"/>
    <w:rsid w:val="59C109D7"/>
    <w:rsid w:val="5A032935"/>
    <w:rsid w:val="5A0F2FD8"/>
    <w:rsid w:val="5A166C98"/>
    <w:rsid w:val="5A177BA2"/>
    <w:rsid w:val="5A194282"/>
    <w:rsid w:val="5A1F5D24"/>
    <w:rsid w:val="5A347165"/>
    <w:rsid w:val="5A670969"/>
    <w:rsid w:val="5A900F23"/>
    <w:rsid w:val="5AA91A93"/>
    <w:rsid w:val="5ABE2233"/>
    <w:rsid w:val="5AD82CB9"/>
    <w:rsid w:val="5AFA409D"/>
    <w:rsid w:val="5B0F5D9A"/>
    <w:rsid w:val="5B395D82"/>
    <w:rsid w:val="5B413D90"/>
    <w:rsid w:val="5B555A68"/>
    <w:rsid w:val="5B6754E3"/>
    <w:rsid w:val="5B712625"/>
    <w:rsid w:val="5B8454FC"/>
    <w:rsid w:val="5B9676F9"/>
    <w:rsid w:val="5B9E763D"/>
    <w:rsid w:val="5B9F3207"/>
    <w:rsid w:val="5BA30E00"/>
    <w:rsid w:val="5BCD3708"/>
    <w:rsid w:val="5BDF5D95"/>
    <w:rsid w:val="5BFC2B6F"/>
    <w:rsid w:val="5BFE7528"/>
    <w:rsid w:val="5C3320B8"/>
    <w:rsid w:val="5C3B671B"/>
    <w:rsid w:val="5C3D37CB"/>
    <w:rsid w:val="5C5872CD"/>
    <w:rsid w:val="5C625ECB"/>
    <w:rsid w:val="5C7B17F0"/>
    <w:rsid w:val="5C8E0AAE"/>
    <w:rsid w:val="5C9B19C2"/>
    <w:rsid w:val="5CA95EC1"/>
    <w:rsid w:val="5CC74453"/>
    <w:rsid w:val="5D041300"/>
    <w:rsid w:val="5D0477B8"/>
    <w:rsid w:val="5D131446"/>
    <w:rsid w:val="5D172CE4"/>
    <w:rsid w:val="5D443881"/>
    <w:rsid w:val="5D4C55E7"/>
    <w:rsid w:val="5D6F3D71"/>
    <w:rsid w:val="5DF90D14"/>
    <w:rsid w:val="5DFD3EE8"/>
    <w:rsid w:val="5E032CE7"/>
    <w:rsid w:val="5E037473"/>
    <w:rsid w:val="5E096F7B"/>
    <w:rsid w:val="5E1706A7"/>
    <w:rsid w:val="5E1B2525"/>
    <w:rsid w:val="5E1F5DCB"/>
    <w:rsid w:val="5E2467F1"/>
    <w:rsid w:val="5E2C55AF"/>
    <w:rsid w:val="5E2D162C"/>
    <w:rsid w:val="5E2E3277"/>
    <w:rsid w:val="5E51556C"/>
    <w:rsid w:val="5E523C17"/>
    <w:rsid w:val="5E6E0BAF"/>
    <w:rsid w:val="5E927D86"/>
    <w:rsid w:val="5EB033F0"/>
    <w:rsid w:val="5EB26B69"/>
    <w:rsid w:val="5ECF3D9A"/>
    <w:rsid w:val="5EE9297B"/>
    <w:rsid w:val="5EE94E2B"/>
    <w:rsid w:val="5EEA6FE4"/>
    <w:rsid w:val="5EF62F20"/>
    <w:rsid w:val="5EF65F72"/>
    <w:rsid w:val="5F0265FB"/>
    <w:rsid w:val="5F1A2B43"/>
    <w:rsid w:val="5F1C0A86"/>
    <w:rsid w:val="5F25563F"/>
    <w:rsid w:val="5F397060"/>
    <w:rsid w:val="5F4C4D88"/>
    <w:rsid w:val="5F4F61D0"/>
    <w:rsid w:val="5F6D12E1"/>
    <w:rsid w:val="5F764577"/>
    <w:rsid w:val="5F8605F5"/>
    <w:rsid w:val="5F8F5C2E"/>
    <w:rsid w:val="5FB52960"/>
    <w:rsid w:val="5FB837BB"/>
    <w:rsid w:val="5FEF75B1"/>
    <w:rsid w:val="6004102B"/>
    <w:rsid w:val="60055526"/>
    <w:rsid w:val="6017749F"/>
    <w:rsid w:val="60212507"/>
    <w:rsid w:val="602A53A3"/>
    <w:rsid w:val="602F18D4"/>
    <w:rsid w:val="60311FEA"/>
    <w:rsid w:val="603D5747"/>
    <w:rsid w:val="60485BB9"/>
    <w:rsid w:val="604A7A7C"/>
    <w:rsid w:val="605C2CBF"/>
    <w:rsid w:val="60635288"/>
    <w:rsid w:val="6065020A"/>
    <w:rsid w:val="60951BC9"/>
    <w:rsid w:val="60B92121"/>
    <w:rsid w:val="60C70EC5"/>
    <w:rsid w:val="60C97BF0"/>
    <w:rsid w:val="60CC405A"/>
    <w:rsid w:val="61016185"/>
    <w:rsid w:val="61167607"/>
    <w:rsid w:val="611D1740"/>
    <w:rsid w:val="613812D2"/>
    <w:rsid w:val="613A6411"/>
    <w:rsid w:val="61422FEB"/>
    <w:rsid w:val="614B361E"/>
    <w:rsid w:val="616B35FF"/>
    <w:rsid w:val="616E32AE"/>
    <w:rsid w:val="618F19E3"/>
    <w:rsid w:val="619939F1"/>
    <w:rsid w:val="619C7C5C"/>
    <w:rsid w:val="61D02B43"/>
    <w:rsid w:val="61DF1A53"/>
    <w:rsid w:val="61E215D8"/>
    <w:rsid w:val="61F555BE"/>
    <w:rsid w:val="62035A80"/>
    <w:rsid w:val="62143624"/>
    <w:rsid w:val="62161F3E"/>
    <w:rsid w:val="621B3775"/>
    <w:rsid w:val="62214F0F"/>
    <w:rsid w:val="62364782"/>
    <w:rsid w:val="623E5243"/>
    <w:rsid w:val="629A3FC0"/>
    <w:rsid w:val="62E653C2"/>
    <w:rsid w:val="62F24948"/>
    <w:rsid w:val="62F81860"/>
    <w:rsid w:val="62FB30A8"/>
    <w:rsid w:val="63100901"/>
    <w:rsid w:val="631F3AAB"/>
    <w:rsid w:val="63716EC6"/>
    <w:rsid w:val="6394356A"/>
    <w:rsid w:val="63BA0DAB"/>
    <w:rsid w:val="63C61B2C"/>
    <w:rsid w:val="63CC5987"/>
    <w:rsid w:val="63D40BE9"/>
    <w:rsid w:val="63DB32E5"/>
    <w:rsid w:val="64053218"/>
    <w:rsid w:val="640B4142"/>
    <w:rsid w:val="64102431"/>
    <w:rsid w:val="64264E79"/>
    <w:rsid w:val="64322AF9"/>
    <w:rsid w:val="644F7208"/>
    <w:rsid w:val="64653E24"/>
    <w:rsid w:val="64654C7D"/>
    <w:rsid w:val="646E3A78"/>
    <w:rsid w:val="647D1316"/>
    <w:rsid w:val="649577C3"/>
    <w:rsid w:val="64A5243A"/>
    <w:rsid w:val="64A85505"/>
    <w:rsid w:val="64C339DF"/>
    <w:rsid w:val="64D31069"/>
    <w:rsid w:val="64DA59C4"/>
    <w:rsid w:val="64F531DE"/>
    <w:rsid w:val="64F82900"/>
    <w:rsid w:val="65020750"/>
    <w:rsid w:val="650310B4"/>
    <w:rsid w:val="65373578"/>
    <w:rsid w:val="653C1662"/>
    <w:rsid w:val="653D3B65"/>
    <w:rsid w:val="654D1ED3"/>
    <w:rsid w:val="655223E8"/>
    <w:rsid w:val="65595B62"/>
    <w:rsid w:val="655F707B"/>
    <w:rsid w:val="656B62C3"/>
    <w:rsid w:val="656C6779"/>
    <w:rsid w:val="657A1433"/>
    <w:rsid w:val="658C6239"/>
    <w:rsid w:val="65926B87"/>
    <w:rsid w:val="65A01822"/>
    <w:rsid w:val="65A02E2F"/>
    <w:rsid w:val="65B10F38"/>
    <w:rsid w:val="65CD2860"/>
    <w:rsid w:val="65E021F4"/>
    <w:rsid w:val="660964DD"/>
    <w:rsid w:val="66100016"/>
    <w:rsid w:val="6621370F"/>
    <w:rsid w:val="662139EB"/>
    <w:rsid w:val="662621EA"/>
    <w:rsid w:val="663C283C"/>
    <w:rsid w:val="6659611C"/>
    <w:rsid w:val="66613222"/>
    <w:rsid w:val="66B073A3"/>
    <w:rsid w:val="66BE2E06"/>
    <w:rsid w:val="66C13499"/>
    <w:rsid w:val="66F10A4A"/>
    <w:rsid w:val="66F6572D"/>
    <w:rsid w:val="66F80142"/>
    <w:rsid w:val="67010561"/>
    <w:rsid w:val="67116044"/>
    <w:rsid w:val="671F124A"/>
    <w:rsid w:val="674768BC"/>
    <w:rsid w:val="674B5BDA"/>
    <w:rsid w:val="675608AD"/>
    <w:rsid w:val="67567917"/>
    <w:rsid w:val="67774CB6"/>
    <w:rsid w:val="677A33C6"/>
    <w:rsid w:val="6785752C"/>
    <w:rsid w:val="67D61AA0"/>
    <w:rsid w:val="67E16904"/>
    <w:rsid w:val="67E41503"/>
    <w:rsid w:val="68114AF1"/>
    <w:rsid w:val="681B7AF0"/>
    <w:rsid w:val="681F6961"/>
    <w:rsid w:val="683A3D2B"/>
    <w:rsid w:val="68412F07"/>
    <w:rsid w:val="684B295A"/>
    <w:rsid w:val="68541E9A"/>
    <w:rsid w:val="685F4446"/>
    <w:rsid w:val="68610A2F"/>
    <w:rsid w:val="68644DE2"/>
    <w:rsid w:val="68727B54"/>
    <w:rsid w:val="68805514"/>
    <w:rsid w:val="688B26A5"/>
    <w:rsid w:val="68B540D0"/>
    <w:rsid w:val="68B63A7E"/>
    <w:rsid w:val="68C70A76"/>
    <w:rsid w:val="68C833D1"/>
    <w:rsid w:val="68F95994"/>
    <w:rsid w:val="68FE11FC"/>
    <w:rsid w:val="69043A77"/>
    <w:rsid w:val="690678C9"/>
    <w:rsid w:val="6912299F"/>
    <w:rsid w:val="69316E2F"/>
    <w:rsid w:val="694E2071"/>
    <w:rsid w:val="69645657"/>
    <w:rsid w:val="69766163"/>
    <w:rsid w:val="697937F4"/>
    <w:rsid w:val="6979403C"/>
    <w:rsid w:val="697A3B33"/>
    <w:rsid w:val="699D2023"/>
    <w:rsid w:val="69C97A5C"/>
    <w:rsid w:val="69D44760"/>
    <w:rsid w:val="69D5187C"/>
    <w:rsid w:val="6A073229"/>
    <w:rsid w:val="6A0B18DD"/>
    <w:rsid w:val="6A520EC7"/>
    <w:rsid w:val="6A576E16"/>
    <w:rsid w:val="6A6E5F0E"/>
    <w:rsid w:val="6A98533F"/>
    <w:rsid w:val="6AA33495"/>
    <w:rsid w:val="6AA50921"/>
    <w:rsid w:val="6AD05C0E"/>
    <w:rsid w:val="6AD40E6B"/>
    <w:rsid w:val="6AD558C2"/>
    <w:rsid w:val="6AE1057F"/>
    <w:rsid w:val="6AF87E20"/>
    <w:rsid w:val="6B322639"/>
    <w:rsid w:val="6B6537B4"/>
    <w:rsid w:val="6B94690F"/>
    <w:rsid w:val="6BBC62A9"/>
    <w:rsid w:val="6BBF5C98"/>
    <w:rsid w:val="6BFB7D7A"/>
    <w:rsid w:val="6BFF07D9"/>
    <w:rsid w:val="6C0B7FE1"/>
    <w:rsid w:val="6C1A172C"/>
    <w:rsid w:val="6C3118E9"/>
    <w:rsid w:val="6C532CBE"/>
    <w:rsid w:val="6C636C38"/>
    <w:rsid w:val="6C895281"/>
    <w:rsid w:val="6C950E56"/>
    <w:rsid w:val="6CAD3F7A"/>
    <w:rsid w:val="6CBA35B7"/>
    <w:rsid w:val="6D1B756A"/>
    <w:rsid w:val="6D461826"/>
    <w:rsid w:val="6D597CA2"/>
    <w:rsid w:val="6D5F7BD0"/>
    <w:rsid w:val="6D6B396B"/>
    <w:rsid w:val="6D7A39BC"/>
    <w:rsid w:val="6D9629FC"/>
    <w:rsid w:val="6DAC1227"/>
    <w:rsid w:val="6DB34098"/>
    <w:rsid w:val="6DB3635A"/>
    <w:rsid w:val="6DB545B6"/>
    <w:rsid w:val="6DE02FB4"/>
    <w:rsid w:val="6DF130DE"/>
    <w:rsid w:val="6E0472B5"/>
    <w:rsid w:val="6E053E0F"/>
    <w:rsid w:val="6E1402CF"/>
    <w:rsid w:val="6E1F5E9D"/>
    <w:rsid w:val="6E29426A"/>
    <w:rsid w:val="6E4041EF"/>
    <w:rsid w:val="6E514CED"/>
    <w:rsid w:val="6E535B46"/>
    <w:rsid w:val="6E573717"/>
    <w:rsid w:val="6E591E49"/>
    <w:rsid w:val="6E755ABD"/>
    <w:rsid w:val="6E7837FF"/>
    <w:rsid w:val="6E7F1999"/>
    <w:rsid w:val="6EB563D5"/>
    <w:rsid w:val="6EBA2E91"/>
    <w:rsid w:val="6ED92677"/>
    <w:rsid w:val="6EF174B1"/>
    <w:rsid w:val="6EF57019"/>
    <w:rsid w:val="6EF607BF"/>
    <w:rsid w:val="6EFC71D0"/>
    <w:rsid w:val="6EFF1142"/>
    <w:rsid w:val="6EFF4545"/>
    <w:rsid w:val="6F225983"/>
    <w:rsid w:val="6F47472A"/>
    <w:rsid w:val="6FA20265"/>
    <w:rsid w:val="6FBE551D"/>
    <w:rsid w:val="6FDE6C30"/>
    <w:rsid w:val="6FE264A0"/>
    <w:rsid w:val="6FED4BA9"/>
    <w:rsid w:val="6FED5B27"/>
    <w:rsid w:val="6FF73A4A"/>
    <w:rsid w:val="6FFC5590"/>
    <w:rsid w:val="700E3A5D"/>
    <w:rsid w:val="702622FA"/>
    <w:rsid w:val="702A7BC3"/>
    <w:rsid w:val="703D44F7"/>
    <w:rsid w:val="705539ED"/>
    <w:rsid w:val="706D1DD0"/>
    <w:rsid w:val="70842849"/>
    <w:rsid w:val="70856B87"/>
    <w:rsid w:val="709F253D"/>
    <w:rsid w:val="70AB6678"/>
    <w:rsid w:val="70AC4107"/>
    <w:rsid w:val="70B2124A"/>
    <w:rsid w:val="70B26C8E"/>
    <w:rsid w:val="70C525FF"/>
    <w:rsid w:val="70C95159"/>
    <w:rsid w:val="70D527EE"/>
    <w:rsid w:val="70D70CB1"/>
    <w:rsid w:val="70E54A1D"/>
    <w:rsid w:val="70FB3042"/>
    <w:rsid w:val="70FC02D9"/>
    <w:rsid w:val="70FE623D"/>
    <w:rsid w:val="711710AD"/>
    <w:rsid w:val="71395FD0"/>
    <w:rsid w:val="71420992"/>
    <w:rsid w:val="715B5300"/>
    <w:rsid w:val="718258C3"/>
    <w:rsid w:val="71A151B2"/>
    <w:rsid w:val="71D27F8A"/>
    <w:rsid w:val="71DB5690"/>
    <w:rsid w:val="71E73175"/>
    <w:rsid w:val="71F906BB"/>
    <w:rsid w:val="71FB40FF"/>
    <w:rsid w:val="720C41EB"/>
    <w:rsid w:val="72151CD4"/>
    <w:rsid w:val="723923A2"/>
    <w:rsid w:val="723E2FE1"/>
    <w:rsid w:val="72404633"/>
    <w:rsid w:val="72553024"/>
    <w:rsid w:val="725C626D"/>
    <w:rsid w:val="7296094F"/>
    <w:rsid w:val="72B015D0"/>
    <w:rsid w:val="72E27F5F"/>
    <w:rsid w:val="7306762B"/>
    <w:rsid w:val="73080111"/>
    <w:rsid w:val="73122968"/>
    <w:rsid w:val="7318413C"/>
    <w:rsid w:val="731F5D5E"/>
    <w:rsid w:val="732D2458"/>
    <w:rsid w:val="733968F8"/>
    <w:rsid w:val="73406A67"/>
    <w:rsid w:val="7347281E"/>
    <w:rsid w:val="735927D5"/>
    <w:rsid w:val="738C1A6B"/>
    <w:rsid w:val="73C51AD5"/>
    <w:rsid w:val="73C60181"/>
    <w:rsid w:val="73EA08D1"/>
    <w:rsid w:val="73F2195D"/>
    <w:rsid w:val="73FA3ABB"/>
    <w:rsid w:val="741E793C"/>
    <w:rsid w:val="742F4960"/>
    <w:rsid w:val="744B434F"/>
    <w:rsid w:val="7451108F"/>
    <w:rsid w:val="745E3944"/>
    <w:rsid w:val="74800B09"/>
    <w:rsid w:val="74942077"/>
    <w:rsid w:val="74A0760B"/>
    <w:rsid w:val="74B310ED"/>
    <w:rsid w:val="74CB250B"/>
    <w:rsid w:val="74DB40D7"/>
    <w:rsid w:val="74F702A9"/>
    <w:rsid w:val="74FA32F0"/>
    <w:rsid w:val="74FC52C7"/>
    <w:rsid w:val="750951B1"/>
    <w:rsid w:val="753F6450"/>
    <w:rsid w:val="754135E6"/>
    <w:rsid w:val="75491A51"/>
    <w:rsid w:val="755503F6"/>
    <w:rsid w:val="75671ED7"/>
    <w:rsid w:val="75707724"/>
    <w:rsid w:val="757271FA"/>
    <w:rsid w:val="75895F24"/>
    <w:rsid w:val="759A6D8F"/>
    <w:rsid w:val="759C7F87"/>
    <w:rsid w:val="75B573E3"/>
    <w:rsid w:val="75C1531D"/>
    <w:rsid w:val="75E967A9"/>
    <w:rsid w:val="762115A2"/>
    <w:rsid w:val="7635099D"/>
    <w:rsid w:val="763C5112"/>
    <w:rsid w:val="76607052"/>
    <w:rsid w:val="76676E2E"/>
    <w:rsid w:val="766A1C7F"/>
    <w:rsid w:val="768B53C8"/>
    <w:rsid w:val="76C1221D"/>
    <w:rsid w:val="770F0FEE"/>
    <w:rsid w:val="770F11B3"/>
    <w:rsid w:val="771D3E64"/>
    <w:rsid w:val="776A03CE"/>
    <w:rsid w:val="77762421"/>
    <w:rsid w:val="77897245"/>
    <w:rsid w:val="77B0391D"/>
    <w:rsid w:val="77B56B1F"/>
    <w:rsid w:val="77B83A5C"/>
    <w:rsid w:val="77D04D55"/>
    <w:rsid w:val="77D47D4D"/>
    <w:rsid w:val="77FB6110"/>
    <w:rsid w:val="780F09F4"/>
    <w:rsid w:val="785045C8"/>
    <w:rsid w:val="78570BC5"/>
    <w:rsid w:val="788039DC"/>
    <w:rsid w:val="78814E9F"/>
    <w:rsid w:val="78830A28"/>
    <w:rsid w:val="78A90480"/>
    <w:rsid w:val="78AB7F88"/>
    <w:rsid w:val="78B611AB"/>
    <w:rsid w:val="78C51693"/>
    <w:rsid w:val="78E177E9"/>
    <w:rsid w:val="78EE303B"/>
    <w:rsid w:val="78FF05CF"/>
    <w:rsid w:val="791505C8"/>
    <w:rsid w:val="7939054E"/>
    <w:rsid w:val="795B18AA"/>
    <w:rsid w:val="795B27BB"/>
    <w:rsid w:val="79821B62"/>
    <w:rsid w:val="79C86289"/>
    <w:rsid w:val="79D67D21"/>
    <w:rsid w:val="79DC10E6"/>
    <w:rsid w:val="79E60AF0"/>
    <w:rsid w:val="79F16039"/>
    <w:rsid w:val="79F67EFF"/>
    <w:rsid w:val="7A0C6DF8"/>
    <w:rsid w:val="7A266B63"/>
    <w:rsid w:val="7A364017"/>
    <w:rsid w:val="7A752339"/>
    <w:rsid w:val="7A8265E1"/>
    <w:rsid w:val="7A9401F3"/>
    <w:rsid w:val="7AA606AA"/>
    <w:rsid w:val="7AC2652D"/>
    <w:rsid w:val="7AC73B44"/>
    <w:rsid w:val="7AD3265B"/>
    <w:rsid w:val="7B166879"/>
    <w:rsid w:val="7B686D42"/>
    <w:rsid w:val="7B6E41A9"/>
    <w:rsid w:val="7B841746"/>
    <w:rsid w:val="7B9205E3"/>
    <w:rsid w:val="7B9217EE"/>
    <w:rsid w:val="7C296772"/>
    <w:rsid w:val="7C3C47A7"/>
    <w:rsid w:val="7C6C5AC7"/>
    <w:rsid w:val="7C7430EA"/>
    <w:rsid w:val="7C7C270C"/>
    <w:rsid w:val="7C830D82"/>
    <w:rsid w:val="7CC16995"/>
    <w:rsid w:val="7CC54EB2"/>
    <w:rsid w:val="7CC6544B"/>
    <w:rsid w:val="7CD60D99"/>
    <w:rsid w:val="7CF16C56"/>
    <w:rsid w:val="7D0239FF"/>
    <w:rsid w:val="7D0D62B9"/>
    <w:rsid w:val="7D1E0997"/>
    <w:rsid w:val="7D453655"/>
    <w:rsid w:val="7D567978"/>
    <w:rsid w:val="7D5D7FB4"/>
    <w:rsid w:val="7D5E2153"/>
    <w:rsid w:val="7D5E40CD"/>
    <w:rsid w:val="7D621369"/>
    <w:rsid w:val="7D713033"/>
    <w:rsid w:val="7D800C34"/>
    <w:rsid w:val="7D80622C"/>
    <w:rsid w:val="7DA13C40"/>
    <w:rsid w:val="7DAA0A13"/>
    <w:rsid w:val="7DAF266D"/>
    <w:rsid w:val="7DCD56F2"/>
    <w:rsid w:val="7DD54E72"/>
    <w:rsid w:val="7DED1A9A"/>
    <w:rsid w:val="7DF03061"/>
    <w:rsid w:val="7DF3559C"/>
    <w:rsid w:val="7E0C4203"/>
    <w:rsid w:val="7E142CC9"/>
    <w:rsid w:val="7E2D1F08"/>
    <w:rsid w:val="7E486D4A"/>
    <w:rsid w:val="7E551827"/>
    <w:rsid w:val="7E747B3F"/>
    <w:rsid w:val="7E7D428B"/>
    <w:rsid w:val="7E81538F"/>
    <w:rsid w:val="7ED44A81"/>
    <w:rsid w:val="7F001CE7"/>
    <w:rsid w:val="7F3B54F5"/>
    <w:rsid w:val="7F470EE0"/>
    <w:rsid w:val="7F510438"/>
    <w:rsid w:val="7F5D4E94"/>
    <w:rsid w:val="7F8C2C66"/>
    <w:rsid w:val="7F971C11"/>
    <w:rsid w:val="7FA250BD"/>
    <w:rsid w:val="7FBF128D"/>
    <w:rsid w:val="7FCA7938"/>
    <w:rsid w:val="7FE47E50"/>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qFormat="1" w:unhideWhenUsed="0" w:uiPriority="99"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0" w:semiHidden="0" w:name="List" w:locked="1"/>
    <w:lsdException w:qFormat="1"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qFormat="1" w:unhideWhenUsed="0" w:uiPriority="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8">
    <w:name w:val="heading 2"/>
    <w:basedOn w:val="1"/>
    <w:next w:val="1"/>
    <w:unhideWhenUsed/>
    <w:qFormat/>
    <w:locked/>
    <w:uiPriority w:val="0"/>
    <w:pPr>
      <w:spacing w:before="100" w:beforeAutospacing="1" w:after="100" w:afterAutospacing="1"/>
      <w:jc w:val="left"/>
      <w:outlineLvl w:val="1"/>
    </w:pPr>
    <w:rPr>
      <w:rFonts w:hint="eastAsia" w:ascii="宋体" w:hAnsi="宋体"/>
      <w:b/>
      <w:bCs/>
      <w:kern w:val="0"/>
      <w:sz w:val="36"/>
      <w:szCs w:val="36"/>
    </w:rPr>
  </w:style>
  <w:style w:type="paragraph" w:styleId="9">
    <w:name w:val="heading 3"/>
    <w:basedOn w:val="1"/>
    <w:next w:val="1"/>
    <w:unhideWhenUsed/>
    <w:qFormat/>
    <w:locked/>
    <w:uiPriority w:val="0"/>
    <w:pPr>
      <w:spacing w:before="100" w:beforeAutospacing="1" w:after="100" w:afterAutospacing="1"/>
      <w:jc w:val="left"/>
      <w:outlineLvl w:val="2"/>
    </w:pPr>
    <w:rPr>
      <w:rFonts w:hint="eastAsia" w:ascii="宋体" w:hAnsi="宋体"/>
      <w:b/>
      <w:bCs/>
      <w:kern w:val="0"/>
      <w:sz w:val="27"/>
      <w:szCs w:val="27"/>
    </w:rPr>
  </w:style>
  <w:style w:type="paragraph" w:styleId="10">
    <w:name w:val="heading 4"/>
    <w:basedOn w:val="1"/>
    <w:next w:val="1"/>
    <w:qFormat/>
    <w:locked/>
    <w:uiPriority w:val="1"/>
    <w:pPr>
      <w:ind w:left="708"/>
      <w:outlineLvl w:val="3"/>
    </w:pPr>
    <w:rPr>
      <w:rFonts w:ascii="宋体" w:hAnsi="宋体" w:cs="宋体"/>
      <w:b/>
      <w:bCs/>
      <w:sz w:val="24"/>
      <w:lang w:val="zh-CN" w:bidi="zh-CN"/>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locked/>
    <w:uiPriority w:val="99"/>
    <w:pPr>
      <w:ind w:firstLine="420" w:firstLineChars="200"/>
    </w:pPr>
  </w:style>
  <w:style w:type="paragraph" w:styleId="3">
    <w:name w:val="Body Text Indent"/>
    <w:basedOn w:val="1"/>
    <w:next w:val="4"/>
    <w:link w:val="46"/>
    <w:qFormat/>
    <w:uiPriority w:val="0"/>
    <w:pPr>
      <w:spacing w:after="120"/>
      <w:ind w:left="420" w:leftChars="200"/>
    </w:pPr>
    <w:rPr>
      <w:kern w:val="0"/>
      <w:sz w:val="24"/>
      <w:szCs w:val="20"/>
    </w:rPr>
  </w:style>
  <w:style w:type="paragraph" w:styleId="4">
    <w:name w:val="header"/>
    <w:basedOn w:val="1"/>
    <w:next w:val="5"/>
    <w:link w:val="47"/>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5">
    <w:name w:val="样式5"/>
    <w:basedOn w:val="6"/>
    <w:next w:val="1"/>
    <w:qFormat/>
    <w:uiPriority w:val="0"/>
    <w:pPr>
      <w:tabs>
        <w:tab w:val="left" w:pos="420"/>
        <w:tab w:val="left" w:pos="1589"/>
      </w:tabs>
      <w:adjustRightInd w:val="0"/>
      <w:spacing w:line="480" w:lineRule="exact"/>
      <w:ind w:firstLine="480" w:firstLineChars="200"/>
      <w:jc w:val="left"/>
    </w:pPr>
    <w:rPr>
      <w:rFonts w:ascii="宋体" w:hAnsi="宋体"/>
      <w:b/>
      <w:snapToGrid w:val="0"/>
      <w:sz w:val="24"/>
      <w:szCs w:val="24"/>
    </w:rPr>
  </w:style>
  <w:style w:type="paragraph" w:customStyle="1" w:styleId="6">
    <w:name w:val="正文1"/>
    <w:basedOn w:val="1"/>
    <w:next w:val="1"/>
    <w:qFormat/>
    <w:uiPriority w:val="0"/>
    <w:pPr>
      <w:snapToGrid w:val="0"/>
      <w:spacing w:line="360" w:lineRule="atLeast"/>
      <w:jc w:val="center"/>
    </w:pPr>
    <w:rPr>
      <w:kern w:val="21"/>
      <w:szCs w:val="20"/>
    </w:rPr>
  </w:style>
  <w:style w:type="paragraph" w:styleId="11">
    <w:name w:val="Normal Indent"/>
    <w:basedOn w:val="1"/>
    <w:next w:val="10"/>
    <w:qFormat/>
    <w:locked/>
    <w:uiPriority w:val="0"/>
    <w:pPr>
      <w:jc w:val="center"/>
    </w:pPr>
    <w:rPr>
      <w:rFonts w:eastAsia="黑体"/>
      <w:szCs w:val="20"/>
    </w:rPr>
  </w:style>
  <w:style w:type="paragraph" w:styleId="12">
    <w:name w:val="caption"/>
    <w:basedOn w:val="1"/>
    <w:next w:val="1"/>
    <w:qFormat/>
    <w:locked/>
    <w:uiPriority w:val="0"/>
    <w:pPr>
      <w:spacing w:before="152" w:after="160"/>
    </w:pPr>
    <w:rPr>
      <w:rFonts w:ascii="Arial" w:hAnsi="Arial" w:eastAsia="黑体"/>
      <w:color w:val="000000"/>
      <w:szCs w:val="20"/>
    </w:rPr>
  </w:style>
  <w:style w:type="paragraph" w:styleId="13">
    <w:name w:val="List Bullet"/>
    <w:basedOn w:val="1"/>
    <w:qFormat/>
    <w:locked/>
    <w:uiPriority w:val="0"/>
    <w:pPr>
      <w:numPr>
        <w:ilvl w:val="0"/>
        <w:numId w:val="1"/>
      </w:numPr>
    </w:pPr>
  </w:style>
  <w:style w:type="paragraph" w:styleId="14">
    <w:name w:val="Document Map"/>
    <w:basedOn w:val="1"/>
    <w:link w:val="43"/>
    <w:semiHidden/>
    <w:qFormat/>
    <w:locked/>
    <w:uiPriority w:val="0"/>
    <w:pPr>
      <w:shd w:val="clear" w:color="auto" w:fill="000080"/>
    </w:pPr>
  </w:style>
  <w:style w:type="paragraph" w:styleId="15">
    <w:name w:val="annotation text"/>
    <w:basedOn w:val="1"/>
    <w:link w:val="44"/>
    <w:semiHidden/>
    <w:qFormat/>
    <w:uiPriority w:val="0"/>
    <w:pPr>
      <w:jc w:val="left"/>
    </w:pPr>
    <w:rPr>
      <w:kern w:val="0"/>
      <w:sz w:val="24"/>
      <w:szCs w:val="20"/>
    </w:rPr>
  </w:style>
  <w:style w:type="paragraph" w:styleId="16">
    <w:name w:val="Body Text"/>
    <w:basedOn w:val="1"/>
    <w:next w:val="17"/>
    <w:link w:val="45"/>
    <w:qFormat/>
    <w:uiPriority w:val="0"/>
    <w:pPr>
      <w:widowControl/>
      <w:snapToGrid w:val="0"/>
      <w:spacing w:before="60" w:after="160" w:line="259" w:lineRule="auto"/>
      <w:ind w:right="113"/>
    </w:pPr>
    <w:rPr>
      <w:kern w:val="0"/>
      <w:sz w:val="18"/>
      <w:szCs w:val="20"/>
    </w:rPr>
  </w:style>
  <w:style w:type="paragraph" w:styleId="17">
    <w:name w:val="List Bullet 5"/>
    <w:basedOn w:val="1"/>
    <w:qFormat/>
    <w:locked/>
    <w:uiPriority w:val="0"/>
    <w:pPr>
      <w:numPr>
        <w:ilvl w:val="0"/>
        <w:numId w:val="2"/>
      </w:numPr>
    </w:pPr>
  </w:style>
  <w:style w:type="paragraph" w:styleId="18">
    <w:name w:val="Block Text"/>
    <w:basedOn w:val="1"/>
    <w:next w:val="1"/>
    <w:qFormat/>
    <w:locked/>
    <w:uiPriority w:val="0"/>
    <w:pPr>
      <w:autoSpaceDE w:val="0"/>
      <w:autoSpaceDN w:val="0"/>
      <w:adjustRightInd w:val="0"/>
      <w:spacing w:before="1" w:line="537" w:lineRule="exact"/>
      <w:ind w:left="88" w:right="6"/>
    </w:pPr>
    <w:rPr>
      <w:kern w:val="0"/>
      <w:sz w:val="28"/>
      <w:szCs w:val="20"/>
    </w:rPr>
  </w:style>
  <w:style w:type="paragraph" w:styleId="19">
    <w:name w:val="Plain Text"/>
    <w:basedOn w:val="1"/>
    <w:next w:val="20"/>
    <w:qFormat/>
    <w:locked/>
    <w:uiPriority w:val="0"/>
    <w:rPr>
      <w:rFonts w:ascii="宋体" w:hAnsi="Courier New" w:cs="Courier New"/>
      <w:szCs w:val="21"/>
    </w:rPr>
  </w:style>
  <w:style w:type="paragraph" w:styleId="20">
    <w:name w:val="table of figures"/>
    <w:basedOn w:val="1"/>
    <w:next w:val="1"/>
    <w:qFormat/>
    <w:locked/>
    <w:uiPriority w:val="0"/>
  </w:style>
  <w:style w:type="paragraph" w:styleId="21">
    <w:name w:val="Date"/>
    <w:basedOn w:val="1"/>
    <w:next w:val="1"/>
    <w:link w:val="48"/>
    <w:qFormat/>
    <w:uiPriority w:val="0"/>
    <w:pPr>
      <w:ind w:left="100" w:leftChars="2500"/>
    </w:pPr>
    <w:rPr>
      <w:kern w:val="0"/>
      <w:sz w:val="24"/>
      <w:szCs w:val="20"/>
    </w:rPr>
  </w:style>
  <w:style w:type="paragraph" w:styleId="22">
    <w:name w:val="Body Text Indent 2"/>
    <w:basedOn w:val="1"/>
    <w:next w:val="23"/>
    <w:link w:val="49"/>
    <w:qFormat/>
    <w:locked/>
    <w:uiPriority w:val="0"/>
    <w:pPr>
      <w:spacing w:line="360" w:lineRule="auto"/>
      <w:ind w:left="720" w:hanging="720"/>
    </w:pPr>
    <w:rPr>
      <w:rFonts w:ascii="宋体"/>
      <w:sz w:val="24"/>
    </w:rPr>
  </w:style>
  <w:style w:type="paragraph" w:customStyle="1" w:styleId="23">
    <w:name w:val="reader-word-layer reader-word-s46-2"/>
    <w:basedOn w:val="1"/>
    <w:next w:val="24"/>
    <w:qFormat/>
    <w:uiPriority w:val="0"/>
    <w:pPr>
      <w:widowControl/>
      <w:spacing w:before="280" w:after="280"/>
    </w:pPr>
    <w:rPr>
      <w:rFonts w:ascii="宋体"/>
      <w:sz w:val="24"/>
    </w:rPr>
  </w:style>
  <w:style w:type="paragraph" w:customStyle="1" w:styleId="24">
    <w:name w:val="xl35"/>
    <w:basedOn w:val="1"/>
    <w:next w:val="1"/>
    <w:qFormat/>
    <w:uiPriority w:val="0"/>
    <w:pPr>
      <w:widowControl/>
      <w:shd w:val="clear" w:color="FFFFFF" w:fill="FFFFFF"/>
      <w:spacing w:before="280" w:after="280"/>
    </w:pPr>
    <w:rPr>
      <w:rFonts w:ascii="Arial Unicode MS" w:eastAsia="Arial Unicode MS"/>
      <w:sz w:val="24"/>
    </w:rPr>
  </w:style>
  <w:style w:type="paragraph" w:styleId="25">
    <w:name w:val="Balloon Text"/>
    <w:basedOn w:val="1"/>
    <w:link w:val="50"/>
    <w:semiHidden/>
    <w:qFormat/>
    <w:uiPriority w:val="0"/>
    <w:rPr>
      <w:kern w:val="0"/>
      <w:sz w:val="18"/>
      <w:szCs w:val="20"/>
    </w:rPr>
  </w:style>
  <w:style w:type="paragraph" w:styleId="26">
    <w:name w:val="footer"/>
    <w:basedOn w:val="1"/>
    <w:link w:val="51"/>
    <w:qFormat/>
    <w:uiPriority w:val="99"/>
    <w:pPr>
      <w:tabs>
        <w:tab w:val="center" w:pos="4153"/>
        <w:tab w:val="right" w:pos="8306"/>
      </w:tabs>
      <w:snapToGrid w:val="0"/>
      <w:jc w:val="left"/>
    </w:pPr>
    <w:rPr>
      <w:kern w:val="0"/>
      <w:sz w:val="18"/>
      <w:szCs w:val="20"/>
    </w:rPr>
  </w:style>
  <w:style w:type="paragraph" w:styleId="27">
    <w:name w:val="List"/>
    <w:basedOn w:val="1"/>
    <w:unhideWhenUsed/>
    <w:qFormat/>
    <w:locked/>
    <w:uiPriority w:val="0"/>
    <w:pPr>
      <w:spacing w:line="320" w:lineRule="exact"/>
      <w:jc w:val="center"/>
    </w:pPr>
    <w:rPr>
      <w:sz w:val="20"/>
    </w:rPr>
  </w:style>
  <w:style w:type="paragraph" w:styleId="28">
    <w:name w:val="Body Text Indent 3"/>
    <w:basedOn w:val="1"/>
    <w:qFormat/>
    <w:locked/>
    <w:uiPriority w:val="0"/>
    <w:pPr>
      <w:ind w:firstLine="480"/>
    </w:pPr>
    <w:rPr>
      <w:sz w:val="24"/>
      <w:szCs w:val="20"/>
    </w:rPr>
  </w:style>
  <w:style w:type="paragraph" w:styleId="29">
    <w:name w:val="index 7"/>
    <w:basedOn w:val="1"/>
    <w:next w:val="1"/>
    <w:qFormat/>
    <w:locked/>
    <w:uiPriority w:val="99"/>
    <w:pPr>
      <w:ind w:left="1200" w:leftChars="1200"/>
    </w:pPr>
  </w:style>
  <w:style w:type="paragraph" w:styleId="30">
    <w:name w:val="Body Text 2"/>
    <w:basedOn w:val="1"/>
    <w:qFormat/>
    <w:locked/>
    <w:uiPriority w:val="0"/>
    <w:pPr>
      <w:spacing w:line="360" w:lineRule="auto"/>
      <w:ind w:right="-340"/>
    </w:pPr>
    <w:rPr>
      <w:sz w:val="24"/>
    </w:rPr>
  </w:style>
  <w:style w:type="paragraph" w:styleId="31">
    <w:name w:val="HTML Preformatted"/>
    <w:basedOn w:val="1"/>
    <w:qFormat/>
    <w:locked/>
    <w:uiPriority w:val="0"/>
    <w:rPr>
      <w:rFonts w:ascii="Courier New" w:hAnsi="Courier New" w:cs="Courier New"/>
      <w:sz w:val="20"/>
      <w:szCs w:val="20"/>
    </w:rPr>
  </w:style>
  <w:style w:type="paragraph" w:styleId="32">
    <w:name w:val="Normal (Web)"/>
    <w:basedOn w:val="1"/>
    <w:next w:val="29"/>
    <w:link w:val="52"/>
    <w:qFormat/>
    <w:uiPriority w:val="0"/>
    <w:pPr>
      <w:widowControl/>
      <w:spacing w:before="100" w:beforeAutospacing="1" w:after="100" w:afterAutospacing="1"/>
      <w:jc w:val="left"/>
    </w:pPr>
    <w:rPr>
      <w:rFonts w:ascii="宋体" w:hAnsi="宋体"/>
      <w:kern w:val="0"/>
      <w:sz w:val="24"/>
      <w:szCs w:val="20"/>
    </w:rPr>
  </w:style>
  <w:style w:type="paragraph" w:styleId="33">
    <w:name w:val="annotation subject"/>
    <w:basedOn w:val="15"/>
    <w:next w:val="15"/>
    <w:link w:val="53"/>
    <w:semiHidden/>
    <w:qFormat/>
    <w:uiPriority w:val="0"/>
    <w:rPr>
      <w:b/>
      <w:kern w:val="2"/>
    </w:rPr>
  </w:style>
  <w:style w:type="paragraph" w:styleId="34">
    <w:name w:val="Body Text First Indent"/>
    <w:basedOn w:val="16"/>
    <w:next w:val="1"/>
    <w:qFormat/>
    <w:locked/>
    <w:uiPriority w:val="0"/>
    <w:pPr>
      <w:spacing w:after="120"/>
      <w:ind w:firstLine="420" w:firstLineChars="100"/>
    </w:pPr>
    <w:rPr>
      <w:sz w:val="21"/>
      <w:szCs w:val="24"/>
    </w:rPr>
  </w:style>
  <w:style w:type="table" w:styleId="36">
    <w:name w:val="Table Grid"/>
    <w:basedOn w:val="3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locked/>
    <w:uiPriority w:val="22"/>
    <w:rPr>
      <w:b/>
      <w:bCs/>
    </w:rPr>
  </w:style>
  <w:style w:type="character" w:styleId="39">
    <w:name w:val="page number"/>
    <w:basedOn w:val="37"/>
    <w:qFormat/>
    <w:locked/>
    <w:uiPriority w:val="0"/>
  </w:style>
  <w:style w:type="character" w:styleId="40">
    <w:name w:val="Hyperlink"/>
    <w:basedOn w:val="37"/>
    <w:qFormat/>
    <w:locked/>
    <w:uiPriority w:val="0"/>
    <w:rPr>
      <w:color w:val="0000FF"/>
      <w:u w:val="single"/>
    </w:rPr>
  </w:style>
  <w:style w:type="character" w:styleId="41">
    <w:name w:val="annotation reference"/>
    <w:semiHidden/>
    <w:qFormat/>
    <w:uiPriority w:val="0"/>
    <w:rPr>
      <w:sz w:val="21"/>
    </w:rPr>
  </w:style>
  <w:style w:type="paragraph" w:customStyle="1" w:styleId="42">
    <w:name w:val="+正文"/>
    <w:basedOn w:val="1"/>
    <w:qFormat/>
    <w:uiPriority w:val="0"/>
    <w:pPr>
      <w:spacing w:line="360" w:lineRule="auto"/>
      <w:ind w:firstLine="200" w:firstLineChars="200"/>
    </w:pPr>
    <w:rPr>
      <w:szCs w:val="28"/>
    </w:rPr>
  </w:style>
  <w:style w:type="character" w:customStyle="1" w:styleId="43">
    <w:name w:val="文档结构图 字符"/>
    <w:basedOn w:val="37"/>
    <w:link w:val="14"/>
    <w:qFormat/>
    <w:uiPriority w:val="0"/>
    <w:rPr>
      <w:rFonts w:hint="eastAsia" w:ascii="Microsoft YaHei UI" w:hAnsi="Microsoft YaHei UI" w:eastAsia="Microsoft YaHei UI" w:cs="Microsoft YaHei UI"/>
      <w:kern w:val="2"/>
      <w:sz w:val="18"/>
      <w:szCs w:val="18"/>
    </w:rPr>
  </w:style>
  <w:style w:type="character" w:customStyle="1" w:styleId="44">
    <w:name w:val="批注文字 字符"/>
    <w:link w:val="15"/>
    <w:qFormat/>
    <w:locked/>
    <w:uiPriority w:val="0"/>
    <w:rPr>
      <w:rFonts w:ascii="Times New Roman" w:hAnsi="Times New Roman" w:eastAsia="宋体"/>
      <w:sz w:val="24"/>
    </w:rPr>
  </w:style>
  <w:style w:type="character" w:customStyle="1" w:styleId="45">
    <w:name w:val="正文文本 字符"/>
    <w:link w:val="16"/>
    <w:qFormat/>
    <w:locked/>
    <w:uiPriority w:val="0"/>
    <w:rPr>
      <w:sz w:val="18"/>
    </w:rPr>
  </w:style>
  <w:style w:type="character" w:customStyle="1" w:styleId="46">
    <w:name w:val="正文文本缩进 字符"/>
    <w:link w:val="3"/>
    <w:semiHidden/>
    <w:qFormat/>
    <w:locked/>
    <w:uiPriority w:val="0"/>
    <w:rPr>
      <w:rFonts w:ascii="Times New Roman" w:hAnsi="Times New Roman" w:eastAsia="宋体"/>
      <w:sz w:val="24"/>
    </w:rPr>
  </w:style>
  <w:style w:type="character" w:customStyle="1" w:styleId="47">
    <w:name w:val="页眉 字符"/>
    <w:link w:val="4"/>
    <w:qFormat/>
    <w:locked/>
    <w:uiPriority w:val="0"/>
    <w:rPr>
      <w:sz w:val="18"/>
    </w:rPr>
  </w:style>
  <w:style w:type="character" w:customStyle="1" w:styleId="48">
    <w:name w:val="日期 字符1"/>
    <w:link w:val="21"/>
    <w:qFormat/>
    <w:locked/>
    <w:uiPriority w:val="0"/>
    <w:rPr>
      <w:rFonts w:ascii="Times New Roman" w:hAnsi="Times New Roman" w:eastAsia="宋体"/>
      <w:sz w:val="24"/>
    </w:rPr>
  </w:style>
  <w:style w:type="character" w:customStyle="1" w:styleId="49">
    <w:name w:val="正文文本缩进 2 字符"/>
    <w:basedOn w:val="37"/>
    <w:link w:val="22"/>
    <w:qFormat/>
    <w:uiPriority w:val="0"/>
    <w:rPr>
      <w:rFonts w:hint="eastAsia" w:ascii="宋体" w:hAnsi="宋体" w:eastAsia="宋体" w:cs="宋体"/>
      <w:kern w:val="2"/>
      <w:sz w:val="21"/>
      <w:szCs w:val="18"/>
    </w:rPr>
  </w:style>
  <w:style w:type="character" w:customStyle="1" w:styleId="50">
    <w:name w:val="批注框文本 字符"/>
    <w:link w:val="25"/>
    <w:semiHidden/>
    <w:qFormat/>
    <w:locked/>
    <w:uiPriority w:val="0"/>
    <w:rPr>
      <w:rFonts w:ascii="Times New Roman" w:hAnsi="Times New Roman" w:eastAsia="宋体"/>
      <w:sz w:val="18"/>
    </w:rPr>
  </w:style>
  <w:style w:type="character" w:customStyle="1" w:styleId="51">
    <w:name w:val="页脚 字符1"/>
    <w:link w:val="26"/>
    <w:qFormat/>
    <w:locked/>
    <w:uiPriority w:val="99"/>
    <w:rPr>
      <w:sz w:val="18"/>
    </w:rPr>
  </w:style>
  <w:style w:type="character" w:customStyle="1" w:styleId="52">
    <w:name w:val="普通(网站) 字符"/>
    <w:link w:val="32"/>
    <w:qFormat/>
    <w:locked/>
    <w:uiPriority w:val="0"/>
    <w:rPr>
      <w:rFonts w:ascii="宋体" w:hAnsi="宋体" w:eastAsia="宋体"/>
      <w:sz w:val="24"/>
    </w:rPr>
  </w:style>
  <w:style w:type="character" w:customStyle="1" w:styleId="53">
    <w:name w:val="批注主题 字符"/>
    <w:link w:val="33"/>
    <w:semiHidden/>
    <w:qFormat/>
    <w:locked/>
    <w:uiPriority w:val="0"/>
    <w:rPr>
      <w:rFonts w:ascii="Times New Roman" w:hAnsi="Times New Roman" w:eastAsia="宋体"/>
      <w:b/>
      <w:kern w:val="2"/>
      <w:sz w:val="24"/>
    </w:rPr>
  </w:style>
  <w:style w:type="paragraph" w:customStyle="1" w:styleId="54">
    <w:name w:val="UserStyle_0"/>
    <w:basedOn w:val="55"/>
    <w:next w:val="1"/>
    <w:qFormat/>
    <w:uiPriority w:val="0"/>
    <w:pPr>
      <w:spacing w:line="360" w:lineRule="auto"/>
      <w:ind w:firstLine="510"/>
    </w:pPr>
    <w:rPr>
      <w:kern w:val="0"/>
      <w:sz w:val="24"/>
    </w:rPr>
  </w:style>
  <w:style w:type="paragraph" w:customStyle="1" w:styleId="55">
    <w:name w:val="UserStyle_1"/>
    <w:basedOn w:val="1"/>
    <w:next w:val="1"/>
    <w:qFormat/>
    <w:uiPriority w:val="0"/>
    <w:pPr>
      <w:snapToGrid w:val="0"/>
      <w:spacing w:line="360" w:lineRule="atLeast"/>
      <w:jc w:val="center"/>
      <w:textAlignment w:val="baseline"/>
    </w:pPr>
    <w:rPr>
      <w:kern w:val="21"/>
      <w:szCs w:val="20"/>
    </w:rPr>
  </w:style>
  <w:style w:type="paragraph" w:customStyle="1" w:styleId="56">
    <w:name w:val="样式 正文文本缩进 + 行距: 1.5 倍行距"/>
    <w:basedOn w:val="57"/>
    <w:next w:val="4"/>
    <w:qFormat/>
    <w:uiPriority w:val="0"/>
    <w:pPr>
      <w:spacing w:after="120" w:line="360" w:lineRule="auto"/>
      <w:ind w:left="90" w:leftChars="32"/>
    </w:pPr>
    <w:rPr>
      <w:rFonts w:cs="宋体"/>
    </w:rPr>
  </w:style>
  <w:style w:type="paragraph" w:customStyle="1" w:styleId="57">
    <w:name w:val="正文文本缩进1"/>
    <w:basedOn w:val="1"/>
    <w:next w:val="56"/>
    <w:qFormat/>
    <w:uiPriority w:val="0"/>
    <w:pPr>
      <w:spacing w:line="560" w:lineRule="exact"/>
      <w:ind w:firstLine="560" w:firstLineChars="200"/>
    </w:pPr>
    <w:rPr>
      <w:rFonts w:ascii="宋体" w:hAnsi="宋体"/>
      <w:sz w:val="28"/>
    </w:rPr>
  </w:style>
  <w:style w:type="paragraph" w:customStyle="1" w:styleId="58">
    <w:name w:val="Default"/>
    <w:basedOn w:val="59"/>
    <w:next w:val="60"/>
    <w:qFormat/>
    <w:uiPriority w:val="0"/>
    <w:pPr>
      <w:autoSpaceDE w:val="0"/>
      <w:autoSpaceDN w:val="0"/>
      <w:spacing w:line="360" w:lineRule="atLeast"/>
      <w:textAlignment w:val="baseline"/>
    </w:pPr>
    <w:rPr>
      <w:rFonts w:hAnsi="Times New Roman" w:cs="宋体"/>
      <w:color w:val="000000"/>
      <w:sz w:val="24"/>
      <w:szCs w:val="24"/>
    </w:rPr>
  </w:style>
  <w:style w:type="paragraph" w:customStyle="1" w:styleId="59">
    <w:name w:val="纯文本1"/>
    <w:basedOn w:val="1"/>
    <w:qFormat/>
    <w:uiPriority w:val="0"/>
    <w:pPr>
      <w:adjustRightInd w:val="0"/>
    </w:pPr>
    <w:rPr>
      <w:rFonts w:ascii="宋体" w:hAnsi="Courier New"/>
      <w:szCs w:val="20"/>
    </w:rPr>
  </w:style>
  <w:style w:type="paragraph" w:customStyle="1" w:styleId="60">
    <w:name w:val="样式35"/>
    <w:basedOn w:val="1"/>
    <w:next w:val="1"/>
    <w:qFormat/>
    <w:uiPriority w:val="0"/>
    <w:pPr>
      <w:spacing w:line="312" w:lineRule="auto"/>
      <w:ind w:firstLine="567"/>
    </w:pPr>
    <w:rPr>
      <w:rFonts w:ascii="宋体"/>
      <w:sz w:val="28"/>
    </w:rPr>
  </w:style>
  <w:style w:type="character" w:customStyle="1" w:styleId="61">
    <w:name w:val="日期 字符"/>
    <w:semiHidden/>
    <w:qFormat/>
    <w:uiPriority w:val="0"/>
    <w:rPr>
      <w:rFonts w:ascii="Times New Roman" w:hAnsi="Times New Roman" w:eastAsia="宋体"/>
      <w:sz w:val="24"/>
    </w:rPr>
  </w:style>
  <w:style w:type="character" w:customStyle="1" w:styleId="62">
    <w:name w:val="正文文本 字符1"/>
    <w:semiHidden/>
    <w:qFormat/>
    <w:uiPriority w:val="0"/>
    <w:rPr>
      <w:rFonts w:ascii="Times New Roman" w:hAnsi="Times New Roman" w:eastAsia="宋体"/>
      <w:sz w:val="24"/>
    </w:rPr>
  </w:style>
  <w:style w:type="character" w:customStyle="1" w:styleId="63">
    <w:name w:val="批注文字 字符1"/>
    <w:semiHidden/>
    <w:qFormat/>
    <w:uiPriority w:val="0"/>
    <w:rPr>
      <w:rFonts w:ascii="Times New Roman" w:hAnsi="Times New Roman" w:eastAsia="宋体"/>
      <w:sz w:val="24"/>
    </w:rPr>
  </w:style>
  <w:style w:type="character" w:customStyle="1" w:styleId="64">
    <w:name w:val="NormalCharacter"/>
    <w:link w:val="65"/>
    <w:qFormat/>
    <w:uiPriority w:val="0"/>
  </w:style>
  <w:style w:type="paragraph" w:customStyle="1" w:styleId="65">
    <w:name w:val="UserStyle_46"/>
    <w:basedOn w:val="1"/>
    <w:link w:val="64"/>
    <w:qFormat/>
    <w:uiPriority w:val="0"/>
  </w:style>
  <w:style w:type="character" w:customStyle="1" w:styleId="66">
    <w:name w:val="表格 Char"/>
    <w:link w:val="67"/>
    <w:qFormat/>
    <w:locked/>
    <w:uiPriority w:val="0"/>
    <w:rPr>
      <w:rFonts w:ascii="宋体"/>
      <w:sz w:val="21"/>
    </w:rPr>
  </w:style>
  <w:style w:type="paragraph" w:customStyle="1" w:styleId="67">
    <w:name w:val="表格"/>
    <w:basedOn w:val="1"/>
    <w:next w:val="1"/>
    <w:link w:val="66"/>
    <w:qFormat/>
    <w:uiPriority w:val="0"/>
    <w:pPr>
      <w:adjustRightInd w:val="0"/>
      <w:snapToGrid w:val="0"/>
      <w:spacing w:beforeLines="10" w:afterLines="10" w:line="259" w:lineRule="auto"/>
      <w:jc w:val="center"/>
    </w:pPr>
    <w:rPr>
      <w:rFonts w:ascii="宋体"/>
      <w:kern w:val="0"/>
      <w:szCs w:val="20"/>
    </w:rPr>
  </w:style>
  <w:style w:type="character" w:customStyle="1" w:styleId="68">
    <w:name w:val="font51"/>
    <w:basedOn w:val="37"/>
    <w:qFormat/>
    <w:uiPriority w:val="0"/>
    <w:rPr>
      <w:rFonts w:hint="eastAsia" w:ascii="宋体" w:hAnsi="宋体" w:eastAsia="宋体" w:cs="宋体"/>
      <w:b/>
      <w:color w:val="000000"/>
      <w:sz w:val="21"/>
      <w:szCs w:val="21"/>
      <w:u w:val="none"/>
    </w:rPr>
  </w:style>
  <w:style w:type="character" w:customStyle="1" w:styleId="69">
    <w:name w:val="页脚 字符"/>
    <w:basedOn w:val="37"/>
    <w:qFormat/>
    <w:uiPriority w:val="99"/>
  </w:style>
  <w:style w:type="paragraph" w:customStyle="1" w:styleId="70">
    <w:name w:val="表格正文"/>
    <w:basedOn w:val="1"/>
    <w:next w:val="1"/>
    <w:qFormat/>
    <w:uiPriority w:val="0"/>
    <w:pPr>
      <w:adjustRightInd w:val="0"/>
      <w:snapToGrid w:val="0"/>
      <w:jc w:val="center"/>
    </w:pPr>
  </w:style>
  <w:style w:type="paragraph" w:customStyle="1" w:styleId="71">
    <w:name w:val="Body text|1"/>
    <w:basedOn w:val="1"/>
    <w:qFormat/>
    <w:uiPriority w:val="0"/>
    <w:pPr>
      <w:spacing w:after="80" w:line="456" w:lineRule="auto"/>
      <w:ind w:firstLine="400"/>
    </w:pPr>
    <w:rPr>
      <w:rFonts w:ascii="宋体" w:hAnsi="宋体" w:cs="宋体"/>
      <w:sz w:val="20"/>
      <w:szCs w:val="20"/>
      <w:lang w:val="zh-TW" w:eastAsia="zh-TW" w:bidi="zh-TW"/>
    </w:rPr>
  </w:style>
  <w:style w:type="paragraph" w:customStyle="1" w:styleId="72">
    <w:name w:val="列出段落1"/>
    <w:basedOn w:val="1"/>
    <w:qFormat/>
    <w:uiPriority w:val="34"/>
    <w:pPr>
      <w:ind w:firstLine="420" w:firstLineChars="200"/>
    </w:pPr>
    <w:rPr>
      <w:rFonts w:ascii="Calibri" w:hAnsi="Calibri"/>
      <w:szCs w:val="22"/>
    </w:rPr>
  </w:style>
  <w:style w:type="paragraph" w:customStyle="1" w:styleId="73">
    <w:name w:val="表"/>
    <w:basedOn w:val="1"/>
    <w:next w:val="1"/>
    <w:qFormat/>
    <w:uiPriority w:val="0"/>
    <w:pPr>
      <w:jc w:val="center"/>
    </w:pPr>
    <w:rPr>
      <w:rFonts w:ascii="宋体" w:hAnsi="宋体"/>
      <w:szCs w:val="21"/>
    </w:rPr>
  </w:style>
  <w:style w:type="paragraph" w:customStyle="1" w:styleId="74">
    <w:name w:val="图表文字"/>
    <w:basedOn w:val="1"/>
    <w:qFormat/>
    <w:uiPriority w:val="0"/>
    <w:pPr>
      <w:spacing w:line="300" w:lineRule="exact"/>
      <w:jc w:val="center"/>
    </w:pPr>
    <w:rPr>
      <w:bCs/>
      <w:szCs w:val="20"/>
    </w:rPr>
  </w:style>
  <w:style w:type="paragraph" w:customStyle="1" w:styleId="75">
    <w:name w:val="正1"/>
    <w:basedOn w:val="1"/>
    <w:qFormat/>
    <w:uiPriority w:val="0"/>
    <w:pPr>
      <w:spacing w:line="360" w:lineRule="auto"/>
      <w:ind w:firstLine="200" w:firstLineChars="200"/>
      <w:jc w:val="left"/>
    </w:pPr>
    <w:rPr>
      <w:rFonts w:eastAsia="楷体_GB2312"/>
      <w:sz w:val="24"/>
    </w:rPr>
  </w:style>
  <w:style w:type="paragraph" w:customStyle="1" w:styleId="7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7">
    <w:name w:val="正文01"/>
    <w:basedOn w:val="1"/>
    <w:qFormat/>
    <w:uiPriority w:val="0"/>
    <w:pPr>
      <w:adjustRightInd w:val="0"/>
      <w:snapToGrid w:val="0"/>
      <w:spacing w:before="60" w:line="460" w:lineRule="exact"/>
      <w:ind w:firstLine="200" w:firstLineChars="200"/>
    </w:pPr>
    <w:rPr>
      <w:snapToGrid w:val="0"/>
      <w:color w:val="000000"/>
      <w:kern w:val="0"/>
      <w:sz w:val="24"/>
    </w:rPr>
  </w:style>
  <w:style w:type="paragraph" w:customStyle="1" w:styleId="7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Table Paragraph"/>
    <w:basedOn w:val="1"/>
    <w:qFormat/>
    <w:uiPriority w:val="0"/>
    <w:pPr>
      <w:jc w:val="left"/>
    </w:pPr>
    <w:rPr>
      <w:rFonts w:ascii="宋体" w:hAnsi="宋体" w:cs="宋体"/>
      <w:kern w:val="0"/>
      <w:sz w:val="22"/>
      <w:lang w:eastAsia="en-US"/>
    </w:rPr>
  </w:style>
  <w:style w:type="paragraph" w:customStyle="1" w:styleId="80">
    <w:name w:val="HP正文"/>
    <w:basedOn w:val="1"/>
    <w:qFormat/>
    <w:uiPriority w:val="0"/>
    <w:pPr>
      <w:spacing w:line="360" w:lineRule="auto"/>
      <w:ind w:firstLine="480" w:firstLineChars="200"/>
    </w:pPr>
    <w:rPr>
      <w:kern w:val="0"/>
      <w:sz w:val="24"/>
    </w:rPr>
  </w:style>
  <w:style w:type="paragraph" w:customStyle="1" w:styleId="81">
    <w:name w:val="正文lcc"/>
    <w:basedOn w:val="1"/>
    <w:qFormat/>
    <w:uiPriority w:val="0"/>
    <w:pPr>
      <w:snapToGrid w:val="0"/>
      <w:spacing w:line="360" w:lineRule="auto"/>
      <w:ind w:firstLine="480" w:firstLineChars="200"/>
    </w:pPr>
    <w:rPr>
      <w:color w:val="000000"/>
      <w:sz w:val="24"/>
    </w:rPr>
  </w:style>
  <w:style w:type="paragraph" w:customStyle="1" w:styleId="82">
    <w:name w:val="标准正文文本"/>
    <w:basedOn w:val="1"/>
    <w:qFormat/>
    <w:uiPriority w:val="0"/>
    <w:pPr>
      <w:adjustRightInd w:val="0"/>
      <w:snapToGrid w:val="0"/>
      <w:spacing w:line="360" w:lineRule="auto"/>
      <w:ind w:firstLine="643" w:firstLineChars="200"/>
    </w:pPr>
    <w:rPr>
      <w:kern w:val="0"/>
      <w:sz w:val="24"/>
      <w:szCs w:val="22"/>
    </w:rPr>
  </w:style>
  <w:style w:type="paragraph" w:customStyle="1" w:styleId="83">
    <w:name w:val="A表格"/>
    <w:basedOn w:val="1"/>
    <w:qFormat/>
    <w:uiPriority w:val="0"/>
    <w:pPr>
      <w:jc w:val="center"/>
    </w:pPr>
    <w:rPr>
      <w:szCs w:val="21"/>
    </w:rPr>
  </w:style>
  <w:style w:type="paragraph" w:customStyle="1" w:styleId="84">
    <w:name w:val="A表头"/>
    <w:basedOn w:val="1"/>
    <w:qFormat/>
    <w:uiPriority w:val="0"/>
    <w:pPr>
      <w:spacing w:line="360" w:lineRule="auto"/>
      <w:jc w:val="center"/>
    </w:pPr>
    <w:rPr>
      <w:b/>
      <w:kern w:val="0"/>
      <w:sz w:val="24"/>
      <w:szCs w:val="21"/>
    </w:rPr>
  </w:style>
  <w:style w:type="paragraph" w:customStyle="1" w:styleId="85">
    <w:name w:val=".."/>
    <w:basedOn w:val="58"/>
    <w:next w:val="58"/>
    <w:qFormat/>
    <w:uiPriority w:val="0"/>
    <w:pPr>
      <w:spacing w:line="240" w:lineRule="auto"/>
      <w:jc w:val="left"/>
      <w:textAlignment w:val="auto"/>
    </w:pPr>
    <w:rPr>
      <w:rFonts w:ascii="Times New Roman" w:cs="Times New Roman"/>
      <w:color w:val="auto"/>
    </w:rPr>
  </w:style>
  <w:style w:type="paragraph" w:customStyle="1" w:styleId="86">
    <w:name w:val="表标题编号"/>
    <w:basedOn w:val="1"/>
    <w:qFormat/>
    <w:uiPriority w:val="0"/>
    <w:pPr>
      <w:numPr>
        <w:ilvl w:val="0"/>
        <w:numId w:val="3"/>
      </w:numPr>
      <w:tabs>
        <w:tab w:val="left" w:pos="0"/>
      </w:tabs>
      <w:adjustRightInd w:val="0"/>
      <w:snapToGrid w:val="0"/>
      <w:jc w:val="center"/>
    </w:pPr>
    <w:rPr>
      <w:sz w:val="24"/>
      <w:szCs w:val="22"/>
    </w:rPr>
  </w:style>
  <w:style w:type="paragraph" w:customStyle="1" w:styleId="87">
    <w:name w:val="1正文"/>
    <w:basedOn w:val="1"/>
    <w:qFormat/>
    <w:uiPriority w:val="0"/>
    <w:pPr>
      <w:spacing w:line="360" w:lineRule="auto"/>
      <w:ind w:firstLine="200" w:firstLineChars="200"/>
    </w:pPr>
    <w:rPr>
      <w:sz w:val="24"/>
      <w:szCs w:val="20"/>
    </w:rPr>
  </w:style>
  <w:style w:type="paragraph" w:customStyle="1" w:styleId="88">
    <w:name w:val="正文 首行缩进:  2 字符"/>
    <w:basedOn w:val="1"/>
    <w:qFormat/>
    <w:uiPriority w:val="0"/>
    <w:pPr>
      <w:adjustRightInd w:val="0"/>
      <w:snapToGrid w:val="0"/>
      <w:spacing w:line="500" w:lineRule="exact"/>
      <w:ind w:firstLine="200" w:firstLineChars="200"/>
      <w:jc w:val="left"/>
    </w:pPr>
    <w:rPr>
      <w:rFonts w:eastAsia="Times New Roman"/>
      <w:sz w:val="24"/>
    </w:rPr>
  </w:style>
  <w:style w:type="paragraph" w:customStyle="1" w:styleId="89">
    <w:name w:val="表格2"/>
    <w:basedOn w:val="1"/>
    <w:qFormat/>
    <w:uiPriority w:val="0"/>
    <w:pPr>
      <w:spacing w:line="400" w:lineRule="exact"/>
      <w:jc w:val="center"/>
    </w:pPr>
    <w:rPr>
      <w:szCs w:val="21"/>
    </w:rPr>
  </w:style>
  <w:style w:type="paragraph" w:customStyle="1" w:styleId="90">
    <w:name w:val="Other|1"/>
    <w:basedOn w:val="1"/>
    <w:qFormat/>
    <w:uiPriority w:val="0"/>
    <w:pPr>
      <w:jc w:val="center"/>
    </w:pPr>
    <w:rPr>
      <w:rFonts w:ascii="宋体" w:hAnsi="宋体" w:cs="宋体"/>
      <w:sz w:val="22"/>
      <w:szCs w:val="22"/>
      <w:lang w:val="zh-TW" w:eastAsia="zh-TW" w:bidi="zh-TW"/>
    </w:rPr>
  </w:style>
  <w:style w:type="paragraph" w:customStyle="1" w:styleId="91">
    <w:name w:val="表内字"/>
    <w:qFormat/>
    <w:uiPriority w:val="0"/>
    <w:pPr>
      <w:spacing w:line="312" w:lineRule="auto"/>
      <w:jc w:val="center"/>
    </w:pPr>
    <w:rPr>
      <w:rFonts w:ascii="Times New Roman" w:hAnsi="Times New Roman" w:eastAsia="宋体" w:cs="Times New Roman"/>
      <w:color w:val="000000"/>
      <w:sz w:val="21"/>
      <w:szCs w:val="24"/>
      <w:lang w:val="en-US" w:eastAsia="zh-CN" w:bidi="ar-SA"/>
    </w:rPr>
  </w:style>
  <w:style w:type="paragraph" w:customStyle="1" w:styleId="92">
    <w:name w:val="li_正文"/>
    <w:basedOn w:val="1"/>
    <w:qFormat/>
    <w:uiPriority w:val="0"/>
    <w:pPr>
      <w:tabs>
        <w:tab w:val="left" w:pos="2340"/>
        <w:tab w:val="left" w:pos="4320"/>
      </w:tabs>
      <w:ind w:firstLine="530" w:firstLineChars="200"/>
      <w:jc w:val="left"/>
    </w:pPr>
    <w:rPr>
      <w:sz w:val="28"/>
      <w:szCs w:val="28"/>
    </w:rPr>
  </w:style>
  <w:style w:type="table" w:customStyle="1" w:styleId="93">
    <w:name w:val="Table Normal"/>
    <w:unhideWhenUsed/>
    <w:qFormat/>
    <w:uiPriority w:val="0"/>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94">
    <w:name w:val="缩进正文"/>
    <w:qFormat/>
    <w:uiPriority w:val="99"/>
    <w:pPr>
      <w:adjustRightInd w:val="0"/>
      <w:snapToGrid w:val="0"/>
      <w:spacing w:line="360" w:lineRule="auto"/>
      <w:ind w:firstLine="200" w:firstLineChars="200"/>
      <w:jc w:val="both"/>
    </w:pPr>
    <w:rPr>
      <w:rFonts w:ascii="Times New Roman" w:hAnsi="Times New Roman" w:eastAsia="宋体" w:cs="Times New Roman"/>
      <w:sz w:val="24"/>
      <w:szCs w:val="22"/>
      <w:lang w:val="en-US" w:eastAsia="zh-CN" w:bidi="ar-SA"/>
    </w:rPr>
  </w:style>
  <w:style w:type="paragraph" w:customStyle="1" w:styleId="95">
    <w:name w:val="二级标题"/>
    <w:basedOn w:val="1"/>
    <w:qFormat/>
    <w:uiPriority w:val="0"/>
    <w:pPr>
      <w:adjustRightInd w:val="0"/>
      <w:spacing w:before="120" w:after="120" w:line="400" w:lineRule="atLeast"/>
      <w:textAlignment w:val="baseline"/>
    </w:pPr>
    <w:rPr>
      <w:rFonts w:eastAsia="黑体"/>
      <w:kern w:val="0"/>
      <w:sz w:val="28"/>
    </w:rPr>
  </w:style>
  <w:style w:type="paragraph" w:customStyle="1" w:styleId="96">
    <w:name w:val="表格编号"/>
    <w:next w:val="97"/>
    <w:qFormat/>
    <w:uiPriority w:val="0"/>
    <w:pPr>
      <w:widowControl w:val="0"/>
      <w:snapToGrid w:val="0"/>
      <w:spacing w:before="300" w:after="200" w:line="500" w:lineRule="exact"/>
    </w:pPr>
    <w:rPr>
      <w:rFonts w:ascii="Times New Roman" w:hAnsi="Times New Roman" w:eastAsia="宋体" w:cs="Times New Roman"/>
      <w:kern w:val="2"/>
      <w:sz w:val="24"/>
      <w:szCs w:val="24"/>
      <w:lang w:val="en-US" w:eastAsia="zh-CN" w:bidi="ar-SA"/>
    </w:rPr>
  </w:style>
  <w:style w:type="paragraph" w:customStyle="1" w:styleId="97">
    <w:name w:val="表格文字"/>
    <w:basedOn w:val="11"/>
    <w:next w:val="1"/>
    <w:qFormat/>
    <w:uiPriority w:val="0"/>
    <w:pPr>
      <w:adjustRightInd w:val="0"/>
      <w:snapToGrid w:val="0"/>
    </w:pPr>
    <w:rPr>
      <w:rFonts w:ascii="仿宋_GB2312" w:hAnsi="Arial Black" w:eastAsia="仿宋_GB2312"/>
      <w:kern w:val="44"/>
      <w:sz w:val="24"/>
    </w:rPr>
  </w:style>
  <w:style w:type="paragraph" w:customStyle="1" w:styleId="98">
    <w:name w:val="_Style 39"/>
    <w:basedOn w:val="14"/>
    <w:qFormat/>
    <w:uiPriority w:val="0"/>
    <w:rPr>
      <w:rFonts w:ascii="宋体"/>
      <w:sz w:val="18"/>
      <w:szCs w:val="18"/>
    </w:rPr>
  </w:style>
  <w:style w:type="paragraph" w:customStyle="1" w:styleId="99">
    <w:name w:val="xl27"/>
    <w:basedOn w:val="1"/>
    <w:next w:val="1"/>
    <w:qFormat/>
    <w:uiPriority w:val="0"/>
    <w:pPr>
      <w:widowControl/>
      <w:pBdr>
        <w:bottom w:val="single" w:color="auto" w:sz="12" w:space="0"/>
      </w:pBdr>
      <w:spacing w:before="100" w:after="100"/>
      <w:jc w:val="center"/>
    </w:pPr>
    <w:rPr>
      <w:rFonts w:ascii="宋体" w:hAnsi="宋体"/>
      <w:kern w:val="0"/>
      <w:szCs w:val="20"/>
    </w:rPr>
  </w:style>
  <w:style w:type="paragraph" w:customStyle="1" w:styleId="100">
    <w:name w:val="样式 正文缩进正文（首行缩进两字） + 宋体 行距: 1.5 倍行距"/>
    <w:basedOn w:val="11"/>
    <w:qFormat/>
    <w:uiPriority w:val="0"/>
    <w:pPr>
      <w:adjustRightInd w:val="0"/>
      <w:spacing w:line="300" w:lineRule="auto"/>
      <w:ind w:firstLine="482"/>
      <w:jc w:val="left"/>
      <w:textAlignment w:val="baseline"/>
    </w:pPr>
    <w:rPr>
      <w:rFonts w:ascii="宋体" w:hAnsi="宋体"/>
      <w:sz w:val="24"/>
    </w:rPr>
  </w:style>
  <w:style w:type="paragraph" w:customStyle="1" w:styleId="101">
    <w:name w:val="正文小四首缩1.3行距"/>
    <w:basedOn w:val="1"/>
    <w:qFormat/>
    <w:uiPriority w:val="0"/>
    <w:pPr>
      <w:widowControl/>
      <w:spacing w:line="312" w:lineRule="auto"/>
      <w:ind w:firstLine="420" w:firstLineChars="200"/>
      <w:jc w:val="left"/>
    </w:pPr>
    <w:rPr>
      <w:rFonts w:ascii="宋体" w:hAnsi="宋体"/>
      <w:kern w:val="0"/>
      <w:sz w:val="24"/>
      <w:szCs w:val="20"/>
    </w:rPr>
  </w:style>
  <w:style w:type="paragraph" w:customStyle="1" w:styleId="102">
    <w:name w:val="目录2"/>
    <w:basedOn w:val="1"/>
    <w:qFormat/>
    <w:uiPriority w:val="0"/>
    <w:pPr>
      <w:jc w:val="left"/>
    </w:pPr>
    <w:rPr>
      <w:b/>
      <w:sz w:val="24"/>
    </w:rPr>
  </w:style>
  <w:style w:type="paragraph" w:customStyle="1" w:styleId="103">
    <w:name w:val="表头"/>
    <w:basedOn w:val="104"/>
    <w:next w:val="1"/>
    <w:qFormat/>
    <w:uiPriority w:val="0"/>
    <w:pPr>
      <w:spacing w:line="360" w:lineRule="auto"/>
      <w:jc w:val="center"/>
    </w:pPr>
    <w:rPr>
      <w:rFonts w:ascii="黑体" w:hAnsi="宋体" w:eastAsia="黑体"/>
      <w:sz w:val="24"/>
      <w:szCs w:val="24"/>
    </w:rPr>
  </w:style>
  <w:style w:type="paragraph" w:customStyle="1" w:styleId="104">
    <w:name w:val="正文缩进1"/>
    <w:basedOn w:val="1"/>
    <w:qFormat/>
    <w:uiPriority w:val="99"/>
    <w:pPr>
      <w:ind w:firstLine="420"/>
    </w:pPr>
    <w:rPr>
      <w:kern w:val="0"/>
      <w:sz w:val="28"/>
      <w:szCs w:val="20"/>
    </w:rPr>
  </w:style>
  <w:style w:type="paragraph" w:customStyle="1" w:styleId="105">
    <w:name w:val="表格中"/>
    <w:qFormat/>
    <w:uiPriority w:val="0"/>
    <w:pPr>
      <w:jc w:val="center"/>
    </w:pPr>
    <w:rPr>
      <w:rFonts w:ascii="Times New Roman" w:hAnsi="Times New Roman" w:eastAsia="宋体" w:cs="宋体"/>
      <w:sz w:val="21"/>
      <w:szCs w:val="22"/>
      <w:lang w:val="en-US" w:eastAsia="zh-CN" w:bidi="ar-SA"/>
    </w:rPr>
  </w:style>
  <w:style w:type="character" w:customStyle="1" w:styleId="106">
    <w:name w:val="UserStyle_12"/>
    <w:qFormat/>
    <w:uiPriority w:val="0"/>
  </w:style>
  <w:style w:type="paragraph" w:customStyle="1" w:styleId="107">
    <w:name w:val="PlainText"/>
    <w:basedOn w:val="1"/>
    <w:qFormat/>
    <w:locked/>
    <w:uiPriority w:val="0"/>
    <w:pPr>
      <w:textAlignment w:val="baseline"/>
    </w:pPr>
    <w:rPr>
      <w:rFonts w:ascii="宋体" w:hAnsi="Courier New"/>
      <w:szCs w:val="21"/>
    </w:rPr>
  </w:style>
  <w:style w:type="paragraph" w:customStyle="1" w:styleId="108">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9">
    <w:name w:val="样式 样式 样式 样式 小四 左 首行缩进:  2 字符 + 首行缩进:  2 字符 Char + 右  0 字符1 + 首行缩...3"/>
    <w:basedOn w:val="1"/>
    <w:qFormat/>
    <w:uiPriority w:val="99"/>
    <w:pPr>
      <w:adjustRightInd w:val="0"/>
      <w:spacing w:line="360" w:lineRule="auto"/>
      <w:ind w:firstLine="480" w:firstLineChars="200"/>
      <w:jc w:val="left"/>
      <w:textAlignment w:val="baseline"/>
    </w:pPr>
    <w:rPr>
      <w:rFonts w:cs="宋体"/>
      <w:sz w:val="24"/>
      <w:szCs w:val="20"/>
    </w:rPr>
  </w:style>
  <w:style w:type="paragraph" w:customStyle="1" w:styleId="110">
    <w:name w:val="表格内容"/>
    <w:basedOn w:val="1"/>
    <w:qFormat/>
    <w:uiPriority w:val="0"/>
    <w:pPr>
      <w:overflowPunct w:val="0"/>
      <w:textAlignment w:val="baseline"/>
    </w:pPr>
    <w:rPr>
      <w:kern w:val="0"/>
      <w:sz w:val="18"/>
      <w:szCs w:val="20"/>
    </w:rPr>
  </w:style>
  <w:style w:type="character" w:customStyle="1" w:styleId="111">
    <w:name w:val="font21"/>
    <w:basedOn w:val="37"/>
    <w:qFormat/>
    <w:uiPriority w:val="0"/>
    <w:rPr>
      <w:rFonts w:hint="eastAsia" w:ascii="宋体" w:hAnsi="宋体" w:eastAsia="宋体" w:cs="宋体"/>
      <w:color w:val="000000"/>
      <w:sz w:val="21"/>
      <w:szCs w:val="21"/>
      <w:u w:val="none"/>
    </w:rPr>
  </w:style>
  <w:style w:type="character" w:customStyle="1" w:styleId="112">
    <w:name w:val="font01"/>
    <w:basedOn w:val="37"/>
    <w:qFormat/>
    <w:uiPriority w:val="0"/>
    <w:rPr>
      <w:rFonts w:hint="default" w:ascii="Times New Roman" w:hAnsi="Times New Roman" w:cs="Times New Roman"/>
      <w:color w:val="000000"/>
      <w:sz w:val="21"/>
      <w:szCs w:val="21"/>
      <w:u w:val="none"/>
    </w:rPr>
  </w:style>
  <w:style w:type="character" w:customStyle="1" w:styleId="113">
    <w:name w:val="font31"/>
    <w:basedOn w:val="37"/>
    <w:qFormat/>
    <w:uiPriority w:val="0"/>
    <w:rPr>
      <w:rFonts w:hint="default" w:ascii="Times New Roman" w:hAnsi="Times New Roman" w:cs="Times New Roman"/>
      <w:color w:val="000000"/>
      <w:sz w:val="21"/>
      <w:szCs w:val="21"/>
      <w:u w:val="none"/>
      <w:vertAlign w:val="superscript"/>
    </w:rPr>
  </w:style>
  <w:style w:type="character" w:customStyle="1" w:styleId="114">
    <w:name w:val="font41"/>
    <w:basedOn w:val="37"/>
    <w:qFormat/>
    <w:uiPriority w:val="0"/>
    <w:rPr>
      <w:rFonts w:hint="default" w:ascii="Times New Roman" w:hAnsi="Times New Roman" w:cs="Times New Roman"/>
      <w:color w:val="000000"/>
      <w:sz w:val="21"/>
      <w:szCs w:val="21"/>
      <w:u w:val="none"/>
      <w:vertAlign w:val="subscript"/>
    </w:rPr>
  </w:style>
  <w:style w:type="paragraph" w:customStyle="1" w:styleId="115">
    <w:name w:val="BodyText1I2"/>
    <w:basedOn w:val="116"/>
    <w:next w:val="1"/>
    <w:qFormat/>
    <w:uiPriority w:val="0"/>
    <w:pPr>
      <w:ind w:firstLine="420" w:firstLineChars="200"/>
    </w:pPr>
  </w:style>
  <w:style w:type="paragraph" w:customStyle="1" w:styleId="116">
    <w:name w:val="BodyTextIndent"/>
    <w:basedOn w:val="1"/>
    <w:next w:val="4"/>
    <w:qFormat/>
    <w:uiPriority w:val="0"/>
    <w:pPr>
      <w:spacing w:after="120"/>
      <w:ind w:left="420" w:leftChars="200"/>
      <w:textAlignment w:val="baseline"/>
    </w:pPr>
  </w:style>
  <w:style w:type="paragraph" w:customStyle="1" w:styleId="117">
    <w:name w:val="A正文"/>
    <w:basedOn w:val="1"/>
    <w:qFormat/>
    <w:uiPriority w:val="0"/>
    <w:pPr>
      <w:spacing w:line="360" w:lineRule="auto"/>
      <w:ind w:firstLine="480" w:firstLineChars="200"/>
    </w:pPr>
    <w:rPr>
      <w:kern w:val="0"/>
      <w:sz w:val="24"/>
    </w:rPr>
  </w:style>
  <w:style w:type="paragraph" w:customStyle="1" w:styleId="118">
    <w:name w:val="表格内容Q"/>
    <w:basedOn w:val="1"/>
    <w:qFormat/>
    <w:uiPriority w:val="0"/>
    <w:pPr>
      <w:jc w:val="center"/>
    </w:pPr>
    <w:rPr>
      <w:kern w:val="0"/>
      <w:szCs w:val="21"/>
    </w:rPr>
  </w:style>
  <w:style w:type="paragraph" w:customStyle="1" w:styleId="119">
    <w:name w:val="CEE正文"/>
    <w:basedOn w:val="1"/>
    <w:qFormat/>
    <w:uiPriority w:val="0"/>
    <w:pPr>
      <w:spacing w:line="360" w:lineRule="auto"/>
      <w:ind w:firstLine="200" w:firstLineChars="200"/>
      <w:jc w:val="left"/>
    </w:pPr>
    <w:rPr>
      <w:kern w:val="0"/>
      <w:sz w:val="24"/>
    </w:rPr>
  </w:style>
  <w:style w:type="paragraph" w:customStyle="1" w:styleId="120">
    <w:name w:val="表格字体"/>
    <w:qFormat/>
    <w:uiPriority w:val="0"/>
    <w:pPr>
      <w:keepNext/>
      <w:keepLines/>
      <w:jc w:val="center"/>
    </w:pPr>
    <w:rPr>
      <w:rFonts w:ascii="Times New Roman" w:hAnsi="Times New Roman" w:eastAsia="宋体" w:cs="Times New Roman"/>
      <w:kern w:val="2"/>
      <w:sz w:val="21"/>
      <w:szCs w:val="24"/>
      <w:lang w:val="en-US" w:eastAsia="zh-CN" w:bidi="ar-SA"/>
    </w:rPr>
  </w:style>
  <w:style w:type="paragraph" w:customStyle="1" w:styleId="121">
    <w:name w:val="HP表头"/>
    <w:basedOn w:val="1"/>
    <w:qFormat/>
    <w:uiPriority w:val="0"/>
    <w:pPr>
      <w:spacing w:line="360" w:lineRule="auto"/>
      <w:jc w:val="center"/>
    </w:pPr>
    <w:rPr>
      <w:b/>
      <w:sz w:val="24"/>
      <w:szCs w:val="21"/>
    </w:rPr>
  </w:style>
  <w:style w:type="paragraph" w:customStyle="1" w:styleId="122">
    <w:name w:val="中文报告书样式"/>
    <w:qFormat/>
    <w:uiPriority w:val="99"/>
    <w:pPr>
      <w:widowControl w:val="0"/>
      <w:adjustRightInd w:val="0"/>
      <w:spacing w:line="480" w:lineRule="atLeast"/>
      <w:ind w:firstLine="482"/>
      <w:jc w:val="both"/>
      <w:textAlignment w:val="baseline"/>
    </w:pPr>
    <w:rPr>
      <w:rFonts w:ascii="Times New Roman" w:hAnsi="Times New Roman" w:eastAsia="宋体" w:cs="Times New Roman"/>
      <w:kern w:val="24"/>
      <w:sz w:val="24"/>
      <w:lang w:val="en-US" w:eastAsia="zh-CN" w:bidi="ar-SA"/>
    </w:rPr>
  </w:style>
  <w:style w:type="paragraph" w:customStyle="1" w:styleId="123">
    <w:name w:val="样式 正文11 + 首行缩进:  2 字符"/>
    <w:basedOn w:val="124"/>
    <w:next w:val="125"/>
    <w:qFormat/>
    <w:uiPriority w:val="0"/>
    <w:pPr>
      <w:spacing w:line="500" w:lineRule="exact"/>
      <w:ind w:firstLine="560" w:firstLineChars="200"/>
    </w:pPr>
    <w:rPr>
      <w:rFonts w:cs="宋体"/>
      <w:color w:val="FF0000"/>
      <w:sz w:val="28"/>
    </w:rPr>
  </w:style>
  <w:style w:type="paragraph" w:customStyle="1" w:styleId="124">
    <w:name w:val="O.K.1"/>
    <w:basedOn w:val="8"/>
    <w:qFormat/>
    <w:uiPriority w:val="0"/>
    <w:pPr>
      <w:ind w:firstLine="482"/>
    </w:pPr>
  </w:style>
  <w:style w:type="paragraph" w:customStyle="1" w:styleId="125">
    <w:name w:val="样式 博士论文标题2 + 段前: 0.2 行 段后: 0.2 行"/>
    <w:basedOn w:val="1"/>
    <w:qFormat/>
    <w:uiPriority w:val="0"/>
    <w:pPr>
      <w:widowControl/>
      <w:spacing w:beforeLines="20" w:afterLines="20"/>
      <w:jc w:val="left"/>
    </w:pPr>
    <w:rPr>
      <w:rFonts w:ascii="宋体" w:hAnsi="宋体" w:eastAsia="黑体" w:cs="宋体"/>
      <w:kern w:val="0"/>
      <w:sz w:val="28"/>
      <w:szCs w:val="28"/>
    </w:rPr>
  </w:style>
  <w:style w:type="paragraph" w:customStyle="1" w:styleId="126">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microsoft.com/office/2011/relationships/people" Target="people.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55</Pages>
  <Words>26958</Words>
  <Characters>30393</Characters>
  <Lines>222</Lines>
  <Paragraphs>62</Paragraphs>
  <TotalTime>19</TotalTime>
  <ScaleCrop>false</ScaleCrop>
  <LinksUpToDate>false</LinksUpToDate>
  <CharactersWithSpaces>30817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LN</cp:lastModifiedBy>
  <cp:lastPrinted>2023-02-22T07:55:00Z</cp:lastPrinted>
  <dcterms:modified xsi:type="dcterms:W3CDTF">2023-09-11T08:06:58Z</dcterms:modified>
  <dc:title>附件2</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61DA38CE09C64E5591E0C24E9253E436_13</vt:lpwstr>
  </property>
</Properties>
</file>