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D6987">
      <w:pPr>
        <w:keepNext w:val="0"/>
        <w:keepLines w:val="0"/>
        <w:pageBreakBefore w:val="0"/>
        <w:kinsoku/>
        <w:wordWrap/>
        <w:overflowPunct/>
        <w:topLinePunct w:val="0"/>
        <w:autoSpaceDN/>
        <w:bidi w:val="0"/>
        <w:adjustRightInd/>
        <w:snapToGrid/>
        <w:spacing w:beforeAutospacing="0" w:line="580" w:lineRule="exact"/>
        <w:jc w:val="center"/>
        <w:textAlignment w:val="auto"/>
        <w:rPr>
          <w:rFonts w:hint="default" w:ascii="Times New Roman" w:hAnsi="Times New Roman" w:eastAsia="方正小标宋简体" w:cs="Times New Roman"/>
          <w:b/>
          <w:sz w:val="44"/>
          <w:szCs w:val="44"/>
        </w:rPr>
      </w:pPr>
      <w:r>
        <w:rPr>
          <w:rFonts w:hint="eastAsia" w:ascii="Times New Roman" w:hAnsi="Times New Roman" w:eastAsia="方正小标宋简体" w:cs="Times New Roman"/>
          <w:b/>
          <w:sz w:val="44"/>
          <w:szCs w:val="44"/>
          <w:lang w:val="en-US" w:eastAsia="zh-CN"/>
        </w:rPr>
        <w:t>泗水县</w:t>
      </w:r>
      <w:r>
        <w:rPr>
          <w:rFonts w:hint="default" w:ascii="Times New Roman" w:hAnsi="Times New Roman" w:eastAsia="方正小标宋简体" w:cs="Times New Roman"/>
          <w:b/>
          <w:sz w:val="44"/>
          <w:szCs w:val="44"/>
          <w:lang w:eastAsia="zh-CN"/>
        </w:rPr>
        <w:t>中册</w:t>
      </w:r>
      <w:r>
        <w:rPr>
          <w:rFonts w:hint="default" w:ascii="Times New Roman" w:hAnsi="Times New Roman" w:eastAsia="方正小标宋简体" w:cs="Times New Roman"/>
          <w:b/>
          <w:sz w:val="44"/>
          <w:szCs w:val="44"/>
        </w:rPr>
        <w:t>镇人民政府</w:t>
      </w:r>
      <w:r>
        <w:rPr>
          <w:rFonts w:hint="default" w:ascii="Times New Roman" w:hAnsi="Times New Roman" w:eastAsia="方正小标宋简体" w:cs="Times New Roman"/>
          <w:b/>
          <w:sz w:val="44"/>
          <w:szCs w:val="44"/>
          <w:lang w:eastAsia="zh-CN"/>
        </w:rPr>
        <w:t>202</w:t>
      </w:r>
      <w:r>
        <w:rPr>
          <w:rFonts w:hint="eastAsia" w:ascii="Times New Roman" w:hAnsi="Times New Roman" w:eastAsia="方正小标宋简体" w:cs="Times New Roman"/>
          <w:b/>
          <w:sz w:val="44"/>
          <w:szCs w:val="44"/>
          <w:lang w:val="en-US" w:eastAsia="zh-CN"/>
        </w:rPr>
        <w:t>5</w:t>
      </w:r>
      <w:r>
        <w:rPr>
          <w:rFonts w:hint="default" w:ascii="Times New Roman" w:hAnsi="Times New Roman" w:eastAsia="方正小标宋简体" w:cs="Times New Roman"/>
          <w:b/>
          <w:sz w:val="44"/>
          <w:szCs w:val="44"/>
        </w:rPr>
        <w:t>年政府信息公开工作年度报告</w:t>
      </w:r>
    </w:p>
    <w:p w14:paraId="121C5CE3">
      <w:pPr>
        <w:pStyle w:val="2"/>
        <w:rPr>
          <w:rFonts w:hint="default"/>
        </w:rPr>
      </w:pPr>
    </w:p>
    <w:p w14:paraId="4E99027E">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本报告由</w:t>
      </w:r>
      <w:r>
        <w:rPr>
          <w:rFonts w:hint="default" w:ascii="Times New Roman" w:hAnsi="Times New Roman" w:eastAsia="仿宋" w:cs="Times New Roman"/>
          <w:b/>
          <w:bCs/>
          <w:sz w:val="32"/>
          <w:szCs w:val="32"/>
          <w:lang w:val="en-US" w:eastAsia="zh-CN"/>
        </w:rPr>
        <w:t>泗水县中册镇</w:t>
      </w:r>
      <w:r>
        <w:rPr>
          <w:rFonts w:hint="default" w:ascii="Times New Roman" w:hAnsi="Times New Roman" w:eastAsia="仿宋" w:cs="Times New Roman"/>
          <w:b/>
          <w:bCs/>
          <w:sz w:val="32"/>
          <w:szCs w:val="32"/>
        </w:rPr>
        <w:t>人民政府按照《中华人民共和国政府信息公开条例》（以下简称《条例》）和《中华人民共和国政府信息公开工作年度报告格式》（国办公开办函〔2021〕30号）要求编制。</w:t>
      </w:r>
    </w:p>
    <w:p w14:paraId="56E9CE1A">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43E77676">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本报告中所列数据的统计期自</w:t>
      </w:r>
      <w:r>
        <w:rPr>
          <w:rFonts w:hint="default" w:ascii="Times New Roman" w:hAnsi="Times New Roman" w:eastAsia="仿宋" w:cs="Times New Roman"/>
          <w:b/>
          <w:bCs/>
          <w:sz w:val="32"/>
          <w:szCs w:val="32"/>
          <w:lang w:eastAsia="zh-CN"/>
        </w:rPr>
        <w:t>202</w:t>
      </w:r>
      <w:r>
        <w:rPr>
          <w:rFonts w:hint="eastAsia" w:ascii="Times New Roman" w:hAnsi="Times New Roman" w:eastAsia="仿宋" w:cs="Times New Roman"/>
          <w:b/>
          <w:bCs/>
          <w:sz w:val="32"/>
          <w:szCs w:val="32"/>
          <w:lang w:val="en-US" w:eastAsia="zh-CN"/>
        </w:rPr>
        <w:t>5</w:t>
      </w:r>
      <w:r>
        <w:rPr>
          <w:rFonts w:hint="default" w:ascii="Times New Roman" w:hAnsi="Times New Roman" w:eastAsia="仿宋" w:cs="Times New Roman"/>
          <w:b/>
          <w:bCs/>
          <w:sz w:val="32"/>
          <w:szCs w:val="32"/>
        </w:rPr>
        <w:t>年1月1日起至</w:t>
      </w:r>
      <w:r>
        <w:rPr>
          <w:rFonts w:hint="default" w:ascii="Times New Roman" w:hAnsi="Times New Roman" w:eastAsia="仿宋" w:cs="Times New Roman"/>
          <w:b/>
          <w:bCs/>
          <w:sz w:val="32"/>
          <w:szCs w:val="32"/>
          <w:lang w:eastAsia="zh-CN"/>
        </w:rPr>
        <w:t>202</w:t>
      </w:r>
      <w:r>
        <w:rPr>
          <w:rFonts w:hint="eastAsia" w:ascii="Times New Roman" w:hAnsi="Times New Roman" w:eastAsia="仿宋" w:cs="Times New Roman"/>
          <w:b/>
          <w:bCs/>
          <w:sz w:val="32"/>
          <w:szCs w:val="32"/>
          <w:lang w:val="en-US" w:eastAsia="zh-CN"/>
        </w:rPr>
        <w:t>5</w:t>
      </w:r>
      <w:r>
        <w:rPr>
          <w:rFonts w:hint="default" w:ascii="Times New Roman" w:hAnsi="Times New Roman" w:eastAsia="仿宋" w:cs="Times New Roman"/>
          <w:b/>
          <w:bCs/>
          <w:sz w:val="32"/>
          <w:szCs w:val="32"/>
        </w:rPr>
        <w:t>年12月31日止。本报告电子版可在</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中国·泗水</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政府门户网站（</w:t>
      </w:r>
      <w:r>
        <w:rPr>
          <w:rFonts w:hint="default" w:ascii="Times New Roman" w:hAnsi="Times New Roman" w:eastAsia="方正黑体简体" w:cs="Times New Roman"/>
          <w:b/>
          <w:bCs/>
          <w:sz w:val="32"/>
          <w:szCs w:val="32"/>
        </w:rPr>
        <w:t>www.sishui.gov.cn/</w:t>
      </w:r>
      <w:r>
        <w:rPr>
          <w:rFonts w:hint="default" w:ascii="Times New Roman" w:hAnsi="Times New Roman" w:eastAsia="仿宋" w:cs="Times New Roman"/>
          <w:b/>
          <w:bCs/>
          <w:sz w:val="32"/>
          <w:szCs w:val="32"/>
        </w:rPr>
        <w:t>）查阅或下载。如对本报告有疑问，请与泗水县中册镇人民政府联系（地址</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泗水县中册镇振中路27号，联系电话</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0537-4341026）。</w:t>
      </w:r>
    </w:p>
    <w:p w14:paraId="282CEA51">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420"/>
        <w:jc w:val="both"/>
        <w:textAlignment w:val="auto"/>
        <w:rPr>
          <w:rFonts w:hint="eastAsia" w:ascii="Times New Roman" w:hAnsi="Times New Roman" w:eastAsia="黑体" w:cs="Times New Roman"/>
          <w:b/>
          <w:bCs/>
          <w:sz w:val="32"/>
          <w:szCs w:val="32"/>
          <w:lang w:eastAsia="zh-CN"/>
        </w:rPr>
      </w:pPr>
      <w:r>
        <w:rPr>
          <w:rStyle w:val="8"/>
          <w:rFonts w:hint="default" w:ascii="Times New Roman" w:hAnsi="Times New Roman" w:eastAsia="黑体" w:cs="Times New Roman"/>
          <w:bCs/>
          <w:sz w:val="32"/>
          <w:szCs w:val="32"/>
        </w:rPr>
        <w:t>一、总体情况</w:t>
      </w:r>
    </w:p>
    <w:p w14:paraId="63327308">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eastAsia="zh-CN"/>
        </w:rPr>
        <w:t>202</w:t>
      </w:r>
      <w:r>
        <w:rPr>
          <w:rFonts w:hint="eastAsia" w:ascii="Times New Roman" w:hAnsi="Times New Roman" w:eastAsia="仿宋" w:cs="Times New Roman"/>
          <w:b/>
          <w:bCs/>
          <w:sz w:val="32"/>
          <w:szCs w:val="32"/>
          <w:lang w:val="en-US" w:eastAsia="zh-CN"/>
        </w:rPr>
        <w:t>5</w:t>
      </w:r>
      <w:r>
        <w:rPr>
          <w:rFonts w:hint="default" w:ascii="Times New Roman" w:hAnsi="Times New Roman" w:eastAsia="仿宋" w:cs="Times New Roman"/>
          <w:b/>
          <w:bCs/>
          <w:sz w:val="32"/>
          <w:szCs w:val="32"/>
        </w:rPr>
        <w:t>年，</w:t>
      </w:r>
      <w:r>
        <w:rPr>
          <w:rFonts w:hint="eastAsia" w:ascii="Times New Roman" w:hAnsi="Times New Roman" w:eastAsia="仿宋" w:cs="Times New Roman"/>
          <w:b/>
          <w:bCs/>
          <w:sz w:val="32"/>
          <w:szCs w:val="32"/>
          <w:lang w:val="en-US" w:eastAsia="zh-CN"/>
        </w:rPr>
        <w:t>泗水县</w:t>
      </w:r>
      <w:r>
        <w:rPr>
          <w:rFonts w:hint="default" w:ascii="Times New Roman" w:hAnsi="Times New Roman" w:eastAsia="仿宋" w:cs="Times New Roman"/>
          <w:b/>
          <w:bCs/>
          <w:sz w:val="32"/>
          <w:szCs w:val="32"/>
          <w:lang w:val="en-US" w:eastAsia="zh-CN"/>
        </w:rPr>
        <w:t>中册</w:t>
      </w:r>
      <w:r>
        <w:rPr>
          <w:rFonts w:hint="default" w:ascii="Times New Roman" w:hAnsi="Times New Roman" w:eastAsia="仿宋" w:cs="Times New Roman"/>
          <w:b/>
          <w:bCs/>
          <w:sz w:val="32"/>
          <w:szCs w:val="32"/>
        </w:rPr>
        <w:t>镇</w:t>
      </w:r>
      <w:r>
        <w:rPr>
          <w:rFonts w:hint="eastAsia" w:ascii="Times New Roman" w:hAnsi="Times New Roman" w:eastAsia="仿宋" w:cs="Times New Roman"/>
          <w:b/>
          <w:bCs/>
          <w:sz w:val="32"/>
          <w:szCs w:val="32"/>
          <w:lang w:val="en-US" w:eastAsia="zh-CN"/>
        </w:rPr>
        <w:t>人民政府</w:t>
      </w:r>
      <w:r>
        <w:rPr>
          <w:rFonts w:hint="default" w:ascii="Times New Roman" w:hAnsi="Times New Roman" w:eastAsia="仿宋" w:cs="Times New Roman"/>
          <w:b/>
          <w:bCs/>
          <w:sz w:val="32"/>
          <w:szCs w:val="32"/>
        </w:rPr>
        <w:t>认真贯彻落实《中华人民共和国政府信息公开条例》，严格按照省、市、县关于基层政务公开工作的有关要求，</w:t>
      </w:r>
      <w:r>
        <w:rPr>
          <w:rFonts w:hint="default" w:ascii="Times New Roman" w:hAnsi="Times New Roman" w:eastAsia="仿宋" w:cs="Times New Roman"/>
          <w:b/>
          <w:bCs/>
          <w:sz w:val="32"/>
          <w:szCs w:val="32"/>
          <w:lang w:val="en-US" w:eastAsia="zh-CN"/>
        </w:rPr>
        <w:t>紧扣工作实际，</w:t>
      </w:r>
      <w:r>
        <w:rPr>
          <w:rFonts w:hint="default" w:ascii="Times New Roman" w:hAnsi="Times New Roman" w:eastAsia="仿宋" w:cs="Times New Roman"/>
          <w:b/>
          <w:bCs/>
          <w:sz w:val="32"/>
          <w:szCs w:val="32"/>
        </w:rPr>
        <w:t>进一步加强组织领导，建立健全工作机制，突出工作重点、深化公开内容、完善公开渠道</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及时主动向社会公开各类政府信息。</w:t>
      </w:r>
    </w:p>
    <w:p w14:paraId="66FD368A">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Style w:val="8"/>
          <w:rFonts w:hint="default" w:ascii="Times New Roman" w:hAnsi="Times New Roman" w:eastAsia="黑体" w:cs="Times New Roman"/>
          <w:bCs/>
          <w:sz w:val="32"/>
          <w:szCs w:val="32"/>
          <w:lang w:val="en-US"/>
        </w:rPr>
      </w:pPr>
      <w:r>
        <w:rPr>
          <w:rFonts w:hint="default" w:ascii="Times New Roman" w:hAnsi="Times New Roman" w:eastAsia="方正楷体简体" w:cs="Times New Roman"/>
          <w:b/>
          <w:color w:val="auto"/>
          <w:kern w:val="2"/>
          <w:sz w:val="32"/>
          <w:szCs w:val="32"/>
          <w:lang w:val="en-US" w:eastAsia="zh-CN" w:bidi="ar-SA"/>
        </w:rPr>
        <w:t>（一）主动公开情况</w:t>
      </w:r>
    </w:p>
    <w:p w14:paraId="3A20133E">
      <w:pPr>
        <w:keepNext w:val="0"/>
        <w:keepLines w:val="0"/>
        <w:pageBreakBefore w:val="0"/>
        <w:widowControl/>
        <w:suppressLineNumbers w:val="0"/>
        <w:kinsoku/>
        <w:wordWrap/>
        <w:overflowPunct/>
        <w:topLinePunct w:val="0"/>
        <w:autoSpaceDN/>
        <w:bidi w:val="0"/>
        <w:adjustRightInd/>
        <w:snapToGrid/>
        <w:spacing w:beforeAutospacing="0" w:line="580" w:lineRule="exact"/>
        <w:ind w:firstLine="643" w:firstLineChars="200"/>
        <w:jc w:val="left"/>
        <w:textAlignment w:val="auto"/>
        <w:rPr>
          <w:rFonts w:hint="default" w:ascii="Times New Roman" w:hAnsi="Times New Roman" w:eastAsia="仿宋" w:cs="Times New Roman"/>
          <w:b/>
          <w:bCs/>
          <w:kern w:val="0"/>
          <w:sz w:val="32"/>
          <w:szCs w:val="32"/>
          <w:lang w:val="en-US" w:eastAsia="zh-CN" w:bidi="ar-SA"/>
        </w:rPr>
      </w:pPr>
      <w:r>
        <w:rPr>
          <w:rFonts w:hint="eastAsia" w:ascii="Times New Roman" w:hAnsi="Times New Roman" w:eastAsia="仿宋" w:cs="Times New Roman"/>
          <w:b/>
          <w:bCs/>
          <w:sz w:val="32"/>
          <w:szCs w:val="32"/>
          <w:lang w:val="en-US" w:eastAsia="zh-CN"/>
        </w:rPr>
        <w:t>泗水县</w:t>
      </w:r>
      <w:r>
        <w:rPr>
          <w:rFonts w:hint="default" w:ascii="Times New Roman" w:hAnsi="Times New Roman" w:eastAsia="仿宋" w:cs="Times New Roman"/>
          <w:b/>
          <w:bCs/>
          <w:sz w:val="32"/>
          <w:szCs w:val="32"/>
          <w:lang w:val="en-US" w:eastAsia="zh-CN"/>
        </w:rPr>
        <w:t>中册</w:t>
      </w:r>
      <w:r>
        <w:rPr>
          <w:rFonts w:hint="default" w:ascii="Times New Roman" w:hAnsi="Times New Roman" w:eastAsia="仿宋" w:cs="Times New Roman"/>
          <w:b/>
          <w:bCs/>
          <w:sz w:val="32"/>
          <w:szCs w:val="32"/>
        </w:rPr>
        <w:t>镇</w:t>
      </w:r>
      <w:r>
        <w:rPr>
          <w:rFonts w:hint="eastAsia" w:ascii="Times New Roman" w:hAnsi="Times New Roman" w:eastAsia="仿宋" w:cs="Times New Roman"/>
          <w:b/>
          <w:bCs/>
          <w:sz w:val="32"/>
          <w:szCs w:val="32"/>
          <w:lang w:val="en-US" w:eastAsia="zh-CN"/>
        </w:rPr>
        <w:t>人民政府</w:t>
      </w:r>
      <w:r>
        <w:rPr>
          <w:rFonts w:hint="default" w:ascii="Times New Roman" w:hAnsi="Times New Roman" w:eastAsia="仿宋" w:cs="Times New Roman"/>
          <w:b/>
          <w:bCs/>
          <w:kern w:val="0"/>
          <w:sz w:val="32"/>
          <w:szCs w:val="32"/>
          <w:lang w:val="en-US" w:eastAsia="zh-CN" w:bidi="ar-SA"/>
        </w:rPr>
        <w:t>在泗水政府网上公开政府信息</w:t>
      </w:r>
      <w:r>
        <w:rPr>
          <w:rFonts w:hint="eastAsia" w:ascii="Times New Roman" w:hAnsi="Times New Roman" w:eastAsia="仿宋" w:cs="Times New Roman"/>
          <w:b/>
          <w:bCs/>
          <w:kern w:val="0"/>
          <w:sz w:val="32"/>
          <w:szCs w:val="32"/>
          <w:lang w:val="en-US" w:eastAsia="zh-CN" w:bidi="ar-SA"/>
        </w:rPr>
        <w:t>20</w:t>
      </w:r>
      <w:r>
        <w:rPr>
          <w:rFonts w:hint="default" w:ascii="Times New Roman" w:hAnsi="Times New Roman" w:eastAsia="仿宋" w:cs="Times New Roman"/>
          <w:b/>
          <w:bCs/>
          <w:kern w:val="0"/>
          <w:sz w:val="32"/>
          <w:szCs w:val="32"/>
          <w:lang w:val="en-US" w:eastAsia="zh-CN" w:bidi="ar-SA"/>
        </w:rPr>
        <w:t>条。其中，</w:t>
      </w:r>
      <w:r>
        <w:rPr>
          <w:rFonts w:hint="eastAsia" w:ascii="Times New Roman" w:hAnsi="Times New Roman" w:eastAsia="仿宋" w:cs="Times New Roman"/>
          <w:b/>
          <w:bCs/>
          <w:kern w:val="0"/>
          <w:sz w:val="32"/>
          <w:szCs w:val="32"/>
          <w:lang w:val="en-US" w:eastAsia="zh-CN" w:bidi="ar-SA"/>
        </w:rPr>
        <w:t>要闻咨询类信息</w:t>
      </w:r>
      <w:r>
        <w:rPr>
          <w:rFonts w:hint="default" w:ascii="Times New Roman" w:hAnsi="Times New Roman" w:eastAsia="仿宋" w:cs="Times New Roman"/>
          <w:b/>
          <w:bCs/>
          <w:kern w:val="0"/>
          <w:sz w:val="32"/>
          <w:szCs w:val="32"/>
          <w:lang w:val="en-US" w:eastAsia="zh-CN" w:bidi="ar-SA"/>
        </w:rPr>
        <w:t>2条</w:t>
      </w:r>
      <w:r>
        <w:rPr>
          <w:rFonts w:hint="eastAsia" w:ascii="Times New Roman" w:hAnsi="Times New Roman" w:eastAsia="仿宋" w:cs="Times New Roman"/>
          <w:b/>
          <w:bCs/>
          <w:kern w:val="0"/>
          <w:sz w:val="32"/>
          <w:szCs w:val="32"/>
          <w:lang w:val="en-US" w:eastAsia="zh-CN" w:bidi="ar-SA"/>
        </w:rPr>
        <w:t>，规划计划类信息5条，财政预算决算类信息5</w:t>
      </w:r>
      <w:r>
        <w:rPr>
          <w:rFonts w:hint="default" w:ascii="Times New Roman" w:hAnsi="Times New Roman" w:eastAsia="仿宋" w:cs="Times New Roman"/>
          <w:b/>
          <w:bCs/>
          <w:kern w:val="0"/>
          <w:sz w:val="32"/>
          <w:szCs w:val="32"/>
          <w:lang w:val="en-US" w:eastAsia="zh-CN" w:bidi="ar-SA"/>
        </w:rPr>
        <w:t>条，</w:t>
      </w:r>
      <w:r>
        <w:rPr>
          <w:rFonts w:hint="eastAsia" w:ascii="Times New Roman" w:hAnsi="Times New Roman" w:eastAsia="仿宋" w:cs="Times New Roman"/>
          <w:b/>
          <w:bCs/>
          <w:kern w:val="0"/>
          <w:sz w:val="32"/>
          <w:szCs w:val="32"/>
          <w:lang w:val="en-US" w:eastAsia="zh-CN" w:bidi="ar-SA"/>
        </w:rPr>
        <w:t>涉农补贴类信息4条，专题专栏</w:t>
      </w:r>
      <w:r>
        <w:rPr>
          <w:rFonts w:hint="default" w:ascii="Times New Roman" w:hAnsi="Times New Roman" w:eastAsia="仿宋" w:cs="Times New Roman"/>
          <w:b/>
          <w:bCs/>
          <w:kern w:val="0"/>
          <w:sz w:val="32"/>
          <w:szCs w:val="32"/>
          <w:lang w:val="en-US" w:eastAsia="zh-CN" w:bidi="ar-SA"/>
        </w:rPr>
        <w:t>类信息1条</w:t>
      </w:r>
      <w:r>
        <w:rPr>
          <w:rFonts w:hint="eastAsia" w:ascii="Times New Roman" w:hAnsi="Times New Roman" w:eastAsia="仿宋" w:cs="Times New Roman"/>
          <w:b/>
          <w:bCs/>
          <w:kern w:val="0"/>
          <w:sz w:val="32"/>
          <w:szCs w:val="32"/>
          <w:lang w:val="en-US" w:eastAsia="zh-CN" w:bidi="ar-SA"/>
        </w:rPr>
        <w:t>，其他类信息3条</w:t>
      </w:r>
      <w:r>
        <w:rPr>
          <w:rFonts w:hint="default" w:ascii="Times New Roman" w:hAnsi="Times New Roman" w:eastAsia="仿宋" w:cs="Times New Roman"/>
          <w:b/>
          <w:bCs/>
          <w:kern w:val="0"/>
          <w:sz w:val="32"/>
          <w:szCs w:val="32"/>
          <w:lang w:val="en-US" w:eastAsia="zh-CN" w:bidi="ar-SA"/>
        </w:rPr>
        <w:t>。</w:t>
      </w:r>
    </w:p>
    <w:p w14:paraId="33812454">
      <w:pPr>
        <w:pStyle w:val="2"/>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sz w:val="32"/>
          <w:szCs w:val="32"/>
          <w:lang w:eastAsia="zh-CN"/>
        </w:rPr>
        <w:drawing>
          <wp:anchor distT="0" distB="0" distL="114300" distR="114300" simplePos="0" relativeHeight="251659264" behindDoc="0" locked="0" layoutInCell="1" allowOverlap="1">
            <wp:simplePos x="0" y="0"/>
            <wp:positionH relativeFrom="column">
              <wp:posOffset>325755</wp:posOffset>
            </wp:positionH>
            <wp:positionV relativeFrom="paragraph">
              <wp:posOffset>226695</wp:posOffset>
            </wp:positionV>
            <wp:extent cx="5080000" cy="3810000"/>
            <wp:effectExtent l="4445" t="4445" r="20955" b="14605"/>
            <wp:wrapNone/>
            <wp:docPr id="3" name="图表 3"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14:paraId="39E3C860">
      <w:pPr>
        <w:rPr>
          <w:rFonts w:hint="default" w:ascii="Times New Roman" w:hAnsi="Times New Roman" w:eastAsia="仿宋" w:cs="Times New Roman"/>
          <w:b/>
          <w:bCs/>
          <w:kern w:val="0"/>
          <w:sz w:val="32"/>
          <w:szCs w:val="32"/>
          <w:lang w:val="en-US" w:eastAsia="zh-CN" w:bidi="ar-SA"/>
        </w:rPr>
      </w:pPr>
    </w:p>
    <w:p w14:paraId="62F95673">
      <w:pPr>
        <w:pStyle w:val="2"/>
        <w:rPr>
          <w:rFonts w:hint="default" w:ascii="Times New Roman" w:hAnsi="Times New Roman" w:eastAsia="仿宋" w:cs="Times New Roman"/>
          <w:b/>
          <w:bCs/>
          <w:kern w:val="0"/>
          <w:sz w:val="32"/>
          <w:szCs w:val="32"/>
          <w:lang w:val="en-US" w:eastAsia="zh-CN" w:bidi="ar-SA"/>
        </w:rPr>
      </w:pPr>
    </w:p>
    <w:p w14:paraId="29882D42">
      <w:pPr>
        <w:rPr>
          <w:rFonts w:hint="default" w:ascii="Times New Roman" w:hAnsi="Times New Roman" w:eastAsia="仿宋" w:cs="Times New Roman"/>
          <w:b/>
          <w:bCs/>
          <w:kern w:val="0"/>
          <w:sz w:val="32"/>
          <w:szCs w:val="32"/>
          <w:lang w:val="en-US" w:eastAsia="zh-CN" w:bidi="ar-SA"/>
        </w:rPr>
      </w:pPr>
    </w:p>
    <w:p w14:paraId="1CF76E87">
      <w:pPr>
        <w:pStyle w:val="2"/>
        <w:rPr>
          <w:rFonts w:hint="default" w:ascii="Times New Roman" w:hAnsi="Times New Roman" w:eastAsia="仿宋" w:cs="Times New Roman"/>
          <w:b/>
          <w:bCs/>
          <w:kern w:val="0"/>
          <w:sz w:val="32"/>
          <w:szCs w:val="32"/>
          <w:lang w:val="en-US" w:eastAsia="zh-CN" w:bidi="ar-SA"/>
        </w:rPr>
      </w:pPr>
    </w:p>
    <w:p w14:paraId="08C4DBF4">
      <w:pPr>
        <w:rPr>
          <w:rFonts w:hint="default" w:ascii="Times New Roman" w:hAnsi="Times New Roman" w:eastAsia="仿宋" w:cs="Times New Roman"/>
          <w:b/>
          <w:bCs/>
          <w:kern w:val="0"/>
          <w:sz w:val="32"/>
          <w:szCs w:val="32"/>
          <w:lang w:val="en-US" w:eastAsia="zh-CN" w:bidi="ar-SA"/>
        </w:rPr>
      </w:pPr>
    </w:p>
    <w:p w14:paraId="51BA323A">
      <w:pPr>
        <w:pStyle w:val="2"/>
        <w:rPr>
          <w:rFonts w:hint="default" w:ascii="Times New Roman" w:hAnsi="Times New Roman" w:eastAsia="仿宋" w:cs="Times New Roman"/>
          <w:b/>
          <w:bCs/>
          <w:kern w:val="0"/>
          <w:sz w:val="32"/>
          <w:szCs w:val="32"/>
          <w:lang w:val="en-US" w:eastAsia="zh-CN" w:bidi="ar-SA"/>
        </w:rPr>
      </w:pPr>
    </w:p>
    <w:p w14:paraId="0A27F20E">
      <w:pPr>
        <w:rPr>
          <w:rFonts w:hint="default"/>
          <w:lang w:val="en-US" w:eastAsia="zh-CN"/>
        </w:rPr>
      </w:pPr>
    </w:p>
    <w:p w14:paraId="3CDD2EE3">
      <w:pPr>
        <w:pStyle w:val="5"/>
        <w:keepNext w:val="0"/>
        <w:keepLines w:val="0"/>
        <w:pageBreakBefore w:val="0"/>
        <w:widowControl/>
        <w:kinsoku/>
        <w:wordWrap/>
        <w:overflowPunct/>
        <w:topLinePunct w:val="0"/>
        <w:autoSpaceDN/>
        <w:bidi w:val="0"/>
        <w:adjustRightInd/>
        <w:snapToGrid/>
        <w:spacing w:beforeAutospacing="0" w:afterAutospacing="0" w:line="580" w:lineRule="exact"/>
        <w:ind w:left="643" w:hanging="643" w:hangingChars="200"/>
        <w:jc w:val="both"/>
        <w:textAlignment w:val="auto"/>
        <w:rPr>
          <w:rFonts w:hint="default" w:ascii="Times New Roman" w:hAnsi="Times New Roman" w:eastAsia="方正楷体简体" w:cs="Times New Roman"/>
          <w:b/>
          <w:color w:val="auto"/>
          <w:kern w:val="2"/>
          <w:sz w:val="32"/>
          <w:szCs w:val="32"/>
          <w:lang w:val="en-US" w:eastAsia="zh-CN" w:bidi="ar-SA"/>
        </w:rPr>
      </w:pPr>
    </w:p>
    <w:p w14:paraId="508D180E">
      <w:pPr>
        <w:pStyle w:val="5"/>
        <w:keepNext w:val="0"/>
        <w:keepLines w:val="0"/>
        <w:pageBreakBefore w:val="0"/>
        <w:widowControl/>
        <w:kinsoku/>
        <w:wordWrap/>
        <w:overflowPunct/>
        <w:topLinePunct w:val="0"/>
        <w:autoSpaceDN/>
        <w:bidi w:val="0"/>
        <w:adjustRightInd/>
        <w:snapToGrid/>
        <w:spacing w:beforeAutospacing="0" w:afterAutospacing="0" w:line="580" w:lineRule="exact"/>
        <w:ind w:left="643" w:hanging="643" w:hangingChars="200"/>
        <w:jc w:val="both"/>
        <w:textAlignment w:val="auto"/>
        <w:rPr>
          <w:rFonts w:hint="default" w:ascii="Times New Roman" w:hAnsi="Times New Roman" w:eastAsia="方正楷体简体" w:cs="Times New Roman"/>
          <w:b/>
          <w:color w:val="auto"/>
          <w:kern w:val="2"/>
          <w:sz w:val="32"/>
          <w:szCs w:val="32"/>
          <w:lang w:val="en-US" w:eastAsia="zh-CN" w:bidi="ar-SA"/>
        </w:rPr>
      </w:pPr>
    </w:p>
    <w:p w14:paraId="15B4CA8D">
      <w:pPr>
        <w:pStyle w:val="5"/>
        <w:keepNext w:val="0"/>
        <w:keepLines w:val="0"/>
        <w:pageBreakBefore w:val="0"/>
        <w:widowControl/>
        <w:kinsoku/>
        <w:wordWrap/>
        <w:overflowPunct/>
        <w:topLinePunct w:val="0"/>
        <w:autoSpaceDN/>
        <w:bidi w:val="0"/>
        <w:adjustRightInd/>
        <w:snapToGrid/>
        <w:spacing w:beforeAutospacing="0" w:afterAutospacing="0" w:line="580" w:lineRule="exact"/>
        <w:ind w:left="640" w:leftChars="305" w:firstLine="0" w:firstLineChars="0"/>
        <w:jc w:val="both"/>
        <w:textAlignment w:val="auto"/>
        <w:rPr>
          <w:rFonts w:hint="default" w:ascii="Times New Roman" w:hAnsi="Times New Roman" w:eastAsia="方正楷体简体" w:cs="Times New Roman"/>
          <w:b/>
          <w:color w:val="auto"/>
          <w:kern w:val="2"/>
          <w:sz w:val="32"/>
          <w:szCs w:val="32"/>
          <w:lang w:val="en-US" w:eastAsia="zh-CN" w:bidi="ar-SA"/>
        </w:rPr>
      </w:pPr>
    </w:p>
    <w:p w14:paraId="07A97559">
      <w:pPr>
        <w:pStyle w:val="5"/>
        <w:keepNext w:val="0"/>
        <w:keepLines w:val="0"/>
        <w:pageBreakBefore w:val="0"/>
        <w:widowControl/>
        <w:kinsoku/>
        <w:wordWrap/>
        <w:overflowPunct/>
        <w:topLinePunct w:val="0"/>
        <w:autoSpaceDN/>
        <w:bidi w:val="0"/>
        <w:adjustRightInd/>
        <w:snapToGrid/>
        <w:spacing w:beforeAutospacing="0" w:afterAutospacing="0" w:line="580" w:lineRule="exact"/>
        <w:ind w:left="640" w:leftChars="305" w:firstLine="0" w:firstLineChars="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（二）依申请公开情况</w:t>
      </w:r>
    </w:p>
    <w:p w14:paraId="1A7E7497">
      <w:pPr>
        <w:keepNext w:val="0"/>
        <w:keepLines w:val="0"/>
        <w:pageBreakBefore w:val="0"/>
        <w:widowControl/>
        <w:suppressLineNumbers w:val="0"/>
        <w:kinsoku/>
        <w:wordWrap/>
        <w:overflowPunct/>
        <w:topLinePunct w:val="0"/>
        <w:autoSpaceDN/>
        <w:bidi w:val="0"/>
        <w:adjustRightInd/>
        <w:snapToGrid/>
        <w:spacing w:beforeAutospacing="0" w:line="580" w:lineRule="exact"/>
        <w:ind w:firstLine="643" w:firstLineChars="200"/>
        <w:jc w:val="left"/>
        <w:textAlignment w:val="auto"/>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202</w:t>
      </w:r>
      <w:r>
        <w:rPr>
          <w:rFonts w:hint="eastAsia" w:ascii="Times New Roman" w:hAnsi="Times New Roman" w:eastAsia="仿宋" w:cs="Times New Roman"/>
          <w:b/>
          <w:bCs/>
          <w:kern w:val="0"/>
          <w:sz w:val="32"/>
          <w:szCs w:val="32"/>
          <w:lang w:val="en-US" w:eastAsia="zh-CN" w:bidi="ar-SA"/>
        </w:rPr>
        <w:t>5</w:t>
      </w:r>
      <w:r>
        <w:rPr>
          <w:rFonts w:hint="default" w:ascii="Times New Roman" w:hAnsi="Times New Roman" w:eastAsia="仿宋" w:cs="Times New Roman"/>
          <w:b/>
          <w:bCs/>
          <w:kern w:val="0"/>
          <w:sz w:val="32"/>
          <w:szCs w:val="32"/>
          <w:lang w:val="en-US" w:eastAsia="zh-CN" w:bidi="ar-SA"/>
        </w:rPr>
        <w:t>年</w:t>
      </w:r>
      <w:r>
        <w:rPr>
          <w:rFonts w:hint="eastAsia" w:ascii="Times New Roman" w:hAnsi="Times New Roman" w:eastAsia="仿宋" w:cs="Times New Roman"/>
          <w:b/>
          <w:bCs/>
          <w:sz w:val="32"/>
          <w:szCs w:val="32"/>
          <w:lang w:val="en-US" w:eastAsia="zh-CN"/>
        </w:rPr>
        <w:t>泗水县</w:t>
      </w:r>
      <w:r>
        <w:rPr>
          <w:rFonts w:hint="default" w:ascii="Times New Roman" w:hAnsi="Times New Roman" w:eastAsia="仿宋" w:cs="Times New Roman"/>
          <w:b/>
          <w:bCs/>
          <w:sz w:val="32"/>
          <w:szCs w:val="32"/>
          <w:lang w:val="en-US" w:eastAsia="zh-CN"/>
        </w:rPr>
        <w:t>中册</w:t>
      </w:r>
      <w:r>
        <w:rPr>
          <w:rFonts w:hint="default" w:ascii="Times New Roman" w:hAnsi="Times New Roman" w:eastAsia="仿宋" w:cs="Times New Roman"/>
          <w:b/>
          <w:bCs/>
          <w:sz w:val="32"/>
          <w:szCs w:val="32"/>
        </w:rPr>
        <w:t>镇</w:t>
      </w:r>
      <w:r>
        <w:rPr>
          <w:rFonts w:hint="eastAsia" w:ascii="Times New Roman" w:hAnsi="Times New Roman" w:eastAsia="仿宋" w:cs="Times New Roman"/>
          <w:b/>
          <w:bCs/>
          <w:sz w:val="32"/>
          <w:szCs w:val="32"/>
          <w:lang w:val="en-US" w:eastAsia="zh-CN"/>
        </w:rPr>
        <w:t>人民政府</w:t>
      </w:r>
      <w:r>
        <w:rPr>
          <w:rFonts w:hint="default" w:ascii="Times New Roman" w:hAnsi="Times New Roman" w:eastAsia="仿宋" w:cs="Times New Roman"/>
          <w:b/>
          <w:bCs/>
          <w:kern w:val="0"/>
          <w:sz w:val="32"/>
          <w:szCs w:val="32"/>
          <w:lang w:val="en-US" w:eastAsia="zh-CN" w:bidi="ar-SA"/>
        </w:rPr>
        <w:t>未收到政府信息公开申请。</w:t>
      </w:r>
    </w:p>
    <w:p w14:paraId="0DF691E1">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楷体简体" w:cs="Times New Roman"/>
          <w:b/>
          <w:color w:val="auto"/>
          <w:sz w:val="32"/>
          <w:szCs w:val="32"/>
          <w:lang w:val="en-US" w:eastAsia="zh-CN"/>
        </w:rPr>
      </w:pPr>
      <w:r>
        <w:rPr>
          <w:rFonts w:hint="default" w:ascii="Times New Roman" w:hAnsi="Times New Roman" w:eastAsia="方正楷体简体" w:cs="Times New Roman"/>
          <w:b/>
          <w:color w:val="auto"/>
          <w:sz w:val="32"/>
          <w:szCs w:val="32"/>
          <w:lang w:eastAsia="zh-CN"/>
        </w:rPr>
        <w:t>（</w:t>
      </w:r>
      <w:r>
        <w:rPr>
          <w:rFonts w:hint="default" w:ascii="Times New Roman" w:hAnsi="Times New Roman" w:eastAsia="方正楷体简体" w:cs="Times New Roman"/>
          <w:b/>
          <w:color w:val="auto"/>
          <w:sz w:val="32"/>
          <w:szCs w:val="32"/>
          <w:lang w:val="en-US" w:eastAsia="zh-CN"/>
        </w:rPr>
        <w:t>三</w:t>
      </w:r>
      <w:r>
        <w:rPr>
          <w:rFonts w:hint="default" w:ascii="Times New Roman" w:hAnsi="Times New Roman" w:eastAsia="方正楷体简体" w:cs="Times New Roman"/>
          <w:b/>
          <w:color w:val="auto"/>
          <w:sz w:val="32"/>
          <w:szCs w:val="32"/>
          <w:lang w:eastAsia="zh-CN"/>
        </w:rPr>
        <w:t>）</w:t>
      </w:r>
      <w:r>
        <w:rPr>
          <w:rFonts w:hint="default" w:ascii="Times New Roman" w:hAnsi="Times New Roman" w:eastAsia="方正楷体简体" w:cs="Times New Roman"/>
          <w:b/>
          <w:color w:val="auto"/>
          <w:sz w:val="32"/>
          <w:szCs w:val="32"/>
        </w:rPr>
        <w:t>政府信息管理</w:t>
      </w:r>
      <w:r>
        <w:rPr>
          <w:rFonts w:hint="default" w:ascii="Times New Roman" w:hAnsi="Times New Roman" w:eastAsia="方正楷体简体" w:cs="Times New Roman"/>
          <w:b/>
          <w:color w:val="auto"/>
          <w:sz w:val="32"/>
          <w:szCs w:val="32"/>
          <w:lang w:val="en-US" w:eastAsia="zh-CN"/>
        </w:rPr>
        <w:t>情况</w:t>
      </w:r>
    </w:p>
    <w:p w14:paraId="3396CD29">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202</w:t>
      </w:r>
      <w:r>
        <w:rPr>
          <w:rFonts w:hint="eastAsia" w:ascii="Times New Roman" w:hAnsi="Times New Roman" w:eastAsia="仿宋" w:cs="Times New Roman"/>
          <w:b/>
          <w:bCs/>
          <w:sz w:val="32"/>
          <w:szCs w:val="32"/>
          <w:lang w:val="en-US" w:eastAsia="zh-CN"/>
        </w:rPr>
        <w:t>5</w:t>
      </w:r>
      <w:r>
        <w:rPr>
          <w:rFonts w:hint="default" w:ascii="Times New Roman" w:hAnsi="Times New Roman" w:eastAsia="仿宋" w:cs="Times New Roman"/>
          <w:b/>
          <w:bCs/>
          <w:sz w:val="32"/>
          <w:szCs w:val="32"/>
        </w:rPr>
        <w:t>年我镇继续完善组织领导和制度建设，建立健全信息上网审查制度、网络管理制度和移动存储设备使用制度，对网上拟公开发布的信息进行确认、复核、审批、监督和检查，确保信息公布的准确性、规范性、时效性。</w:t>
      </w:r>
      <w:r>
        <w:rPr>
          <w:rFonts w:hint="default" w:ascii="Times New Roman" w:hAnsi="Times New Roman" w:eastAsia="仿宋" w:cs="Times New Roman"/>
          <w:b/>
          <w:bCs/>
          <w:sz w:val="32"/>
          <w:szCs w:val="32"/>
          <w:lang w:val="en-US" w:eastAsia="zh-CN"/>
        </w:rPr>
        <w:t>同时，</w:t>
      </w:r>
      <w:r>
        <w:rPr>
          <w:rFonts w:hint="default" w:ascii="Times New Roman" w:hAnsi="Times New Roman" w:eastAsia="仿宋" w:cs="Times New Roman"/>
          <w:b/>
          <w:bCs/>
          <w:sz w:val="32"/>
          <w:szCs w:val="32"/>
        </w:rPr>
        <w:t>安排专人定期开展历史稿件错敏排查，做好网站日常巡检和监测工作。</w:t>
      </w:r>
    </w:p>
    <w:p w14:paraId="2CE7289D">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（四）政府信息平台建设情况</w:t>
      </w:r>
    </w:p>
    <w:p w14:paraId="405D0DE7">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eastAsia" w:ascii="Times New Roman" w:hAnsi="Times New Roman" w:eastAsia="仿宋" w:cs="Times New Roman"/>
          <w:b/>
          <w:bCs/>
          <w:sz w:val="32"/>
          <w:szCs w:val="32"/>
          <w:lang w:eastAsia="zh-CN"/>
        </w:rPr>
      </w:pPr>
      <w:bookmarkStart w:id="10" w:name="_GoBack"/>
      <w:bookmarkEnd w:id="10"/>
      <w:r>
        <w:rPr>
          <w:rFonts w:hint="eastAsia" w:ascii="Times New Roman" w:hAnsi="Times New Roman" w:eastAsia="仿宋" w:cs="Times New Roman"/>
          <w:b/>
          <w:bCs/>
          <w:sz w:val="32"/>
          <w:szCs w:val="32"/>
          <w:lang w:eastAsia="zh-CN"/>
        </w:rPr>
        <w:t>我镇持续优化信息公开平台建设，不断拓展公开范围、提升公开质量，构建起“分工明确、权责清晰、流程规范”的信息发布管理机制。坚持“以公开为常态、不公开为例外”的原则，精准聚焦群众普遍关注的重点领域和关键环节，保障群众能够便捷、稳定地获取政府信息。</w:t>
      </w:r>
    </w:p>
    <w:p w14:paraId="0810C8EF">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（五）监督保障情况</w:t>
      </w:r>
    </w:p>
    <w:p w14:paraId="17AF734A">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lang w:val="en-US" w:eastAsia="zh-CN"/>
        </w:rPr>
        <w:t>我镇始终坚持公开透明原则，强化组织领导保障，坚持将政府信息与政务公开摆在全镇工作的重要位置，做到常议常抓、抓实抓好。</w:t>
      </w:r>
      <w:r>
        <w:rPr>
          <w:rFonts w:hint="default" w:ascii="Times New Roman" w:hAnsi="Times New Roman" w:eastAsia="仿宋" w:cs="Times New Roman"/>
          <w:b/>
          <w:bCs/>
          <w:sz w:val="32"/>
          <w:szCs w:val="32"/>
        </w:rPr>
        <w:t>一是加强组织领导。定期召开政务公开工作会议</w:t>
      </w:r>
      <w:r>
        <w:rPr>
          <w:rFonts w:hint="default"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rPr>
        <w:t>明确政务公开职责，安排专员专责政务公开具体工作业务，确保政务公开工作落到实处。</w:t>
      </w:r>
      <w:r>
        <w:rPr>
          <w:rFonts w:hint="eastAsia" w:ascii="Times New Roman" w:hAnsi="Times New Roman" w:eastAsia="仿宋" w:cs="Times New Roman"/>
          <w:b/>
          <w:bCs/>
          <w:sz w:val="32"/>
          <w:szCs w:val="32"/>
          <w:lang w:val="en-US" w:eastAsia="zh-CN"/>
        </w:rPr>
        <w:t>二</w:t>
      </w:r>
      <w:r>
        <w:rPr>
          <w:rFonts w:hint="default" w:ascii="Times New Roman" w:hAnsi="Times New Roman" w:eastAsia="仿宋" w:cs="Times New Roman"/>
          <w:b/>
          <w:bCs/>
          <w:sz w:val="32"/>
          <w:szCs w:val="32"/>
          <w:lang w:val="en-US" w:eastAsia="zh-CN"/>
        </w:rPr>
        <w:t>是加强业务培训。定期对机关和村级工作人员进行政务公开培训，加强对政府信息公开工作的指导、督促和检查。</w:t>
      </w:r>
      <w:r>
        <w:rPr>
          <w:rFonts w:hint="eastAsia" w:ascii="Times New Roman" w:hAnsi="Times New Roman" w:eastAsia="仿宋" w:cs="Times New Roman"/>
          <w:b/>
          <w:bCs/>
          <w:sz w:val="32"/>
          <w:szCs w:val="32"/>
          <w:lang w:val="en-US" w:eastAsia="zh-CN"/>
        </w:rPr>
        <w:t>三</w:t>
      </w:r>
      <w:r>
        <w:rPr>
          <w:rFonts w:hint="default" w:ascii="Times New Roman" w:hAnsi="Times New Roman" w:eastAsia="仿宋" w:cs="Times New Roman"/>
          <w:b/>
          <w:bCs/>
          <w:sz w:val="32"/>
          <w:szCs w:val="32"/>
          <w:lang w:val="en-US" w:eastAsia="zh-CN"/>
        </w:rPr>
        <w:t>是设立监督举报箱。及时全面的接收群众的监督和建议，通过接收群众监督信息、听取工作汇报、开展政务公开座谈会等方式提升工作水平。不断</w:t>
      </w:r>
      <w:r>
        <w:rPr>
          <w:rFonts w:hint="default" w:ascii="Times New Roman" w:hAnsi="Times New Roman" w:eastAsia="仿宋" w:cs="Times New Roman"/>
          <w:b/>
          <w:bCs/>
          <w:sz w:val="32"/>
          <w:szCs w:val="32"/>
        </w:rPr>
        <w:t>促进信息公开工作</w:t>
      </w:r>
      <w:r>
        <w:rPr>
          <w:rFonts w:hint="default" w:ascii="Times New Roman" w:hAnsi="Times New Roman" w:eastAsia="仿宋" w:cs="Times New Roman"/>
          <w:b/>
          <w:bCs/>
          <w:sz w:val="32"/>
          <w:szCs w:val="32"/>
          <w:lang w:eastAsia="zh-CN"/>
        </w:rPr>
        <w:t>的</w:t>
      </w:r>
      <w:r>
        <w:rPr>
          <w:rFonts w:hint="default" w:ascii="Times New Roman" w:hAnsi="Times New Roman" w:eastAsia="仿宋" w:cs="Times New Roman"/>
          <w:b/>
          <w:bCs/>
          <w:sz w:val="32"/>
          <w:szCs w:val="32"/>
        </w:rPr>
        <w:t>规范化。</w:t>
      </w:r>
    </w:p>
    <w:p w14:paraId="7EBB808F">
      <w:pPr>
        <w:pStyle w:val="5"/>
        <w:widowControl/>
        <w:spacing w:beforeAutospacing="0" w:afterAutospacing="0"/>
        <w:ind w:firstLine="643" w:firstLineChars="200"/>
        <w:jc w:val="both"/>
        <w:rPr>
          <w:rStyle w:val="8"/>
          <w:rFonts w:hint="default" w:ascii="Times New Roman" w:hAnsi="Times New Roman" w:eastAsia="黑体" w:cs="Times New Roman"/>
          <w:bCs/>
          <w:sz w:val="32"/>
          <w:szCs w:val="32"/>
        </w:rPr>
      </w:pPr>
      <w:r>
        <w:rPr>
          <w:rStyle w:val="8"/>
          <w:rFonts w:hint="default" w:ascii="Times New Roman" w:hAnsi="Times New Roman" w:eastAsia="黑体" w:cs="Times New Roman"/>
          <w:bCs/>
          <w:sz w:val="32"/>
          <w:szCs w:val="32"/>
        </w:rPr>
        <w:t>二、主动公开政府信息情况</w:t>
      </w:r>
    </w:p>
    <w:tbl>
      <w:tblPr>
        <w:tblStyle w:val="6"/>
        <w:tblW w:w="85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125"/>
        <w:gridCol w:w="2125"/>
        <w:gridCol w:w="2125"/>
        <w:gridCol w:w="2125"/>
      </w:tblGrid>
      <w:tr w14:paraId="5EA0A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68CC78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第二十条第（一）项</w:t>
            </w:r>
          </w:p>
        </w:tc>
      </w:tr>
      <w:tr w14:paraId="2AA6D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48C30B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信息内容</w:t>
            </w:r>
          </w:p>
        </w:tc>
        <w:tc>
          <w:tcPr>
            <w:tcW w:w="2125" w:type="dxa"/>
            <w:tcBorders>
              <w:top w:val="single" w:color="auto" w:sz="8" w:space="0"/>
              <w:left w:val="nil"/>
              <w:bottom w:val="single" w:color="auto" w:sz="8" w:space="0"/>
              <w:right w:val="single" w:color="auto" w:sz="8" w:space="0"/>
            </w:tcBorders>
            <w:noWrap w:val="0"/>
            <w:tcMar>
              <w:left w:w="57" w:type="dxa"/>
              <w:right w:w="57" w:type="dxa"/>
            </w:tcMar>
            <w:vAlign w:val="center"/>
          </w:tcPr>
          <w:p w14:paraId="77DC84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本年制发件数</w:t>
            </w:r>
          </w:p>
        </w:tc>
        <w:tc>
          <w:tcPr>
            <w:tcW w:w="2125" w:type="dxa"/>
            <w:tcBorders>
              <w:top w:val="single" w:color="auto" w:sz="8" w:space="0"/>
              <w:left w:val="nil"/>
              <w:bottom w:val="single" w:color="auto" w:sz="8" w:space="0"/>
              <w:right w:val="single" w:color="auto" w:sz="8" w:space="0"/>
            </w:tcBorders>
            <w:noWrap w:val="0"/>
            <w:tcMar>
              <w:left w:w="57" w:type="dxa"/>
              <w:right w:w="57" w:type="dxa"/>
            </w:tcMar>
            <w:vAlign w:val="center"/>
          </w:tcPr>
          <w:p w14:paraId="6C629B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本年废止件数</w:t>
            </w:r>
          </w:p>
        </w:tc>
        <w:tc>
          <w:tcPr>
            <w:tcW w:w="2125" w:type="dxa"/>
            <w:tcBorders>
              <w:top w:val="single" w:color="auto" w:sz="8" w:space="0"/>
              <w:left w:val="nil"/>
              <w:bottom w:val="single" w:color="auto" w:sz="8" w:space="0"/>
              <w:right w:val="single" w:color="auto" w:sz="8" w:space="0"/>
            </w:tcBorders>
            <w:noWrap w:val="0"/>
            <w:tcMar>
              <w:left w:w="57" w:type="dxa"/>
              <w:right w:w="57" w:type="dxa"/>
            </w:tcMar>
            <w:vAlign w:val="center"/>
          </w:tcPr>
          <w:p w14:paraId="1C837E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现行有效件数</w:t>
            </w:r>
          </w:p>
        </w:tc>
      </w:tr>
      <w:tr w14:paraId="3B721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10D027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规章</w:t>
            </w:r>
          </w:p>
        </w:tc>
        <w:tc>
          <w:tcPr>
            <w:tcW w:w="2125" w:type="dxa"/>
            <w:tcBorders>
              <w:top w:val="nil"/>
              <w:left w:val="nil"/>
              <w:bottom w:val="single" w:color="auto" w:sz="8" w:space="0"/>
              <w:right w:val="single" w:color="auto" w:sz="8" w:space="0"/>
            </w:tcBorders>
            <w:noWrap w:val="0"/>
            <w:tcMar>
              <w:left w:w="57" w:type="dxa"/>
              <w:right w:w="57" w:type="dxa"/>
            </w:tcMar>
            <w:vAlign w:val="center"/>
          </w:tcPr>
          <w:p w14:paraId="6AD09C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14:paraId="754299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14:paraId="62B5A3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r>
      <w:tr w14:paraId="5683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6D979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行政规范性文件</w:t>
            </w:r>
          </w:p>
        </w:tc>
        <w:tc>
          <w:tcPr>
            <w:tcW w:w="2125" w:type="dxa"/>
            <w:tcBorders>
              <w:top w:val="nil"/>
              <w:left w:val="nil"/>
              <w:bottom w:val="single" w:color="auto" w:sz="8" w:space="0"/>
              <w:right w:val="single" w:color="auto" w:sz="8" w:space="0"/>
            </w:tcBorders>
            <w:noWrap w:val="0"/>
            <w:tcMar>
              <w:left w:w="57" w:type="dxa"/>
              <w:right w:w="57" w:type="dxa"/>
            </w:tcMar>
            <w:vAlign w:val="center"/>
          </w:tcPr>
          <w:p w14:paraId="6A2585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14:paraId="721B27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c>
          <w:tcPr>
            <w:tcW w:w="2125" w:type="dxa"/>
            <w:tcBorders>
              <w:top w:val="nil"/>
              <w:left w:val="nil"/>
              <w:bottom w:val="single" w:color="auto" w:sz="8" w:space="0"/>
              <w:right w:val="single" w:color="auto" w:sz="8" w:space="0"/>
            </w:tcBorders>
            <w:noWrap w:val="0"/>
            <w:tcMar>
              <w:left w:w="57" w:type="dxa"/>
              <w:right w:w="57" w:type="dxa"/>
            </w:tcMar>
            <w:vAlign w:val="center"/>
          </w:tcPr>
          <w:p w14:paraId="71E5C7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r>
      <w:tr w14:paraId="7D480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26784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第二十条第（五）项</w:t>
            </w:r>
          </w:p>
        </w:tc>
      </w:tr>
      <w:tr w14:paraId="22F2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015FC8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信息内容</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14:paraId="3F83D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本年处理决定数量</w:t>
            </w:r>
          </w:p>
        </w:tc>
      </w:tr>
      <w:tr w14:paraId="0ACC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0E9477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行政许可</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14:paraId="52920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r>
      <w:tr w14:paraId="3B87D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CC30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第二十条第（六）项</w:t>
            </w:r>
          </w:p>
        </w:tc>
      </w:tr>
      <w:tr w14:paraId="6A72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3BA295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信息内容</w:t>
            </w:r>
          </w:p>
        </w:tc>
        <w:tc>
          <w:tcPr>
            <w:tcW w:w="637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5AD93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本年处理决定数量</w:t>
            </w:r>
          </w:p>
        </w:tc>
      </w:tr>
      <w:tr w14:paraId="4E0DC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251941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行政处罚</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14:paraId="3A2E8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r>
      <w:tr w14:paraId="71E8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68CC71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行政强制</w:t>
            </w:r>
          </w:p>
        </w:tc>
        <w:tc>
          <w:tcPr>
            <w:tcW w:w="6375" w:type="dxa"/>
            <w:gridSpan w:val="3"/>
            <w:tcBorders>
              <w:top w:val="nil"/>
              <w:left w:val="nil"/>
              <w:bottom w:val="single" w:color="auto" w:sz="8" w:space="0"/>
              <w:right w:val="single" w:color="auto" w:sz="8" w:space="0"/>
            </w:tcBorders>
            <w:noWrap w:val="0"/>
            <w:tcMar>
              <w:left w:w="57" w:type="dxa"/>
              <w:right w:w="57" w:type="dxa"/>
            </w:tcMar>
            <w:vAlign w:val="center"/>
          </w:tcPr>
          <w:p w14:paraId="37026E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lang w:val="en-US" w:eastAsia="zh-CN"/>
              </w:rPr>
            </w:pPr>
            <w:r>
              <w:rPr>
                <w:rFonts w:hint="default" w:ascii="Times New Roman" w:hAnsi="Times New Roman" w:eastAsia="黑体" w:cs="Times New Roman"/>
                <w:b w:val="0"/>
                <w:bCs/>
                <w:color w:val="auto"/>
                <w:sz w:val="24"/>
                <w:szCs w:val="32"/>
                <w:lang w:val="en-US" w:eastAsia="zh-CN"/>
              </w:rPr>
              <w:t>0</w:t>
            </w:r>
          </w:p>
        </w:tc>
      </w:tr>
      <w:tr w14:paraId="16A7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2E2DA2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第二十条第（八）项</w:t>
            </w:r>
          </w:p>
        </w:tc>
      </w:tr>
      <w:tr w14:paraId="7882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2098D4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信息内容</w:t>
            </w:r>
          </w:p>
        </w:tc>
        <w:tc>
          <w:tcPr>
            <w:tcW w:w="6375" w:type="dxa"/>
            <w:gridSpan w:val="3"/>
            <w:tcBorders>
              <w:top w:val="nil"/>
              <w:left w:val="nil"/>
              <w:bottom w:val="single" w:color="auto" w:sz="8" w:space="0"/>
              <w:right w:val="single" w:color="000000" w:sz="8" w:space="0"/>
            </w:tcBorders>
            <w:noWrap w:val="0"/>
            <w:tcMar>
              <w:left w:w="57" w:type="dxa"/>
              <w:right w:w="57" w:type="dxa"/>
            </w:tcMar>
            <w:vAlign w:val="center"/>
          </w:tcPr>
          <w:p w14:paraId="1384DD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本年收费金额（单位：万元）</w:t>
            </w:r>
          </w:p>
        </w:tc>
      </w:tr>
      <w:tr w14:paraId="3372B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jc w:val="center"/>
        </w:trPr>
        <w:tc>
          <w:tcPr>
            <w:tcW w:w="2125" w:type="dxa"/>
            <w:tcBorders>
              <w:top w:val="nil"/>
              <w:left w:val="single" w:color="auto" w:sz="8" w:space="0"/>
              <w:bottom w:val="single" w:color="auto" w:sz="8" w:space="0"/>
              <w:right w:val="single" w:color="auto" w:sz="8" w:space="0"/>
            </w:tcBorders>
            <w:noWrap w:val="0"/>
            <w:tcMar>
              <w:left w:w="57" w:type="dxa"/>
              <w:right w:w="57" w:type="dxa"/>
            </w:tcMar>
            <w:vAlign w:val="center"/>
          </w:tcPr>
          <w:p w14:paraId="649AF5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黑体" w:cs="Times New Roman"/>
                <w:b w:val="0"/>
                <w:bCs/>
                <w:color w:val="auto"/>
                <w:sz w:val="24"/>
                <w:szCs w:val="32"/>
              </w:rPr>
            </w:pPr>
            <w:r>
              <w:rPr>
                <w:rFonts w:hint="default" w:ascii="Times New Roman" w:hAnsi="Times New Roman" w:eastAsia="黑体" w:cs="Times New Roman"/>
                <w:b w:val="0"/>
                <w:bCs/>
                <w:color w:val="auto"/>
                <w:kern w:val="0"/>
                <w:sz w:val="22"/>
                <w:szCs w:val="22"/>
                <w:lang w:val="en-US" w:eastAsia="zh-CN" w:bidi="ar"/>
              </w:rPr>
              <w:t>行政事业性收费</w:t>
            </w:r>
          </w:p>
        </w:tc>
        <w:tc>
          <w:tcPr>
            <w:tcW w:w="6375" w:type="dxa"/>
            <w:gridSpan w:val="3"/>
            <w:tcBorders>
              <w:top w:val="nil"/>
              <w:left w:val="nil"/>
              <w:bottom w:val="single" w:color="auto" w:sz="8" w:space="0"/>
              <w:right w:val="single" w:color="000000" w:sz="8" w:space="0"/>
            </w:tcBorders>
            <w:noWrap w:val="0"/>
            <w:tcMar>
              <w:left w:w="57" w:type="dxa"/>
              <w:right w:w="57" w:type="dxa"/>
            </w:tcMar>
            <w:vAlign w:val="center"/>
          </w:tcPr>
          <w:p w14:paraId="1CA507FA">
            <w:pPr>
              <w:jc w:val="center"/>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0</w:t>
            </w:r>
          </w:p>
        </w:tc>
      </w:tr>
    </w:tbl>
    <w:p w14:paraId="27C2D6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3" w:firstLineChars="200"/>
        <w:jc w:val="both"/>
        <w:rPr>
          <w:rFonts w:hint="eastAsia" w:ascii="Times New Roman" w:hAnsi="Times New Roman" w:eastAsia="黑体" w:cs="Times New Roman"/>
          <w:b/>
          <w:bCs w:val="0"/>
          <w:i w:val="0"/>
          <w:iCs w:val="0"/>
          <w:caps w:val="0"/>
          <w:color w:val="auto"/>
          <w:spacing w:val="0"/>
          <w:sz w:val="24"/>
          <w:szCs w:val="24"/>
          <w:lang w:eastAsia="zh-CN"/>
        </w:rPr>
      </w:pPr>
      <w:r>
        <w:rPr>
          <w:rStyle w:val="8"/>
          <w:rFonts w:hint="default" w:ascii="Times New Roman" w:hAnsi="Times New Roman" w:eastAsia="黑体" w:cs="Times New Roman"/>
          <w:bCs/>
          <w:sz w:val="32"/>
          <w:szCs w:val="32"/>
        </w:rPr>
        <w:t>三、收到和处理政府信息公开申请情况</w:t>
      </w:r>
    </w:p>
    <w:tbl>
      <w:tblPr>
        <w:tblStyle w:val="6"/>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7056E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14:paraId="7049C3F7">
            <w:pPr>
              <w:widowControl/>
              <w:spacing w:line="240" w:lineRule="auto"/>
              <w:jc w:val="center"/>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14:paraId="52F967B9">
            <w:pPr>
              <w:widowControl/>
              <w:spacing w:line="240" w:lineRule="auto"/>
              <w:jc w:val="center"/>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820" w:type="dxa"/>
            <w:gridSpan w:val="7"/>
            <w:noWrap w:val="0"/>
            <w:tcMar>
              <w:left w:w="108" w:type="dxa"/>
              <w:right w:w="108" w:type="dxa"/>
            </w:tcMar>
            <w:vAlign w:val="center"/>
          </w:tcPr>
          <w:p w14:paraId="3F340DB7">
            <w:pPr>
              <w:widowControl/>
              <w:spacing w:line="240" w:lineRule="auto"/>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14:paraId="72E653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14:paraId="73E9EAAF">
            <w:pPr>
              <w:jc w:val="center"/>
              <w:rPr>
                <w:rFonts w:hint="default" w:ascii="Times New Roman" w:hAnsi="Times New Roman" w:eastAsia="仿宋_GB2312" w:cs="Times New Roman"/>
                <w:color w:val="auto"/>
                <w:szCs w:val="21"/>
              </w:rPr>
            </w:pPr>
          </w:p>
        </w:tc>
        <w:tc>
          <w:tcPr>
            <w:tcW w:w="829" w:type="dxa"/>
            <w:vMerge w:val="restart"/>
            <w:noWrap w:val="0"/>
            <w:tcMar>
              <w:left w:w="108" w:type="dxa"/>
              <w:right w:w="108" w:type="dxa"/>
            </w:tcMar>
            <w:vAlign w:val="center"/>
          </w:tcPr>
          <w:p w14:paraId="2AE1CE05">
            <w:pPr>
              <w:widowControl/>
              <w:spacing w:line="240" w:lineRule="auto"/>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140" w:type="dxa"/>
            <w:gridSpan w:val="5"/>
            <w:noWrap w:val="0"/>
            <w:tcMar>
              <w:left w:w="108" w:type="dxa"/>
              <w:right w:w="108" w:type="dxa"/>
            </w:tcMar>
            <w:vAlign w:val="center"/>
          </w:tcPr>
          <w:p w14:paraId="7CB65044">
            <w:pPr>
              <w:widowControl/>
              <w:spacing w:line="240" w:lineRule="auto"/>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851" w:type="dxa"/>
            <w:vMerge w:val="restart"/>
            <w:noWrap w:val="0"/>
            <w:tcMar>
              <w:left w:w="108" w:type="dxa"/>
              <w:right w:w="108" w:type="dxa"/>
            </w:tcMar>
            <w:vAlign w:val="center"/>
          </w:tcPr>
          <w:p w14:paraId="13D934DA">
            <w:pPr>
              <w:widowControl/>
              <w:spacing w:line="240" w:lineRule="auto"/>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14:paraId="3C18C0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14:paraId="26CF5686">
            <w:pPr>
              <w:jc w:val="center"/>
              <w:rPr>
                <w:rFonts w:hint="default" w:ascii="Times New Roman" w:hAnsi="Times New Roman" w:eastAsia="仿宋_GB2312" w:cs="Times New Roman"/>
                <w:color w:val="auto"/>
                <w:szCs w:val="21"/>
              </w:rPr>
            </w:pPr>
          </w:p>
        </w:tc>
        <w:tc>
          <w:tcPr>
            <w:tcW w:w="829" w:type="dxa"/>
            <w:vMerge w:val="continue"/>
            <w:noWrap w:val="0"/>
            <w:tcMar>
              <w:left w:w="108" w:type="dxa"/>
              <w:right w:w="108" w:type="dxa"/>
            </w:tcMar>
            <w:vAlign w:val="center"/>
          </w:tcPr>
          <w:p w14:paraId="5AE10A24">
            <w:pPr>
              <w:spacing w:line="240" w:lineRule="auto"/>
              <w:jc w:val="center"/>
              <w:rPr>
                <w:rFonts w:hint="default" w:ascii="Times New Roman" w:hAnsi="Times New Roman" w:eastAsia="黑体" w:cs="Times New Roman"/>
                <w:color w:val="auto"/>
                <w:szCs w:val="21"/>
              </w:rPr>
            </w:pPr>
          </w:p>
        </w:tc>
        <w:tc>
          <w:tcPr>
            <w:tcW w:w="567" w:type="dxa"/>
            <w:noWrap w:val="0"/>
            <w:tcMar>
              <w:left w:w="108" w:type="dxa"/>
              <w:right w:w="108" w:type="dxa"/>
            </w:tcMar>
            <w:vAlign w:val="center"/>
          </w:tcPr>
          <w:p w14:paraId="475D8200">
            <w:pPr>
              <w:widowControl/>
              <w:spacing w:line="240" w:lineRule="auto"/>
              <w:ind w:left="-106" w:leftChars="-51" w:right="-107" w:rightChars="-51" w:hanging="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67" w:type="dxa"/>
            <w:noWrap w:val="0"/>
            <w:tcMar>
              <w:left w:w="108" w:type="dxa"/>
              <w:right w:w="108" w:type="dxa"/>
            </w:tcMar>
            <w:vAlign w:val="center"/>
          </w:tcPr>
          <w:p w14:paraId="5E50A4AB">
            <w:pPr>
              <w:widowControl/>
              <w:spacing w:line="240" w:lineRule="auto"/>
              <w:ind w:left="-107" w:leftChars="-51" w:right="-107" w:rightChars="-5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31" w:type="dxa"/>
            <w:noWrap w:val="0"/>
            <w:tcMar>
              <w:left w:w="108" w:type="dxa"/>
              <w:right w:w="108" w:type="dxa"/>
            </w:tcMar>
            <w:vAlign w:val="center"/>
          </w:tcPr>
          <w:p w14:paraId="67E1FC9E">
            <w:pPr>
              <w:widowControl/>
              <w:spacing w:line="240" w:lineRule="auto"/>
              <w:ind w:left="-107" w:leftChars="-51" w:right="-107" w:rightChars="-5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708" w:type="dxa"/>
            <w:noWrap w:val="0"/>
            <w:tcMar>
              <w:left w:w="108" w:type="dxa"/>
              <w:right w:w="108" w:type="dxa"/>
            </w:tcMar>
            <w:vAlign w:val="center"/>
          </w:tcPr>
          <w:p w14:paraId="1B755C89">
            <w:pPr>
              <w:widowControl/>
              <w:spacing w:line="240" w:lineRule="auto"/>
              <w:ind w:left="-106" w:leftChars="-51" w:right="-107" w:rightChars="-51" w:hanging="1"/>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67" w:type="dxa"/>
            <w:noWrap w:val="0"/>
            <w:tcMar>
              <w:left w:w="108" w:type="dxa"/>
              <w:right w:w="108" w:type="dxa"/>
            </w:tcMar>
            <w:vAlign w:val="center"/>
          </w:tcPr>
          <w:p w14:paraId="6ABB947A">
            <w:pPr>
              <w:widowControl/>
              <w:spacing w:line="240" w:lineRule="auto"/>
              <w:ind w:left="-63" w:leftChars="-30" w:right="-134" w:rightChars="-64"/>
              <w:jc w:val="center"/>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851" w:type="dxa"/>
            <w:vMerge w:val="continue"/>
            <w:noWrap w:val="0"/>
            <w:tcMar>
              <w:left w:w="108" w:type="dxa"/>
              <w:right w:w="108" w:type="dxa"/>
            </w:tcMar>
            <w:vAlign w:val="center"/>
          </w:tcPr>
          <w:p w14:paraId="063551A9">
            <w:pPr>
              <w:spacing w:line="240" w:lineRule="auto"/>
              <w:jc w:val="center"/>
              <w:rPr>
                <w:rFonts w:hint="default" w:ascii="Times New Roman" w:hAnsi="Times New Roman" w:eastAsia="仿宋_GB2312" w:cs="Times New Roman"/>
                <w:color w:val="auto"/>
                <w:szCs w:val="21"/>
              </w:rPr>
            </w:pPr>
          </w:p>
        </w:tc>
      </w:tr>
      <w:tr w14:paraId="35EF0B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4F2CE067">
            <w:pPr>
              <w:widowControl/>
              <w:spacing w:line="240" w:lineRule="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829" w:type="dxa"/>
            <w:noWrap w:val="0"/>
            <w:tcMar>
              <w:left w:w="108" w:type="dxa"/>
              <w:right w:w="108" w:type="dxa"/>
            </w:tcMar>
            <w:vAlign w:val="center"/>
          </w:tcPr>
          <w:p w14:paraId="4E907375">
            <w:pPr>
              <w:widowControl/>
              <w:spacing w:after="180" w:line="240" w:lineRule="auto"/>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D66C819">
            <w:pPr>
              <w:widowControl/>
              <w:spacing w:after="180" w:line="240" w:lineRule="auto"/>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1A83EEE">
            <w:pPr>
              <w:widowControl/>
              <w:spacing w:after="180" w:line="240" w:lineRule="auto"/>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3F289ACC">
            <w:pPr>
              <w:widowControl/>
              <w:spacing w:after="180" w:line="240" w:lineRule="auto"/>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44CDD847">
            <w:pPr>
              <w:widowControl/>
              <w:spacing w:after="180" w:line="240" w:lineRule="auto"/>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1133DC2">
            <w:pPr>
              <w:widowControl/>
              <w:spacing w:after="180" w:line="240" w:lineRule="auto"/>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5420B75E">
            <w:pPr>
              <w:widowControl/>
              <w:spacing w:after="180" w:line="240" w:lineRule="auto"/>
              <w:jc w:val="center"/>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14:paraId="47747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14:paraId="53704FC5">
            <w:pPr>
              <w:widowControl/>
              <w:spacing w:line="240" w:lineRule="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829" w:type="dxa"/>
            <w:noWrap w:val="0"/>
            <w:tcMar>
              <w:left w:w="108" w:type="dxa"/>
              <w:right w:w="108" w:type="dxa"/>
            </w:tcMar>
            <w:vAlign w:val="center"/>
          </w:tcPr>
          <w:p w14:paraId="226E79E7">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477944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7B7996A">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02ACCDB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757B113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3FDB23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3E5DDBA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1BC4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14:paraId="14D94178">
            <w:pPr>
              <w:widowControl/>
              <w:spacing w:after="180" w:line="240" w:lineRule="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noWrap w:val="0"/>
            <w:tcMar>
              <w:left w:w="108" w:type="dxa"/>
              <w:right w:w="108" w:type="dxa"/>
            </w:tcMar>
            <w:vAlign w:val="center"/>
          </w:tcPr>
          <w:p w14:paraId="104BD7A6">
            <w:pPr>
              <w:widowControl/>
              <w:spacing w:line="240" w:lineRule="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829" w:type="dxa"/>
            <w:noWrap w:val="0"/>
            <w:tcMar>
              <w:left w:w="108" w:type="dxa"/>
              <w:right w:w="108" w:type="dxa"/>
            </w:tcMar>
            <w:vAlign w:val="center"/>
          </w:tcPr>
          <w:p w14:paraId="0ECE3D67">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4DD045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33DA48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0E19B1D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5351EF0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7126DF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1F85AB6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DB120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26E3F275">
            <w:pPr>
              <w:spacing w:line="240" w:lineRule="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14:paraId="72E089A2">
            <w:pPr>
              <w:widowControl/>
              <w:spacing w:line="240" w:lineRule="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829" w:type="dxa"/>
            <w:noWrap w:val="0"/>
            <w:tcMar>
              <w:left w:w="108" w:type="dxa"/>
              <w:right w:w="108" w:type="dxa"/>
            </w:tcMar>
            <w:vAlign w:val="center"/>
          </w:tcPr>
          <w:p w14:paraId="220A924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9B586AB">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2BD0571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7696375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04A27B1E">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006CD2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457475A7">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118A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73882A3">
            <w:pPr>
              <w:spacing w:line="240" w:lineRule="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01DC544E">
            <w:pPr>
              <w:widowControl/>
              <w:spacing w:line="240" w:lineRule="auto"/>
              <w:ind w:left="-107" w:leftChars="-51"/>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noWrap w:val="0"/>
            <w:tcMar>
              <w:left w:w="108" w:type="dxa"/>
              <w:right w:w="108" w:type="dxa"/>
            </w:tcMar>
            <w:vAlign w:val="center"/>
          </w:tcPr>
          <w:p w14:paraId="3C99A425">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829" w:type="dxa"/>
            <w:noWrap w:val="0"/>
            <w:tcMar>
              <w:left w:w="108" w:type="dxa"/>
              <w:right w:w="108" w:type="dxa"/>
            </w:tcMar>
            <w:vAlign w:val="center"/>
          </w:tcPr>
          <w:p w14:paraId="67831D8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6F7EED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59FB39E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52926D3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5FCB334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3BCCB1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210F8E1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34DAF0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A097E02">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00197DA5">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4A540030">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2" w:name="_Hlk66974104"/>
            <w:r>
              <w:rPr>
                <w:rFonts w:hint="default" w:ascii="Times New Roman" w:hAnsi="Times New Roman" w:eastAsia="仿宋_GB2312" w:cs="Times New Roman"/>
                <w:color w:val="auto"/>
                <w:kern w:val="0"/>
                <w:szCs w:val="21"/>
              </w:rPr>
              <w:t>其他法律行政法规禁止公开</w:t>
            </w:r>
            <w:bookmarkEnd w:id="2"/>
          </w:p>
        </w:tc>
        <w:tc>
          <w:tcPr>
            <w:tcW w:w="829" w:type="dxa"/>
            <w:noWrap w:val="0"/>
            <w:tcMar>
              <w:left w:w="108" w:type="dxa"/>
              <w:right w:w="108" w:type="dxa"/>
            </w:tcMar>
            <w:vAlign w:val="center"/>
          </w:tcPr>
          <w:p w14:paraId="028BB9C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F4714AB">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740DE2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1BDA77D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7AD2139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F3D327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5F0EC16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2AA8F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16993079">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46ED7BD9">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570E2FEF">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829" w:type="dxa"/>
            <w:noWrap w:val="0"/>
            <w:tcMar>
              <w:left w:w="108" w:type="dxa"/>
              <w:right w:w="108" w:type="dxa"/>
            </w:tcMar>
            <w:vAlign w:val="center"/>
          </w:tcPr>
          <w:p w14:paraId="10BC525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8F7F26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2A5DAC9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568AC1CA">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6439D7C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FB8D67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5888CB8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EB9E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45154BD">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07BAD218">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1DA33054">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bookmarkStart w:id="3" w:name="_Hlk66974290"/>
            <w:r>
              <w:rPr>
                <w:rFonts w:hint="default" w:ascii="Times New Roman" w:hAnsi="Times New Roman" w:eastAsia="仿宋_GB2312" w:cs="Times New Roman"/>
                <w:color w:val="auto"/>
                <w:kern w:val="0"/>
                <w:szCs w:val="21"/>
              </w:rPr>
              <w:t>保护第三方合法权益</w:t>
            </w:r>
            <w:bookmarkEnd w:id="3"/>
          </w:p>
        </w:tc>
        <w:tc>
          <w:tcPr>
            <w:tcW w:w="829" w:type="dxa"/>
            <w:noWrap w:val="0"/>
            <w:tcMar>
              <w:left w:w="108" w:type="dxa"/>
              <w:right w:w="108" w:type="dxa"/>
            </w:tcMar>
            <w:vAlign w:val="center"/>
          </w:tcPr>
          <w:p w14:paraId="355FF62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602BDB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9C47F2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1180DA7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39F6074B">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2F91A8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1177027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89AA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2FC22AB8">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6DD4B711">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2216DC66">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829" w:type="dxa"/>
            <w:noWrap w:val="0"/>
            <w:tcMar>
              <w:left w:w="108" w:type="dxa"/>
              <w:right w:w="108" w:type="dxa"/>
            </w:tcMar>
            <w:vAlign w:val="center"/>
          </w:tcPr>
          <w:p w14:paraId="03C2AC4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DF068B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535EE8A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7B67155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663FBC2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196FC2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5771B4B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B6EB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79514F5A">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FC2010C">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5277CE38">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bookmarkStart w:id="4" w:name="_Hlk66974555"/>
            <w:r>
              <w:rPr>
                <w:rFonts w:hint="default" w:ascii="Times New Roman" w:hAnsi="Times New Roman" w:eastAsia="仿宋_GB2312" w:cs="Times New Roman"/>
                <w:color w:val="auto"/>
                <w:kern w:val="0"/>
                <w:szCs w:val="21"/>
              </w:rPr>
              <w:t>属于四类过程性信息</w:t>
            </w:r>
            <w:bookmarkEnd w:id="4"/>
          </w:p>
        </w:tc>
        <w:tc>
          <w:tcPr>
            <w:tcW w:w="829" w:type="dxa"/>
            <w:noWrap w:val="0"/>
            <w:tcMar>
              <w:left w:w="108" w:type="dxa"/>
              <w:right w:w="108" w:type="dxa"/>
            </w:tcMar>
            <w:vAlign w:val="center"/>
          </w:tcPr>
          <w:p w14:paraId="3DF5AC7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EF751A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A6C254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5DD15F1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0316DB3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D46387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4F69622B">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593DD7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74C5026">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1904B05B">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49DF01FF">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829" w:type="dxa"/>
            <w:noWrap w:val="0"/>
            <w:tcMar>
              <w:left w:w="108" w:type="dxa"/>
              <w:right w:w="108" w:type="dxa"/>
            </w:tcMar>
            <w:vAlign w:val="center"/>
          </w:tcPr>
          <w:p w14:paraId="7E2E40C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4C2540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7D58ED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4BE444D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23F43FD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58C5810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1792A75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3F57F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638BB7B">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241547E0">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249A0625">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bookmarkStart w:id="5" w:name="_Hlk66975211"/>
            <w:r>
              <w:rPr>
                <w:rFonts w:hint="default" w:ascii="Times New Roman" w:hAnsi="Times New Roman" w:eastAsia="仿宋_GB2312" w:cs="Times New Roman"/>
                <w:color w:val="auto"/>
                <w:kern w:val="0"/>
                <w:szCs w:val="21"/>
              </w:rPr>
              <w:t>属于行政查询事项</w:t>
            </w:r>
            <w:bookmarkEnd w:id="5"/>
          </w:p>
        </w:tc>
        <w:tc>
          <w:tcPr>
            <w:tcW w:w="829" w:type="dxa"/>
            <w:noWrap w:val="0"/>
            <w:tcMar>
              <w:left w:w="108" w:type="dxa"/>
              <w:right w:w="108" w:type="dxa"/>
            </w:tcMar>
            <w:vAlign w:val="center"/>
          </w:tcPr>
          <w:p w14:paraId="3A9D60B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A1B9BA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3A80F2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6F87150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05928A0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2C08BD9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22FB1C4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8BD1D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5F47BD5">
            <w:pPr>
              <w:spacing w:line="240" w:lineRule="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4B2C4894">
            <w:pPr>
              <w:widowControl/>
              <w:spacing w:line="240" w:lineRule="auto"/>
              <w:ind w:left="-107" w:leftChars="-51"/>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noWrap w:val="0"/>
            <w:tcMar>
              <w:left w:w="108" w:type="dxa"/>
              <w:right w:w="108" w:type="dxa"/>
            </w:tcMar>
            <w:vAlign w:val="center"/>
          </w:tcPr>
          <w:p w14:paraId="024E5B15">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829" w:type="dxa"/>
            <w:noWrap w:val="0"/>
            <w:tcMar>
              <w:left w:w="108" w:type="dxa"/>
              <w:right w:w="108" w:type="dxa"/>
            </w:tcMar>
            <w:vAlign w:val="center"/>
          </w:tcPr>
          <w:p w14:paraId="5C5151BE">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687C90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65F920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5409F907">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7A4ACDB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E22A35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6548143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6747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6117287">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68F0A9EA">
            <w:pPr>
              <w:spacing w:line="240" w:lineRule="auto"/>
              <w:ind w:left="-107" w:leftChars="-51"/>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7906AED1">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6" w:name="_Hlk66975392"/>
            <w:r>
              <w:rPr>
                <w:rFonts w:hint="default" w:ascii="Times New Roman" w:hAnsi="Times New Roman" w:eastAsia="仿宋_GB2312" w:cs="Times New Roman"/>
                <w:color w:val="auto"/>
                <w:kern w:val="0"/>
                <w:szCs w:val="21"/>
              </w:rPr>
              <w:t>没有现成信息需要另行制作</w:t>
            </w:r>
            <w:bookmarkEnd w:id="6"/>
          </w:p>
        </w:tc>
        <w:tc>
          <w:tcPr>
            <w:tcW w:w="829" w:type="dxa"/>
            <w:noWrap w:val="0"/>
            <w:tcMar>
              <w:left w:w="108" w:type="dxa"/>
              <w:right w:w="108" w:type="dxa"/>
            </w:tcMar>
            <w:vAlign w:val="center"/>
          </w:tcPr>
          <w:p w14:paraId="2BCCEB9B">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F915CC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84FEA1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3F165B0A">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1E26C9E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08D941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4A7064E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4F13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5426A9A0">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1C5A0AFC">
            <w:pPr>
              <w:spacing w:line="240" w:lineRule="auto"/>
              <w:ind w:left="-107" w:leftChars="-51"/>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5E0D2F72">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bookmarkStart w:id="7" w:name="_Hlk66975466"/>
            <w:r>
              <w:rPr>
                <w:rFonts w:hint="default" w:ascii="Times New Roman" w:hAnsi="Times New Roman" w:eastAsia="仿宋_GB2312" w:cs="Times New Roman"/>
                <w:color w:val="auto"/>
                <w:kern w:val="0"/>
                <w:szCs w:val="21"/>
              </w:rPr>
              <w:t>补正后申请内容仍不明确</w:t>
            </w:r>
            <w:bookmarkEnd w:id="7"/>
          </w:p>
        </w:tc>
        <w:tc>
          <w:tcPr>
            <w:tcW w:w="829" w:type="dxa"/>
            <w:noWrap w:val="0"/>
            <w:tcMar>
              <w:left w:w="108" w:type="dxa"/>
              <w:right w:w="108" w:type="dxa"/>
            </w:tcMar>
            <w:vAlign w:val="center"/>
          </w:tcPr>
          <w:p w14:paraId="1666621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272CBB7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7EB696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561215B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2709428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A29CAE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77CF15E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53871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0D3271AF">
            <w:pPr>
              <w:spacing w:line="240" w:lineRule="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23225B9F">
            <w:pPr>
              <w:widowControl/>
              <w:spacing w:line="240" w:lineRule="auto"/>
              <w:ind w:left="-107" w:leftChars="-51"/>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noWrap w:val="0"/>
            <w:tcMar>
              <w:left w:w="108" w:type="dxa"/>
              <w:right w:w="108" w:type="dxa"/>
            </w:tcMar>
            <w:vAlign w:val="center"/>
          </w:tcPr>
          <w:p w14:paraId="2B3A7953">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bookmarkStart w:id="8" w:name="_Hlk66975537"/>
            <w:r>
              <w:rPr>
                <w:rFonts w:hint="default" w:ascii="Times New Roman" w:hAnsi="Times New Roman" w:eastAsia="仿宋_GB2312" w:cs="Times New Roman"/>
                <w:color w:val="auto"/>
                <w:kern w:val="0"/>
                <w:szCs w:val="21"/>
              </w:rPr>
              <w:t>信访举报投诉类申请</w:t>
            </w:r>
            <w:bookmarkEnd w:id="8"/>
          </w:p>
        </w:tc>
        <w:tc>
          <w:tcPr>
            <w:tcW w:w="829" w:type="dxa"/>
            <w:noWrap w:val="0"/>
            <w:tcMar>
              <w:left w:w="108" w:type="dxa"/>
              <w:right w:w="108" w:type="dxa"/>
            </w:tcMar>
            <w:vAlign w:val="center"/>
          </w:tcPr>
          <w:p w14:paraId="5728335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55A2E12A">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AEC3C8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52DDD9E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51E167B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C5FE4AA">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32E4C59E">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A5022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3F48BEB7">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48CE5EA">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5CD2509E">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829" w:type="dxa"/>
            <w:noWrap w:val="0"/>
            <w:tcMar>
              <w:left w:w="108" w:type="dxa"/>
              <w:right w:w="108" w:type="dxa"/>
            </w:tcMar>
            <w:vAlign w:val="center"/>
          </w:tcPr>
          <w:p w14:paraId="476CDD9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CF2F4A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2A60447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6747B97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5ACCAB8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7FD91D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14457B7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C3EC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14:paraId="44AC1E6B">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4B424EDE">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780091E7">
            <w:pPr>
              <w:widowControl/>
              <w:spacing w:line="240" w:lineRule="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829" w:type="dxa"/>
            <w:noWrap w:val="0"/>
            <w:tcMar>
              <w:left w:w="108" w:type="dxa"/>
              <w:right w:w="108" w:type="dxa"/>
            </w:tcMar>
            <w:vAlign w:val="center"/>
          </w:tcPr>
          <w:p w14:paraId="277BD89E">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2C53A1D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0EDBEB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25D0CA1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5BA780E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FA2B87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416CA28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083DA9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14:paraId="4F7A0C00">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1720A31A">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1949BF29">
            <w:pPr>
              <w:widowControl/>
              <w:spacing w:line="240" w:lineRule="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829" w:type="dxa"/>
            <w:noWrap w:val="0"/>
            <w:tcMar>
              <w:left w:w="108" w:type="dxa"/>
              <w:right w:w="108" w:type="dxa"/>
            </w:tcMar>
            <w:vAlign w:val="center"/>
          </w:tcPr>
          <w:p w14:paraId="04CE5E5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56BCECE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974E23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22F76AF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30F2B84B">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5A303EA7">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5C4CD857">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670547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5B93D739">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63896E6D">
            <w:pPr>
              <w:spacing w:line="240" w:lineRule="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14:paraId="2695FE12">
            <w:pPr>
              <w:widowControl/>
              <w:spacing w:line="240" w:lineRule="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5.要求行政机关确认或重新出具已获取信息</w:t>
            </w:r>
          </w:p>
        </w:tc>
        <w:tc>
          <w:tcPr>
            <w:tcW w:w="829" w:type="dxa"/>
            <w:noWrap w:val="0"/>
            <w:tcMar>
              <w:left w:w="108" w:type="dxa"/>
              <w:right w:w="108" w:type="dxa"/>
            </w:tcMar>
            <w:vAlign w:val="center"/>
          </w:tcPr>
          <w:p w14:paraId="17B1CA0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309001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C2C7ECD">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7CE7653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51C64C0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3DABCE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3A5AD09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4A955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E62574F">
            <w:pPr>
              <w:spacing w:line="240" w:lineRule="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14:paraId="44DFEC74">
            <w:pPr>
              <w:widowControl/>
              <w:spacing w:line="240" w:lineRule="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noWrap w:val="0"/>
            <w:vAlign w:val="center"/>
          </w:tcPr>
          <w:p w14:paraId="03DF80D3">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1.申请人无正当理由逾期不补正、行政机关不再处理其政府信息公开申请</w:t>
            </w:r>
          </w:p>
        </w:tc>
        <w:tc>
          <w:tcPr>
            <w:tcW w:w="829" w:type="dxa"/>
            <w:noWrap w:val="0"/>
            <w:tcMar>
              <w:left w:w="108" w:type="dxa"/>
              <w:right w:w="108" w:type="dxa"/>
            </w:tcMar>
            <w:vAlign w:val="center"/>
          </w:tcPr>
          <w:p w14:paraId="7CD504D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3EF03D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5024B34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79B0630B">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00A373A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B3B769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06BC31D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13F4D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7AF9CB90">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3C091E01">
            <w:pPr>
              <w:widowControl/>
              <w:spacing w:line="240" w:lineRule="auto"/>
              <w:rPr>
                <w:rFonts w:hint="default" w:ascii="Times New Roman" w:hAnsi="Times New Roman" w:eastAsia="黑体" w:cs="Times New Roman"/>
                <w:color w:val="auto"/>
                <w:kern w:val="0"/>
                <w:szCs w:val="21"/>
              </w:rPr>
            </w:pPr>
          </w:p>
        </w:tc>
        <w:tc>
          <w:tcPr>
            <w:tcW w:w="2976" w:type="dxa"/>
            <w:noWrap w:val="0"/>
            <w:vAlign w:val="center"/>
          </w:tcPr>
          <w:p w14:paraId="6999374B">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2.申请人逾期未按收费通知要求缴纳费用、行政机关不再处理其政府信息公开申请</w:t>
            </w:r>
          </w:p>
        </w:tc>
        <w:tc>
          <w:tcPr>
            <w:tcW w:w="829" w:type="dxa"/>
            <w:noWrap w:val="0"/>
            <w:tcMar>
              <w:left w:w="108" w:type="dxa"/>
              <w:right w:w="108" w:type="dxa"/>
            </w:tcMar>
            <w:vAlign w:val="center"/>
          </w:tcPr>
          <w:p w14:paraId="3821359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25F9F80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7FA1C9C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3E38DDA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1C60BE47">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5743AF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38EBD89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4702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47CB94BC">
            <w:pPr>
              <w:spacing w:line="240" w:lineRule="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14:paraId="5ED151BF">
            <w:pPr>
              <w:widowControl/>
              <w:spacing w:line="240" w:lineRule="auto"/>
              <w:rPr>
                <w:rFonts w:hint="default" w:ascii="Times New Roman" w:hAnsi="Times New Roman" w:eastAsia="黑体" w:cs="Times New Roman"/>
                <w:color w:val="auto"/>
                <w:kern w:val="0"/>
                <w:szCs w:val="21"/>
              </w:rPr>
            </w:pPr>
          </w:p>
        </w:tc>
        <w:tc>
          <w:tcPr>
            <w:tcW w:w="2976" w:type="dxa"/>
            <w:noWrap w:val="0"/>
            <w:vAlign w:val="center"/>
          </w:tcPr>
          <w:p w14:paraId="72D39A4D">
            <w:pPr>
              <w:widowControl/>
              <w:spacing w:line="240" w:lineRule="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3.其他</w:t>
            </w:r>
          </w:p>
        </w:tc>
        <w:tc>
          <w:tcPr>
            <w:tcW w:w="829" w:type="dxa"/>
            <w:noWrap w:val="0"/>
            <w:tcMar>
              <w:left w:w="108" w:type="dxa"/>
              <w:right w:w="108" w:type="dxa"/>
            </w:tcMar>
            <w:vAlign w:val="center"/>
          </w:tcPr>
          <w:p w14:paraId="4DC2823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B626A7E">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4390A1D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5E1F22D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2606503C">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14777162">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10C239B5">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7EF9E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14:paraId="651C68D1">
            <w:pPr>
              <w:spacing w:line="240" w:lineRule="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14:paraId="5360C4FF">
            <w:pPr>
              <w:widowControl/>
              <w:spacing w:line="240" w:lineRule="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829" w:type="dxa"/>
            <w:noWrap w:val="0"/>
            <w:tcMar>
              <w:left w:w="108" w:type="dxa"/>
              <w:right w:w="108" w:type="dxa"/>
            </w:tcMar>
            <w:vAlign w:val="center"/>
          </w:tcPr>
          <w:p w14:paraId="4C2709D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A970031">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1B8B75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44E12D1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7FAC11B6">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697008B8">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1A905F29">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14:paraId="52522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14:paraId="30A34CE2">
            <w:pPr>
              <w:widowControl/>
              <w:spacing w:line="240" w:lineRule="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829" w:type="dxa"/>
            <w:noWrap w:val="0"/>
            <w:tcMar>
              <w:left w:w="108" w:type="dxa"/>
              <w:right w:w="108" w:type="dxa"/>
            </w:tcMar>
            <w:vAlign w:val="center"/>
          </w:tcPr>
          <w:p w14:paraId="47749F6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50625CA">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0BBA68FF">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31" w:type="dxa"/>
            <w:noWrap w:val="0"/>
            <w:tcMar>
              <w:left w:w="108" w:type="dxa"/>
              <w:right w:w="108" w:type="dxa"/>
            </w:tcMar>
            <w:vAlign w:val="center"/>
          </w:tcPr>
          <w:p w14:paraId="00F78CAA">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8" w:type="dxa"/>
            <w:noWrap w:val="0"/>
            <w:tcMar>
              <w:left w:w="108" w:type="dxa"/>
              <w:right w:w="108" w:type="dxa"/>
            </w:tcMar>
            <w:vAlign w:val="center"/>
          </w:tcPr>
          <w:p w14:paraId="76395A64">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67" w:type="dxa"/>
            <w:noWrap w:val="0"/>
            <w:tcMar>
              <w:left w:w="108" w:type="dxa"/>
              <w:right w:w="108" w:type="dxa"/>
            </w:tcMar>
            <w:vAlign w:val="center"/>
          </w:tcPr>
          <w:p w14:paraId="3B998820">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851" w:type="dxa"/>
            <w:noWrap w:val="0"/>
            <w:tcMar>
              <w:left w:w="108" w:type="dxa"/>
              <w:right w:w="108" w:type="dxa"/>
            </w:tcMar>
            <w:vAlign w:val="center"/>
          </w:tcPr>
          <w:p w14:paraId="350D0FB3">
            <w:pPr>
              <w:widowControl/>
              <w:spacing w:after="180" w:line="240" w:lineRule="auto"/>
              <w:jc w:val="center"/>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bl>
    <w:p w14:paraId="0398E6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N/>
        <w:bidi w:val="0"/>
        <w:adjustRightInd/>
        <w:snapToGrid/>
        <w:spacing w:before="0" w:beforeAutospacing="0" w:after="0" w:afterAutospacing="0" w:line="580" w:lineRule="exact"/>
        <w:ind w:right="0" w:firstLine="482" w:firstLineChars="200"/>
        <w:jc w:val="both"/>
        <w:textAlignment w:val="auto"/>
        <w:rPr>
          <w:rFonts w:hint="default" w:ascii="Times New Roman" w:hAnsi="Times New Roman" w:eastAsia="宋体" w:cs="Times New Roman"/>
          <w:b/>
          <w:bCs w:val="0"/>
          <w:i w:val="0"/>
          <w:iCs w:val="0"/>
          <w:caps w:val="0"/>
          <w:color w:val="auto"/>
          <w:spacing w:val="0"/>
          <w:sz w:val="24"/>
          <w:szCs w:val="24"/>
        </w:rPr>
      </w:pPr>
    </w:p>
    <w:p w14:paraId="6BA76B2B">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420"/>
        <w:jc w:val="both"/>
        <w:textAlignment w:val="auto"/>
        <w:rPr>
          <w:rFonts w:hint="eastAsia" w:ascii="Times New Roman" w:hAnsi="Times New Roman" w:eastAsia="黑体" w:cs="Times New Roman"/>
          <w:b/>
          <w:bCs/>
          <w:sz w:val="32"/>
          <w:szCs w:val="32"/>
          <w:lang w:eastAsia="zh-CN"/>
        </w:rPr>
      </w:pPr>
      <w:r>
        <w:rPr>
          <w:rStyle w:val="8"/>
          <w:rFonts w:hint="default" w:ascii="Times New Roman" w:hAnsi="Times New Roman" w:eastAsia="黑体" w:cs="Times New Roman"/>
          <w:bCs/>
          <w:sz w:val="32"/>
          <w:szCs w:val="32"/>
        </w:rPr>
        <w:t>四、因政府信息公开工作被申请行政复议、行政诉讼情况</w:t>
      </w:r>
    </w:p>
    <w:tbl>
      <w:tblPr>
        <w:tblStyle w:val="6"/>
        <w:tblW w:w="945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988"/>
        <w:gridCol w:w="604"/>
        <w:gridCol w:w="604"/>
        <w:gridCol w:w="604"/>
        <w:gridCol w:w="658"/>
        <w:gridCol w:w="550"/>
        <w:gridCol w:w="605"/>
        <w:gridCol w:w="605"/>
        <w:gridCol w:w="605"/>
        <w:gridCol w:w="605"/>
        <w:gridCol w:w="605"/>
        <w:gridCol w:w="605"/>
        <w:gridCol w:w="605"/>
        <w:gridCol w:w="606"/>
        <w:gridCol w:w="606"/>
      </w:tblGrid>
      <w:tr w14:paraId="1B3E500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PrEx>
        <w:trPr>
          <w:trHeight w:val="747" w:hRule="atLeast"/>
          <w:jc w:val="center"/>
        </w:trPr>
        <w:tc>
          <w:tcPr>
            <w:tcW w:w="3458"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8B47E50">
            <w:pPr>
              <w:widowControl/>
              <w:spacing w:line="300" w:lineRule="exact"/>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3076B8">
            <w:pPr>
              <w:widowControl/>
              <w:spacing w:line="300" w:lineRule="exact"/>
              <w:jc w:val="center"/>
              <w:rPr>
                <w:rFonts w:hint="default" w:ascii="Times New Roman" w:hAnsi="Times New Roman" w:eastAsia="黑体" w:cs="Times New Roman"/>
                <w:b w:val="0"/>
                <w:bCs w:val="0"/>
                <w:color w:val="auto"/>
                <w:kern w:val="0"/>
                <w:sz w:val="28"/>
                <w:szCs w:val="28"/>
              </w:rPr>
            </w:pPr>
            <w:r>
              <w:rPr>
                <w:rFonts w:hint="default" w:ascii="Times New Roman" w:hAnsi="Times New Roman" w:eastAsia="黑体" w:cs="Times New Roman"/>
                <w:b w:val="0"/>
                <w:bCs w:val="0"/>
                <w:color w:val="auto"/>
                <w:kern w:val="0"/>
                <w:sz w:val="28"/>
                <w:szCs w:val="28"/>
              </w:rPr>
              <w:t>行政诉讼</w:t>
            </w:r>
          </w:p>
        </w:tc>
      </w:tr>
      <w:tr w14:paraId="1A177DC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8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32BC2E5">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w:t>
            </w:r>
          </w:p>
          <w:p w14:paraId="56B45ED5">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果</w:t>
            </w:r>
          </w:p>
          <w:p w14:paraId="22D397BF">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维</w:t>
            </w:r>
          </w:p>
          <w:p w14:paraId="3A6B5FE7">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7463B66">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20B50F5">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CFB1B9F">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尚未</w:t>
            </w:r>
          </w:p>
          <w:p w14:paraId="2DC7C652">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EA0030">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总</w:t>
            </w:r>
          </w:p>
          <w:p w14:paraId="553CC1F0">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6047BB7">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65AC55">
            <w:pPr>
              <w:widowControl/>
              <w:spacing w:line="300" w:lineRule="exact"/>
              <w:jc w:val="center"/>
              <w:rPr>
                <w:rFonts w:hint="default" w:ascii="Times New Roman" w:hAnsi="Times New Roman" w:eastAsia="黑体" w:cs="Times New Roman"/>
                <w:b w:val="0"/>
                <w:bCs w:val="0"/>
                <w:color w:val="auto"/>
                <w:kern w:val="0"/>
                <w:sz w:val="24"/>
                <w:szCs w:val="24"/>
              </w:rPr>
            </w:pPr>
            <w:bookmarkStart w:id="9" w:name="_Hlk67039688"/>
            <w:r>
              <w:rPr>
                <w:rFonts w:hint="default" w:ascii="Times New Roman" w:hAnsi="Times New Roman" w:eastAsia="黑体" w:cs="Times New Roman"/>
                <w:b w:val="0"/>
                <w:bCs w:val="0"/>
                <w:color w:val="auto"/>
                <w:kern w:val="0"/>
                <w:sz w:val="24"/>
                <w:szCs w:val="24"/>
              </w:rPr>
              <w:t>复议后起诉</w:t>
            </w:r>
            <w:bookmarkEnd w:id="9"/>
          </w:p>
        </w:tc>
      </w:tr>
      <w:tr w14:paraId="6887FBB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455" w:hRule="atLeast"/>
          <w:jc w:val="center"/>
        </w:trPr>
        <w:tc>
          <w:tcPr>
            <w:tcW w:w="98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232671">
            <w:pPr>
              <w:widowControl/>
              <w:spacing w:line="300" w:lineRule="exact"/>
              <w:jc w:val="center"/>
              <w:rPr>
                <w:rFonts w:hint="default" w:ascii="Times New Roman" w:hAnsi="Times New Roman" w:eastAsia="黑体" w:cs="Times New Roman"/>
                <w:b w:val="0"/>
                <w:bCs w:val="0"/>
                <w:color w:val="auto"/>
                <w:kern w:val="0"/>
                <w:sz w:val="24"/>
                <w:szCs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1AAADB1">
            <w:pPr>
              <w:widowControl/>
              <w:spacing w:line="300" w:lineRule="exact"/>
              <w:jc w:val="center"/>
              <w:rPr>
                <w:rFonts w:hint="default" w:ascii="Times New Roman" w:hAnsi="Times New Roman" w:eastAsia="黑体" w:cs="Times New Roman"/>
                <w:b w:val="0"/>
                <w:bCs w:val="0"/>
                <w:color w:val="auto"/>
                <w:kern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C2103D">
            <w:pPr>
              <w:widowControl/>
              <w:spacing w:line="300" w:lineRule="exact"/>
              <w:jc w:val="center"/>
              <w:rPr>
                <w:rFonts w:hint="default" w:ascii="Times New Roman" w:hAnsi="Times New Roman" w:eastAsia="黑体" w:cs="Times New Roman"/>
                <w:b w:val="0"/>
                <w:bCs w:val="0"/>
                <w:color w:val="auto"/>
                <w:kern w:val="0"/>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E7D6BC">
            <w:pPr>
              <w:widowControl/>
              <w:spacing w:line="300" w:lineRule="exact"/>
              <w:jc w:val="center"/>
              <w:rPr>
                <w:rFonts w:hint="default" w:ascii="Times New Roman" w:hAnsi="Times New Roman" w:eastAsia="黑体" w:cs="Times New Roman"/>
                <w:b w:val="0"/>
                <w:bCs w:val="0"/>
                <w:color w:val="auto"/>
                <w:kern w:val="0"/>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9F36A7">
            <w:pPr>
              <w:widowControl/>
              <w:spacing w:line="300" w:lineRule="exact"/>
              <w:jc w:val="center"/>
              <w:rPr>
                <w:rFonts w:hint="default" w:ascii="Times New Roman" w:hAnsi="Times New Roman" w:eastAsia="黑体" w:cs="Times New Roman"/>
                <w:b w:val="0"/>
                <w:bCs w:val="0"/>
                <w:color w:val="auto"/>
                <w:kern w:val="0"/>
                <w:sz w:val="24"/>
                <w:szCs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43F88974">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425B630">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EDFA89">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其他</w:t>
            </w:r>
          </w:p>
          <w:p w14:paraId="08C03D6E">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C8CAAD">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尚未</w:t>
            </w:r>
          </w:p>
          <w:p w14:paraId="58628FB2">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B21F9CC">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E796860">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4143F3">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结果</w:t>
            </w:r>
          </w:p>
          <w:p w14:paraId="7DD49E56">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77FC82">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其他</w:t>
            </w:r>
          </w:p>
          <w:p w14:paraId="38911C79">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2F18E7">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93E09DB">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总计</w:t>
            </w:r>
          </w:p>
        </w:tc>
      </w:tr>
      <w:tr w14:paraId="435BE42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5" w:hRule="atLeast"/>
          <w:jc w:val="center"/>
        </w:trPr>
        <w:tc>
          <w:tcPr>
            <w:tcW w:w="988"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8F5202">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51A46C7">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8FBB43E">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11CD001">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08238B5A">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B052695">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3D75A3D">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1F202CD">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53695E0">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0A36209">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9873E6E">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3A95949">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5DDD471D">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591B448">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4595FAC4">
            <w:pPr>
              <w:widowControl/>
              <w:spacing w:line="300" w:lineRule="exact"/>
              <w:jc w:val="center"/>
              <w:rPr>
                <w:rFonts w:hint="default" w:ascii="Times New Roman" w:hAnsi="Times New Roman" w:eastAsia="黑体" w:cs="Times New Roman"/>
                <w:b w:val="0"/>
                <w:bCs w:val="0"/>
                <w:color w:val="auto"/>
                <w:kern w:val="0"/>
                <w:sz w:val="24"/>
                <w:szCs w:val="24"/>
              </w:rPr>
            </w:pPr>
            <w:r>
              <w:rPr>
                <w:rFonts w:hint="default" w:ascii="Times New Roman" w:hAnsi="Times New Roman" w:eastAsia="黑体" w:cs="Times New Roman"/>
                <w:b w:val="0"/>
                <w:bCs w:val="0"/>
                <w:color w:val="auto"/>
                <w:kern w:val="0"/>
                <w:sz w:val="24"/>
                <w:szCs w:val="24"/>
              </w:rPr>
              <w:t>0</w:t>
            </w:r>
          </w:p>
        </w:tc>
      </w:tr>
    </w:tbl>
    <w:p w14:paraId="5EC800B3">
      <w:pPr>
        <w:pStyle w:val="5"/>
        <w:keepNext w:val="0"/>
        <w:keepLines w:val="0"/>
        <w:pageBreakBefore w:val="0"/>
        <w:widowControl/>
        <w:numPr>
          <w:ilvl w:val="0"/>
          <w:numId w:val="1"/>
        </w:numPr>
        <w:kinsoku/>
        <w:wordWrap/>
        <w:overflowPunct/>
        <w:topLinePunct w:val="0"/>
        <w:autoSpaceDN/>
        <w:bidi w:val="0"/>
        <w:adjustRightInd/>
        <w:snapToGrid/>
        <w:spacing w:beforeAutospacing="0" w:afterAutospacing="0" w:line="580" w:lineRule="exact"/>
        <w:ind w:firstLine="420"/>
        <w:jc w:val="both"/>
        <w:textAlignment w:val="auto"/>
        <w:rPr>
          <w:rStyle w:val="8"/>
          <w:rFonts w:hint="default" w:ascii="Times New Roman" w:hAnsi="Times New Roman" w:eastAsia="黑体" w:cs="Times New Roman"/>
          <w:bCs/>
          <w:sz w:val="32"/>
          <w:szCs w:val="32"/>
        </w:rPr>
      </w:pPr>
      <w:r>
        <w:rPr>
          <w:rStyle w:val="8"/>
          <w:rFonts w:hint="default" w:ascii="Times New Roman" w:hAnsi="Times New Roman" w:eastAsia="黑体" w:cs="Times New Roman"/>
          <w:bCs/>
          <w:sz w:val="32"/>
          <w:szCs w:val="32"/>
        </w:rPr>
        <w:t>存在的主要问题及改进情况</w:t>
      </w:r>
    </w:p>
    <w:p w14:paraId="3442496E">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textAlignment w:val="auto"/>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主要问题：</w:t>
      </w:r>
      <w:r>
        <w:rPr>
          <w:rFonts w:hint="default" w:ascii="Times New Roman" w:hAnsi="Times New Roman" w:eastAsia="仿宋" w:cs="Times New Roman"/>
          <w:b/>
          <w:bCs/>
          <w:sz w:val="32"/>
          <w:szCs w:val="32"/>
          <w:lang w:val="en-US" w:eastAsia="zh-CN"/>
        </w:rPr>
        <w:t>一是</w:t>
      </w:r>
      <w:r>
        <w:rPr>
          <w:rFonts w:hint="default" w:ascii="Times New Roman" w:hAnsi="Times New Roman" w:eastAsia="仿宋" w:cs="Times New Roman"/>
          <w:b/>
          <w:bCs/>
          <w:sz w:val="32"/>
          <w:szCs w:val="32"/>
        </w:rPr>
        <w:t>部分信息存在内容简单、形式单一、解读不够深入</w:t>
      </w:r>
      <w:r>
        <w:rPr>
          <w:rFonts w:hint="eastAsia" w:ascii="Times New Roman" w:hAnsi="Times New Roman" w:eastAsia="仿宋" w:cs="Times New Roman"/>
          <w:b/>
          <w:bCs/>
          <w:sz w:val="32"/>
          <w:szCs w:val="32"/>
          <w:lang w:eastAsia="zh-CN"/>
        </w:rPr>
        <w:t>。</w:t>
      </w:r>
      <w:r>
        <w:rPr>
          <w:rFonts w:hint="default" w:ascii="Times New Roman" w:hAnsi="Times New Roman" w:eastAsia="仿宋" w:cs="Times New Roman"/>
          <w:b/>
          <w:bCs/>
          <w:sz w:val="32"/>
          <w:szCs w:val="32"/>
          <w:lang w:val="en-US" w:eastAsia="zh-CN"/>
        </w:rPr>
        <w:t>二是</w:t>
      </w:r>
      <w:r>
        <w:rPr>
          <w:rFonts w:hint="default" w:ascii="Times New Roman" w:hAnsi="Times New Roman" w:eastAsia="仿宋" w:cs="Times New Roman"/>
          <w:b/>
          <w:bCs/>
          <w:sz w:val="32"/>
          <w:szCs w:val="32"/>
        </w:rPr>
        <w:t>部分信息公开不够及时、全面</w:t>
      </w:r>
      <w:r>
        <w:rPr>
          <w:rFonts w:hint="eastAsia" w:ascii="Times New Roman" w:hAnsi="Times New Roman" w:eastAsia="仿宋" w:cs="Times New Roman"/>
          <w:b/>
          <w:bCs/>
          <w:sz w:val="32"/>
          <w:szCs w:val="32"/>
          <w:lang w:eastAsia="zh-CN"/>
        </w:rPr>
        <w:t>。</w:t>
      </w:r>
    </w:p>
    <w:p w14:paraId="57DDEC06">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改进情况：</w:t>
      </w:r>
      <w:r>
        <w:rPr>
          <w:rFonts w:hint="default" w:ascii="Times New Roman" w:hAnsi="Times New Roman" w:eastAsia="仿宋" w:cs="Times New Roman"/>
          <w:b/>
          <w:bCs/>
          <w:sz w:val="32"/>
          <w:szCs w:val="32"/>
          <w:lang w:val="en-US" w:eastAsia="zh-CN"/>
        </w:rPr>
        <w:t>一是提高信息公开质量。加强对政府信息公开工作人员的培训，提高其业务水平和文字综合能力，注重信息内容的完整性、准确性和实用性，丰富信息公开形式，增强信息的可读性和吸引力。二是加强内部监督检查。重点检查信息更新的及时性、内容的完整性和准确性、公开形式的合理性等，不断规范政务公开信息发布工作，拓展公开广度和深度。</w:t>
      </w:r>
    </w:p>
    <w:p w14:paraId="1C78C830">
      <w:pPr>
        <w:pStyle w:val="5"/>
        <w:keepNext w:val="0"/>
        <w:keepLines w:val="0"/>
        <w:pageBreakBefore w:val="0"/>
        <w:widowControl/>
        <w:kinsoku/>
        <w:wordWrap/>
        <w:overflowPunct/>
        <w:topLinePunct w:val="0"/>
        <w:autoSpaceDN/>
        <w:bidi w:val="0"/>
        <w:adjustRightInd/>
        <w:snapToGrid/>
        <w:spacing w:beforeAutospacing="0" w:afterAutospacing="0" w:line="580" w:lineRule="exact"/>
        <w:ind w:left="420"/>
        <w:jc w:val="both"/>
        <w:textAlignment w:val="auto"/>
        <w:rPr>
          <w:rStyle w:val="8"/>
          <w:rFonts w:hint="eastAsia" w:ascii="Times New Roman" w:hAnsi="Times New Roman" w:eastAsia="黑体" w:cs="Times New Roman"/>
          <w:bCs/>
          <w:sz w:val="32"/>
          <w:szCs w:val="32"/>
          <w:lang w:eastAsia="zh-CN"/>
        </w:rPr>
      </w:pPr>
      <w:r>
        <w:rPr>
          <w:rStyle w:val="8"/>
          <w:rFonts w:hint="default" w:ascii="Times New Roman" w:hAnsi="Times New Roman" w:eastAsia="黑体" w:cs="Times New Roman"/>
          <w:bCs/>
          <w:sz w:val="32"/>
          <w:szCs w:val="32"/>
        </w:rPr>
        <w:t>六、其他需要报告的事项</w:t>
      </w:r>
    </w:p>
    <w:p w14:paraId="123C3413">
      <w:pPr>
        <w:keepNext w:val="0"/>
        <w:keepLines w:val="0"/>
        <w:pageBreakBefore w:val="0"/>
        <w:kinsoku/>
        <w:wordWrap/>
        <w:overflowPunct/>
        <w:topLinePunct w:val="0"/>
        <w:autoSpaceDN/>
        <w:bidi w:val="0"/>
        <w:adjustRightInd/>
        <w:snapToGrid/>
        <w:spacing w:beforeAutospacing="0" w:line="580" w:lineRule="exact"/>
        <w:ind w:right="-105" w:rightChars="-50" w:firstLine="643" w:firstLineChars="200"/>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（一）依据《政府信息公开信息处理费管理办法》收取信息处理费的情况：</w:t>
      </w:r>
    </w:p>
    <w:p w14:paraId="76B990BD">
      <w:pPr>
        <w:keepNext w:val="0"/>
        <w:keepLines w:val="0"/>
        <w:pageBreakBefore w:val="0"/>
        <w:kinsoku/>
        <w:wordWrap/>
        <w:overflowPunct/>
        <w:topLinePunct w:val="0"/>
        <w:autoSpaceDN/>
        <w:bidi w:val="0"/>
        <w:adjustRightInd/>
        <w:snapToGrid/>
        <w:spacing w:beforeAutospacing="0" w:line="580" w:lineRule="exact"/>
        <w:ind w:right="-105" w:rightChars="-50" w:firstLine="643" w:firstLineChars="200"/>
        <w:textAlignment w:val="auto"/>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202</w:t>
      </w:r>
      <w:r>
        <w:rPr>
          <w:rFonts w:hint="eastAsia" w:ascii="Times New Roman" w:hAnsi="Times New Roman" w:eastAsia="仿宋" w:cs="Times New Roman"/>
          <w:b/>
          <w:color w:val="auto"/>
          <w:sz w:val="32"/>
          <w:szCs w:val="32"/>
          <w:lang w:val="en-US" w:eastAsia="zh-CN"/>
        </w:rPr>
        <w:t>5</w:t>
      </w:r>
      <w:r>
        <w:rPr>
          <w:rFonts w:hint="default" w:ascii="Times New Roman" w:hAnsi="Times New Roman" w:eastAsia="仿宋" w:cs="Times New Roman"/>
          <w:b/>
          <w:color w:val="auto"/>
          <w:sz w:val="32"/>
          <w:szCs w:val="32"/>
        </w:rPr>
        <w:t>年，</w:t>
      </w:r>
      <w:r>
        <w:rPr>
          <w:rFonts w:hint="eastAsia" w:ascii="Times New Roman" w:hAnsi="Times New Roman" w:eastAsia="仿宋" w:cs="Times New Roman"/>
          <w:b/>
          <w:color w:val="auto"/>
          <w:sz w:val="32"/>
          <w:szCs w:val="32"/>
          <w:lang w:val="en-US" w:eastAsia="zh-CN"/>
        </w:rPr>
        <w:t>泗水县</w:t>
      </w:r>
      <w:r>
        <w:rPr>
          <w:rFonts w:hint="default" w:ascii="Times New Roman" w:hAnsi="Times New Roman" w:eastAsia="仿宋" w:cs="Times New Roman"/>
          <w:b/>
          <w:color w:val="auto"/>
          <w:sz w:val="32"/>
          <w:szCs w:val="32"/>
          <w:lang w:val="en-US" w:eastAsia="zh-CN"/>
        </w:rPr>
        <w:t>中册镇</w:t>
      </w:r>
      <w:r>
        <w:rPr>
          <w:rFonts w:hint="default" w:ascii="Times New Roman" w:hAnsi="Times New Roman" w:eastAsia="仿宋" w:cs="Times New Roman"/>
          <w:b/>
          <w:color w:val="auto"/>
          <w:sz w:val="32"/>
          <w:szCs w:val="32"/>
        </w:rPr>
        <w:t>人民政府严格落实《国务院办公厅关于印发</w:t>
      </w:r>
      <w:r>
        <w:rPr>
          <w:rFonts w:hint="eastAsia" w:ascii="Times New Roman" w:hAnsi="Times New Roman" w:eastAsia="仿宋" w:cs="Times New Roman"/>
          <w:b/>
          <w:color w:val="auto"/>
          <w:sz w:val="32"/>
          <w:szCs w:val="32"/>
          <w:lang w:eastAsia="zh-CN"/>
        </w:rPr>
        <w:t>〈</w:t>
      </w:r>
      <w:r>
        <w:rPr>
          <w:rFonts w:hint="default" w:ascii="Times New Roman" w:hAnsi="Times New Roman" w:eastAsia="仿宋" w:cs="Times New Roman"/>
          <w:b/>
          <w:color w:val="auto"/>
          <w:sz w:val="32"/>
          <w:szCs w:val="32"/>
        </w:rPr>
        <w:t>政府信息公开信息处理费管理办法</w:t>
      </w:r>
      <w:r>
        <w:rPr>
          <w:rFonts w:hint="eastAsia" w:ascii="Times New Roman" w:hAnsi="Times New Roman" w:eastAsia="仿宋" w:cs="Times New Roman"/>
          <w:b/>
          <w:color w:val="auto"/>
          <w:sz w:val="32"/>
          <w:szCs w:val="32"/>
          <w:lang w:eastAsia="zh-CN"/>
        </w:rPr>
        <w:t>〉的通知》</w:t>
      </w:r>
      <w:r>
        <w:rPr>
          <w:rFonts w:hint="default" w:ascii="Times New Roman" w:hAnsi="Times New Roman" w:eastAsia="仿宋" w:cs="Times New Roman"/>
          <w:b/>
          <w:color w:val="auto"/>
          <w:sz w:val="32"/>
          <w:szCs w:val="32"/>
        </w:rPr>
        <w:t>（国办函〔2020〕109号）和《山东省人民政府办公厅关于做好政府信息公开信息处理费管理工作有关事项的通知》（鲁政办字〔2020〕179号）规定</w:t>
      </w:r>
      <w:r>
        <w:rPr>
          <w:rFonts w:hint="default" w:ascii="Times New Roman" w:hAnsi="Times New Roman" w:eastAsia="仿宋" w:cs="Times New Roman"/>
          <w:b/>
          <w:color w:val="auto"/>
          <w:sz w:val="32"/>
          <w:szCs w:val="32"/>
          <w:lang w:eastAsia="zh-CN"/>
        </w:rPr>
        <w:t>，</w:t>
      </w:r>
      <w:r>
        <w:rPr>
          <w:rFonts w:hint="default" w:ascii="Times New Roman" w:hAnsi="Times New Roman" w:eastAsia="仿宋" w:cs="Times New Roman"/>
          <w:b/>
          <w:color w:val="auto"/>
          <w:sz w:val="32"/>
          <w:szCs w:val="32"/>
        </w:rPr>
        <w:t>政府信息公开申请未向申请人收取任何费用。</w:t>
      </w:r>
    </w:p>
    <w:p w14:paraId="2075BB74">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42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（二）本行政机关落实上级年度政务公开工作要点情况：</w:t>
      </w:r>
    </w:p>
    <w:p w14:paraId="2AB75327">
      <w:pPr>
        <w:keepNext w:val="0"/>
        <w:keepLines w:val="0"/>
        <w:pageBreakBefore w:val="0"/>
        <w:kinsoku/>
        <w:wordWrap/>
        <w:overflowPunct/>
        <w:topLinePunct w:val="0"/>
        <w:autoSpaceDN/>
        <w:bidi w:val="0"/>
        <w:adjustRightInd/>
        <w:snapToGrid/>
        <w:spacing w:beforeAutospacing="0" w:line="580" w:lineRule="exact"/>
        <w:ind w:right="-105" w:rightChars="-50" w:firstLine="643" w:firstLineChars="200"/>
        <w:textAlignment w:val="auto"/>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贯彻落实上级政务公开效能监测指标各项公开任务，推动重点领域信息公开，推动政策措施落地，推进平台建设提升，在政府门户网站做好机构概况内容动态更新，发布本年度财政预决算信息、法治政府建设情况报告、主动公开基本目录等重点信息公开</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努力推进政务公开提质增效。</w:t>
      </w:r>
    </w:p>
    <w:p w14:paraId="08DDBCCF">
      <w:pPr>
        <w:keepNext w:val="0"/>
        <w:keepLines w:val="0"/>
        <w:pageBreakBefore w:val="0"/>
        <w:kinsoku/>
        <w:wordWrap/>
        <w:overflowPunct/>
        <w:topLinePunct w:val="0"/>
        <w:autoSpaceDN/>
        <w:bidi w:val="0"/>
        <w:adjustRightInd/>
        <w:snapToGrid/>
        <w:spacing w:beforeAutospacing="0" w:line="580" w:lineRule="exact"/>
        <w:ind w:right="-105" w:rightChars="-50" w:firstLine="643" w:firstLineChars="200"/>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（三）人大代表建议和政协提案办理结果公开情况：</w:t>
      </w:r>
    </w:p>
    <w:p w14:paraId="21EB8DBE">
      <w:pPr>
        <w:keepNext w:val="0"/>
        <w:keepLines w:val="0"/>
        <w:pageBreakBefore w:val="0"/>
        <w:widowControl/>
        <w:suppressLineNumbers w:val="0"/>
        <w:kinsoku/>
        <w:wordWrap/>
        <w:overflowPunct/>
        <w:topLinePunct w:val="0"/>
        <w:autoSpaceDN/>
        <w:bidi w:val="0"/>
        <w:adjustRightInd/>
        <w:snapToGrid/>
        <w:spacing w:beforeAutospacing="0" w:line="580" w:lineRule="exact"/>
        <w:ind w:firstLine="643" w:firstLineChars="200"/>
        <w:jc w:val="left"/>
        <w:textAlignment w:val="auto"/>
        <w:rPr>
          <w:rFonts w:hint="default" w:ascii="Times New Roman" w:hAnsi="Times New Roman" w:eastAsia="仿宋" w:cs="Times New Roman"/>
          <w:b/>
          <w:bCs/>
          <w:kern w:val="0"/>
          <w:sz w:val="32"/>
          <w:szCs w:val="32"/>
          <w:lang w:val="en-US" w:eastAsia="zh-CN" w:bidi="ar-SA"/>
        </w:rPr>
      </w:pPr>
      <w:r>
        <w:rPr>
          <w:rFonts w:hint="default" w:ascii="Times New Roman" w:hAnsi="Times New Roman" w:eastAsia="仿宋" w:cs="Times New Roman"/>
          <w:b/>
          <w:bCs/>
          <w:kern w:val="0"/>
          <w:sz w:val="32"/>
          <w:szCs w:val="32"/>
          <w:lang w:val="en-US" w:eastAsia="zh-CN" w:bidi="ar-SA"/>
        </w:rPr>
        <w:t>202</w:t>
      </w:r>
      <w:r>
        <w:rPr>
          <w:rFonts w:hint="eastAsia" w:ascii="Times New Roman" w:hAnsi="Times New Roman" w:eastAsia="仿宋" w:cs="Times New Roman"/>
          <w:b/>
          <w:bCs/>
          <w:kern w:val="0"/>
          <w:sz w:val="32"/>
          <w:szCs w:val="32"/>
          <w:lang w:val="en-US" w:eastAsia="zh-CN" w:bidi="ar-SA"/>
        </w:rPr>
        <w:t>5</w:t>
      </w:r>
      <w:r>
        <w:rPr>
          <w:rFonts w:hint="default" w:ascii="Times New Roman" w:hAnsi="Times New Roman" w:eastAsia="仿宋" w:cs="Times New Roman"/>
          <w:b/>
          <w:bCs/>
          <w:kern w:val="0"/>
          <w:sz w:val="32"/>
          <w:szCs w:val="32"/>
          <w:lang w:val="en-US" w:eastAsia="zh-CN" w:bidi="ar-SA"/>
        </w:rPr>
        <w:t>年泗水县中册镇人民政府共承办县级人大建议0件，政协提案0件。</w:t>
      </w:r>
    </w:p>
    <w:p w14:paraId="534DB70A">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（四）本行政机关年度政务公开工作创新情况：</w:t>
      </w:r>
    </w:p>
    <w:p w14:paraId="7E2BC293">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kern w:val="0"/>
          <w:sz w:val="32"/>
          <w:szCs w:val="32"/>
          <w:lang w:val="en-US" w:eastAsia="zh-CN" w:bidi="ar-SA"/>
        </w:rPr>
      </w:pPr>
      <w:r>
        <w:rPr>
          <w:rFonts w:hint="eastAsia" w:ascii="Times New Roman" w:hAnsi="Times New Roman" w:eastAsia="仿宋" w:cs="Times New Roman"/>
          <w:b/>
          <w:bCs/>
          <w:kern w:val="0"/>
          <w:sz w:val="32"/>
          <w:szCs w:val="32"/>
          <w:lang w:val="en-US" w:eastAsia="zh-CN" w:bidi="ar-SA"/>
        </w:rPr>
        <w:t>一是</w:t>
      </w:r>
      <w:r>
        <w:rPr>
          <w:rFonts w:hint="default" w:ascii="Times New Roman" w:hAnsi="Times New Roman" w:eastAsia="仿宋" w:cs="Times New Roman"/>
          <w:b/>
          <w:bCs/>
          <w:kern w:val="0"/>
          <w:sz w:val="32"/>
          <w:szCs w:val="32"/>
          <w:lang w:val="en-US" w:eastAsia="zh-CN" w:bidi="ar-SA"/>
        </w:rPr>
        <w:t>建立常态化需求摸排机制</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通过村干部入户、便民窗口问询收集群众对惠农政策、医保社保等领域的信息需求，同步跟进重点事项公开进度，及时收集群众反馈优化工作。</w:t>
      </w:r>
      <w:r>
        <w:rPr>
          <w:rFonts w:hint="eastAsia" w:ascii="Times New Roman" w:hAnsi="Times New Roman" w:eastAsia="仿宋" w:cs="Times New Roman"/>
          <w:b/>
          <w:bCs/>
          <w:kern w:val="0"/>
          <w:sz w:val="32"/>
          <w:szCs w:val="32"/>
          <w:lang w:val="en-US" w:eastAsia="zh-CN" w:bidi="ar-SA"/>
        </w:rPr>
        <w:t>二是</w:t>
      </w:r>
      <w:r>
        <w:rPr>
          <w:rFonts w:hint="default" w:ascii="Times New Roman" w:hAnsi="Times New Roman" w:eastAsia="仿宋" w:cs="Times New Roman"/>
          <w:b/>
          <w:bCs/>
          <w:kern w:val="0"/>
          <w:sz w:val="32"/>
          <w:szCs w:val="32"/>
          <w:lang w:val="en-US" w:eastAsia="zh-CN" w:bidi="ar-SA"/>
        </w:rPr>
        <w:t>强化能力建设，加强政务公开专题培训，开展公开政策解读、信息发布规范、舆情应对等内容的培训，提升工作人员专业素养和实操能力。</w:t>
      </w:r>
      <w:r>
        <w:rPr>
          <w:rFonts w:hint="eastAsia" w:ascii="Times New Roman" w:hAnsi="Times New Roman" w:eastAsia="仿宋" w:cs="Times New Roman"/>
          <w:b/>
          <w:bCs/>
          <w:kern w:val="0"/>
          <w:sz w:val="32"/>
          <w:szCs w:val="32"/>
          <w:lang w:val="en-US" w:eastAsia="zh-CN" w:bidi="ar-SA"/>
        </w:rPr>
        <w:t>三是</w:t>
      </w:r>
      <w:r>
        <w:rPr>
          <w:rFonts w:hint="default" w:ascii="Times New Roman" w:hAnsi="Times New Roman" w:eastAsia="仿宋" w:cs="Times New Roman"/>
          <w:b/>
          <w:bCs/>
          <w:kern w:val="0"/>
          <w:sz w:val="32"/>
          <w:szCs w:val="32"/>
          <w:lang w:val="en-US" w:eastAsia="zh-CN" w:bidi="ar-SA"/>
        </w:rPr>
        <w:t>整合线上线下资源</w:t>
      </w:r>
      <w:r>
        <w:rPr>
          <w:rFonts w:hint="eastAsia" w:ascii="Times New Roman" w:hAnsi="Times New Roman" w:eastAsia="仿宋" w:cs="Times New Roman"/>
          <w:b/>
          <w:bCs/>
          <w:kern w:val="0"/>
          <w:sz w:val="32"/>
          <w:szCs w:val="32"/>
          <w:lang w:val="en-US" w:eastAsia="zh-CN" w:bidi="ar-SA"/>
        </w:rPr>
        <w:t>，</w:t>
      </w:r>
      <w:r>
        <w:rPr>
          <w:rFonts w:hint="default" w:ascii="Times New Roman" w:hAnsi="Times New Roman" w:eastAsia="仿宋" w:cs="Times New Roman"/>
          <w:b/>
          <w:bCs/>
          <w:kern w:val="0"/>
          <w:sz w:val="32"/>
          <w:szCs w:val="32"/>
          <w:lang w:val="en-US" w:eastAsia="zh-CN" w:bidi="ar-SA"/>
        </w:rPr>
        <w:t>聚焦群众关切，重点公开民生实事推进、村级财务收支、惠民补贴发放等信息，确保信息真实准确。通</w:t>
      </w:r>
      <w:r>
        <w:rPr>
          <w:rFonts w:hint="eastAsia" w:ascii="Times New Roman" w:hAnsi="Times New Roman" w:eastAsia="仿宋" w:cs="Times New Roman"/>
          <w:b/>
          <w:bCs/>
          <w:kern w:val="0"/>
          <w:sz w:val="32"/>
          <w:szCs w:val="32"/>
          <w:lang w:val="en-US" w:eastAsia="zh-CN" w:bidi="ar-SA"/>
        </w:rPr>
        <w:t>过一</w:t>
      </w:r>
      <w:r>
        <w:rPr>
          <w:rFonts w:hint="default" w:ascii="Times New Roman" w:hAnsi="Times New Roman" w:eastAsia="仿宋" w:cs="Times New Roman"/>
          <w:b/>
          <w:bCs/>
          <w:kern w:val="0"/>
          <w:sz w:val="32"/>
          <w:szCs w:val="32"/>
          <w:lang w:val="en-US" w:eastAsia="zh-CN" w:bidi="ar-SA"/>
        </w:rPr>
        <w:t>系列举措，让政务信息更易获取，进一步拉近干群距离，提升群众满意度。</w:t>
      </w:r>
    </w:p>
    <w:p w14:paraId="392EC0A1">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（五）本行政机关政府信息公开工作年度报告数据统计需要说明的事项：</w:t>
      </w:r>
    </w:p>
    <w:p w14:paraId="07D5C835">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color w:val="auto"/>
          <w:sz w:val="32"/>
          <w:szCs w:val="32"/>
        </w:rPr>
        <w:t>本年度报告中所列数据统计期限从202</w:t>
      </w:r>
      <w:r>
        <w:rPr>
          <w:rFonts w:hint="eastAsia" w:ascii="Times New Roman" w:hAnsi="Times New Roman" w:eastAsia="仿宋" w:cs="Times New Roman"/>
          <w:b/>
          <w:color w:val="auto"/>
          <w:sz w:val="32"/>
          <w:szCs w:val="32"/>
          <w:lang w:val="en-US" w:eastAsia="zh-CN"/>
        </w:rPr>
        <w:t>5</w:t>
      </w:r>
      <w:r>
        <w:rPr>
          <w:rFonts w:hint="default" w:ascii="Times New Roman" w:hAnsi="Times New Roman" w:eastAsia="仿宋" w:cs="Times New Roman"/>
          <w:b/>
          <w:color w:val="auto"/>
          <w:sz w:val="32"/>
          <w:szCs w:val="32"/>
        </w:rPr>
        <w:t>年1月1日到</w:t>
      </w:r>
      <w:r>
        <w:rPr>
          <w:rFonts w:hint="eastAsia" w:ascii="Times New Roman" w:hAnsi="Times New Roman" w:eastAsia="仿宋" w:cs="Times New Roman"/>
          <w:b/>
          <w:color w:val="auto"/>
          <w:sz w:val="32"/>
          <w:szCs w:val="32"/>
          <w:lang w:val="en-US" w:eastAsia="zh-CN"/>
        </w:rPr>
        <w:t>2025年</w:t>
      </w:r>
      <w:r>
        <w:rPr>
          <w:rFonts w:hint="default" w:ascii="Times New Roman" w:hAnsi="Times New Roman" w:eastAsia="仿宋" w:cs="Times New Roman"/>
          <w:b/>
          <w:color w:val="auto"/>
          <w:sz w:val="32"/>
          <w:szCs w:val="32"/>
        </w:rPr>
        <w:t>12月31日止。</w:t>
      </w:r>
    </w:p>
    <w:p w14:paraId="3E59CE30">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（六）本行政机关认为需要报告的其他事项</w:t>
      </w:r>
    </w:p>
    <w:p w14:paraId="1E244C92">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无。</w:t>
      </w:r>
    </w:p>
    <w:p w14:paraId="5CA59A89">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default" w:ascii="Times New Roman" w:hAnsi="Times New Roman" w:eastAsia="方正楷体简体" w:cs="Times New Roman"/>
          <w:b/>
          <w:color w:val="auto"/>
          <w:kern w:val="2"/>
          <w:sz w:val="32"/>
          <w:szCs w:val="32"/>
          <w:lang w:val="en-US" w:eastAsia="zh-CN" w:bidi="ar-SA"/>
        </w:rPr>
      </w:pPr>
      <w:r>
        <w:rPr>
          <w:rFonts w:hint="default" w:ascii="Times New Roman" w:hAnsi="Times New Roman" w:eastAsia="方正楷体简体" w:cs="Times New Roman"/>
          <w:b/>
          <w:color w:val="auto"/>
          <w:kern w:val="2"/>
          <w:sz w:val="32"/>
          <w:szCs w:val="32"/>
          <w:lang w:val="en-US" w:eastAsia="zh-CN" w:bidi="ar-SA"/>
        </w:rPr>
        <w:t>（七）其他有关文件专门要求通过政府信息公开工作年度报告予以报告的事项。</w:t>
      </w:r>
    </w:p>
    <w:p w14:paraId="79BD55F3">
      <w:pPr>
        <w:pStyle w:val="5"/>
        <w:keepNext w:val="0"/>
        <w:keepLines w:val="0"/>
        <w:pageBreakBefore w:val="0"/>
        <w:widowControl/>
        <w:kinsoku/>
        <w:wordWrap/>
        <w:overflowPunct/>
        <w:topLinePunct w:val="0"/>
        <w:autoSpaceDN/>
        <w:bidi w:val="0"/>
        <w:adjustRightInd/>
        <w:snapToGrid/>
        <w:spacing w:beforeAutospacing="0" w:afterAutospacing="0" w:line="580" w:lineRule="exact"/>
        <w:ind w:firstLine="643" w:firstLineChars="200"/>
        <w:jc w:val="both"/>
        <w:textAlignment w:val="auto"/>
        <w:rPr>
          <w:rFonts w:hint="eastAsia" w:ascii="Times New Roman" w:hAnsi="Times New Roman" w:eastAsia="仿宋" w:cs="Times New Roman"/>
          <w:b/>
          <w:bCs/>
          <w:sz w:val="32"/>
          <w:szCs w:val="32"/>
          <w:lang w:eastAsia="zh-CN"/>
        </w:rPr>
      </w:pPr>
      <w:r>
        <w:rPr>
          <w:rFonts w:hint="default" w:ascii="Times New Roman" w:hAnsi="Times New Roman" w:eastAsia="仿宋" w:cs="Times New Roman"/>
          <w:b/>
          <w:bCs/>
          <w:sz w:val="32"/>
          <w:szCs w:val="32"/>
        </w:rPr>
        <w:t>无。</w:t>
      </w:r>
    </w:p>
    <w:p w14:paraId="4D35E20A">
      <w:pPr>
        <w:keepNext w:val="0"/>
        <w:keepLines w:val="0"/>
        <w:pageBreakBefore w:val="0"/>
        <w:kinsoku/>
        <w:wordWrap/>
        <w:overflowPunct/>
        <w:topLinePunct w:val="0"/>
        <w:autoSpaceDN/>
        <w:bidi w:val="0"/>
        <w:adjustRightInd/>
        <w:snapToGrid/>
        <w:spacing w:beforeAutospacing="0" w:line="580" w:lineRule="exact"/>
        <w:textAlignment w:val="auto"/>
        <w:rPr>
          <w:rFonts w:hint="default" w:ascii="Times New Roman" w:hAnsi="Times New Roman" w:cs="Times New Roman"/>
        </w:rPr>
      </w:pPr>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6B6ECF-325A-4CA1-9BB3-43BBA51EC8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C8F86714-4611-48B9-AACE-AC7B061FD374}"/>
  </w:font>
  <w:font w:name="仿宋">
    <w:panose1 w:val="02010609060101010101"/>
    <w:charset w:val="86"/>
    <w:family w:val="modern"/>
    <w:pitch w:val="default"/>
    <w:sig w:usb0="800002BF" w:usb1="38CF7CFA" w:usb2="00000016" w:usb3="00000000" w:csb0="00040001" w:csb1="00000000"/>
    <w:embedRegular r:id="rId3" w:fontKey="{F856F018-B133-4526-B059-80F6948F6C1E}"/>
  </w:font>
  <w:font w:name="方正小标宋简体">
    <w:panose1 w:val="03000509000000000000"/>
    <w:charset w:val="86"/>
    <w:family w:val="auto"/>
    <w:pitch w:val="default"/>
    <w:sig w:usb0="00000001" w:usb1="080E0000" w:usb2="00000000" w:usb3="00000000" w:csb0="00040000" w:csb1="00000000"/>
    <w:embedRegular r:id="rId4" w:fontKey="{4C9F46C8-AB08-4F66-A008-FE038C655735}"/>
  </w:font>
  <w:font w:name="方正黑体简体">
    <w:panose1 w:val="03000509000000000000"/>
    <w:charset w:val="86"/>
    <w:family w:val="auto"/>
    <w:pitch w:val="default"/>
    <w:sig w:usb0="00000001" w:usb1="080E0000" w:usb2="00000000" w:usb3="00000000" w:csb0="00040000" w:csb1="00000000"/>
    <w:embedRegular r:id="rId5" w:fontKey="{E1C43970-2BAB-4F71-84DB-C8EBA44C57B5}"/>
  </w:font>
  <w:font w:name="方正楷体简体">
    <w:panose1 w:val="03000509000000000000"/>
    <w:charset w:val="86"/>
    <w:family w:val="auto"/>
    <w:pitch w:val="default"/>
    <w:sig w:usb0="00000001" w:usb1="080E0000" w:usb2="00000000" w:usb3="00000000" w:csb0="00040000" w:csb1="00000000"/>
    <w:embedRegular r:id="rId6" w:fontKey="{316FD0B6-7267-4DB0-83EA-CC60890F5653}"/>
  </w:font>
  <w:font w:name="楷体_GB2312">
    <w:altName w:val="楷体"/>
    <w:panose1 w:val="02010609030101010101"/>
    <w:charset w:val="86"/>
    <w:family w:val="modern"/>
    <w:pitch w:val="default"/>
    <w:sig w:usb0="00000000" w:usb1="00000000" w:usb2="00000000" w:usb3="00000000" w:csb0="00040000" w:csb1="00000000"/>
    <w:embedRegular r:id="rId7" w:fontKey="{A6931C8A-1EA9-41F4-A214-631B60486BE6}"/>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ED59D"/>
    <w:multiLevelType w:val="singleLevel"/>
    <w:tmpl w:val="588ED59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jljN2VkOTMwMGFkYmFmZDgwNjIwZDI4ZTEyZWYifQ=="/>
    <w:docVar w:name="KSO_WPS_MARK_KEY" w:val="1b551a06-6de8-433f-a196-6e392f27e543"/>
  </w:docVars>
  <w:rsids>
    <w:rsidRoot w:val="23C558F9"/>
    <w:rsid w:val="0019597C"/>
    <w:rsid w:val="002661B2"/>
    <w:rsid w:val="00275F25"/>
    <w:rsid w:val="002C2287"/>
    <w:rsid w:val="002C60F5"/>
    <w:rsid w:val="002E72C9"/>
    <w:rsid w:val="003A410F"/>
    <w:rsid w:val="003D5504"/>
    <w:rsid w:val="00481419"/>
    <w:rsid w:val="00490F63"/>
    <w:rsid w:val="004B74E3"/>
    <w:rsid w:val="00634F16"/>
    <w:rsid w:val="00666BCE"/>
    <w:rsid w:val="00786845"/>
    <w:rsid w:val="008917EA"/>
    <w:rsid w:val="009222C0"/>
    <w:rsid w:val="00961836"/>
    <w:rsid w:val="00A07127"/>
    <w:rsid w:val="00A20D3F"/>
    <w:rsid w:val="00B3653F"/>
    <w:rsid w:val="00B81A9E"/>
    <w:rsid w:val="00C87D74"/>
    <w:rsid w:val="00DE5417"/>
    <w:rsid w:val="00E06260"/>
    <w:rsid w:val="00EA233A"/>
    <w:rsid w:val="00F4439E"/>
    <w:rsid w:val="00F82E90"/>
    <w:rsid w:val="012D26B6"/>
    <w:rsid w:val="01450FBB"/>
    <w:rsid w:val="01890C5E"/>
    <w:rsid w:val="01F176F8"/>
    <w:rsid w:val="025C1016"/>
    <w:rsid w:val="028E3199"/>
    <w:rsid w:val="035C6DF3"/>
    <w:rsid w:val="037C7496"/>
    <w:rsid w:val="051F457C"/>
    <w:rsid w:val="05ED6563"/>
    <w:rsid w:val="06B31140"/>
    <w:rsid w:val="074C7150"/>
    <w:rsid w:val="082F0F7A"/>
    <w:rsid w:val="08D04983"/>
    <w:rsid w:val="08D32118"/>
    <w:rsid w:val="091F331A"/>
    <w:rsid w:val="094D16B8"/>
    <w:rsid w:val="09C41582"/>
    <w:rsid w:val="09D43B87"/>
    <w:rsid w:val="0B462863"/>
    <w:rsid w:val="0D126AE8"/>
    <w:rsid w:val="0E721BC1"/>
    <w:rsid w:val="119B53E9"/>
    <w:rsid w:val="11A227BD"/>
    <w:rsid w:val="12DF56A4"/>
    <w:rsid w:val="13201BEB"/>
    <w:rsid w:val="14634486"/>
    <w:rsid w:val="15B66837"/>
    <w:rsid w:val="16933BA9"/>
    <w:rsid w:val="16BF34C9"/>
    <w:rsid w:val="16CD208A"/>
    <w:rsid w:val="1705119D"/>
    <w:rsid w:val="18401874"/>
    <w:rsid w:val="187039C6"/>
    <w:rsid w:val="1A7B1DFD"/>
    <w:rsid w:val="1AB20468"/>
    <w:rsid w:val="1ADD59FB"/>
    <w:rsid w:val="1B4F048E"/>
    <w:rsid w:val="1BB67591"/>
    <w:rsid w:val="1BC872C4"/>
    <w:rsid w:val="1CBB4733"/>
    <w:rsid w:val="1EC0121E"/>
    <w:rsid w:val="1F705CA9"/>
    <w:rsid w:val="20311F02"/>
    <w:rsid w:val="20BF0C96"/>
    <w:rsid w:val="20EF2BFD"/>
    <w:rsid w:val="21BE0F4D"/>
    <w:rsid w:val="21D53941"/>
    <w:rsid w:val="21EA1D42"/>
    <w:rsid w:val="23005C75"/>
    <w:rsid w:val="23C558F9"/>
    <w:rsid w:val="23E46C65"/>
    <w:rsid w:val="240B41F2"/>
    <w:rsid w:val="24635DDC"/>
    <w:rsid w:val="24765B0F"/>
    <w:rsid w:val="247C6E9E"/>
    <w:rsid w:val="24942439"/>
    <w:rsid w:val="24C3687B"/>
    <w:rsid w:val="24E16D01"/>
    <w:rsid w:val="25AA2A14"/>
    <w:rsid w:val="26063C96"/>
    <w:rsid w:val="28AB1AFF"/>
    <w:rsid w:val="29E705E1"/>
    <w:rsid w:val="2A5D216A"/>
    <w:rsid w:val="2DCE2518"/>
    <w:rsid w:val="2DD12008"/>
    <w:rsid w:val="2E045F3A"/>
    <w:rsid w:val="2E0F2B31"/>
    <w:rsid w:val="2E150147"/>
    <w:rsid w:val="2E653E4E"/>
    <w:rsid w:val="32D22A86"/>
    <w:rsid w:val="33174B6E"/>
    <w:rsid w:val="335F1E64"/>
    <w:rsid w:val="346E6803"/>
    <w:rsid w:val="3518676F"/>
    <w:rsid w:val="3575771D"/>
    <w:rsid w:val="35A014C9"/>
    <w:rsid w:val="37265173"/>
    <w:rsid w:val="380134EA"/>
    <w:rsid w:val="382D2531"/>
    <w:rsid w:val="38983E4E"/>
    <w:rsid w:val="389B56ED"/>
    <w:rsid w:val="38A722E3"/>
    <w:rsid w:val="3B701108"/>
    <w:rsid w:val="3BDD601C"/>
    <w:rsid w:val="3C131A3E"/>
    <w:rsid w:val="3C447E49"/>
    <w:rsid w:val="3C5E715D"/>
    <w:rsid w:val="3C625F4B"/>
    <w:rsid w:val="3D6E366B"/>
    <w:rsid w:val="3DE46669"/>
    <w:rsid w:val="3E295D52"/>
    <w:rsid w:val="3E8D3D29"/>
    <w:rsid w:val="3EFA2B3E"/>
    <w:rsid w:val="40F76FDF"/>
    <w:rsid w:val="413E755D"/>
    <w:rsid w:val="436314FD"/>
    <w:rsid w:val="445B21D4"/>
    <w:rsid w:val="46F030A7"/>
    <w:rsid w:val="480F1C53"/>
    <w:rsid w:val="4A8E50B1"/>
    <w:rsid w:val="4AD86211"/>
    <w:rsid w:val="4BB328F5"/>
    <w:rsid w:val="4BDE5BC4"/>
    <w:rsid w:val="4C60482B"/>
    <w:rsid w:val="4E7C3473"/>
    <w:rsid w:val="4F5A7C58"/>
    <w:rsid w:val="50AA076B"/>
    <w:rsid w:val="53D02297"/>
    <w:rsid w:val="56464A92"/>
    <w:rsid w:val="58647451"/>
    <w:rsid w:val="58727DC0"/>
    <w:rsid w:val="589F0489"/>
    <w:rsid w:val="58B101BD"/>
    <w:rsid w:val="596600F5"/>
    <w:rsid w:val="59AA358A"/>
    <w:rsid w:val="5AF27637"/>
    <w:rsid w:val="5BE508A9"/>
    <w:rsid w:val="5C3D6937"/>
    <w:rsid w:val="5CBB785C"/>
    <w:rsid w:val="5D137776"/>
    <w:rsid w:val="5DF272AD"/>
    <w:rsid w:val="5EA44A4C"/>
    <w:rsid w:val="600B28A8"/>
    <w:rsid w:val="602D2273"/>
    <w:rsid w:val="60E2185B"/>
    <w:rsid w:val="6138591F"/>
    <w:rsid w:val="63310493"/>
    <w:rsid w:val="6407734D"/>
    <w:rsid w:val="65401246"/>
    <w:rsid w:val="65AC068A"/>
    <w:rsid w:val="65C05252"/>
    <w:rsid w:val="6618187B"/>
    <w:rsid w:val="67140294"/>
    <w:rsid w:val="67F219CC"/>
    <w:rsid w:val="68104574"/>
    <w:rsid w:val="68444BA9"/>
    <w:rsid w:val="692B6FFE"/>
    <w:rsid w:val="69A46042"/>
    <w:rsid w:val="6AB75B07"/>
    <w:rsid w:val="6CF21078"/>
    <w:rsid w:val="6D6A50B2"/>
    <w:rsid w:val="6F2F5B2C"/>
    <w:rsid w:val="6F517C94"/>
    <w:rsid w:val="6F7264A0"/>
    <w:rsid w:val="6F8E7BE8"/>
    <w:rsid w:val="6FAA79E8"/>
    <w:rsid w:val="720930EC"/>
    <w:rsid w:val="72C460D0"/>
    <w:rsid w:val="72F378F8"/>
    <w:rsid w:val="7448709E"/>
    <w:rsid w:val="758E4B58"/>
    <w:rsid w:val="767F42D1"/>
    <w:rsid w:val="76962A74"/>
    <w:rsid w:val="76B47879"/>
    <w:rsid w:val="770B13DD"/>
    <w:rsid w:val="79CF3F13"/>
    <w:rsid w:val="79DB062D"/>
    <w:rsid w:val="7B86755B"/>
    <w:rsid w:val="7CC540B3"/>
    <w:rsid w:val="7CD460A4"/>
    <w:rsid w:val="7CE85FF3"/>
    <w:rsid w:val="7D8B38CA"/>
    <w:rsid w:val="7D9F66B2"/>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link w:val="12"/>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0"/>
    <w:rPr>
      <w:rFonts w:asciiTheme="minorHAnsi" w:hAnsiTheme="minorHAnsi" w:eastAsiaTheme="minorEastAsia" w:cstheme="minorBidi"/>
      <w:kern w:val="2"/>
      <w:sz w:val="18"/>
      <w:szCs w:val="18"/>
    </w:rPr>
  </w:style>
  <w:style w:type="character" w:customStyle="1" w:styleId="12">
    <w:name w:val="普通(网站) Char"/>
    <w:link w:val="5"/>
    <w:qFormat/>
    <w:uiPriority w:val="0"/>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400" b="0" i="0" u="none" strike="noStrike" kern="1200" spc="0" baseline="0">
                <a:solidFill>
                  <a:schemeClr val="tx1"/>
                </a:solidFill>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r>
              <a:rPr>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rPr>
              <a:t>信息公开</a:t>
            </a:r>
            <a:endParaRPr>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endParaRP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a:ln w="12700">
              <a:noFill/>
            </a:ln>
            <a:effectLst/>
            <a:sp3d contourW="12700"/>
          </c:spPr>
          <c:explosion val="3"/>
          <c:dPt>
            <c:idx val="0"/>
            <c:bubble3D val="0"/>
            <c:spPr>
              <a:solidFill>
                <a:schemeClr val="accent1"/>
              </a:solidFill>
              <a:ln w="12700">
                <a:noFill/>
              </a:ln>
              <a:effectLst/>
              <a:sp3d contourW="12700"/>
            </c:spPr>
          </c:dPt>
          <c:dPt>
            <c:idx val="1"/>
            <c:bubble3D val="0"/>
            <c:spPr>
              <a:solidFill>
                <a:schemeClr val="accent2"/>
              </a:solidFill>
              <a:ln w="12700">
                <a:noFill/>
              </a:ln>
              <a:effectLst/>
              <a:sp3d contourW="12700"/>
            </c:spPr>
          </c:dPt>
          <c:dPt>
            <c:idx val="2"/>
            <c:bubble3D val="0"/>
            <c:spPr>
              <a:solidFill>
                <a:schemeClr val="accent3"/>
              </a:solidFill>
              <a:ln w="12700">
                <a:noFill/>
              </a:ln>
              <a:effectLst/>
              <a:sp3d contourW="12700"/>
            </c:spPr>
          </c:dPt>
          <c:dPt>
            <c:idx val="3"/>
            <c:bubble3D val="0"/>
            <c:spPr>
              <a:solidFill>
                <a:schemeClr val="accent4"/>
              </a:solidFill>
              <a:ln w="12700">
                <a:noFill/>
              </a:ln>
              <a:effectLst/>
              <a:sp3d contourW="12700"/>
            </c:spPr>
          </c:dPt>
          <c:dPt>
            <c:idx val="4"/>
            <c:bubble3D val="0"/>
            <c:spPr>
              <a:solidFill>
                <a:schemeClr val="accent5"/>
              </a:solidFill>
              <a:ln w="12700">
                <a:noFill/>
              </a:ln>
              <a:effectLst/>
              <a:sp3d contourW="12700"/>
            </c:spPr>
          </c:dPt>
          <c:dPt>
            <c:idx val="5"/>
            <c:bubble3D val="0"/>
            <c:spPr>
              <a:solidFill>
                <a:schemeClr val="accent6"/>
              </a:solidFill>
              <a:ln w="12700">
                <a:noFill/>
              </a:ln>
              <a:effectLst/>
              <a:sp3d contourW="12700"/>
            </c:spPr>
          </c:dPt>
          <c:dLbls>
            <c:dLbl>
              <c:idx val="2"/>
              <c:layout/>
              <c:dLblPos val="outEnd"/>
              <c:showLegendKey val="0"/>
              <c:showVal val="1"/>
              <c:showCatName val="1"/>
              <c:showSerName val="0"/>
              <c:showPercent val="0"/>
              <c:showBubbleSize val="0"/>
              <c:separator>
</c:separator>
              <c:extLst>
                <c:ext xmlns:c15="http://schemas.microsoft.com/office/drawing/2012/chart" uri="{CE6537A1-D6FC-4f65-9D91-7224C49458BB}">
                  <c15:layout>
                    <c:manualLayout>
                      <c:w val="0.278875"/>
                      <c:h val="0.118"/>
                    </c:manualLayout>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chemeClr val="tx1">
                        <a:lumMod val="75000"/>
                        <a:lumOff val="25000"/>
                      </a:schemeClr>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要闻咨询类信息</c:v>
                </c:pt>
                <c:pt idx="1">
                  <c:v>规划计划类信息</c:v>
                </c:pt>
                <c:pt idx="2">
                  <c:v>财政预算决算类信息</c:v>
                </c:pt>
                <c:pt idx="3">
                  <c:v>涉农补贴类信息</c:v>
                </c:pt>
                <c:pt idx="4">
                  <c:v>专题专栏类信息</c:v>
                </c:pt>
                <c:pt idx="5">
                  <c:v>其他类信息</c:v>
                </c:pt>
              </c:strCache>
            </c:strRef>
          </c:cat>
          <c:val>
            <c:numRef>
              <c:f>Sheet1!$B$2:$B$7</c:f>
              <c:numCache>
                <c:formatCode>General</c:formatCode>
                <c:ptCount val="6"/>
                <c:pt idx="0">
                  <c:v>2</c:v>
                </c:pt>
                <c:pt idx="1">
                  <c:v>5</c:v>
                </c:pt>
                <c:pt idx="2">
                  <c:v>5</c:v>
                </c:pt>
                <c:pt idx="3">
                  <c:v>4</c:v>
                </c:pt>
                <c:pt idx="4">
                  <c:v>1</c:v>
                </c:pt>
                <c:pt idx="5">
                  <c:v>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20f41521-cb4f-420a-be95-c43bdaf011fd}"/>
      </c:ext>
    </c:extLst>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方正黑体简体" panose="03000509000000000000" charset="-122"/>
          <a:ea typeface="方正黑体简体" panose="03000509000000000000" charset="-122"/>
          <a:cs typeface="方正黑体简体" panose="03000509000000000000" charset="-122"/>
          <a:sym typeface="方正黑体简体" panose="03000509000000000000"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23">
    <a:dk1>
      <a:srgbClr val="000000"/>
    </a:dk1>
    <a:lt1>
      <a:srgbClr val="FFFFFF"/>
    </a:lt1>
    <a:dk2>
      <a:srgbClr val="44546A"/>
    </a:dk2>
    <a:lt2>
      <a:srgbClr val="E7E6E6"/>
    </a:lt2>
    <a:accent1>
      <a:srgbClr val="4EC2C8"/>
    </a:accent1>
    <a:accent2>
      <a:srgbClr val="B2CC35"/>
    </a:accent2>
    <a:accent3>
      <a:srgbClr val="9ADBC5"/>
    </a:accent3>
    <a:accent4>
      <a:srgbClr val="F986A8"/>
    </a:accent4>
    <a:accent5>
      <a:srgbClr val="F98D70"/>
    </a:accent5>
    <a:accent6>
      <a:srgbClr val="F8DC39"/>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7</Pages>
  <Words>2952</Words>
  <Characters>3049</Characters>
  <Lines>29</Lines>
  <Paragraphs>8</Paragraphs>
  <TotalTime>5</TotalTime>
  <ScaleCrop>false</ScaleCrop>
  <LinksUpToDate>false</LinksUpToDate>
  <CharactersWithSpaces>3049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2023-02-02T03:42:00Z</dcterms:created>
  <dc:creator>Baby</dc:creator>
  <cp:lastModifiedBy>holy crap</cp:lastModifiedBy>
  <dcterms:modified xsi:type="dcterms:W3CDTF">2026-01-16T07:44:27Z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8B6961C2869747E0B9BE60D7A35CF16C_13</vt:lpwstr>
  </property>
  <property fmtid="{D5CDD505-2E9C-101B-9397-08002B2CF9AE}" pid="4" name="KSOTemplateDocerSaveRecord">
    <vt:lpwstr>eyJoZGlkIjoiNzM5MjljN2VkOTMwMGFkYmFmZDgwNjIwZDI4ZTEyZWYiLCJ1c2VySWQiOiI4NzcwMzcwMTAifQ==</vt:lpwstr>
  </property>
</Properties>
</file>