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313F7">
      <w:pPr>
        <w:widowControl/>
        <w:jc w:val="center"/>
        <w:rPr>
          <w:rFonts w:ascii="宋体" w:hAnsi="宋体" w:eastAsia="仿宋_GB2312" w:cs="Times New Roman"/>
          <w:b w:val="0"/>
          <w:bCs w:val="0"/>
          <w:kern w:val="0"/>
          <w:sz w:val="32"/>
          <w:szCs w:val="32"/>
        </w:rPr>
      </w:pPr>
    </w:p>
    <w:p w14:paraId="6BDC0EE8">
      <w:pPr>
        <w:widowControl/>
        <w:jc w:val="center"/>
        <w:rPr>
          <w:rFonts w:ascii="宋体" w:hAnsi="宋体" w:eastAsia="仿宋_GB2312" w:cs="Times New Roman"/>
          <w:b w:val="0"/>
          <w:bCs w:val="0"/>
          <w:kern w:val="0"/>
          <w:sz w:val="32"/>
          <w:szCs w:val="32"/>
        </w:rPr>
      </w:pPr>
      <w:r>
        <w:rPr>
          <w:sz w:val="21"/>
        </w:rPr>
        <mc:AlternateContent>
          <mc:Choice Requires="wpg">
            <w:drawing>
              <wp:anchor distT="0" distB="0" distL="114300" distR="114300" simplePos="0" relativeHeight="251663360" behindDoc="0" locked="0" layoutInCell="1" allowOverlap="1">
                <wp:simplePos x="0" y="0"/>
                <wp:positionH relativeFrom="column">
                  <wp:posOffset>-35560</wp:posOffset>
                </wp:positionH>
                <wp:positionV relativeFrom="paragraph">
                  <wp:posOffset>120015</wp:posOffset>
                </wp:positionV>
                <wp:extent cx="5615940" cy="2413000"/>
                <wp:effectExtent l="0" t="0" r="0" b="0"/>
                <wp:wrapNone/>
                <wp:docPr id="5" name="组合 5"/>
                <wp:cNvGraphicFramePr/>
                <a:graphic xmlns:a="http://schemas.openxmlformats.org/drawingml/2006/main">
                  <a:graphicData uri="http://schemas.microsoft.com/office/word/2010/wordprocessingGroup">
                    <wpg:wgp>
                      <wpg:cNvGrpSpPr/>
                      <wpg:grpSpPr>
                        <a:xfrm>
                          <a:off x="0" y="0"/>
                          <a:ext cx="5615940" cy="2413000"/>
                          <a:chOff x="6175" y="2910"/>
                          <a:chExt cx="8844" cy="3800"/>
                        </a:xfrm>
                      </wpg:grpSpPr>
                      <wps:wsp>
                        <wps:cNvPr id="2" name="矩形 2"/>
                        <wps:cNvSpPr/>
                        <wps:spPr>
                          <a:xfrm>
                            <a:off x="6278" y="2910"/>
                            <a:ext cx="8640" cy="1872"/>
                          </a:xfrm>
                          <a:prstGeom prst="rect">
                            <a:avLst/>
                          </a:prstGeom>
                          <a:noFill/>
                          <a:ln>
                            <a:noFill/>
                          </a:ln>
                        </wps:spPr>
                        <wps:txbx>
                          <w:txbxContent>
                            <w:p w14:paraId="72DC037B">
                              <w:pPr>
                                <w:jc w:val="center"/>
                                <w:rPr>
                                  <w:color w:val="FFFFFF" w:themeColor="background1"/>
                                  <w:w w:val="80"/>
                                  <w14:textFill>
                                    <w14:solidFill>
                                      <w14:schemeClr w14:val="bg1"/>
                                    </w14:solidFill>
                                  </w14:textFill>
                                </w:rPr>
                              </w:pPr>
                              <w:r>
                                <w:rPr>
                                  <w:rFonts w:hint="eastAsia" w:ascii="方正小标宋简体" w:eastAsia="方正小标宋简体"/>
                                  <w:color w:val="FFFFFF" w:themeColor="background1"/>
                                  <w:spacing w:val="80"/>
                                  <w:w w:val="80"/>
                                  <w:sz w:val="120"/>
                                  <w:szCs w:val="120"/>
                                  <w14:textFill>
                                    <w14:solidFill>
                                      <w14:schemeClr w14:val="bg1"/>
                                    </w14:solidFill>
                                  </w14:textFill>
                                </w:rPr>
                                <w:t>泗水县人民政</w:t>
                              </w:r>
                              <w:r>
                                <w:rPr>
                                  <w:rFonts w:hint="eastAsia" w:ascii="方正小标宋简体" w:eastAsia="方正小标宋简体"/>
                                  <w:color w:val="FFFFFF" w:themeColor="background1"/>
                                  <w:spacing w:val="68"/>
                                  <w:w w:val="80"/>
                                  <w:sz w:val="120"/>
                                  <w:szCs w:val="120"/>
                                  <w14:textFill>
                                    <w14:solidFill>
                                      <w14:schemeClr w14:val="bg1"/>
                                    </w14:solidFill>
                                  </w14:textFill>
                                </w:rPr>
                                <w:t>府</w:t>
                              </w:r>
                            </w:p>
                          </w:txbxContent>
                        </wps:txbx>
                        <wps:bodyPr upright="1"/>
                      </wps:wsp>
                      <wps:wsp>
                        <wps:cNvPr id="3" name="直接连接符 3"/>
                        <wps:cNvCnPr/>
                        <wps:spPr>
                          <a:xfrm>
                            <a:off x="6175" y="6710"/>
                            <a:ext cx="8844" cy="0"/>
                          </a:xfrm>
                          <a:prstGeom prst="line">
                            <a:avLst/>
                          </a:prstGeom>
                          <a:ln w="19050" cap="flat" cmpd="sng">
                            <a:solidFill>
                              <a:schemeClr val="bg1"/>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2.8pt;margin-top:9.45pt;height:190pt;width:442.2pt;z-index:251663360;mso-width-relative:page;mso-height-relative:page;" coordorigin="6175,2910" coordsize="8844,3800" o:gfxdata="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2GDxnZAAAACQEAAA8AAAAA&#10;AAAAAQAgAAAAIgAAAGRycy9kb3ducmV2LnhtbFBLAQIUABQAAAAIAIdO4kCl4YoLvgIAAIcGAAAO&#10;AAAAAAAAAAEAIAAAACgBAABkcnMvZTJvRG9jLnhtbFBLBQYAAAAABgAGAFkBAABYBgAAAAA=&#10;">
                <o:lock v:ext="edit" aspectratio="f"/>
                <v:rect id="_x0000_s1026" o:spid="_x0000_s1026" o:spt="1" style="position:absolute;left:6278;top:2910;height:1872;width:864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2DC037B">
                        <w:pPr>
                          <w:jc w:val="center"/>
                          <w:rPr>
                            <w:color w:val="FFFFFF" w:themeColor="background1"/>
                            <w:w w:val="80"/>
                            <w14:textFill>
                              <w14:solidFill>
                                <w14:schemeClr w14:val="bg1"/>
                              </w14:solidFill>
                            </w14:textFill>
                          </w:rPr>
                        </w:pPr>
                        <w:r>
                          <w:rPr>
                            <w:rFonts w:hint="eastAsia" w:ascii="方正小标宋简体" w:eastAsia="方正小标宋简体"/>
                            <w:color w:val="FFFFFF" w:themeColor="background1"/>
                            <w:spacing w:val="80"/>
                            <w:w w:val="80"/>
                            <w:sz w:val="120"/>
                            <w:szCs w:val="120"/>
                            <w14:textFill>
                              <w14:solidFill>
                                <w14:schemeClr w14:val="bg1"/>
                              </w14:solidFill>
                            </w14:textFill>
                          </w:rPr>
                          <w:t>泗水县人民政</w:t>
                        </w:r>
                        <w:r>
                          <w:rPr>
                            <w:rFonts w:hint="eastAsia" w:ascii="方正小标宋简体" w:eastAsia="方正小标宋简体"/>
                            <w:color w:val="FFFFFF" w:themeColor="background1"/>
                            <w:spacing w:val="68"/>
                            <w:w w:val="80"/>
                            <w:sz w:val="120"/>
                            <w:szCs w:val="120"/>
                            <w14:textFill>
                              <w14:solidFill>
                                <w14:schemeClr w14:val="bg1"/>
                              </w14:solidFill>
                            </w14:textFill>
                          </w:rPr>
                          <w:t>府</w:t>
                        </w:r>
                      </w:p>
                    </w:txbxContent>
                  </v:textbox>
                </v:rect>
                <v:line id="_x0000_s1026" o:spid="_x0000_s1026" o:spt="20" style="position:absolute;left:6175;top:6710;height:0;width:8844;" filled="f" stroked="t" coordsize="21600,21600" o:gfxdata="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LSQ68AAAA&#10;2gAAAA8AAAAAAAAAAQAgAAAAIgAAAGRycy9kb3ducmV2LnhtbFBLAQIUABQAAAAIAIdO4kAzLwWe&#10;OwAAADkAAAAQAAAAAAAAAAEAIAAAAAsBAABkcnMvc2hhcGV4bWwueG1sUEsFBgAAAAAGAAYAWwEA&#10;ALUDAAAAAA==&#10;">
                  <v:fill on="f" focussize="0,0"/>
                  <v:stroke weight="1.5pt" color="#FFFFFF [3212]" joinstyle="round"/>
                  <v:imagedata o:title=""/>
                  <o:lock v:ext="edit" aspectratio="f"/>
                </v:line>
              </v:group>
            </w:pict>
          </mc:Fallback>
        </mc:AlternateContent>
      </w:r>
    </w:p>
    <w:p w14:paraId="59EBA893">
      <w:pPr>
        <w:widowControl/>
        <w:jc w:val="center"/>
        <w:rPr>
          <w:rFonts w:ascii="宋体" w:hAnsi="宋体" w:eastAsia="仿宋_GB2312" w:cs="Times New Roman"/>
          <w:b w:val="0"/>
          <w:bCs w:val="0"/>
          <w:kern w:val="0"/>
          <w:sz w:val="32"/>
          <w:szCs w:val="32"/>
        </w:rPr>
      </w:pPr>
    </w:p>
    <w:p w14:paraId="18692E30">
      <w:pPr>
        <w:widowControl/>
        <w:jc w:val="center"/>
        <w:rPr>
          <w:rFonts w:ascii="宋体" w:hAnsi="宋体" w:eastAsia="仿宋_GB2312" w:cs="Times New Roman"/>
          <w:b w:val="0"/>
          <w:bCs w:val="0"/>
          <w:kern w:val="0"/>
          <w:sz w:val="32"/>
          <w:szCs w:val="32"/>
        </w:rPr>
      </w:pPr>
    </w:p>
    <w:p w14:paraId="40B04F6B">
      <w:pPr>
        <w:widowControl/>
        <w:jc w:val="center"/>
        <w:rPr>
          <w:rFonts w:ascii="宋体" w:hAnsi="宋体" w:eastAsia="仿宋_GB2312" w:cs="Times New Roman"/>
          <w:b w:val="0"/>
          <w:bCs w:val="0"/>
          <w:kern w:val="0"/>
          <w:sz w:val="32"/>
          <w:szCs w:val="32"/>
        </w:rPr>
      </w:pPr>
    </w:p>
    <w:p w14:paraId="4408D014">
      <w:pPr>
        <w:widowControl/>
        <w:spacing w:line="400" w:lineRule="exact"/>
        <w:jc w:val="center"/>
        <w:rPr>
          <w:rFonts w:ascii="宋体" w:hAnsi="宋体" w:eastAsia="仿宋_GB2312" w:cs="Times New Roman"/>
          <w:b w:val="0"/>
          <w:bCs w:val="0"/>
          <w:kern w:val="0"/>
          <w:sz w:val="32"/>
          <w:szCs w:val="32"/>
        </w:rPr>
      </w:pPr>
    </w:p>
    <w:p w14:paraId="303CCBD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宋体" w:hAnsi="宋体" w:eastAsia="仿宋_GB2312" w:cs="Times New Roman"/>
          <w:b w:val="0"/>
          <w:bCs w:val="0"/>
          <w:kern w:val="0"/>
          <w:sz w:val="32"/>
          <w:szCs w:val="32"/>
        </w:rPr>
      </w:pPr>
    </w:p>
    <w:p w14:paraId="469E1BD1">
      <w:pPr>
        <w:widowControl/>
        <w:jc w:val="center"/>
        <w:rPr>
          <w:rFonts w:ascii="宋体" w:hAnsi="宋体" w:eastAsia="仿宋_GB2312" w:cs="Times New Roman"/>
          <w:b w:val="0"/>
          <w:bCs w:val="0"/>
          <w:kern w:val="0"/>
          <w:sz w:val="32"/>
          <w:szCs w:val="32"/>
        </w:rPr>
      </w:pPr>
      <w:r>
        <w:rPr>
          <w:rFonts w:ascii="宋体" w:hAnsi="宋体" w:eastAsia="仿宋_GB2312" w:cs="Times New Roman"/>
          <w:b w:val="0"/>
          <w:bCs w:val="0"/>
          <w:kern w:val="0"/>
          <w:sz w:val="32"/>
          <w:szCs w:val="32"/>
        </w:rPr>
        <w:t>泗政字〔</w:t>
      </w:r>
      <w:r>
        <w:rPr>
          <w:rFonts w:ascii="宋体" w:hAnsi="宋体" w:eastAsia="宋体" w:cs="Times New Roman"/>
          <w:b w:val="0"/>
          <w:bCs w:val="0"/>
          <w:kern w:val="0"/>
          <w:sz w:val="32"/>
          <w:szCs w:val="32"/>
        </w:rPr>
        <w:t>202</w:t>
      </w:r>
      <w:r>
        <w:rPr>
          <w:rFonts w:hint="eastAsia" w:ascii="宋体" w:hAnsi="宋体" w:eastAsia="宋体" w:cs="Times New Roman"/>
          <w:b w:val="0"/>
          <w:bCs w:val="0"/>
          <w:kern w:val="0"/>
          <w:sz w:val="32"/>
          <w:szCs w:val="32"/>
          <w:lang w:val="en-US" w:eastAsia="zh-CN"/>
        </w:rPr>
        <w:t>4</w:t>
      </w:r>
      <w:r>
        <w:rPr>
          <w:rFonts w:ascii="宋体" w:hAnsi="宋体" w:eastAsia="仿宋_GB2312" w:cs="Times New Roman"/>
          <w:b w:val="0"/>
          <w:bCs w:val="0"/>
          <w:kern w:val="0"/>
          <w:sz w:val="32"/>
          <w:szCs w:val="32"/>
        </w:rPr>
        <w:t>〕</w:t>
      </w:r>
      <w:r>
        <w:rPr>
          <w:rFonts w:hint="eastAsia" w:ascii="宋体" w:hAnsi="宋体" w:eastAsia="仿宋_GB2312" w:cs="Times New Roman"/>
          <w:b w:val="0"/>
          <w:bCs w:val="0"/>
          <w:kern w:val="0"/>
          <w:sz w:val="32"/>
          <w:szCs w:val="32"/>
          <w:lang w:val="en-US" w:eastAsia="zh-CN"/>
        </w:rPr>
        <w:t>103</w:t>
      </w:r>
      <w:r>
        <w:rPr>
          <w:rFonts w:ascii="宋体" w:hAnsi="宋体" w:eastAsia="仿宋_GB2312" w:cs="Times New Roman"/>
          <w:b w:val="0"/>
          <w:bCs w:val="0"/>
          <w:kern w:val="0"/>
          <w:sz w:val="32"/>
          <w:szCs w:val="32"/>
        </w:rPr>
        <w:t>号</w:t>
      </w:r>
    </w:p>
    <w:p w14:paraId="60CF8374">
      <w:pPr>
        <w:jc w:val="center"/>
        <w:rPr>
          <w:rFonts w:ascii="宋体" w:hAnsi="宋体" w:eastAsia="宋体" w:cs="Times New Roman"/>
          <w:b w:val="0"/>
          <w:bCs w:val="0"/>
          <w:sz w:val="24"/>
          <w:szCs w:val="24"/>
        </w:rPr>
      </w:pPr>
    </w:p>
    <w:p w14:paraId="7196F8FC">
      <w:pPr>
        <w:jc w:val="center"/>
        <w:rPr>
          <w:rFonts w:ascii="宋体" w:hAnsi="宋体" w:eastAsia="宋体" w:cs="Times New Roman"/>
          <w:b w:val="0"/>
          <w:bCs w:val="0"/>
          <w:sz w:val="24"/>
          <w:szCs w:val="24"/>
        </w:rPr>
      </w:pPr>
    </w:p>
    <w:p w14:paraId="0D15F89F">
      <w:pPr>
        <w:jc w:val="center"/>
        <w:rPr>
          <w:rFonts w:ascii="宋体" w:hAnsi="宋体" w:eastAsia="宋体" w:cs="Times New Roman"/>
          <w:b w:val="0"/>
          <w:bCs w:val="0"/>
          <w:sz w:val="24"/>
          <w:szCs w:val="24"/>
        </w:rPr>
      </w:pPr>
    </w:p>
    <w:p w14:paraId="7C121C36">
      <w:pPr>
        <w:jc w:val="center"/>
        <w:rPr>
          <w:rFonts w:ascii="宋体" w:hAnsi="宋体" w:eastAsia="宋体" w:cs="Times New Roman"/>
          <w:b w:val="0"/>
          <w:bCs w:val="0"/>
          <w:sz w:val="24"/>
          <w:szCs w:val="24"/>
        </w:rPr>
      </w:pPr>
    </w:p>
    <w:p w14:paraId="469AC9A5">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ascii="宋体" w:hAnsi="宋体" w:eastAsia="方正小标宋简体" w:cs="Times New Roman"/>
          <w:b w:val="0"/>
          <w:bCs w:val="0"/>
          <w:kern w:val="0"/>
          <w:sz w:val="44"/>
          <w:szCs w:val="44"/>
        </w:rPr>
      </w:pPr>
      <w:r>
        <w:rPr>
          <w:rFonts w:ascii="宋体" w:hAnsi="宋体" w:eastAsia="方正小标宋简体" w:cs="Times New Roman"/>
          <w:b w:val="0"/>
          <w:bCs w:val="0"/>
          <w:spacing w:val="50"/>
          <w:kern w:val="0"/>
          <w:sz w:val="44"/>
          <w:szCs w:val="44"/>
        </w:rPr>
        <w:t>泗水县人民政</w:t>
      </w:r>
      <w:r>
        <w:rPr>
          <w:rFonts w:ascii="宋体" w:hAnsi="宋体" w:eastAsia="方正小标宋简体" w:cs="Times New Roman"/>
          <w:b w:val="0"/>
          <w:bCs w:val="0"/>
          <w:kern w:val="0"/>
          <w:sz w:val="44"/>
          <w:szCs w:val="44"/>
        </w:rPr>
        <w:t>府</w:t>
      </w:r>
    </w:p>
    <w:p w14:paraId="5814A45D">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rPr>
      </w:pPr>
      <w:r>
        <w:rPr>
          <w:rFonts w:hint="eastAsia" w:ascii="宋体" w:hAnsi="宋体" w:eastAsia="方正小标宋简体" w:cs="Times New Roman"/>
          <w:b w:val="0"/>
          <w:bCs w:val="0"/>
          <w:spacing w:val="0"/>
          <w:kern w:val="0"/>
          <w:sz w:val="44"/>
          <w:szCs w:val="44"/>
        </w:rPr>
        <w:t>关于</w:t>
      </w:r>
      <w:r>
        <w:rPr>
          <w:rFonts w:hint="eastAsia" w:ascii="宋体" w:hAnsi="宋体" w:eastAsia="方正小标宋简体" w:cs="Times New Roman"/>
          <w:b w:val="0"/>
          <w:bCs w:val="0"/>
          <w:spacing w:val="0"/>
          <w:kern w:val="0"/>
          <w:sz w:val="44"/>
          <w:szCs w:val="44"/>
          <w:lang w:val="en-US" w:eastAsia="zh-CN"/>
        </w:rPr>
        <w:t>公布</w:t>
      </w:r>
      <w:r>
        <w:rPr>
          <w:rFonts w:hint="eastAsia" w:ascii="宋体" w:hAnsi="宋体" w:eastAsia="方正小标宋简体" w:cs="Times New Roman"/>
          <w:b w:val="0"/>
          <w:bCs w:val="0"/>
          <w:spacing w:val="0"/>
          <w:kern w:val="0"/>
          <w:sz w:val="44"/>
          <w:szCs w:val="44"/>
        </w:rPr>
        <w:t>泗水县城区土地级别和基准地价</w:t>
      </w:r>
    </w:p>
    <w:p w14:paraId="2D18F452">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rPr>
      </w:pPr>
      <w:r>
        <w:rPr>
          <w:rFonts w:hint="eastAsia" w:ascii="宋体" w:hAnsi="宋体" w:eastAsia="方正小标宋简体" w:cs="Times New Roman"/>
          <w:b w:val="0"/>
          <w:bCs w:val="0"/>
          <w:spacing w:val="0"/>
          <w:kern w:val="0"/>
          <w:sz w:val="44"/>
          <w:szCs w:val="44"/>
          <w:lang w:val="en-US" w:eastAsia="zh-CN"/>
        </w:rPr>
        <w:t>更新成果</w:t>
      </w:r>
      <w:r>
        <w:rPr>
          <w:rFonts w:hint="eastAsia" w:ascii="宋体" w:hAnsi="宋体" w:eastAsia="方正小标宋简体" w:cs="Times New Roman"/>
          <w:b w:val="0"/>
          <w:bCs w:val="0"/>
          <w:spacing w:val="0"/>
          <w:kern w:val="0"/>
          <w:sz w:val="44"/>
          <w:szCs w:val="44"/>
        </w:rPr>
        <w:t>的通知</w:t>
      </w:r>
    </w:p>
    <w:p w14:paraId="6ED28918">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lang w:val="en-US" w:eastAsia="zh-CN"/>
        </w:rPr>
      </w:pPr>
    </w:p>
    <w:p w14:paraId="08A2B285">
      <w:pPr>
        <w:keepNext w:val="0"/>
        <w:keepLines w:val="0"/>
        <w:pageBreakBefore w:val="0"/>
        <w:widowControl w:val="0"/>
        <w:kinsoku/>
        <w:overflowPunct/>
        <w:topLinePunct w:val="0"/>
        <w:autoSpaceDE/>
        <w:autoSpaceDN/>
        <w:bidi w:val="0"/>
        <w:adjustRightInd/>
        <w:snapToGrid/>
        <w:spacing w:line="520" w:lineRule="exact"/>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lang w:val="en-US" w:eastAsia="zh-CN"/>
        </w:rPr>
        <w:t>各镇人民政府、街道办事处，县政府各部门，各企事业单位</w:t>
      </w:r>
      <w:r>
        <w:rPr>
          <w:rFonts w:hint="eastAsia" w:ascii="宋体" w:hAnsi="宋体" w:eastAsia="仿宋_GB2312" w:cs="仿宋_GB2312"/>
          <w:b w:val="0"/>
          <w:bCs w:val="0"/>
          <w:sz w:val="32"/>
          <w:szCs w:val="32"/>
        </w:rPr>
        <w:t>：</w:t>
      </w:r>
    </w:p>
    <w:p w14:paraId="2538E5D2">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为</w:t>
      </w:r>
      <w:r>
        <w:rPr>
          <w:rFonts w:hint="eastAsia" w:ascii="宋体" w:hAnsi="宋体" w:eastAsia="仿宋_GB2312" w:cs="仿宋_GB2312"/>
          <w:b w:val="0"/>
          <w:bCs w:val="0"/>
          <w:sz w:val="32"/>
          <w:szCs w:val="32"/>
          <w:lang w:val="en-US" w:eastAsia="zh-CN"/>
        </w:rPr>
        <w:t>进一步</w:t>
      </w:r>
      <w:r>
        <w:rPr>
          <w:rFonts w:hint="eastAsia" w:ascii="宋体" w:hAnsi="宋体" w:eastAsia="仿宋_GB2312" w:cs="仿宋_GB2312"/>
          <w:b w:val="0"/>
          <w:bCs w:val="0"/>
          <w:sz w:val="32"/>
          <w:szCs w:val="32"/>
        </w:rPr>
        <w:t>落实《城镇土地分等定级规程》《城镇土地估价规程》</w:t>
      </w:r>
      <w:r>
        <w:rPr>
          <w:rFonts w:hint="eastAsia" w:ascii="宋体" w:hAnsi="宋体" w:eastAsia="仿宋_GB2312" w:cs="仿宋_GB2312"/>
          <w:b w:val="0"/>
          <w:bCs w:val="0"/>
          <w:sz w:val="32"/>
          <w:szCs w:val="32"/>
          <w:lang w:val="en-US" w:eastAsia="zh-CN"/>
        </w:rPr>
        <w:t>相关要求，根据《山东省自然资源厅关于做好2022年度自然资源评价评估有关工作的通知》(鲁自然资字〔2022〕75号)规定，我县已完成城镇土地级别与基准地价更新工作，并</w:t>
      </w:r>
      <w:r>
        <w:rPr>
          <w:rFonts w:hint="eastAsia" w:ascii="宋体" w:hAnsi="宋体" w:eastAsia="仿宋_GB2312" w:cs="仿宋_GB2312"/>
          <w:b w:val="0"/>
          <w:bCs w:val="0"/>
          <w:sz w:val="32"/>
          <w:szCs w:val="32"/>
        </w:rPr>
        <w:t>经市自然资源和规划局验收通过</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现将</w:t>
      </w:r>
      <w:r>
        <w:rPr>
          <w:rFonts w:hint="eastAsia" w:ascii="宋体" w:hAnsi="宋体" w:eastAsia="仿宋_GB2312" w:cs="仿宋_GB2312"/>
          <w:b w:val="0"/>
          <w:bCs w:val="0"/>
          <w:sz w:val="32"/>
          <w:szCs w:val="32"/>
          <w:lang w:val="en-US" w:eastAsia="zh-CN"/>
        </w:rPr>
        <w:t>更新</w:t>
      </w:r>
      <w:r>
        <w:rPr>
          <w:rFonts w:hint="eastAsia" w:ascii="宋体" w:hAnsi="宋体" w:eastAsia="仿宋_GB2312" w:cs="仿宋_GB2312"/>
          <w:b w:val="0"/>
          <w:bCs w:val="0"/>
          <w:sz w:val="32"/>
          <w:szCs w:val="32"/>
        </w:rPr>
        <w:t>后的城区级别与基准地价公布如下：</w:t>
      </w:r>
    </w:p>
    <w:p w14:paraId="02CD6A75">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rPr>
        <w:t>一</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lang w:val="en-US" w:eastAsia="zh-CN"/>
        </w:rPr>
        <w:t>本次公布的基准地价基准日为2023年1月1日。</w:t>
      </w:r>
    </w:p>
    <w:p w14:paraId="38D2B010">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二、本次公布的基准地价是在土地定级范围内，按照商服、住宅、工业、公服用地Ⅰ、公服用地Ⅱ、公服用地Ⅲ、公服用地Ⅳ等用途，分别确定土地出让的法定最高年期条件下的各级别范围土地平均价格。</w:t>
      </w:r>
    </w:p>
    <w:p w14:paraId="7BFBE9B9">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本通知自</w:t>
      </w:r>
      <w:r>
        <w:rPr>
          <w:rFonts w:hint="eastAsia" w:ascii="宋体" w:hAnsi="宋体" w:eastAsia="仿宋_GB2312" w:cs="仿宋_GB2312"/>
          <w:b w:val="0"/>
          <w:bCs w:val="0"/>
          <w:sz w:val="32"/>
          <w:szCs w:val="32"/>
          <w:lang w:val="en-US" w:eastAsia="zh-CN"/>
        </w:rPr>
        <w:t>发布之日起生效，原</w:t>
      </w:r>
      <w:r>
        <w:rPr>
          <w:rFonts w:hint="eastAsia" w:ascii="宋体" w:hAnsi="宋体" w:eastAsia="仿宋_GB2312" w:cs="仿宋_GB2312"/>
          <w:b w:val="0"/>
          <w:bCs w:val="0"/>
          <w:sz w:val="32"/>
          <w:szCs w:val="32"/>
        </w:rPr>
        <w:t>《泗水县人民政府关于调整公布县城区土地级别与基准地价的通知》（泗政字〔202</w:t>
      </w:r>
      <w:r>
        <w:rPr>
          <w:rFonts w:hint="eastAsia" w:ascii="宋体" w:hAnsi="宋体" w:eastAsia="仿宋_GB2312" w:cs="仿宋_GB2312"/>
          <w:b w:val="0"/>
          <w:bCs w:val="0"/>
          <w:sz w:val="32"/>
          <w:szCs w:val="32"/>
          <w:lang w:val="en-US" w:eastAsia="zh-CN"/>
        </w:rPr>
        <w:t>0</w:t>
      </w:r>
      <w:r>
        <w:rPr>
          <w:rFonts w:hint="eastAsia" w:ascii="宋体" w:hAnsi="宋体" w:eastAsia="仿宋_GB2312" w:cs="仿宋_GB2312"/>
          <w:b w:val="0"/>
          <w:bCs w:val="0"/>
          <w:sz w:val="32"/>
          <w:szCs w:val="32"/>
        </w:rPr>
        <w:t>〕91号）同时废止。</w:t>
      </w:r>
    </w:p>
    <w:p w14:paraId="76391E28">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宋体" w:hAnsi="宋体" w:eastAsia="仿宋_GB2312" w:cs="仿宋_GB2312"/>
          <w:b w:val="0"/>
          <w:bCs w:val="0"/>
          <w:sz w:val="32"/>
          <w:szCs w:val="32"/>
        </w:rPr>
      </w:pPr>
    </w:p>
    <w:p w14:paraId="2F5DC90C">
      <w:pPr>
        <w:pStyle w:val="2"/>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附件：1.202</w:t>
      </w:r>
      <w:bookmarkStart w:id="1" w:name="_GoBack"/>
      <w:bookmarkEnd w:id="1"/>
      <w:r>
        <w:rPr>
          <w:rFonts w:hint="eastAsia" w:ascii="宋体" w:hAnsi="宋体" w:eastAsia="仿宋_GB2312" w:cs="仿宋_GB2312"/>
          <w:b w:val="0"/>
          <w:bCs w:val="0"/>
          <w:kern w:val="2"/>
          <w:sz w:val="32"/>
          <w:szCs w:val="32"/>
          <w:lang w:val="en-US" w:eastAsia="zh-CN" w:bidi="ar-SA"/>
        </w:rPr>
        <w:t>3年泗水县城区基准地价内涵说明</w:t>
      </w:r>
    </w:p>
    <w:p w14:paraId="416CEAB2">
      <w:pPr>
        <w:pStyle w:val="2"/>
        <w:keepNext w:val="0"/>
        <w:keepLines w:val="0"/>
        <w:pageBreakBefore w:val="0"/>
        <w:widowControl w:val="0"/>
        <w:kinsoku/>
        <w:wordWrap/>
        <w:overflowPunct/>
        <w:topLinePunct w:val="0"/>
        <w:autoSpaceDE/>
        <w:autoSpaceDN/>
        <w:bidi w:val="0"/>
        <w:adjustRightInd/>
        <w:snapToGrid/>
        <w:spacing w:line="520" w:lineRule="exact"/>
        <w:ind w:firstLine="1600" w:firstLineChars="5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2.2023年泗水县基准地价更新成果表</w:t>
      </w:r>
    </w:p>
    <w:p w14:paraId="641E94E5">
      <w:pPr>
        <w:pStyle w:val="2"/>
        <w:keepNext w:val="0"/>
        <w:keepLines w:val="0"/>
        <w:pageBreakBefore w:val="0"/>
        <w:widowControl w:val="0"/>
        <w:kinsoku/>
        <w:wordWrap/>
        <w:overflowPunct/>
        <w:topLinePunct w:val="0"/>
        <w:autoSpaceDE/>
        <w:autoSpaceDN/>
        <w:bidi w:val="0"/>
        <w:adjustRightInd/>
        <w:snapToGrid/>
        <w:spacing w:line="520" w:lineRule="exact"/>
        <w:ind w:firstLine="1600" w:firstLineChars="5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3.2023年泗水县城区商业用地土地级别与基准</w:t>
      </w:r>
    </w:p>
    <w:p w14:paraId="2E2DAB2D">
      <w:pPr>
        <w:pStyle w:val="2"/>
        <w:keepNext w:val="0"/>
        <w:keepLines w:val="0"/>
        <w:pageBreakBefore w:val="0"/>
        <w:widowControl w:val="0"/>
        <w:kinsoku/>
        <w:wordWrap/>
        <w:overflowPunct/>
        <w:topLinePunct w:val="0"/>
        <w:autoSpaceDE/>
        <w:autoSpaceDN/>
        <w:bidi w:val="0"/>
        <w:adjustRightInd/>
        <w:snapToGrid/>
        <w:spacing w:line="520" w:lineRule="exact"/>
        <w:ind w:firstLine="1920" w:firstLineChars="6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地价图及范围说明</w:t>
      </w:r>
    </w:p>
    <w:p w14:paraId="61C5975E">
      <w:pPr>
        <w:pStyle w:val="2"/>
        <w:keepNext w:val="0"/>
        <w:keepLines w:val="0"/>
        <w:pageBreakBefore w:val="0"/>
        <w:widowControl w:val="0"/>
        <w:kinsoku/>
        <w:wordWrap/>
        <w:overflowPunct/>
        <w:topLinePunct w:val="0"/>
        <w:autoSpaceDE/>
        <w:autoSpaceDN/>
        <w:bidi w:val="0"/>
        <w:adjustRightInd/>
        <w:snapToGrid/>
        <w:spacing w:line="520" w:lineRule="exact"/>
        <w:ind w:firstLine="1600" w:firstLineChars="5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4.2023年泗水县城区住宅用地土地级别与基准</w:t>
      </w:r>
    </w:p>
    <w:p w14:paraId="23700C7F">
      <w:pPr>
        <w:pStyle w:val="2"/>
        <w:keepNext w:val="0"/>
        <w:keepLines w:val="0"/>
        <w:pageBreakBefore w:val="0"/>
        <w:widowControl w:val="0"/>
        <w:kinsoku/>
        <w:wordWrap/>
        <w:overflowPunct/>
        <w:topLinePunct w:val="0"/>
        <w:autoSpaceDE/>
        <w:autoSpaceDN/>
        <w:bidi w:val="0"/>
        <w:adjustRightInd/>
        <w:snapToGrid/>
        <w:spacing w:line="520" w:lineRule="exact"/>
        <w:ind w:firstLine="1920" w:firstLineChars="6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地价图及范围说明</w:t>
      </w:r>
    </w:p>
    <w:p w14:paraId="37AF5455">
      <w:pPr>
        <w:pStyle w:val="2"/>
        <w:keepNext w:val="0"/>
        <w:keepLines w:val="0"/>
        <w:pageBreakBefore w:val="0"/>
        <w:widowControl w:val="0"/>
        <w:kinsoku/>
        <w:wordWrap/>
        <w:overflowPunct/>
        <w:topLinePunct w:val="0"/>
        <w:autoSpaceDE/>
        <w:autoSpaceDN/>
        <w:bidi w:val="0"/>
        <w:adjustRightInd/>
        <w:snapToGrid/>
        <w:spacing w:line="520" w:lineRule="exact"/>
        <w:ind w:firstLine="1600" w:firstLineChars="5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5.2023年泗水县城区工业用地土地级别与基准</w:t>
      </w:r>
    </w:p>
    <w:p w14:paraId="1C40CED2">
      <w:pPr>
        <w:pStyle w:val="2"/>
        <w:keepNext w:val="0"/>
        <w:keepLines w:val="0"/>
        <w:pageBreakBefore w:val="0"/>
        <w:widowControl w:val="0"/>
        <w:kinsoku/>
        <w:wordWrap/>
        <w:overflowPunct/>
        <w:topLinePunct w:val="0"/>
        <w:autoSpaceDE/>
        <w:autoSpaceDN/>
        <w:bidi w:val="0"/>
        <w:adjustRightInd/>
        <w:snapToGrid/>
        <w:spacing w:line="520" w:lineRule="exact"/>
        <w:ind w:firstLine="1920" w:firstLineChars="6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地价图及范围说明</w:t>
      </w:r>
    </w:p>
    <w:p w14:paraId="246B8E85">
      <w:pPr>
        <w:pStyle w:val="2"/>
        <w:keepNext w:val="0"/>
        <w:keepLines w:val="0"/>
        <w:pageBreakBefore w:val="0"/>
        <w:widowControl w:val="0"/>
        <w:kinsoku/>
        <w:wordWrap/>
        <w:overflowPunct/>
        <w:topLinePunct w:val="0"/>
        <w:autoSpaceDE/>
        <w:autoSpaceDN/>
        <w:bidi w:val="0"/>
        <w:adjustRightInd/>
        <w:snapToGrid/>
        <w:spacing w:line="520" w:lineRule="exact"/>
        <w:ind w:firstLine="1600" w:firstLineChars="5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6.2023年泗水县城区公共管理与公共服务用地</w:t>
      </w:r>
    </w:p>
    <w:p w14:paraId="16F25686">
      <w:pPr>
        <w:pStyle w:val="2"/>
        <w:keepNext w:val="0"/>
        <w:keepLines w:val="0"/>
        <w:pageBreakBefore w:val="0"/>
        <w:widowControl w:val="0"/>
        <w:kinsoku/>
        <w:wordWrap/>
        <w:overflowPunct/>
        <w:topLinePunct w:val="0"/>
        <w:autoSpaceDE/>
        <w:autoSpaceDN/>
        <w:bidi w:val="0"/>
        <w:adjustRightInd/>
        <w:snapToGrid/>
        <w:spacing w:line="520" w:lineRule="exact"/>
        <w:ind w:firstLine="1920" w:firstLineChars="6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土地级别与基准地价图及范围说明</w:t>
      </w:r>
    </w:p>
    <w:p w14:paraId="21B3CD66">
      <w:pPr>
        <w:pStyle w:val="2"/>
        <w:keepNext w:val="0"/>
        <w:keepLines w:val="0"/>
        <w:pageBreakBefore w:val="0"/>
        <w:widowControl w:val="0"/>
        <w:kinsoku/>
        <w:wordWrap w:val="0"/>
        <w:overflowPunct/>
        <w:topLinePunct w:val="0"/>
        <w:autoSpaceDE/>
        <w:autoSpaceDN/>
        <w:bidi w:val="0"/>
        <w:adjustRightInd/>
        <w:snapToGrid/>
        <w:spacing w:line="520" w:lineRule="exact"/>
        <w:ind w:right="1280" w:rightChars="400" w:firstLine="0" w:firstLineChars="0"/>
        <w:jc w:val="right"/>
        <w:textAlignment w:val="auto"/>
        <w:rPr>
          <w:rFonts w:hint="eastAsia" w:ascii="宋体" w:hAnsi="宋体" w:eastAsia="仿宋_GB2312" w:cs="仿宋_GB2312"/>
          <w:b w:val="0"/>
          <w:bCs w:val="0"/>
          <w:kern w:val="2"/>
          <w:sz w:val="32"/>
          <w:szCs w:val="32"/>
          <w:lang w:val="en-US" w:eastAsia="zh-CN" w:bidi="ar-SA"/>
        </w:rPr>
      </w:pPr>
    </w:p>
    <w:p w14:paraId="371D960B">
      <w:pPr>
        <w:pStyle w:val="2"/>
        <w:keepNext w:val="0"/>
        <w:keepLines w:val="0"/>
        <w:pageBreakBefore w:val="0"/>
        <w:widowControl w:val="0"/>
        <w:kinsoku/>
        <w:wordWrap w:val="0"/>
        <w:overflowPunct/>
        <w:topLinePunct w:val="0"/>
        <w:autoSpaceDE/>
        <w:autoSpaceDN/>
        <w:bidi w:val="0"/>
        <w:adjustRightInd/>
        <w:snapToGrid/>
        <w:spacing w:line="520" w:lineRule="exact"/>
        <w:ind w:right="1280" w:rightChars="400" w:firstLine="0" w:firstLineChars="0"/>
        <w:jc w:val="right"/>
        <w:textAlignment w:val="auto"/>
        <w:rPr>
          <w:rFonts w:hint="eastAsia" w:ascii="宋体" w:hAnsi="宋体" w:eastAsia="仿宋_GB2312" w:cs="仿宋_GB2312"/>
          <w:b w:val="0"/>
          <w:bCs w:val="0"/>
          <w:kern w:val="2"/>
          <w:sz w:val="32"/>
          <w:szCs w:val="32"/>
          <w:lang w:val="en-US" w:eastAsia="zh-CN" w:bidi="ar-SA"/>
        </w:rPr>
      </w:pPr>
    </w:p>
    <w:p w14:paraId="06AB4036">
      <w:pPr>
        <w:pStyle w:val="2"/>
        <w:keepNext w:val="0"/>
        <w:keepLines w:val="0"/>
        <w:pageBreakBefore w:val="0"/>
        <w:widowControl w:val="0"/>
        <w:kinsoku/>
        <w:wordWrap w:val="0"/>
        <w:overflowPunct/>
        <w:topLinePunct w:val="0"/>
        <w:autoSpaceDE/>
        <w:autoSpaceDN/>
        <w:bidi w:val="0"/>
        <w:adjustRightInd/>
        <w:snapToGrid/>
        <w:spacing w:line="520" w:lineRule="exact"/>
        <w:ind w:right="1280" w:rightChars="400" w:firstLine="0" w:firstLineChars="0"/>
        <w:jc w:val="right"/>
        <w:textAlignment w:val="auto"/>
        <w:rPr>
          <w:rFonts w:hint="eastAsia" w:ascii="宋体" w:hAnsi="宋体" w:eastAsia="仿宋_GB2312" w:cs="仿宋_GB2312"/>
          <w:b w:val="0"/>
          <w:bCs w:val="0"/>
          <w:kern w:val="2"/>
          <w:sz w:val="32"/>
          <w:szCs w:val="32"/>
          <w:lang w:val="en-US" w:eastAsia="zh-CN" w:bidi="ar-SA"/>
        </w:rPr>
      </w:pPr>
    </w:p>
    <w:p w14:paraId="0F929387">
      <w:pPr>
        <w:pStyle w:val="2"/>
        <w:keepNext w:val="0"/>
        <w:keepLines w:val="0"/>
        <w:pageBreakBefore w:val="0"/>
        <w:widowControl w:val="0"/>
        <w:kinsoku/>
        <w:wordWrap w:val="0"/>
        <w:overflowPunct/>
        <w:topLinePunct w:val="0"/>
        <w:autoSpaceDE/>
        <w:autoSpaceDN/>
        <w:bidi w:val="0"/>
        <w:adjustRightInd/>
        <w:snapToGrid/>
        <w:spacing w:line="520" w:lineRule="exact"/>
        <w:ind w:right="1280" w:rightChars="400" w:firstLine="4160" w:firstLineChars="1300"/>
        <w:jc w:val="center"/>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泗水县人民政府</w:t>
      </w:r>
    </w:p>
    <w:p w14:paraId="5F6067C8">
      <w:pPr>
        <w:pStyle w:val="2"/>
        <w:keepNext w:val="0"/>
        <w:keepLines w:val="0"/>
        <w:pageBreakBefore w:val="0"/>
        <w:widowControl w:val="0"/>
        <w:kinsoku/>
        <w:wordWrap w:val="0"/>
        <w:overflowPunct/>
        <w:topLinePunct w:val="0"/>
        <w:autoSpaceDE/>
        <w:autoSpaceDN/>
        <w:bidi w:val="0"/>
        <w:adjustRightInd/>
        <w:snapToGrid/>
        <w:spacing w:line="520" w:lineRule="exact"/>
        <w:ind w:right="1280" w:rightChars="400" w:firstLine="4160" w:firstLineChars="1300"/>
        <w:jc w:val="center"/>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2024年7月18日</w:t>
      </w:r>
    </w:p>
    <w:p w14:paraId="19948B80">
      <w:pPr>
        <w:pStyle w:val="2"/>
        <w:keepNext w:val="0"/>
        <w:keepLines w:val="0"/>
        <w:pageBreakBefore w:val="0"/>
        <w:widowControl w:val="0"/>
        <w:kinsoku/>
        <w:wordWrap/>
        <w:overflowPunct/>
        <w:topLinePunct w:val="0"/>
        <w:autoSpaceDE/>
        <w:autoSpaceDN/>
        <w:bidi w:val="0"/>
        <w:adjustRightInd/>
        <w:snapToGrid/>
        <w:spacing w:line="520" w:lineRule="exact"/>
        <w:ind w:right="1280" w:rightChars="400" w:firstLine="0" w:firstLineChars="0"/>
        <w:jc w:val="right"/>
        <w:textAlignment w:val="auto"/>
        <w:rPr>
          <w:rFonts w:hint="eastAsia" w:ascii="宋体" w:hAnsi="宋体" w:eastAsia="仿宋_GB2312" w:cs="仿宋_GB2312"/>
          <w:b w:val="0"/>
          <w:bCs w:val="0"/>
          <w:kern w:val="2"/>
          <w:sz w:val="32"/>
          <w:szCs w:val="32"/>
          <w:lang w:val="en-US" w:eastAsia="zh-CN" w:bidi="ar-SA"/>
        </w:rPr>
      </w:pPr>
    </w:p>
    <w:p w14:paraId="71D4C3A6">
      <w:pPr>
        <w:pStyle w:val="2"/>
        <w:keepNext w:val="0"/>
        <w:keepLines w:val="0"/>
        <w:pageBreakBefore w:val="0"/>
        <w:widowControl w:val="0"/>
        <w:kinsoku/>
        <w:wordWrap w:val="0"/>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（此件公开发布）</w:t>
      </w:r>
    </w:p>
    <w:p w14:paraId="73F92139">
      <w:pPr>
        <w:widowControl/>
        <w:jc w:val="left"/>
        <w:rPr>
          <w:rFonts w:ascii="宋体" w:hAnsi="宋体" w:eastAsiaTheme="minorEastAsia" w:cstheme="minorEastAsia"/>
          <w:b w:val="0"/>
          <w:bCs w:val="0"/>
          <w:sz w:val="28"/>
          <w:szCs w:val="28"/>
        </w:rPr>
      </w:pPr>
      <w:r>
        <w:rPr>
          <w:rFonts w:ascii="宋体" w:hAnsi="宋体" w:eastAsiaTheme="minorEastAsia" w:cstheme="minorEastAsia"/>
          <w:b w:val="0"/>
          <w:bCs w:val="0"/>
          <w:sz w:val="28"/>
          <w:szCs w:val="28"/>
        </w:rPr>
        <w:br w:type="page"/>
      </w:r>
    </w:p>
    <w:p w14:paraId="6CD90DD2">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附件1</w:t>
      </w:r>
    </w:p>
    <w:p w14:paraId="05EDD794">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p>
    <w:p w14:paraId="514DAA6C">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2023年泗水县城区基准地价内涵说明</w:t>
      </w:r>
    </w:p>
    <w:p w14:paraId="3A0E3AC5">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p>
    <w:p w14:paraId="6E1AAB3C">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仿宋_GB2312" w:cs="仿宋_GB2312"/>
          <w:b w:val="0"/>
          <w:bCs w:val="0"/>
          <w:kern w:val="2"/>
          <w:sz w:val="32"/>
          <w:szCs w:val="32"/>
          <w:lang w:val="en-US" w:eastAsia="zh-CN" w:bidi="ar-SA"/>
        </w:rPr>
        <w:t>基准地价内涵为评价区范围内，各级别现状利用平均开发程度下的土地按照商业、住宅、工业不同用地类型的标准容积率条件下，在正常市场的某个时点上法定最高年期的完整的土地使用权平均价格。</w:t>
      </w:r>
    </w:p>
    <w:p w14:paraId="5A85CD47">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1.土地权利状况：</w:t>
      </w:r>
      <w:r>
        <w:rPr>
          <w:rFonts w:hint="eastAsia" w:ascii="宋体" w:hAnsi="宋体" w:eastAsia="仿宋_GB2312" w:cs="仿宋_GB2312"/>
          <w:b w:val="0"/>
          <w:bCs w:val="0"/>
          <w:kern w:val="2"/>
          <w:sz w:val="32"/>
          <w:szCs w:val="32"/>
          <w:lang w:val="en-US" w:eastAsia="zh-CN" w:bidi="ar-SA"/>
        </w:rPr>
        <w:t>完整的国有出让土地使用权。</w:t>
      </w:r>
    </w:p>
    <w:p w14:paraId="511F649B">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2.价格构成：</w:t>
      </w:r>
      <w:r>
        <w:rPr>
          <w:rFonts w:hint="eastAsia" w:ascii="宋体" w:hAnsi="宋体" w:eastAsia="仿宋_GB2312" w:cs="仿宋_GB2312"/>
          <w:b w:val="0"/>
          <w:bCs w:val="0"/>
          <w:kern w:val="2"/>
          <w:sz w:val="32"/>
          <w:szCs w:val="32"/>
          <w:lang w:val="en-US" w:eastAsia="zh-CN" w:bidi="ar-SA"/>
        </w:rPr>
        <w:t>包括土地取得费、土地开发费、各项税费、利息、利润、政府出让土地收益等。</w:t>
      </w:r>
    </w:p>
    <w:p w14:paraId="41AD218C">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3.容积率：</w:t>
      </w:r>
      <w:r>
        <w:rPr>
          <w:rFonts w:hint="eastAsia" w:ascii="宋体" w:hAnsi="宋体" w:eastAsia="仿宋_GB2312" w:cs="仿宋_GB2312"/>
          <w:b w:val="0"/>
          <w:bCs w:val="0"/>
          <w:kern w:val="2"/>
          <w:sz w:val="32"/>
          <w:szCs w:val="32"/>
          <w:lang w:val="en-US" w:eastAsia="zh-CN" w:bidi="ar-SA"/>
        </w:rPr>
        <w:t>设定标准容积率，商服用地1.5；住宅用地1.5；工业用地1.0；公共用地1.0。</w:t>
      </w:r>
    </w:p>
    <w:p w14:paraId="16D3C7DC">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4.土地使用年期</w:t>
      </w:r>
      <w:r>
        <w:rPr>
          <w:rFonts w:hint="eastAsia" w:ascii="宋体" w:hAnsi="宋体" w:eastAsia="仿宋_GB2312" w:cs="仿宋_GB2312"/>
          <w:b w:val="0"/>
          <w:bCs w:val="0"/>
          <w:kern w:val="2"/>
          <w:sz w:val="32"/>
          <w:szCs w:val="32"/>
          <w:lang w:val="en-US" w:eastAsia="zh-CN" w:bidi="ar-SA"/>
        </w:rPr>
        <w:t>：各类用地法定最高年期，即商业用地40年，住宅用地70年，工业用地50年，公共用地50年。</w:t>
      </w:r>
    </w:p>
    <w:p w14:paraId="69721182">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5.平均开发程度设定</w:t>
      </w:r>
      <w:r>
        <w:rPr>
          <w:rFonts w:hint="eastAsia" w:ascii="宋体" w:hAnsi="宋体" w:eastAsia="仿宋_GB2312" w:cs="仿宋_GB2312"/>
          <w:b w:val="0"/>
          <w:bCs w:val="0"/>
          <w:kern w:val="2"/>
          <w:sz w:val="32"/>
          <w:szCs w:val="32"/>
          <w:lang w:val="en-US" w:eastAsia="zh-CN" w:bidi="ar-SA"/>
        </w:rPr>
        <w:t>：评价区内一、二级地为“七通一平”（包括通上水、通下水、通暖、通讯、通电、通路，场地平整）；三级地为“五通一平”（包括通上水、通下水、通讯、通电、通路，场地平整）；泉林片区“五通一平”（包括通上水、通下水、通讯、通电、通路，场地平整）。</w:t>
      </w:r>
    </w:p>
    <w:p w14:paraId="5600EB47">
      <w:pPr>
        <w:pStyle w:val="2"/>
        <w:keepNext w:val="0"/>
        <w:keepLines w:val="0"/>
        <w:pageBreakBefore w:val="0"/>
        <w:widowControl w:val="0"/>
        <w:kinsoku/>
        <w:wordWrap w:val="0"/>
        <w:overflowPunct/>
        <w:topLinePunct w:val="0"/>
        <w:autoSpaceDE/>
        <w:autoSpaceDN/>
        <w:bidi w:val="0"/>
        <w:adjustRightInd/>
        <w:snapToGrid/>
        <w:spacing w:line="580" w:lineRule="exact"/>
        <w:ind w:firstLine="640" w:firstLineChars="200"/>
        <w:jc w:val="both"/>
        <w:textAlignment w:val="auto"/>
        <w:rPr>
          <w:rFonts w:hint="eastAsia" w:ascii="宋体" w:hAnsi="宋体" w:eastAsia="仿宋_GB2312" w:cs="仿宋_GB2312"/>
          <w:b w:val="0"/>
          <w:bCs w:val="0"/>
          <w:kern w:val="2"/>
          <w:sz w:val="32"/>
          <w:szCs w:val="32"/>
          <w:lang w:val="en-US" w:eastAsia="zh-CN" w:bidi="ar-SA"/>
        </w:rPr>
      </w:pPr>
      <w:r>
        <w:rPr>
          <w:rFonts w:hint="eastAsia" w:ascii="宋体" w:hAnsi="宋体" w:eastAsia="楷体_GB2312" w:cs="楷体_GB2312"/>
          <w:b w:val="0"/>
          <w:bCs w:val="0"/>
          <w:kern w:val="2"/>
          <w:sz w:val="32"/>
          <w:szCs w:val="32"/>
          <w:lang w:val="en-US" w:eastAsia="zh-CN" w:bidi="ar-SA"/>
        </w:rPr>
        <w:t>6.土地还原率：</w:t>
      </w:r>
      <w:r>
        <w:rPr>
          <w:rFonts w:hint="eastAsia" w:ascii="宋体" w:hAnsi="宋体" w:eastAsia="仿宋_GB2312" w:cs="仿宋_GB2312"/>
          <w:b w:val="0"/>
          <w:bCs w:val="0"/>
          <w:kern w:val="2"/>
          <w:sz w:val="32"/>
          <w:szCs w:val="32"/>
          <w:lang w:val="en-US" w:eastAsia="zh-CN" w:bidi="ar-SA"/>
        </w:rPr>
        <w:t>商业7.0%；住宅6.5%；工业及公共6.0%。</w:t>
      </w:r>
    </w:p>
    <w:p w14:paraId="205E3389">
      <w:pPr>
        <w:widowControl/>
        <w:jc w:val="left"/>
        <w:rPr>
          <w:rFonts w:ascii="宋体" w:hAnsi="宋体" w:eastAsiaTheme="minorEastAsia" w:cstheme="minorEastAsia"/>
          <w:b w:val="0"/>
          <w:bCs w:val="0"/>
          <w:color w:val="000000"/>
          <w:sz w:val="28"/>
          <w:szCs w:val="28"/>
        </w:rPr>
      </w:pPr>
    </w:p>
    <w:p w14:paraId="66F96F99">
      <w:pPr>
        <w:widowControl/>
        <w:jc w:val="left"/>
        <w:rPr>
          <w:rFonts w:ascii="宋体" w:hAnsi="宋体" w:eastAsiaTheme="minorEastAsia" w:cstheme="minorEastAsia"/>
          <w:b w:val="0"/>
          <w:bCs w:val="0"/>
          <w:color w:val="000000"/>
          <w:sz w:val="28"/>
          <w:szCs w:val="28"/>
        </w:rPr>
        <w:sectPr>
          <w:headerReference r:id="rId3" w:type="default"/>
          <w:footerReference r:id="rId4" w:type="default"/>
          <w:pgSz w:w="11906" w:h="16838"/>
          <w:pgMar w:top="1871" w:right="1587" w:bottom="1814" w:left="1587" w:header="851" w:footer="1587" w:gutter="0"/>
          <w:pgBorders>
            <w:top w:val="none" w:sz="0" w:space="0"/>
            <w:left w:val="none" w:sz="0" w:space="0"/>
            <w:bottom w:val="none" w:sz="0" w:space="0"/>
            <w:right w:val="none" w:sz="0" w:space="0"/>
          </w:pgBorders>
          <w:pgNumType w:fmt="decimal"/>
          <w:cols w:space="425" w:num="1"/>
          <w:docGrid w:type="lines" w:linePitch="312" w:charSpace="0"/>
        </w:sectPr>
      </w:pPr>
    </w:p>
    <w:p w14:paraId="4DF06EBD">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附件2</w:t>
      </w:r>
    </w:p>
    <w:p w14:paraId="7CEF037B">
      <w:pPr>
        <w:keepNext w:val="0"/>
        <w:keepLines w:val="0"/>
        <w:pageBreakBefore w:val="0"/>
        <w:widowControl/>
        <w:kinsoku/>
        <w:wordWrap/>
        <w:overflowPunct/>
        <w:topLinePunct w:val="0"/>
        <w:autoSpaceDE/>
        <w:autoSpaceDN/>
        <w:bidi w:val="0"/>
        <w:adjustRightInd/>
        <w:snapToGrid/>
        <w:spacing w:after="157" w:afterLines="50"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2023年泗水县基准地价更新成果表</w:t>
      </w:r>
    </w:p>
    <w:tbl>
      <w:tblPr>
        <w:tblStyle w:val="5"/>
        <w:tblW w:w="145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458"/>
        <w:gridCol w:w="927"/>
        <w:gridCol w:w="723"/>
        <w:gridCol w:w="873"/>
        <w:gridCol w:w="873"/>
        <w:gridCol w:w="709"/>
        <w:gridCol w:w="886"/>
        <w:gridCol w:w="846"/>
        <w:gridCol w:w="695"/>
        <w:gridCol w:w="900"/>
        <w:gridCol w:w="709"/>
        <w:gridCol w:w="941"/>
        <w:gridCol w:w="723"/>
        <w:gridCol w:w="900"/>
        <w:gridCol w:w="763"/>
        <w:gridCol w:w="914"/>
        <w:gridCol w:w="730"/>
      </w:tblGrid>
      <w:tr w14:paraId="2F63D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1458" w:type="dxa"/>
            <w:vMerge w:val="restart"/>
            <w:tcBorders>
              <w:tl2br w:val="nil"/>
              <w:tr2bl w:val="nil"/>
            </w:tcBorders>
            <w:shd w:val="clear" w:color="auto" w:fill="auto"/>
            <w:vAlign w:val="center"/>
          </w:tcPr>
          <w:p w14:paraId="7ACF4D18">
            <w:pPr>
              <w:keepNext w:val="0"/>
              <w:keepLines w:val="0"/>
              <w:pageBreakBefore w:val="0"/>
              <w:widowControl/>
              <w:kinsoku/>
              <w:wordWrap/>
              <w:overflowPunct/>
              <w:topLinePunct w:val="0"/>
              <w:autoSpaceDE/>
              <w:autoSpaceDN/>
              <w:bidi w:val="0"/>
              <w:adjustRightInd/>
              <w:snapToGrid/>
              <w:spacing w:line="280" w:lineRule="exact"/>
              <w:ind w:firstLine="0" w:firstLineChars="0"/>
              <w:jc w:val="right"/>
              <w:textAlignment w:val="auto"/>
              <w:rPr>
                <w:rFonts w:hint="eastAsia" w:ascii="宋体" w:hAnsi="宋体" w:eastAsia="方正黑体简体" w:cs="方正黑体简体"/>
                <w:b w:val="0"/>
                <w:bCs w:val="0"/>
                <w:color w:val="000000"/>
                <w:kern w:val="0"/>
                <w:sz w:val="21"/>
                <w:szCs w:val="21"/>
              </w:rPr>
            </w:pPr>
            <w:r>
              <w:rPr>
                <w:rFonts w:ascii="宋体" w:hAnsi="宋体"/>
                <w:sz w:val="21"/>
              </w:rPr>
              <mc:AlternateContent>
                <mc:Choice Requires="wps">
                  <w:drawing>
                    <wp:anchor distT="0" distB="0" distL="114300" distR="114300" simplePos="0" relativeHeight="251659264" behindDoc="1" locked="0" layoutInCell="1" allowOverlap="1">
                      <wp:simplePos x="0" y="0"/>
                      <wp:positionH relativeFrom="column">
                        <wp:posOffset>2540</wp:posOffset>
                      </wp:positionH>
                      <wp:positionV relativeFrom="paragraph">
                        <wp:posOffset>-649605</wp:posOffset>
                      </wp:positionV>
                      <wp:extent cx="913765" cy="1550670"/>
                      <wp:effectExtent l="3810" t="2540" r="0" b="0"/>
                      <wp:wrapTight wrapText="bothSides">
                        <wp:wrapPolygon>
                          <wp:start x="-90" y="-35"/>
                          <wp:lineTo x="-90" y="761"/>
                          <wp:lineTo x="20174" y="21458"/>
                          <wp:lineTo x="21075" y="21458"/>
                          <wp:lineTo x="21075" y="20397"/>
                          <wp:lineTo x="1261" y="-35"/>
                          <wp:lineTo x="-90" y="-35"/>
                        </wp:wrapPolygon>
                      </wp:wrapTight>
                      <wp:docPr id="12" name="直接连接符 12"/>
                      <wp:cNvGraphicFramePr/>
                      <a:graphic xmlns:a="http://schemas.openxmlformats.org/drawingml/2006/main">
                        <a:graphicData uri="http://schemas.microsoft.com/office/word/2010/wordprocessingShape">
                          <wps:wsp>
                            <wps:cNvCnPr/>
                            <wps:spPr>
                              <a:xfrm>
                                <a:off x="622300" y="1898015"/>
                                <a:ext cx="913765" cy="155067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pt;margin-top:-51.15pt;height:122.1pt;width:71.95pt;mso-wrap-distance-left:9pt;mso-wrap-distance-right:9pt;z-index:-251657216;mso-width-relative:page;mso-height-relative:page;" filled="f" stroked="t" coordsize="21600,21600" wrapcoords="-90 -35 -90 761 20174 21458 21075 21458 21075 20397 1261 -35 -90 -35" o:gfxdata="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bui4nWAAAACQEAAA8AAAAAAAAAAQAgAAAAIgAAAGRycy9kb3ducmV2LnhtbFBLAQIU&#10;ABQAAAAIAIdO4kD8O8Jo9QEAAMMDAAAOAAAAAAAAAAEAIAAAACUBAABkcnMvZTJvRG9jLnhtbFBL&#10;BQYAAAAABgAGAFkBAACMBQAAAAA=&#10;">
                      <v:fill on="f" focussize="0,0"/>
                      <v:stroke weight="0.5pt" color="#000000 [3213]" miterlimit="8" joinstyle="miter"/>
                      <v:imagedata o:title=""/>
                      <o:lock v:ext="edit" aspectratio="f"/>
                      <w10:wrap type="tight"/>
                    </v:line>
                  </w:pict>
                </mc:Fallback>
              </mc:AlternateContent>
            </w:r>
          </w:p>
          <w:p w14:paraId="4984FCB2">
            <w:pPr>
              <w:keepNext w:val="0"/>
              <w:keepLines w:val="0"/>
              <w:pageBreakBefore w:val="0"/>
              <w:widowControl/>
              <w:kinsoku/>
              <w:wordWrap w:val="0"/>
              <w:overflowPunct/>
              <w:topLinePunct w:val="0"/>
              <w:autoSpaceDE/>
              <w:autoSpaceDN/>
              <w:bidi w:val="0"/>
              <w:adjustRightInd/>
              <w:snapToGrid/>
              <w:spacing w:line="280" w:lineRule="exact"/>
              <w:ind w:firstLine="0" w:firstLineChars="0"/>
              <w:jc w:val="right"/>
              <w:textAlignment w:val="auto"/>
              <w:rPr>
                <w:rFonts w:hint="default" w:ascii="宋体" w:hAnsi="宋体" w:eastAsia="方正黑体简体" w:cs="方正黑体简体"/>
                <w:b w:val="0"/>
                <w:bCs w:val="0"/>
                <w:color w:val="000000"/>
                <w:kern w:val="0"/>
                <w:sz w:val="21"/>
                <w:szCs w:val="21"/>
                <w:lang w:val="en-US" w:eastAsia="zh-CN"/>
              </w:rPr>
            </w:pPr>
            <w:r>
              <w:rPr>
                <w:rFonts w:hint="eastAsia" w:ascii="宋体" w:hAnsi="宋体" w:eastAsia="方正黑体简体" w:cs="方正黑体简体"/>
                <w:b w:val="0"/>
                <w:bCs w:val="0"/>
                <w:color w:val="000000"/>
                <w:kern w:val="0"/>
                <w:sz w:val="21"/>
                <w:szCs w:val="21"/>
              </w:rPr>
              <w:t>用地</w:t>
            </w:r>
            <w:r>
              <w:rPr>
                <w:rFonts w:hint="eastAsia" w:ascii="宋体" w:hAnsi="宋体" w:eastAsia="方正黑体简体" w:cs="方正黑体简体"/>
                <w:b w:val="0"/>
                <w:bCs w:val="0"/>
                <w:color w:val="000000"/>
                <w:kern w:val="0"/>
                <w:sz w:val="21"/>
                <w:szCs w:val="21"/>
                <w:lang w:val="en-US" w:eastAsia="zh-CN"/>
              </w:rPr>
              <w:t xml:space="preserve">  </w:t>
            </w:r>
          </w:p>
          <w:p w14:paraId="153A7E84">
            <w:pPr>
              <w:keepNext w:val="0"/>
              <w:keepLines w:val="0"/>
              <w:pageBreakBefore w:val="0"/>
              <w:widowControl/>
              <w:kinsoku/>
              <w:wordWrap w:val="0"/>
              <w:overflowPunct/>
              <w:topLinePunct w:val="0"/>
              <w:autoSpaceDE/>
              <w:autoSpaceDN/>
              <w:bidi w:val="0"/>
              <w:adjustRightInd/>
              <w:snapToGrid/>
              <w:spacing w:line="280" w:lineRule="exact"/>
              <w:ind w:firstLine="0" w:firstLineChars="0"/>
              <w:jc w:val="right"/>
              <w:textAlignment w:val="auto"/>
              <w:rPr>
                <w:rFonts w:hint="default" w:ascii="宋体" w:hAnsi="宋体" w:eastAsia="方正黑体简体" w:cs="方正黑体简体"/>
                <w:b w:val="0"/>
                <w:bCs w:val="0"/>
                <w:color w:val="000000"/>
                <w:kern w:val="0"/>
                <w:sz w:val="21"/>
                <w:szCs w:val="21"/>
                <w:lang w:val="en-US" w:eastAsia="zh-CN"/>
              </w:rPr>
            </w:pPr>
            <w:r>
              <w:rPr>
                <w:rFonts w:hint="eastAsia" w:ascii="宋体" w:hAnsi="宋体" w:eastAsia="方正黑体简体" w:cs="方正黑体简体"/>
                <w:b w:val="0"/>
                <w:bCs w:val="0"/>
                <w:color w:val="000000"/>
                <w:kern w:val="0"/>
                <w:sz w:val="21"/>
                <w:szCs w:val="21"/>
              </w:rPr>
              <w:t>类型</w:t>
            </w:r>
            <w:r>
              <w:rPr>
                <w:rFonts w:hint="eastAsia" w:ascii="宋体" w:hAnsi="宋体" w:eastAsia="方正黑体简体" w:cs="方正黑体简体"/>
                <w:b w:val="0"/>
                <w:bCs w:val="0"/>
                <w:color w:val="000000"/>
                <w:kern w:val="0"/>
                <w:sz w:val="21"/>
                <w:szCs w:val="21"/>
                <w:lang w:val="en-US" w:eastAsia="zh-CN"/>
              </w:rPr>
              <w:t xml:space="preserve">  </w:t>
            </w:r>
          </w:p>
          <w:p w14:paraId="2D309E3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p w14:paraId="024BF0D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p w14:paraId="498F813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p w14:paraId="2F582BF7">
            <w:pPr>
              <w:keepNext w:val="0"/>
              <w:keepLines w:val="0"/>
              <w:pageBreakBefore w:val="0"/>
              <w:widowControl/>
              <w:kinsoku/>
              <w:wordWrap/>
              <w:overflowPunct/>
              <w:topLinePunct w:val="0"/>
              <w:autoSpaceDE/>
              <w:autoSpaceDN/>
              <w:bidi w:val="0"/>
              <w:adjustRightInd/>
              <w:snapToGrid/>
              <w:spacing w:line="280" w:lineRule="exact"/>
              <w:ind w:firstLine="210" w:firstLineChars="100"/>
              <w:jc w:val="left"/>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土地</w:t>
            </w:r>
          </w:p>
          <w:p w14:paraId="6B5F7599">
            <w:pPr>
              <w:keepNext w:val="0"/>
              <w:keepLines w:val="0"/>
              <w:pageBreakBefore w:val="0"/>
              <w:widowControl/>
              <w:kinsoku/>
              <w:wordWrap/>
              <w:overflowPunct/>
              <w:topLinePunct w:val="0"/>
              <w:autoSpaceDE/>
              <w:autoSpaceDN/>
              <w:bidi w:val="0"/>
              <w:adjustRightInd/>
              <w:snapToGrid/>
              <w:spacing w:line="280" w:lineRule="exact"/>
              <w:ind w:firstLine="210" w:firstLineChars="100"/>
              <w:jc w:val="left"/>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级别</w:t>
            </w:r>
          </w:p>
        </w:tc>
        <w:tc>
          <w:tcPr>
            <w:tcW w:w="2523" w:type="dxa"/>
            <w:gridSpan w:val="3"/>
            <w:vMerge w:val="restart"/>
            <w:tcBorders>
              <w:tl2br w:val="nil"/>
              <w:tr2bl w:val="nil"/>
            </w:tcBorders>
            <w:shd w:val="clear" w:color="auto" w:fill="auto"/>
            <w:vAlign w:val="center"/>
          </w:tcPr>
          <w:p w14:paraId="7ABB974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商服用地</w:t>
            </w:r>
          </w:p>
        </w:tc>
        <w:tc>
          <w:tcPr>
            <w:tcW w:w="2468" w:type="dxa"/>
            <w:gridSpan w:val="3"/>
            <w:vMerge w:val="restart"/>
            <w:tcBorders>
              <w:tl2br w:val="nil"/>
              <w:tr2bl w:val="nil"/>
            </w:tcBorders>
            <w:shd w:val="clear" w:color="auto" w:fill="auto"/>
            <w:vAlign w:val="center"/>
          </w:tcPr>
          <w:p w14:paraId="6E35D59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住宅用地</w:t>
            </w:r>
          </w:p>
        </w:tc>
        <w:tc>
          <w:tcPr>
            <w:tcW w:w="1541" w:type="dxa"/>
            <w:gridSpan w:val="2"/>
            <w:vMerge w:val="restart"/>
            <w:tcBorders>
              <w:tl2br w:val="nil"/>
              <w:tr2bl w:val="nil"/>
            </w:tcBorders>
            <w:shd w:val="clear" w:color="auto" w:fill="auto"/>
            <w:vAlign w:val="center"/>
          </w:tcPr>
          <w:p w14:paraId="7E0872C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工业用地</w:t>
            </w:r>
          </w:p>
        </w:tc>
        <w:tc>
          <w:tcPr>
            <w:tcW w:w="6580" w:type="dxa"/>
            <w:gridSpan w:val="8"/>
            <w:tcBorders>
              <w:tl2br w:val="nil"/>
              <w:tr2bl w:val="nil"/>
            </w:tcBorders>
            <w:shd w:val="clear" w:color="auto" w:fill="auto"/>
            <w:vAlign w:val="center"/>
          </w:tcPr>
          <w:p w14:paraId="1AA921F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公共管理与公共服务用地</w:t>
            </w:r>
          </w:p>
        </w:tc>
      </w:tr>
      <w:tr w14:paraId="6851F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615" w:hRule="atLeast"/>
          <w:jc w:val="center"/>
        </w:trPr>
        <w:tc>
          <w:tcPr>
            <w:tcW w:w="1458" w:type="dxa"/>
            <w:vMerge w:val="continue"/>
            <w:tcBorders>
              <w:tl2br w:val="nil"/>
              <w:tr2bl w:val="nil"/>
            </w:tcBorders>
            <w:vAlign w:val="center"/>
          </w:tcPr>
          <w:p w14:paraId="6824782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2523" w:type="dxa"/>
            <w:gridSpan w:val="3"/>
            <w:vMerge w:val="continue"/>
            <w:tcBorders>
              <w:tl2br w:val="nil"/>
              <w:tr2bl w:val="nil"/>
            </w:tcBorders>
            <w:vAlign w:val="center"/>
          </w:tcPr>
          <w:p w14:paraId="449965F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2468" w:type="dxa"/>
            <w:gridSpan w:val="3"/>
            <w:vMerge w:val="continue"/>
            <w:tcBorders>
              <w:tl2br w:val="nil"/>
              <w:tr2bl w:val="nil"/>
            </w:tcBorders>
            <w:vAlign w:val="center"/>
          </w:tcPr>
          <w:p w14:paraId="6277217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1541" w:type="dxa"/>
            <w:gridSpan w:val="2"/>
            <w:vMerge w:val="continue"/>
            <w:tcBorders>
              <w:tl2br w:val="nil"/>
              <w:tr2bl w:val="nil"/>
            </w:tcBorders>
            <w:vAlign w:val="center"/>
          </w:tcPr>
          <w:p w14:paraId="6934828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1609" w:type="dxa"/>
            <w:gridSpan w:val="2"/>
            <w:tcBorders>
              <w:tl2br w:val="nil"/>
              <w:tr2bl w:val="nil"/>
            </w:tcBorders>
            <w:shd w:val="clear" w:color="auto" w:fill="auto"/>
            <w:vAlign w:val="center"/>
          </w:tcPr>
          <w:p w14:paraId="389727E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公服用地Ⅰ</w:t>
            </w:r>
          </w:p>
        </w:tc>
        <w:tc>
          <w:tcPr>
            <w:tcW w:w="1664" w:type="dxa"/>
            <w:gridSpan w:val="2"/>
            <w:tcBorders>
              <w:tl2br w:val="nil"/>
              <w:tr2bl w:val="nil"/>
            </w:tcBorders>
            <w:shd w:val="clear" w:color="auto" w:fill="auto"/>
            <w:vAlign w:val="center"/>
          </w:tcPr>
          <w:p w14:paraId="4F62EEF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公服用地Ⅱ</w:t>
            </w:r>
          </w:p>
        </w:tc>
        <w:tc>
          <w:tcPr>
            <w:tcW w:w="1663" w:type="dxa"/>
            <w:gridSpan w:val="2"/>
            <w:tcBorders>
              <w:tl2br w:val="nil"/>
              <w:tr2bl w:val="nil"/>
            </w:tcBorders>
            <w:shd w:val="clear" w:color="auto" w:fill="auto"/>
            <w:vAlign w:val="center"/>
          </w:tcPr>
          <w:p w14:paraId="6AB4CC7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公服用地Ⅲ</w:t>
            </w:r>
          </w:p>
        </w:tc>
        <w:tc>
          <w:tcPr>
            <w:tcW w:w="1644" w:type="dxa"/>
            <w:gridSpan w:val="2"/>
            <w:tcBorders>
              <w:tl2br w:val="nil"/>
              <w:tr2bl w:val="nil"/>
            </w:tcBorders>
            <w:shd w:val="clear" w:color="auto" w:fill="auto"/>
            <w:vAlign w:val="center"/>
          </w:tcPr>
          <w:p w14:paraId="552B62A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公服用地Ⅳ</w:t>
            </w:r>
          </w:p>
        </w:tc>
      </w:tr>
      <w:tr w14:paraId="2B608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85" w:hRule="atLeast"/>
          <w:jc w:val="center"/>
        </w:trPr>
        <w:tc>
          <w:tcPr>
            <w:tcW w:w="1458" w:type="dxa"/>
            <w:vMerge w:val="continue"/>
            <w:tcBorders>
              <w:tl2br w:val="nil"/>
              <w:tr2bl w:val="nil"/>
            </w:tcBorders>
            <w:shd w:val="clear" w:color="auto" w:fill="auto"/>
            <w:vAlign w:val="center"/>
          </w:tcPr>
          <w:p w14:paraId="385E0B2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1650" w:type="dxa"/>
            <w:gridSpan w:val="2"/>
            <w:tcBorders>
              <w:tl2br w:val="nil"/>
              <w:tr2bl w:val="nil"/>
            </w:tcBorders>
            <w:shd w:val="clear" w:color="auto" w:fill="auto"/>
            <w:vAlign w:val="center"/>
          </w:tcPr>
          <w:p w14:paraId="1094DE3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873" w:type="dxa"/>
            <w:tcBorders>
              <w:tl2br w:val="nil"/>
              <w:tr2bl w:val="nil"/>
            </w:tcBorders>
            <w:shd w:val="clear" w:color="auto" w:fill="auto"/>
            <w:vAlign w:val="center"/>
          </w:tcPr>
          <w:p w14:paraId="3731795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楼面价</w:t>
            </w:r>
          </w:p>
        </w:tc>
        <w:tc>
          <w:tcPr>
            <w:tcW w:w="1582" w:type="dxa"/>
            <w:gridSpan w:val="2"/>
            <w:tcBorders>
              <w:tl2br w:val="nil"/>
              <w:tr2bl w:val="nil"/>
            </w:tcBorders>
            <w:shd w:val="clear" w:color="auto" w:fill="auto"/>
            <w:vAlign w:val="center"/>
          </w:tcPr>
          <w:p w14:paraId="18E3690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886" w:type="dxa"/>
            <w:tcBorders>
              <w:tl2br w:val="nil"/>
              <w:tr2bl w:val="nil"/>
            </w:tcBorders>
            <w:shd w:val="clear" w:color="auto" w:fill="auto"/>
            <w:vAlign w:val="center"/>
          </w:tcPr>
          <w:p w14:paraId="39DAC46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楼面价</w:t>
            </w:r>
          </w:p>
        </w:tc>
        <w:tc>
          <w:tcPr>
            <w:tcW w:w="1541" w:type="dxa"/>
            <w:gridSpan w:val="2"/>
            <w:tcBorders>
              <w:tl2br w:val="nil"/>
              <w:tr2bl w:val="nil"/>
            </w:tcBorders>
            <w:shd w:val="clear" w:color="auto" w:fill="auto"/>
            <w:vAlign w:val="center"/>
          </w:tcPr>
          <w:p w14:paraId="751087C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1609" w:type="dxa"/>
            <w:gridSpan w:val="2"/>
            <w:tcBorders>
              <w:tl2br w:val="nil"/>
              <w:tr2bl w:val="nil"/>
            </w:tcBorders>
            <w:shd w:val="clear" w:color="auto" w:fill="auto"/>
            <w:vAlign w:val="center"/>
          </w:tcPr>
          <w:p w14:paraId="1E73F1B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1664" w:type="dxa"/>
            <w:gridSpan w:val="2"/>
            <w:tcBorders>
              <w:tl2br w:val="nil"/>
              <w:tr2bl w:val="nil"/>
            </w:tcBorders>
            <w:shd w:val="clear" w:color="auto" w:fill="auto"/>
            <w:vAlign w:val="center"/>
          </w:tcPr>
          <w:p w14:paraId="41C58F3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1663" w:type="dxa"/>
            <w:gridSpan w:val="2"/>
            <w:tcBorders>
              <w:tl2br w:val="nil"/>
              <w:tr2bl w:val="nil"/>
            </w:tcBorders>
            <w:shd w:val="clear" w:color="auto" w:fill="auto"/>
            <w:vAlign w:val="center"/>
          </w:tcPr>
          <w:p w14:paraId="5979D1F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c>
          <w:tcPr>
            <w:tcW w:w="1644" w:type="dxa"/>
            <w:gridSpan w:val="2"/>
            <w:tcBorders>
              <w:tl2br w:val="nil"/>
              <w:tr2bl w:val="nil"/>
            </w:tcBorders>
            <w:shd w:val="clear" w:color="auto" w:fill="auto"/>
            <w:vAlign w:val="center"/>
          </w:tcPr>
          <w:p w14:paraId="553D391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r>
              <w:rPr>
                <w:rFonts w:hint="eastAsia" w:ascii="宋体" w:hAnsi="宋体" w:eastAsia="方正黑体简体" w:cs="方正黑体简体"/>
                <w:b w:val="0"/>
                <w:bCs w:val="0"/>
                <w:color w:val="000000"/>
                <w:kern w:val="0"/>
                <w:sz w:val="21"/>
                <w:szCs w:val="21"/>
              </w:rPr>
              <w:t>地面价</w:t>
            </w:r>
          </w:p>
        </w:tc>
      </w:tr>
      <w:tr w14:paraId="02D77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58" w:type="dxa"/>
            <w:vMerge w:val="continue"/>
            <w:tcBorders>
              <w:tl2br w:val="nil"/>
              <w:tr2bl w:val="nil"/>
            </w:tcBorders>
            <w:shd w:val="clear" w:color="auto" w:fill="auto"/>
            <w:vAlign w:val="center"/>
          </w:tcPr>
          <w:p w14:paraId="696B7BF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kern w:val="0"/>
                <w:sz w:val="21"/>
                <w:szCs w:val="21"/>
              </w:rPr>
            </w:pPr>
          </w:p>
        </w:tc>
        <w:tc>
          <w:tcPr>
            <w:tcW w:w="927" w:type="dxa"/>
            <w:tcBorders>
              <w:tl2br w:val="nil"/>
              <w:tr2bl w:val="nil"/>
            </w:tcBorders>
            <w:shd w:val="clear" w:color="auto" w:fill="auto"/>
            <w:vAlign w:val="center"/>
          </w:tcPr>
          <w:p w14:paraId="6DDF3DB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23" w:type="dxa"/>
            <w:tcBorders>
              <w:tl2br w:val="nil"/>
              <w:tr2bl w:val="nil"/>
            </w:tcBorders>
            <w:shd w:val="clear" w:color="auto" w:fill="auto"/>
            <w:vAlign w:val="center"/>
          </w:tcPr>
          <w:p w14:paraId="67473B7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873" w:type="dxa"/>
            <w:tcBorders>
              <w:tl2br w:val="nil"/>
              <w:tr2bl w:val="nil"/>
            </w:tcBorders>
            <w:shd w:val="clear" w:color="auto" w:fill="auto"/>
            <w:vAlign w:val="center"/>
          </w:tcPr>
          <w:p w14:paraId="5CD8796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873" w:type="dxa"/>
            <w:tcBorders>
              <w:tl2br w:val="nil"/>
              <w:tr2bl w:val="nil"/>
            </w:tcBorders>
            <w:shd w:val="clear" w:color="auto" w:fill="auto"/>
            <w:vAlign w:val="center"/>
          </w:tcPr>
          <w:p w14:paraId="04C23CC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09" w:type="dxa"/>
            <w:tcBorders>
              <w:tl2br w:val="nil"/>
              <w:tr2bl w:val="nil"/>
            </w:tcBorders>
            <w:shd w:val="clear" w:color="auto" w:fill="auto"/>
            <w:vAlign w:val="center"/>
          </w:tcPr>
          <w:p w14:paraId="50105FF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886" w:type="dxa"/>
            <w:tcBorders>
              <w:tl2br w:val="nil"/>
              <w:tr2bl w:val="nil"/>
            </w:tcBorders>
            <w:shd w:val="clear" w:color="auto" w:fill="auto"/>
            <w:vAlign w:val="center"/>
          </w:tcPr>
          <w:p w14:paraId="546479A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846" w:type="dxa"/>
            <w:tcBorders>
              <w:tl2br w:val="nil"/>
              <w:tr2bl w:val="nil"/>
            </w:tcBorders>
            <w:shd w:val="clear" w:color="auto" w:fill="auto"/>
            <w:vAlign w:val="center"/>
          </w:tcPr>
          <w:p w14:paraId="170E5B4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695" w:type="dxa"/>
            <w:tcBorders>
              <w:tl2br w:val="nil"/>
              <w:tr2bl w:val="nil"/>
            </w:tcBorders>
            <w:shd w:val="clear" w:color="auto" w:fill="auto"/>
            <w:vAlign w:val="center"/>
          </w:tcPr>
          <w:p w14:paraId="515CA94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900" w:type="dxa"/>
            <w:tcBorders>
              <w:tl2br w:val="nil"/>
              <w:tr2bl w:val="nil"/>
            </w:tcBorders>
            <w:shd w:val="clear" w:color="auto" w:fill="auto"/>
            <w:vAlign w:val="center"/>
          </w:tcPr>
          <w:p w14:paraId="6E5551F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09" w:type="dxa"/>
            <w:tcBorders>
              <w:tl2br w:val="nil"/>
              <w:tr2bl w:val="nil"/>
            </w:tcBorders>
            <w:shd w:val="clear" w:color="auto" w:fill="auto"/>
            <w:vAlign w:val="center"/>
          </w:tcPr>
          <w:p w14:paraId="4E3BDE6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941" w:type="dxa"/>
            <w:tcBorders>
              <w:tl2br w:val="nil"/>
              <w:tr2bl w:val="nil"/>
            </w:tcBorders>
            <w:shd w:val="clear" w:color="auto" w:fill="auto"/>
            <w:vAlign w:val="center"/>
          </w:tcPr>
          <w:p w14:paraId="18158B6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23" w:type="dxa"/>
            <w:tcBorders>
              <w:tl2br w:val="nil"/>
              <w:tr2bl w:val="nil"/>
            </w:tcBorders>
            <w:shd w:val="clear" w:color="auto" w:fill="auto"/>
            <w:vAlign w:val="center"/>
          </w:tcPr>
          <w:p w14:paraId="4923887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900" w:type="dxa"/>
            <w:tcBorders>
              <w:tl2br w:val="nil"/>
              <w:tr2bl w:val="nil"/>
            </w:tcBorders>
            <w:shd w:val="clear" w:color="auto" w:fill="auto"/>
            <w:vAlign w:val="center"/>
          </w:tcPr>
          <w:p w14:paraId="31B4E5D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63" w:type="dxa"/>
            <w:tcBorders>
              <w:tl2br w:val="nil"/>
              <w:tr2bl w:val="nil"/>
            </w:tcBorders>
            <w:shd w:val="clear" w:color="auto" w:fill="auto"/>
            <w:vAlign w:val="center"/>
          </w:tcPr>
          <w:p w14:paraId="1830BC7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c>
          <w:tcPr>
            <w:tcW w:w="914" w:type="dxa"/>
            <w:tcBorders>
              <w:tl2br w:val="nil"/>
              <w:tr2bl w:val="nil"/>
            </w:tcBorders>
            <w:shd w:val="clear" w:color="auto" w:fill="auto"/>
            <w:vAlign w:val="center"/>
          </w:tcPr>
          <w:p w14:paraId="1130256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元/平方米</w:t>
            </w:r>
          </w:p>
        </w:tc>
        <w:tc>
          <w:tcPr>
            <w:tcW w:w="730" w:type="dxa"/>
            <w:tcBorders>
              <w:tl2br w:val="nil"/>
              <w:tr2bl w:val="nil"/>
            </w:tcBorders>
            <w:shd w:val="clear" w:color="auto" w:fill="auto"/>
            <w:vAlign w:val="center"/>
          </w:tcPr>
          <w:p w14:paraId="092E7A5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方正黑体简体" w:cs="方正黑体简体"/>
                <w:b w:val="0"/>
                <w:bCs w:val="0"/>
                <w:color w:val="000000"/>
                <w:spacing w:val="-17"/>
                <w:kern w:val="0"/>
                <w:sz w:val="21"/>
                <w:szCs w:val="21"/>
              </w:rPr>
            </w:pPr>
            <w:r>
              <w:rPr>
                <w:rFonts w:hint="eastAsia" w:ascii="宋体" w:hAnsi="宋体" w:eastAsia="方正黑体简体" w:cs="方正黑体简体"/>
                <w:b w:val="0"/>
                <w:bCs w:val="0"/>
                <w:color w:val="000000"/>
                <w:spacing w:val="-17"/>
                <w:kern w:val="0"/>
                <w:sz w:val="21"/>
                <w:szCs w:val="21"/>
              </w:rPr>
              <w:t>万元/亩</w:t>
            </w:r>
          </w:p>
        </w:tc>
      </w:tr>
      <w:tr w14:paraId="777C1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1458" w:type="dxa"/>
            <w:tcBorders>
              <w:tl2br w:val="nil"/>
              <w:tr2bl w:val="nil"/>
            </w:tcBorders>
            <w:shd w:val="clear" w:color="auto" w:fill="auto"/>
            <w:vAlign w:val="center"/>
          </w:tcPr>
          <w:p w14:paraId="2A658BD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一级</w:t>
            </w:r>
          </w:p>
        </w:tc>
        <w:tc>
          <w:tcPr>
            <w:tcW w:w="927" w:type="dxa"/>
            <w:tcBorders>
              <w:tl2br w:val="nil"/>
              <w:tr2bl w:val="nil"/>
            </w:tcBorders>
            <w:shd w:val="clear" w:color="auto" w:fill="auto"/>
            <w:vAlign w:val="center"/>
          </w:tcPr>
          <w:p w14:paraId="7B08308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1949</w:t>
            </w:r>
          </w:p>
        </w:tc>
        <w:tc>
          <w:tcPr>
            <w:tcW w:w="723" w:type="dxa"/>
            <w:tcBorders>
              <w:tl2br w:val="nil"/>
              <w:tr2bl w:val="nil"/>
            </w:tcBorders>
            <w:shd w:val="clear" w:color="auto" w:fill="auto"/>
            <w:vAlign w:val="center"/>
          </w:tcPr>
          <w:p w14:paraId="2C121B0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129.93</w:t>
            </w:r>
          </w:p>
        </w:tc>
        <w:tc>
          <w:tcPr>
            <w:tcW w:w="873" w:type="dxa"/>
            <w:tcBorders>
              <w:tl2br w:val="nil"/>
              <w:tr2bl w:val="nil"/>
            </w:tcBorders>
            <w:shd w:val="clear" w:color="auto" w:fill="auto"/>
            <w:vAlign w:val="center"/>
          </w:tcPr>
          <w:p w14:paraId="64FE55F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宋体" w:hAnsi="宋体" w:eastAsia="仿宋_GB2312" w:cs="仿宋_GB2312"/>
                <w:b w:val="0"/>
                <w:bCs w:val="0"/>
                <w:color w:val="000000"/>
                <w:kern w:val="0"/>
                <w:sz w:val="21"/>
                <w:szCs w:val="21"/>
                <w:lang w:val="en-US" w:eastAsia="zh-CN"/>
              </w:rPr>
            </w:pPr>
            <w:r>
              <w:rPr>
                <w:rFonts w:hint="eastAsia" w:ascii="宋体" w:hAnsi="宋体" w:eastAsia="仿宋_GB2312" w:cs="仿宋_GB2312"/>
                <w:b w:val="0"/>
                <w:bCs w:val="0"/>
                <w:color w:val="000000"/>
                <w:kern w:val="0"/>
                <w:sz w:val="21"/>
                <w:szCs w:val="21"/>
              </w:rPr>
              <w:t>12</w:t>
            </w:r>
            <w:r>
              <w:rPr>
                <w:rFonts w:hint="eastAsia" w:ascii="宋体" w:hAnsi="宋体" w:eastAsia="仿宋_GB2312" w:cs="仿宋_GB2312"/>
                <w:b w:val="0"/>
                <w:bCs w:val="0"/>
                <w:color w:val="000000"/>
                <w:kern w:val="0"/>
                <w:sz w:val="21"/>
                <w:szCs w:val="21"/>
                <w:lang w:val="en-US" w:eastAsia="zh-CN"/>
              </w:rPr>
              <w:t>99</w:t>
            </w:r>
          </w:p>
        </w:tc>
        <w:tc>
          <w:tcPr>
            <w:tcW w:w="873" w:type="dxa"/>
            <w:tcBorders>
              <w:tl2br w:val="nil"/>
              <w:tr2bl w:val="nil"/>
            </w:tcBorders>
            <w:shd w:val="clear" w:color="auto" w:fill="auto"/>
            <w:vAlign w:val="center"/>
          </w:tcPr>
          <w:p w14:paraId="201989D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1705</w:t>
            </w:r>
          </w:p>
        </w:tc>
        <w:tc>
          <w:tcPr>
            <w:tcW w:w="709" w:type="dxa"/>
            <w:tcBorders>
              <w:tl2br w:val="nil"/>
              <w:tr2bl w:val="nil"/>
            </w:tcBorders>
            <w:shd w:val="clear" w:color="auto" w:fill="auto"/>
            <w:vAlign w:val="center"/>
          </w:tcPr>
          <w:p w14:paraId="5688797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113.67</w:t>
            </w:r>
          </w:p>
        </w:tc>
        <w:tc>
          <w:tcPr>
            <w:tcW w:w="886" w:type="dxa"/>
            <w:tcBorders>
              <w:tl2br w:val="nil"/>
              <w:tr2bl w:val="nil"/>
            </w:tcBorders>
            <w:shd w:val="clear" w:color="auto" w:fill="auto"/>
            <w:vAlign w:val="center"/>
          </w:tcPr>
          <w:p w14:paraId="7318727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1137</w:t>
            </w:r>
          </w:p>
        </w:tc>
        <w:tc>
          <w:tcPr>
            <w:tcW w:w="846" w:type="dxa"/>
            <w:tcBorders>
              <w:tl2br w:val="nil"/>
              <w:tr2bl w:val="nil"/>
            </w:tcBorders>
            <w:shd w:val="clear" w:color="auto" w:fill="auto"/>
            <w:vAlign w:val="center"/>
          </w:tcPr>
          <w:p w14:paraId="1BBB086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556</w:t>
            </w:r>
          </w:p>
        </w:tc>
        <w:tc>
          <w:tcPr>
            <w:tcW w:w="695" w:type="dxa"/>
            <w:tcBorders>
              <w:tl2br w:val="nil"/>
              <w:tr2bl w:val="nil"/>
            </w:tcBorders>
            <w:shd w:val="clear" w:color="auto" w:fill="auto"/>
            <w:vAlign w:val="center"/>
          </w:tcPr>
          <w:p w14:paraId="486BAB6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37.07</w:t>
            </w:r>
          </w:p>
        </w:tc>
        <w:tc>
          <w:tcPr>
            <w:tcW w:w="900" w:type="dxa"/>
            <w:tcBorders>
              <w:tl2br w:val="nil"/>
              <w:tr2bl w:val="nil"/>
            </w:tcBorders>
            <w:shd w:val="clear" w:color="auto" w:fill="auto"/>
            <w:vAlign w:val="center"/>
          </w:tcPr>
          <w:p w14:paraId="05ABD35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605</w:t>
            </w:r>
          </w:p>
        </w:tc>
        <w:tc>
          <w:tcPr>
            <w:tcW w:w="709" w:type="dxa"/>
            <w:tcBorders>
              <w:tl2br w:val="nil"/>
              <w:tr2bl w:val="nil"/>
            </w:tcBorders>
            <w:shd w:val="clear" w:color="auto" w:fill="auto"/>
            <w:vAlign w:val="center"/>
          </w:tcPr>
          <w:p w14:paraId="5CF1A3F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40.33</w:t>
            </w:r>
          </w:p>
        </w:tc>
        <w:tc>
          <w:tcPr>
            <w:tcW w:w="941" w:type="dxa"/>
            <w:tcBorders>
              <w:tl2br w:val="nil"/>
              <w:tr2bl w:val="nil"/>
            </w:tcBorders>
            <w:shd w:val="clear" w:color="auto" w:fill="auto"/>
            <w:vAlign w:val="center"/>
          </w:tcPr>
          <w:p w14:paraId="6CAF388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660</w:t>
            </w:r>
          </w:p>
        </w:tc>
        <w:tc>
          <w:tcPr>
            <w:tcW w:w="723" w:type="dxa"/>
            <w:tcBorders>
              <w:tl2br w:val="nil"/>
              <w:tr2bl w:val="nil"/>
            </w:tcBorders>
            <w:shd w:val="clear" w:color="auto" w:fill="auto"/>
            <w:vAlign w:val="center"/>
          </w:tcPr>
          <w:p w14:paraId="7A012A7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44</w:t>
            </w:r>
          </w:p>
        </w:tc>
        <w:tc>
          <w:tcPr>
            <w:tcW w:w="900" w:type="dxa"/>
            <w:tcBorders>
              <w:tl2br w:val="nil"/>
              <w:tr2bl w:val="nil"/>
            </w:tcBorders>
            <w:shd w:val="clear" w:color="auto" w:fill="auto"/>
            <w:vAlign w:val="center"/>
          </w:tcPr>
          <w:p w14:paraId="1AC8961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716</w:t>
            </w:r>
          </w:p>
        </w:tc>
        <w:tc>
          <w:tcPr>
            <w:tcW w:w="763" w:type="dxa"/>
            <w:tcBorders>
              <w:tl2br w:val="nil"/>
              <w:tr2bl w:val="nil"/>
            </w:tcBorders>
            <w:shd w:val="clear" w:color="auto" w:fill="auto"/>
            <w:vAlign w:val="center"/>
          </w:tcPr>
          <w:p w14:paraId="49B6DE6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47.73</w:t>
            </w:r>
          </w:p>
        </w:tc>
        <w:tc>
          <w:tcPr>
            <w:tcW w:w="914" w:type="dxa"/>
            <w:tcBorders>
              <w:tl2br w:val="nil"/>
              <w:tr2bl w:val="nil"/>
            </w:tcBorders>
            <w:shd w:val="clear" w:color="auto" w:fill="auto"/>
            <w:vAlign w:val="center"/>
          </w:tcPr>
          <w:p w14:paraId="68F5C65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550</w:t>
            </w:r>
          </w:p>
        </w:tc>
        <w:tc>
          <w:tcPr>
            <w:tcW w:w="730" w:type="dxa"/>
            <w:tcBorders>
              <w:tl2br w:val="nil"/>
              <w:tr2bl w:val="nil"/>
            </w:tcBorders>
            <w:shd w:val="clear" w:color="auto" w:fill="auto"/>
            <w:vAlign w:val="center"/>
          </w:tcPr>
          <w:p w14:paraId="5864E01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36.67</w:t>
            </w:r>
          </w:p>
        </w:tc>
      </w:tr>
      <w:tr w14:paraId="13B6B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1458" w:type="dxa"/>
            <w:tcBorders>
              <w:tl2br w:val="nil"/>
              <w:tr2bl w:val="nil"/>
            </w:tcBorders>
            <w:shd w:val="clear" w:color="auto" w:fill="auto"/>
            <w:vAlign w:val="center"/>
          </w:tcPr>
          <w:p w14:paraId="669E21B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二级</w:t>
            </w:r>
          </w:p>
        </w:tc>
        <w:tc>
          <w:tcPr>
            <w:tcW w:w="927" w:type="dxa"/>
            <w:tcBorders>
              <w:tl2br w:val="nil"/>
              <w:tr2bl w:val="nil"/>
            </w:tcBorders>
            <w:shd w:val="clear" w:color="auto" w:fill="auto"/>
            <w:vAlign w:val="center"/>
          </w:tcPr>
          <w:p w14:paraId="26FEDAC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1314</w:t>
            </w:r>
          </w:p>
        </w:tc>
        <w:tc>
          <w:tcPr>
            <w:tcW w:w="723" w:type="dxa"/>
            <w:tcBorders>
              <w:tl2br w:val="nil"/>
              <w:tr2bl w:val="nil"/>
            </w:tcBorders>
            <w:shd w:val="clear" w:color="auto" w:fill="auto"/>
            <w:vAlign w:val="center"/>
          </w:tcPr>
          <w:p w14:paraId="2B9EF15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87.6</w:t>
            </w:r>
          </w:p>
        </w:tc>
        <w:tc>
          <w:tcPr>
            <w:tcW w:w="873" w:type="dxa"/>
            <w:tcBorders>
              <w:tl2br w:val="nil"/>
              <w:tr2bl w:val="nil"/>
            </w:tcBorders>
            <w:shd w:val="clear" w:color="auto" w:fill="auto"/>
            <w:vAlign w:val="center"/>
          </w:tcPr>
          <w:p w14:paraId="2366F23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876</w:t>
            </w:r>
          </w:p>
        </w:tc>
        <w:tc>
          <w:tcPr>
            <w:tcW w:w="873" w:type="dxa"/>
            <w:tcBorders>
              <w:tl2br w:val="nil"/>
              <w:tr2bl w:val="nil"/>
            </w:tcBorders>
            <w:shd w:val="clear" w:color="auto" w:fill="auto"/>
            <w:vAlign w:val="center"/>
          </w:tcPr>
          <w:p w14:paraId="014C6E1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1256</w:t>
            </w:r>
          </w:p>
        </w:tc>
        <w:tc>
          <w:tcPr>
            <w:tcW w:w="709" w:type="dxa"/>
            <w:tcBorders>
              <w:tl2br w:val="nil"/>
              <w:tr2bl w:val="nil"/>
            </w:tcBorders>
            <w:shd w:val="clear" w:color="auto" w:fill="auto"/>
            <w:vAlign w:val="center"/>
          </w:tcPr>
          <w:p w14:paraId="28755F7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83.73</w:t>
            </w:r>
          </w:p>
        </w:tc>
        <w:tc>
          <w:tcPr>
            <w:tcW w:w="886" w:type="dxa"/>
            <w:tcBorders>
              <w:tl2br w:val="nil"/>
              <w:tr2bl w:val="nil"/>
            </w:tcBorders>
            <w:shd w:val="clear" w:color="auto" w:fill="auto"/>
            <w:vAlign w:val="center"/>
          </w:tcPr>
          <w:p w14:paraId="60FB1FD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837</w:t>
            </w:r>
          </w:p>
        </w:tc>
        <w:tc>
          <w:tcPr>
            <w:tcW w:w="846" w:type="dxa"/>
            <w:tcBorders>
              <w:tl2br w:val="nil"/>
              <w:tr2bl w:val="nil"/>
            </w:tcBorders>
            <w:shd w:val="clear" w:color="auto" w:fill="auto"/>
            <w:vAlign w:val="center"/>
          </w:tcPr>
          <w:p w14:paraId="3146973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412</w:t>
            </w:r>
          </w:p>
        </w:tc>
        <w:tc>
          <w:tcPr>
            <w:tcW w:w="695" w:type="dxa"/>
            <w:tcBorders>
              <w:tl2br w:val="nil"/>
              <w:tr2bl w:val="nil"/>
            </w:tcBorders>
            <w:shd w:val="clear" w:color="auto" w:fill="auto"/>
            <w:vAlign w:val="center"/>
          </w:tcPr>
          <w:p w14:paraId="5CDA39B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27.47</w:t>
            </w:r>
          </w:p>
        </w:tc>
        <w:tc>
          <w:tcPr>
            <w:tcW w:w="900" w:type="dxa"/>
            <w:tcBorders>
              <w:tl2br w:val="nil"/>
              <w:tr2bl w:val="nil"/>
            </w:tcBorders>
            <w:shd w:val="clear" w:color="auto" w:fill="auto"/>
            <w:vAlign w:val="center"/>
          </w:tcPr>
          <w:p w14:paraId="6154A8F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449</w:t>
            </w:r>
          </w:p>
        </w:tc>
        <w:tc>
          <w:tcPr>
            <w:tcW w:w="709" w:type="dxa"/>
            <w:tcBorders>
              <w:tl2br w:val="nil"/>
              <w:tr2bl w:val="nil"/>
            </w:tcBorders>
            <w:shd w:val="clear" w:color="auto" w:fill="auto"/>
            <w:vAlign w:val="center"/>
          </w:tcPr>
          <w:p w14:paraId="0903095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29.93</w:t>
            </w:r>
          </w:p>
        </w:tc>
        <w:tc>
          <w:tcPr>
            <w:tcW w:w="941" w:type="dxa"/>
            <w:tcBorders>
              <w:tl2br w:val="nil"/>
              <w:tr2bl w:val="nil"/>
            </w:tcBorders>
            <w:shd w:val="clear" w:color="auto" w:fill="auto"/>
            <w:vAlign w:val="center"/>
          </w:tcPr>
          <w:p w14:paraId="75DFE11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490</w:t>
            </w:r>
          </w:p>
        </w:tc>
        <w:tc>
          <w:tcPr>
            <w:tcW w:w="723" w:type="dxa"/>
            <w:tcBorders>
              <w:tl2br w:val="nil"/>
              <w:tr2bl w:val="nil"/>
            </w:tcBorders>
            <w:shd w:val="clear" w:color="auto" w:fill="auto"/>
            <w:vAlign w:val="center"/>
          </w:tcPr>
          <w:p w14:paraId="683C071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32.67</w:t>
            </w:r>
          </w:p>
        </w:tc>
        <w:tc>
          <w:tcPr>
            <w:tcW w:w="900" w:type="dxa"/>
            <w:tcBorders>
              <w:tl2br w:val="nil"/>
              <w:tr2bl w:val="nil"/>
            </w:tcBorders>
            <w:shd w:val="clear" w:color="auto" w:fill="auto"/>
            <w:vAlign w:val="center"/>
          </w:tcPr>
          <w:p w14:paraId="0AB1DF0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530</w:t>
            </w:r>
          </w:p>
        </w:tc>
        <w:tc>
          <w:tcPr>
            <w:tcW w:w="763" w:type="dxa"/>
            <w:tcBorders>
              <w:tl2br w:val="nil"/>
              <w:tr2bl w:val="nil"/>
            </w:tcBorders>
            <w:shd w:val="clear" w:color="auto" w:fill="auto"/>
            <w:vAlign w:val="center"/>
          </w:tcPr>
          <w:p w14:paraId="2E7ED72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35.33</w:t>
            </w:r>
          </w:p>
        </w:tc>
        <w:tc>
          <w:tcPr>
            <w:tcW w:w="914" w:type="dxa"/>
            <w:tcBorders>
              <w:tl2br w:val="nil"/>
              <w:tr2bl w:val="nil"/>
            </w:tcBorders>
            <w:shd w:val="clear" w:color="auto" w:fill="auto"/>
            <w:vAlign w:val="center"/>
          </w:tcPr>
          <w:p w14:paraId="30FADFD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408</w:t>
            </w:r>
          </w:p>
        </w:tc>
        <w:tc>
          <w:tcPr>
            <w:tcW w:w="730" w:type="dxa"/>
            <w:tcBorders>
              <w:tl2br w:val="nil"/>
              <w:tr2bl w:val="nil"/>
            </w:tcBorders>
            <w:shd w:val="clear" w:color="auto" w:fill="auto"/>
            <w:vAlign w:val="center"/>
          </w:tcPr>
          <w:p w14:paraId="5FED028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27.2</w:t>
            </w:r>
          </w:p>
        </w:tc>
      </w:tr>
      <w:tr w14:paraId="7DC7B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1458" w:type="dxa"/>
            <w:tcBorders>
              <w:tl2br w:val="nil"/>
              <w:tr2bl w:val="nil"/>
            </w:tcBorders>
            <w:shd w:val="clear" w:color="auto" w:fill="auto"/>
            <w:vAlign w:val="center"/>
          </w:tcPr>
          <w:p w14:paraId="6BFF5B2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三级</w:t>
            </w:r>
          </w:p>
        </w:tc>
        <w:tc>
          <w:tcPr>
            <w:tcW w:w="927" w:type="dxa"/>
            <w:tcBorders>
              <w:tl2br w:val="nil"/>
              <w:tr2bl w:val="nil"/>
            </w:tcBorders>
            <w:shd w:val="clear" w:color="auto" w:fill="auto"/>
            <w:vAlign w:val="center"/>
          </w:tcPr>
          <w:p w14:paraId="1179EF4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800</w:t>
            </w:r>
          </w:p>
        </w:tc>
        <w:tc>
          <w:tcPr>
            <w:tcW w:w="723" w:type="dxa"/>
            <w:tcBorders>
              <w:tl2br w:val="nil"/>
              <w:tr2bl w:val="nil"/>
            </w:tcBorders>
            <w:shd w:val="clear" w:color="auto" w:fill="auto"/>
            <w:vAlign w:val="center"/>
          </w:tcPr>
          <w:p w14:paraId="3F7C875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53.33</w:t>
            </w:r>
          </w:p>
        </w:tc>
        <w:tc>
          <w:tcPr>
            <w:tcW w:w="873" w:type="dxa"/>
            <w:tcBorders>
              <w:tl2br w:val="nil"/>
              <w:tr2bl w:val="nil"/>
            </w:tcBorders>
            <w:shd w:val="clear" w:color="auto" w:fill="auto"/>
            <w:vAlign w:val="center"/>
          </w:tcPr>
          <w:p w14:paraId="3088991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533</w:t>
            </w:r>
          </w:p>
        </w:tc>
        <w:tc>
          <w:tcPr>
            <w:tcW w:w="873" w:type="dxa"/>
            <w:tcBorders>
              <w:tl2br w:val="nil"/>
              <w:tr2bl w:val="nil"/>
            </w:tcBorders>
            <w:shd w:val="clear" w:color="auto" w:fill="auto"/>
            <w:vAlign w:val="center"/>
          </w:tcPr>
          <w:p w14:paraId="4B75F56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976</w:t>
            </w:r>
          </w:p>
        </w:tc>
        <w:tc>
          <w:tcPr>
            <w:tcW w:w="709" w:type="dxa"/>
            <w:tcBorders>
              <w:tl2br w:val="nil"/>
              <w:tr2bl w:val="nil"/>
            </w:tcBorders>
            <w:shd w:val="clear" w:color="auto" w:fill="auto"/>
            <w:vAlign w:val="center"/>
          </w:tcPr>
          <w:p w14:paraId="6536CD3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65.07</w:t>
            </w:r>
          </w:p>
        </w:tc>
        <w:tc>
          <w:tcPr>
            <w:tcW w:w="886" w:type="dxa"/>
            <w:tcBorders>
              <w:tl2br w:val="nil"/>
              <w:tr2bl w:val="nil"/>
            </w:tcBorders>
            <w:shd w:val="clear" w:color="auto" w:fill="auto"/>
            <w:vAlign w:val="center"/>
          </w:tcPr>
          <w:p w14:paraId="352AD08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651</w:t>
            </w:r>
          </w:p>
        </w:tc>
        <w:tc>
          <w:tcPr>
            <w:tcW w:w="846" w:type="dxa"/>
            <w:tcBorders>
              <w:tl2br w:val="nil"/>
              <w:tr2bl w:val="nil"/>
            </w:tcBorders>
            <w:shd w:val="clear" w:color="auto" w:fill="auto"/>
            <w:vAlign w:val="center"/>
          </w:tcPr>
          <w:p w14:paraId="5022A542">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262</w:t>
            </w:r>
          </w:p>
        </w:tc>
        <w:tc>
          <w:tcPr>
            <w:tcW w:w="695" w:type="dxa"/>
            <w:tcBorders>
              <w:tl2br w:val="nil"/>
              <w:tr2bl w:val="nil"/>
            </w:tcBorders>
            <w:shd w:val="clear" w:color="auto" w:fill="auto"/>
            <w:vAlign w:val="center"/>
          </w:tcPr>
          <w:p w14:paraId="6518DDF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17.47</w:t>
            </w:r>
          </w:p>
        </w:tc>
        <w:tc>
          <w:tcPr>
            <w:tcW w:w="900" w:type="dxa"/>
            <w:tcBorders>
              <w:tl2br w:val="nil"/>
              <w:tr2bl w:val="nil"/>
            </w:tcBorders>
            <w:shd w:val="clear" w:color="auto" w:fill="auto"/>
            <w:vAlign w:val="center"/>
          </w:tcPr>
          <w:p w14:paraId="2FBFF9C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286</w:t>
            </w:r>
          </w:p>
        </w:tc>
        <w:tc>
          <w:tcPr>
            <w:tcW w:w="709" w:type="dxa"/>
            <w:tcBorders>
              <w:tl2br w:val="nil"/>
              <w:tr2bl w:val="nil"/>
            </w:tcBorders>
            <w:shd w:val="clear" w:color="auto" w:fill="auto"/>
            <w:vAlign w:val="center"/>
          </w:tcPr>
          <w:p w14:paraId="4B37FF4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19.07</w:t>
            </w:r>
          </w:p>
        </w:tc>
        <w:tc>
          <w:tcPr>
            <w:tcW w:w="941" w:type="dxa"/>
            <w:tcBorders>
              <w:tl2br w:val="nil"/>
              <w:tr2bl w:val="nil"/>
            </w:tcBorders>
            <w:shd w:val="clear" w:color="auto" w:fill="auto"/>
            <w:vAlign w:val="center"/>
          </w:tcPr>
          <w:p w14:paraId="3DC3E6D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312</w:t>
            </w:r>
          </w:p>
        </w:tc>
        <w:tc>
          <w:tcPr>
            <w:tcW w:w="723" w:type="dxa"/>
            <w:tcBorders>
              <w:tl2br w:val="nil"/>
              <w:tr2bl w:val="nil"/>
            </w:tcBorders>
            <w:shd w:val="clear" w:color="auto" w:fill="auto"/>
            <w:vAlign w:val="center"/>
          </w:tcPr>
          <w:p w14:paraId="105E160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20.8</w:t>
            </w:r>
          </w:p>
        </w:tc>
        <w:tc>
          <w:tcPr>
            <w:tcW w:w="900" w:type="dxa"/>
            <w:tcBorders>
              <w:tl2br w:val="nil"/>
              <w:tr2bl w:val="nil"/>
            </w:tcBorders>
            <w:shd w:val="clear" w:color="auto" w:fill="auto"/>
            <w:vAlign w:val="center"/>
          </w:tcPr>
          <w:p w14:paraId="3B526B1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336</w:t>
            </w:r>
          </w:p>
        </w:tc>
        <w:tc>
          <w:tcPr>
            <w:tcW w:w="763" w:type="dxa"/>
            <w:tcBorders>
              <w:tl2br w:val="nil"/>
              <w:tr2bl w:val="nil"/>
            </w:tcBorders>
            <w:shd w:val="clear" w:color="auto" w:fill="auto"/>
            <w:vAlign w:val="center"/>
          </w:tcPr>
          <w:p w14:paraId="39B50CB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22.4</w:t>
            </w:r>
          </w:p>
        </w:tc>
        <w:tc>
          <w:tcPr>
            <w:tcW w:w="914" w:type="dxa"/>
            <w:tcBorders>
              <w:tl2br w:val="nil"/>
              <w:tr2bl w:val="nil"/>
            </w:tcBorders>
            <w:shd w:val="clear" w:color="auto" w:fill="auto"/>
            <w:vAlign w:val="center"/>
          </w:tcPr>
          <w:p w14:paraId="741CDA8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260</w:t>
            </w:r>
          </w:p>
        </w:tc>
        <w:tc>
          <w:tcPr>
            <w:tcW w:w="730" w:type="dxa"/>
            <w:tcBorders>
              <w:tl2br w:val="nil"/>
              <w:tr2bl w:val="nil"/>
            </w:tcBorders>
            <w:shd w:val="clear" w:color="auto" w:fill="auto"/>
            <w:vAlign w:val="center"/>
          </w:tcPr>
          <w:p w14:paraId="6E05471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17.33</w:t>
            </w:r>
          </w:p>
        </w:tc>
      </w:tr>
      <w:tr w14:paraId="021D0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1458" w:type="dxa"/>
            <w:tcBorders>
              <w:tl2br w:val="nil"/>
              <w:tr2bl w:val="nil"/>
            </w:tcBorders>
            <w:shd w:val="clear" w:color="auto" w:fill="auto"/>
            <w:vAlign w:val="center"/>
          </w:tcPr>
          <w:p w14:paraId="460469C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泉林片区</w:t>
            </w:r>
          </w:p>
        </w:tc>
        <w:tc>
          <w:tcPr>
            <w:tcW w:w="927" w:type="dxa"/>
            <w:tcBorders>
              <w:tl2br w:val="nil"/>
              <w:tr2bl w:val="nil"/>
            </w:tcBorders>
            <w:shd w:val="clear" w:color="auto" w:fill="auto"/>
            <w:noWrap/>
            <w:vAlign w:val="center"/>
          </w:tcPr>
          <w:p w14:paraId="16999E1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1240</w:t>
            </w:r>
          </w:p>
        </w:tc>
        <w:tc>
          <w:tcPr>
            <w:tcW w:w="723" w:type="dxa"/>
            <w:tcBorders>
              <w:tl2br w:val="nil"/>
              <w:tr2bl w:val="nil"/>
            </w:tcBorders>
            <w:shd w:val="clear" w:color="auto" w:fill="auto"/>
            <w:vAlign w:val="center"/>
          </w:tcPr>
          <w:p w14:paraId="33422CE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82.67</w:t>
            </w:r>
          </w:p>
        </w:tc>
        <w:tc>
          <w:tcPr>
            <w:tcW w:w="873" w:type="dxa"/>
            <w:tcBorders>
              <w:tl2br w:val="nil"/>
              <w:tr2bl w:val="nil"/>
            </w:tcBorders>
            <w:shd w:val="clear" w:color="auto" w:fill="auto"/>
            <w:noWrap/>
            <w:vAlign w:val="center"/>
          </w:tcPr>
          <w:p w14:paraId="1168B84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827</w:t>
            </w:r>
          </w:p>
        </w:tc>
        <w:tc>
          <w:tcPr>
            <w:tcW w:w="873" w:type="dxa"/>
            <w:tcBorders>
              <w:tl2br w:val="nil"/>
              <w:tr2bl w:val="nil"/>
            </w:tcBorders>
            <w:shd w:val="clear" w:color="auto" w:fill="auto"/>
            <w:noWrap/>
            <w:vAlign w:val="center"/>
          </w:tcPr>
          <w:p w14:paraId="19EF708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709" w:type="dxa"/>
            <w:tcBorders>
              <w:tl2br w:val="nil"/>
              <w:tr2bl w:val="nil"/>
            </w:tcBorders>
            <w:shd w:val="clear" w:color="auto" w:fill="auto"/>
            <w:noWrap/>
            <w:vAlign w:val="center"/>
          </w:tcPr>
          <w:p w14:paraId="0311B2C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886" w:type="dxa"/>
            <w:tcBorders>
              <w:tl2br w:val="nil"/>
              <w:tr2bl w:val="nil"/>
            </w:tcBorders>
            <w:shd w:val="clear" w:color="auto" w:fill="auto"/>
            <w:noWrap/>
            <w:vAlign w:val="center"/>
          </w:tcPr>
          <w:p w14:paraId="7C70D74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846" w:type="dxa"/>
            <w:tcBorders>
              <w:tl2br w:val="nil"/>
              <w:tr2bl w:val="nil"/>
            </w:tcBorders>
            <w:shd w:val="clear" w:color="auto" w:fill="auto"/>
            <w:noWrap/>
            <w:vAlign w:val="center"/>
          </w:tcPr>
          <w:p w14:paraId="7C7B9D0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695" w:type="dxa"/>
            <w:tcBorders>
              <w:tl2br w:val="nil"/>
              <w:tr2bl w:val="nil"/>
            </w:tcBorders>
            <w:shd w:val="clear" w:color="auto" w:fill="auto"/>
            <w:noWrap/>
            <w:vAlign w:val="center"/>
          </w:tcPr>
          <w:p w14:paraId="38BA7B2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900" w:type="dxa"/>
            <w:tcBorders>
              <w:tl2br w:val="nil"/>
              <w:tr2bl w:val="nil"/>
            </w:tcBorders>
            <w:shd w:val="clear" w:color="auto" w:fill="auto"/>
            <w:noWrap/>
            <w:vAlign w:val="center"/>
          </w:tcPr>
          <w:p w14:paraId="1904EF8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709" w:type="dxa"/>
            <w:tcBorders>
              <w:tl2br w:val="nil"/>
              <w:tr2bl w:val="nil"/>
            </w:tcBorders>
            <w:shd w:val="clear" w:color="auto" w:fill="auto"/>
            <w:noWrap/>
            <w:vAlign w:val="center"/>
          </w:tcPr>
          <w:p w14:paraId="557B31E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941" w:type="dxa"/>
            <w:tcBorders>
              <w:tl2br w:val="nil"/>
              <w:tr2bl w:val="nil"/>
            </w:tcBorders>
            <w:shd w:val="clear" w:color="auto" w:fill="auto"/>
            <w:noWrap/>
            <w:vAlign w:val="center"/>
          </w:tcPr>
          <w:p w14:paraId="57364AE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723" w:type="dxa"/>
            <w:tcBorders>
              <w:tl2br w:val="nil"/>
              <w:tr2bl w:val="nil"/>
            </w:tcBorders>
            <w:shd w:val="clear" w:color="auto" w:fill="auto"/>
            <w:noWrap/>
            <w:vAlign w:val="center"/>
          </w:tcPr>
          <w:p w14:paraId="1FAB24BE">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900" w:type="dxa"/>
            <w:tcBorders>
              <w:tl2br w:val="nil"/>
              <w:tr2bl w:val="nil"/>
            </w:tcBorders>
            <w:shd w:val="clear" w:color="auto" w:fill="auto"/>
            <w:noWrap/>
            <w:vAlign w:val="center"/>
          </w:tcPr>
          <w:p w14:paraId="196EA1B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763" w:type="dxa"/>
            <w:tcBorders>
              <w:tl2br w:val="nil"/>
              <w:tr2bl w:val="nil"/>
            </w:tcBorders>
            <w:shd w:val="clear" w:color="auto" w:fill="auto"/>
            <w:noWrap/>
            <w:vAlign w:val="center"/>
          </w:tcPr>
          <w:p w14:paraId="2963FBE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914" w:type="dxa"/>
            <w:tcBorders>
              <w:tl2br w:val="nil"/>
              <w:tr2bl w:val="nil"/>
            </w:tcBorders>
            <w:shd w:val="clear" w:color="auto" w:fill="auto"/>
            <w:noWrap/>
            <w:vAlign w:val="center"/>
          </w:tcPr>
          <w:p w14:paraId="3C8E3979">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c>
          <w:tcPr>
            <w:tcW w:w="730" w:type="dxa"/>
            <w:tcBorders>
              <w:tl2br w:val="nil"/>
              <w:tr2bl w:val="nil"/>
            </w:tcBorders>
            <w:shd w:val="clear" w:color="auto" w:fill="auto"/>
            <w:noWrap/>
            <w:vAlign w:val="center"/>
          </w:tcPr>
          <w:p w14:paraId="29B3B5D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w:t>
            </w:r>
          </w:p>
        </w:tc>
      </w:tr>
      <w:tr w14:paraId="3F353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191" w:hRule="atLeast"/>
          <w:jc w:val="center"/>
        </w:trPr>
        <w:tc>
          <w:tcPr>
            <w:tcW w:w="14570" w:type="dxa"/>
            <w:gridSpan w:val="17"/>
            <w:tcBorders>
              <w:tl2br w:val="nil"/>
              <w:tr2bl w:val="nil"/>
            </w:tcBorders>
            <w:shd w:val="clear" w:color="auto" w:fill="auto"/>
            <w:vAlign w:val="center"/>
          </w:tcPr>
          <w:p w14:paraId="649AFB32">
            <w:pPr>
              <w:keepNext w:val="0"/>
              <w:keepLines w:val="0"/>
              <w:pageBreakBefore w:val="0"/>
              <w:widowControl/>
              <w:kinsoku/>
              <w:wordWrap/>
              <w:overflowPunct/>
              <w:topLinePunct w:val="0"/>
              <w:autoSpaceDE/>
              <w:autoSpaceDN/>
              <w:bidi w:val="0"/>
              <w:adjustRightInd/>
              <w:snapToGrid/>
              <w:spacing w:line="280" w:lineRule="exact"/>
              <w:ind w:firstLine="0" w:firstLineChars="0"/>
              <w:jc w:val="both"/>
              <w:textAlignment w:val="auto"/>
              <w:rPr>
                <w:rFonts w:hint="eastAsia" w:ascii="宋体" w:hAnsi="宋体" w:eastAsia="仿宋_GB2312" w:cs="仿宋_GB2312"/>
                <w:b w:val="0"/>
                <w:bCs w:val="0"/>
                <w:color w:val="000000"/>
                <w:kern w:val="0"/>
                <w:sz w:val="21"/>
                <w:szCs w:val="21"/>
                <w:lang w:eastAsia="zh-CN"/>
              </w:rPr>
            </w:pPr>
            <w:r>
              <w:rPr>
                <w:rFonts w:hint="eastAsia" w:ascii="宋体" w:hAnsi="宋体" w:eastAsia="仿宋_GB2312" w:cs="仿宋_GB2312"/>
                <w:b w:val="0"/>
                <w:bCs w:val="0"/>
                <w:color w:val="000000"/>
                <w:kern w:val="0"/>
                <w:sz w:val="21"/>
                <w:szCs w:val="21"/>
              </w:rPr>
              <w:t>注：公服用地Ⅰ包括：机关团体用地、新闻出版用地、公用设施用地</w:t>
            </w:r>
            <w:r>
              <w:rPr>
                <w:rFonts w:hint="eastAsia" w:ascii="宋体" w:hAnsi="宋体" w:eastAsia="仿宋_GB2312" w:cs="仿宋_GB2312"/>
                <w:b w:val="0"/>
                <w:bCs w:val="0"/>
                <w:color w:val="000000"/>
                <w:kern w:val="0"/>
                <w:sz w:val="21"/>
                <w:szCs w:val="21"/>
                <w:lang w:eastAsia="zh-CN"/>
              </w:rPr>
              <w:t>。</w:t>
            </w:r>
          </w:p>
          <w:p w14:paraId="1F11FEB2">
            <w:pPr>
              <w:keepNext w:val="0"/>
              <w:keepLines w:val="0"/>
              <w:pageBreakBefore w:val="0"/>
              <w:widowControl/>
              <w:kinsoku/>
              <w:wordWrap/>
              <w:overflowPunct/>
              <w:topLinePunct w:val="0"/>
              <w:autoSpaceDE/>
              <w:autoSpaceDN/>
              <w:bidi w:val="0"/>
              <w:adjustRightInd/>
              <w:snapToGrid/>
              <w:spacing w:line="280" w:lineRule="exact"/>
              <w:ind w:firstLine="420" w:firstLineChars="200"/>
              <w:jc w:val="both"/>
              <w:textAlignment w:val="auto"/>
              <w:rPr>
                <w:rFonts w:hint="eastAsia" w:ascii="宋体" w:hAnsi="宋体" w:eastAsia="仿宋_GB2312" w:cs="仿宋_GB2312"/>
                <w:b w:val="0"/>
                <w:bCs w:val="0"/>
                <w:color w:val="000000"/>
                <w:kern w:val="0"/>
                <w:sz w:val="21"/>
                <w:szCs w:val="21"/>
                <w:lang w:eastAsia="zh-CN"/>
              </w:rPr>
            </w:pPr>
            <w:r>
              <w:rPr>
                <w:rFonts w:hint="eastAsia" w:ascii="宋体" w:hAnsi="宋体" w:eastAsia="仿宋_GB2312" w:cs="仿宋_GB2312"/>
                <w:b w:val="0"/>
                <w:bCs w:val="0"/>
                <w:color w:val="000000"/>
                <w:kern w:val="0"/>
                <w:sz w:val="21"/>
                <w:szCs w:val="21"/>
              </w:rPr>
              <w:t>公服用地Ⅱ包括：教育用地、科研用地、医疗卫生用地、社会福利用地</w:t>
            </w:r>
            <w:r>
              <w:rPr>
                <w:rFonts w:hint="eastAsia" w:ascii="宋体" w:hAnsi="宋体" w:eastAsia="仿宋_GB2312" w:cs="仿宋_GB2312"/>
                <w:b w:val="0"/>
                <w:bCs w:val="0"/>
                <w:color w:val="000000"/>
                <w:kern w:val="0"/>
                <w:sz w:val="21"/>
                <w:szCs w:val="21"/>
                <w:lang w:eastAsia="zh-CN"/>
              </w:rPr>
              <w:t>。</w:t>
            </w:r>
          </w:p>
          <w:p w14:paraId="6C1459FE">
            <w:pPr>
              <w:keepNext w:val="0"/>
              <w:keepLines w:val="0"/>
              <w:pageBreakBefore w:val="0"/>
              <w:widowControl/>
              <w:kinsoku/>
              <w:wordWrap/>
              <w:overflowPunct/>
              <w:topLinePunct w:val="0"/>
              <w:autoSpaceDE/>
              <w:autoSpaceDN/>
              <w:bidi w:val="0"/>
              <w:adjustRightInd/>
              <w:snapToGrid/>
              <w:spacing w:line="280" w:lineRule="exact"/>
              <w:ind w:firstLine="420" w:firstLineChars="200"/>
              <w:jc w:val="both"/>
              <w:textAlignment w:val="auto"/>
              <w:rPr>
                <w:rFonts w:hint="eastAsia" w:ascii="宋体" w:hAnsi="宋体" w:eastAsia="仿宋_GB2312" w:cs="仿宋_GB2312"/>
                <w:b w:val="0"/>
                <w:bCs w:val="0"/>
                <w:color w:val="000000"/>
                <w:kern w:val="0"/>
                <w:sz w:val="21"/>
                <w:szCs w:val="21"/>
                <w:lang w:eastAsia="zh-CN"/>
              </w:rPr>
            </w:pPr>
            <w:r>
              <w:rPr>
                <w:rFonts w:hint="eastAsia" w:ascii="宋体" w:hAnsi="宋体" w:eastAsia="仿宋_GB2312" w:cs="仿宋_GB2312"/>
                <w:b w:val="0"/>
                <w:bCs w:val="0"/>
                <w:color w:val="000000"/>
                <w:kern w:val="0"/>
                <w:sz w:val="21"/>
                <w:szCs w:val="21"/>
              </w:rPr>
              <w:t>公服用地Ⅲ包括：文体设施用地、体育用地</w:t>
            </w:r>
            <w:r>
              <w:rPr>
                <w:rFonts w:hint="eastAsia" w:ascii="宋体" w:hAnsi="宋体" w:eastAsia="仿宋_GB2312" w:cs="仿宋_GB2312"/>
                <w:b w:val="0"/>
                <w:bCs w:val="0"/>
                <w:color w:val="000000"/>
                <w:kern w:val="0"/>
                <w:sz w:val="21"/>
                <w:szCs w:val="21"/>
                <w:lang w:eastAsia="zh-CN"/>
              </w:rPr>
              <w:t>。</w:t>
            </w:r>
          </w:p>
          <w:p w14:paraId="2C6F5267">
            <w:pPr>
              <w:keepNext w:val="0"/>
              <w:keepLines w:val="0"/>
              <w:pageBreakBefore w:val="0"/>
              <w:widowControl/>
              <w:kinsoku/>
              <w:wordWrap/>
              <w:overflowPunct/>
              <w:topLinePunct w:val="0"/>
              <w:autoSpaceDE/>
              <w:autoSpaceDN/>
              <w:bidi w:val="0"/>
              <w:adjustRightInd/>
              <w:snapToGrid/>
              <w:spacing w:line="280" w:lineRule="exact"/>
              <w:ind w:firstLine="420" w:firstLineChars="200"/>
              <w:jc w:val="both"/>
              <w:textAlignment w:val="auto"/>
              <w:rPr>
                <w:rFonts w:hint="eastAsia" w:ascii="宋体" w:hAnsi="宋体" w:eastAsia="仿宋_GB2312" w:cs="仿宋_GB2312"/>
                <w:b w:val="0"/>
                <w:bCs w:val="0"/>
                <w:color w:val="000000"/>
                <w:kern w:val="0"/>
                <w:sz w:val="21"/>
                <w:szCs w:val="21"/>
              </w:rPr>
            </w:pPr>
            <w:r>
              <w:rPr>
                <w:rFonts w:hint="eastAsia" w:ascii="宋体" w:hAnsi="宋体" w:eastAsia="仿宋_GB2312" w:cs="仿宋_GB2312"/>
                <w:b w:val="0"/>
                <w:bCs w:val="0"/>
                <w:color w:val="000000"/>
                <w:kern w:val="0"/>
                <w:sz w:val="21"/>
                <w:szCs w:val="21"/>
              </w:rPr>
              <w:t>公服用地Ⅳ包括：公园与绿地。</w:t>
            </w:r>
          </w:p>
        </w:tc>
      </w:tr>
    </w:tbl>
    <w:p w14:paraId="184E2450">
      <w:pPr>
        <w:kinsoku w:val="0"/>
        <w:autoSpaceDE w:val="0"/>
        <w:autoSpaceDN w:val="0"/>
        <w:adjustRightInd w:val="0"/>
        <w:snapToGrid w:val="0"/>
        <w:spacing w:line="360" w:lineRule="auto"/>
        <w:ind w:firstLine="560" w:firstLineChars="200"/>
        <w:textAlignment w:val="baseline"/>
        <w:rPr>
          <w:rFonts w:ascii="宋体" w:hAnsi="宋体" w:eastAsiaTheme="minorEastAsia" w:cstheme="minorEastAsia"/>
          <w:b w:val="0"/>
          <w:bCs w:val="0"/>
          <w:sz w:val="28"/>
          <w:szCs w:val="28"/>
        </w:rPr>
      </w:pPr>
    </w:p>
    <w:p w14:paraId="799E8F94">
      <w:pPr>
        <w:widowControl/>
        <w:jc w:val="left"/>
        <w:rPr>
          <w:rFonts w:hint="eastAsia" w:ascii="宋体" w:hAnsi="宋体" w:eastAsiaTheme="minorEastAsia" w:cstheme="minorEastAsia"/>
          <w:b w:val="0"/>
          <w:bCs w:val="0"/>
          <w:sz w:val="28"/>
          <w:szCs w:val="28"/>
        </w:rPr>
        <w:sectPr>
          <w:headerReference r:id="rId5" w:type="default"/>
          <w:footerReference r:id="rId6" w:type="default"/>
          <w:pgSz w:w="16838" w:h="11906" w:orient="landscape"/>
          <w:pgMar w:top="1531" w:right="1531" w:bottom="1531" w:left="1531" w:header="851" w:footer="1361" w:gutter="0"/>
          <w:pgBorders>
            <w:top w:val="none" w:sz="0" w:space="0"/>
            <w:left w:val="none" w:sz="0" w:space="0"/>
            <w:bottom w:val="none" w:sz="0" w:space="0"/>
            <w:right w:val="none" w:sz="0" w:space="0"/>
          </w:pgBorders>
          <w:pgNumType w:fmt="decimal"/>
          <w:cols w:space="425" w:num="1"/>
          <w:docGrid w:type="lines" w:linePitch="312" w:charSpace="0"/>
        </w:sectPr>
      </w:pPr>
    </w:p>
    <w:p w14:paraId="542BB3C8">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附件3</w:t>
      </w:r>
    </w:p>
    <w:p w14:paraId="2BB4379D">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2023年泗水县城区商业用地土地级别</w:t>
      </w:r>
    </w:p>
    <w:p w14:paraId="046641CD">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与基准地价图及范围说明</w:t>
      </w:r>
    </w:p>
    <w:p w14:paraId="13A5B4B8">
      <w:pPr>
        <w:rPr>
          <w:rFonts w:ascii="宋体" w:hAnsi="宋体" w:eastAsiaTheme="minorEastAsia" w:cstheme="minorEastAsia"/>
          <w:b w:val="0"/>
          <w:bCs w:val="0"/>
          <w:sz w:val="28"/>
          <w:szCs w:val="28"/>
        </w:rPr>
      </w:pPr>
      <w:r>
        <w:rPr>
          <w:rFonts w:ascii="宋体" w:hAnsi="宋体"/>
          <w:b w:val="0"/>
          <w:bCs w:val="0"/>
        </w:rPr>
        <w:drawing>
          <wp:inline distT="0" distB="0" distL="0" distR="0">
            <wp:extent cx="5274310" cy="40392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4039235"/>
                    </a:xfrm>
                    <a:prstGeom prst="rect">
                      <a:avLst/>
                    </a:prstGeom>
                  </pic:spPr>
                </pic:pic>
              </a:graphicData>
            </a:graphic>
          </wp:inline>
        </w:drawing>
      </w:r>
    </w:p>
    <w:p w14:paraId="4F0A0B86">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：北至中册中路，东沿中兴路-泗河-济河-青年路-泉衍路，南至圣源大道，合围。</w:t>
      </w:r>
    </w:p>
    <w:p w14:paraId="27255C7F">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：北至评价区范围，东至评价区范围，南至评价区范围，沿南环路-圣昭路，合围。</w:t>
      </w:r>
    </w:p>
    <w:p w14:paraId="50ED3A39">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：评价区内除一、二级以外的土地。</w:t>
      </w:r>
    </w:p>
    <w:p w14:paraId="2A58E6D6">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rPr>
        <w:t>泉林片区</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：新增泉林片区，范围以泉林镇镇驻地为中心，根据最新启用的“三区三线”中城市开发边界的范围线划定</w:t>
      </w:r>
      <w:r>
        <w:rPr>
          <w:rFonts w:hint="eastAsia" w:ascii="宋体" w:hAnsi="宋体" w:eastAsia="仿宋_GB2312" w:cs="仿宋_GB2312"/>
          <w:b w:val="0"/>
          <w:bCs w:val="0"/>
          <w:sz w:val="32"/>
          <w:szCs w:val="32"/>
          <w:lang w:eastAsia="zh-CN"/>
        </w:rPr>
        <w:t>。</w:t>
      </w:r>
    </w:p>
    <w:p w14:paraId="611D7896">
      <w:pPr>
        <w:widowControl/>
        <w:jc w:val="left"/>
        <w:rPr>
          <w:rFonts w:ascii="宋体" w:hAnsi="宋体" w:eastAsiaTheme="minorEastAsia" w:cstheme="minorEastAsia"/>
          <w:b w:val="0"/>
          <w:bCs w:val="0"/>
          <w:sz w:val="28"/>
          <w:szCs w:val="28"/>
        </w:rPr>
      </w:pPr>
      <w:r>
        <w:rPr>
          <w:rFonts w:ascii="宋体" w:hAnsi="宋体" w:eastAsiaTheme="minorEastAsia" w:cstheme="minorEastAsia"/>
          <w:b w:val="0"/>
          <w:bCs w:val="0"/>
          <w:sz w:val="28"/>
          <w:szCs w:val="28"/>
        </w:rPr>
        <w:br w:type="page"/>
      </w:r>
    </w:p>
    <w:p w14:paraId="02AFA6EC">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附件4</w:t>
      </w:r>
    </w:p>
    <w:p w14:paraId="2AEE9EC4">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2023年泗水县城区住宅用地土地级别</w:t>
      </w:r>
    </w:p>
    <w:p w14:paraId="76060FC3">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与基准地价图及范围说明</w:t>
      </w:r>
    </w:p>
    <w:p w14:paraId="4DC2D55C">
      <w:pPr>
        <w:rPr>
          <w:rFonts w:ascii="宋体" w:hAnsi="宋体" w:eastAsiaTheme="minorEastAsia" w:cstheme="minorEastAsia"/>
          <w:b w:val="0"/>
          <w:bCs w:val="0"/>
          <w:sz w:val="28"/>
          <w:szCs w:val="28"/>
        </w:rPr>
      </w:pPr>
      <w:r>
        <w:rPr>
          <w:rFonts w:ascii="宋体" w:hAnsi="宋体"/>
          <w:b w:val="0"/>
          <w:bCs w:val="0"/>
        </w:rPr>
        <w:drawing>
          <wp:inline distT="0" distB="0" distL="0" distR="0">
            <wp:extent cx="5274310" cy="39820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3982085"/>
                    </a:xfrm>
                    <a:prstGeom prst="rect">
                      <a:avLst/>
                    </a:prstGeom>
                  </pic:spPr>
                </pic:pic>
              </a:graphicData>
            </a:graphic>
          </wp:inline>
        </w:drawing>
      </w:r>
    </w:p>
    <w:p w14:paraId="24632906">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：北至中册中路，东沿中兴路-泗河-济河-青年路-泉衍路，南至圣源大道，合围。</w:t>
      </w:r>
    </w:p>
    <w:p w14:paraId="4CC81F4C">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：北至评价区范围，东至评价区范围，南至评价区范围，沿南环路-圣昭路，合围。</w:t>
      </w:r>
    </w:p>
    <w:p w14:paraId="22F32646">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：评价区内除一、二级以外的土地。</w:t>
      </w:r>
    </w:p>
    <w:p w14:paraId="2947085F">
      <w:pPr>
        <w:spacing w:line="240" w:lineRule="atLeast"/>
        <w:ind w:firstLine="560" w:firstLineChars="200"/>
        <w:rPr>
          <w:rFonts w:ascii="宋体" w:hAnsi="宋体" w:eastAsiaTheme="minorEastAsia" w:cstheme="minorEastAsia"/>
          <w:b w:val="0"/>
          <w:bCs w:val="0"/>
          <w:sz w:val="28"/>
          <w:szCs w:val="28"/>
        </w:rPr>
      </w:pPr>
      <w:r>
        <w:rPr>
          <w:rFonts w:ascii="宋体" w:hAnsi="宋体" w:eastAsiaTheme="minorEastAsia" w:cstheme="minorEastAsia"/>
          <w:b w:val="0"/>
          <w:bCs w:val="0"/>
          <w:sz w:val="28"/>
          <w:szCs w:val="28"/>
        </w:rPr>
        <w:br w:type="page"/>
      </w:r>
    </w:p>
    <w:p w14:paraId="6DE28364">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附件5</w:t>
      </w:r>
    </w:p>
    <w:p w14:paraId="3041499F">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2023年泗水县城区工业用地土地级别</w:t>
      </w:r>
    </w:p>
    <w:p w14:paraId="756ABBF8">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与基准地价图及范围说明</w:t>
      </w:r>
    </w:p>
    <w:p w14:paraId="701FBDF0">
      <w:pPr>
        <w:spacing w:line="240" w:lineRule="atLeast"/>
        <w:rPr>
          <w:rFonts w:ascii="宋体" w:hAnsi="宋体" w:eastAsiaTheme="minorEastAsia" w:cstheme="minorEastAsia"/>
          <w:b w:val="0"/>
          <w:bCs w:val="0"/>
          <w:sz w:val="28"/>
          <w:szCs w:val="28"/>
        </w:rPr>
      </w:pPr>
      <w:r>
        <w:rPr>
          <w:rFonts w:ascii="宋体" w:hAnsi="宋体"/>
          <w:b w:val="0"/>
          <w:bCs w:val="0"/>
        </w:rPr>
        <w:drawing>
          <wp:inline distT="0" distB="0" distL="0" distR="0">
            <wp:extent cx="5274310" cy="40652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4065270"/>
                    </a:xfrm>
                    <a:prstGeom prst="rect">
                      <a:avLst/>
                    </a:prstGeom>
                  </pic:spPr>
                </pic:pic>
              </a:graphicData>
            </a:graphic>
          </wp:inline>
        </w:drawing>
      </w:r>
    </w:p>
    <w:p w14:paraId="3F3164C2">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泗河，东沿济河-幸福路（规划）-育才路-泉源大道-区间路-规划建设路-区间路-至南环路，南沿南环路-圣源大道-建设路-济河-区间路-南环路-圣源大道-泉丰路，东沿圣昭路-泉音路-圣源大道（规划），合围。</w:t>
      </w:r>
    </w:p>
    <w:p w14:paraId="7097870B">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：北至评价区范围，东至评价区范围，南至评价区范围，沿南环路-圣昭路合围。</w:t>
      </w:r>
    </w:p>
    <w:p w14:paraId="3F6FE9BB">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：评价区内除一、二级以外的土地。</w:t>
      </w:r>
    </w:p>
    <w:p w14:paraId="22D3FBCB">
      <w:pPr>
        <w:spacing w:line="240" w:lineRule="atLeast"/>
        <w:ind w:firstLine="560" w:firstLineChars="200"/>
        <w:rPr>
          <w:rFonts w:ascii="宋体" w:hAnsi="宋体" w:eastAsiaTheme="minorEastAsia" w:cstheme="minorEastAsia"/>
          <w:b w:val="0"/>
          <w:bCs w:val="0"/>
          <w:sz w:val="28"/>
          <w:szCs w:val="28"/>
        </w:rPr>
      </w:pPr>
      <w:r>
        <w:rPr>
          <w:rFonts w:ascii="宋体" w:hAnsi="宋体" w:eastAsiaTheme="minorEastAsia" w:cstheme="minorEastAsia"/>
          <w:b w:val="0"/>
          <w:bCs w:val="0"/>
          <w:sz w:val="28"/>
          <w:szCs w:val="28"/>
        </w:rPr>
        <w:br w:type="page"/>
      </w:r>
    </w:p>
    <w:p w14:paraId="10E4001B">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eastAsia="方正黑体简体" w:cs="方正黑体简体"/>
          <w:b w:val="0"/>
          <w:bCs w:val="0"/>
          <w:sz w:val="32"/>
          <w:szCs w:val="32"/>
        </w:rPr>
      </w:pPr>
      <w:r>
        <w:rPr>
          <w:rFonts w:hint="eastAsia" w:ascii="宋体" w:hAnsi="宋体" w:eastAsia="方正黑体简体" w:cs="方正黑体简体"/>
          <w:b w:val="0"/>
          <w:bCs w:val="0"/>
          <w:sz w:val="32"/>
          <w:szCs w:val="32"/>
        </w:rPr>
        <w:t>附件6</w:t>
      </w:r>
    </w:p>
    <w:p w14:paraId="1A295712">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2023年泗水县城区公共管理与公共服务用地</w:t>
      </w:r>
    </w:p>
    <w:p w14:paraId="114B7F95">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Times New Roman"/>
          <w:b w:val="0"/>
          <w:bCs w:val="0"/>
          <w:spacing w:val="0"/>
          <w:kern w:val="0"/>
          <w:sz w:val="44"/>
          <w:szCs w:val="44"/>
          <w:lang w:val="en-US" w:eastAsia="zh-CN"/>
        </w:rPr>
      </w:pPr>
      <w:r>
        <w:rPr>
          <w:rFonts w:hint="eastAsia" w:ascii="宋体" w:hAnsi="宋体" w:eastAsia="方正小标宋简体" w:cs="Times New Roman"/>
          <w:b w:val="0"/>
          <w:bCs w:val="0"/>
          <w:spacing w:val="0"/>
          <w:kern w:val="0"/>
          <w:sz w:val="44"/>
          <w:szCs w:val="44"/>
          <w:lang w:val="en-US" w:eastAsia="zh-CN"/>
        </w:rPr>
        <w:t>土地级别与基准地价图及范围说明</w:t>
      </w:r>
    </w:p>
    <w:p w14:paraId="73B21294">
      <w:pPr>
        <w:spacing w:line="240" w:lineRule="atLeast"/>
        <w:jc w:val="center"/>
        <w:rPr>
          <w:rFonts w:ascii="宋体" w:hAnsi="宋体" w:eastAsiaTheme="minorEastAsia" w:cstheme="minorEastAsia"/>
          <w:b w:val="0"/>
          <w:bCs w:val="0"/>
          <w:sz w:val="28"/>
          <w:szCs w:val="28"/>
        </w:rPr>
      </w:pPr>
      <w:r>
        <w:rPr>
          <w:rFonts w:ascii="宋体" w:hAnsi="宋体"/>
          <w:b w:val="0"/>
          <w:bCs w:val="0"/>
        </w:rPr>
        <w:drawing>
          <wp:inline distT="0" distB="0" distL="0" distR="0">
            <wp:extent cx="5086350" cy="3981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086350" cy="3981450"/>
                    </a:xfrm>
                    <a:prstGeom prst="rect">
                      <a:avLst/>
                    </a:prstGeom>
                  </pic:spPr>
                </pic:pic>
              </a:graphicData>
            </a:graphic>
          </wp:inline>
        </w:drawing>
      </w:r>
    </w:p>
    <w:p w14:paraId="5D2AE35D">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：北至中册中路，东沿中兴路-泗河-济河-青年路-泉衍路，南至圣源大道，合围。</w:t>
      </w:r>
    </w:p>
    <w:p w14:paraId="0651D603">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：北至评价区范围，东至评价区范围，南至评价区范围，沿南环路-圣昭路，合围。</w:t>
      </w:r>
    </w:p>
    <w:p w14:paraId="1B48A755">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三级地</w:t>
      </w:r>
      <w:r>
        <w:rPr>
          <w:rFonts w:hint="eastAsia" w:ascii="宋体" w:hAnsi="宋体" w:eastAsia="仿宋_GB2312" w:cs="仿宋_GB2312"/>
          <w:b w:val="0"/>
          <w:bCs w:val="0"/>
          <w:sz w:val="32"/>
          <w:szCs w:val="32"/>
          <w:lang w:val="en-US" w:eastAsia="zh-CN"/>
        </w:rPr>
        <w:t>范围</w:t>
      </w:r>
      <w:r>
        <w:rPr>
          <w:rFonts w:hint="eastAsia" w:ascii="宋体" w:hAnsi="宋体" w:eastAsia="仿宋_GB2312" w:cs="仿宋_GB2312"/>
          <w:b w:val="0"/>
          <w:bCs w:val="0"/>
          <w:sz w:val="32"/>
          <w:szCs w:val="32"/>
        </w:rPr>
        <w:t>：评价区内除一、二级以外的土地。</w:t>
      </w:r>
    </w:p>
    <w:p w14:paraId="360BBBEB">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p>
    <w:p w14:paraId="05251067">
      <w:pPr>
        <w:keepNext w:val="0"/>
        <w:keepLines w:val="0"/>
        <w:pageBreakBefore w:val="0"/>
        <w:widowControl w:val="0"/>
        <w:kinsoku/>
        <w:overflowPunct/>
        <w:topLinePunct w:val="0"/>
        <w:autoSpaceDE/>
        <w:autoSpaceDN/>
        <w:bidi w:val="0"/>
        <w:adjustRightInd/>
        <w:snapToGrid/>
        <w:spacing w:line="520" w:lineRule="exact"/>
        <w:ind w:firstLine="640" w:firstLineChars="200"/>
        <w:jc w:val="both"/>
        <w:textAlignment w:val="auto"/>
        <w:rPr>
          <w:rFonts w:hint="eastAsia" w:ascii="宋体" w:hAnsi="宋体" w:eastAsia="仿宋_GB2312" w:cs="仿宋_GB2312"/>
          <w:b w:val="0"/>
          <w:bCs w:val="0"/>
          <w:sz w:val="32"/>
          <w:szCs w:val="32"/>
        </w:rPr>
      </w:pPr>
    </w:p>
    <w:p w14:paraId="7A9F96F4">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宋体" w:hAnsi="宋体" w:eastAsia="仿宋_GB2312" w:cs="仿宋_GB2312"/>
          <w:b w:val="0"/>
          <w:bCs w:val="0"/>
          <w:sz w:val="28"/>
          <w:szCs w:val="28"/>
        </w:rPr>
      </w:pPr>
      <w:r>
        <w:rPr>
          <w:rFonts w:hint="eastAsia" w:ascii="宋体" w:hAnsi="宋体" w:eastAsia="仿宋_GB2312" w:cs="仿宋_GB2312"/>
          <w:b w:val="0"/>
          <w:bCs w:val="0"/>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96520</wp:posOffset>
                </wp:positionV>
                <wp:extent cx="5551170" cy="0"/>
                <wp:effectExtent l="0" t="6350" r="0" b="6350"/>
                <wp:wrapNone/>
                <wp:docPr id="7" name="直接连接符 7"/>
                <wp:cNvGraphicFramePr/>
                <a:graphic xmlns:a="http://schemas.openxmlformats.org/drawingml/2006/main">
                  <a:graphicData uri="http://schemas.microsoft.com/office/word/2010/wordprocessingShape">
                    <wps:wsp>
                      <wps:cNvCnPr/>
                      <wps:spPr>
                        <a:xfrm>
                          <a:off x="0" y="0"/>
                          <a:ext cx="555117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7.6pt;height:0pt;width:437.1pt;z-index:251660288;mso-width-relative:page;mso-height-relative:page;" filled="f" stroked="t" coordsize="21600,21600" o:gfxdata="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r3Qv7U&#10;AAAABgEAAA8AAAAAAAAAAQAgAAAAIgAAAGRycy9kb3ducmV2LnhtbFBLAQIUABQAAAAIAIdO4kB0&#10;1bCi6wEAANkDAAAOAAAAAAAAAAEAIAAAACMBAABkcnMvZTJvRG9jLnhtbFBLBQYAAAAABgAGAFkB&#10;AACABQAAAAA=&#10;">
                <v:fill on="f" focussize="0,0"/>
                <v:stroke weight="1pt" color="#000000" joinstyle="round"/>
                <v:imagedata o:title=""/>
                <o:lock v:ext="edit" aspectratio="f"/>
              </v:line>
            </w:pict>
          </mc:Fallback>
        </mc:AlternateContent>
      </w:r>
      <w:r>
        <w:rPr>
          <w:rFonts w:hint="eastAsia" w:ascii="宋体" w:hAnsi="宋体" w:eastAsia="仿宋_GB2312" w:cs="仿宋_GB2312"/>
          <w:b w:val="0"/>
          <w:bCs w:val="0"/>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501015</wp:posOffset>
                </wp:positionV>
                <wp:extent cx="5551170" cy="0"/>
                <wp:effectExtent l="0" t="6350" r="0" b="6350"/>
                <wp:wrapNone/>
                <wp:docPr id="6" name="直接连接符 6"/>
                <wp:cNvGraphicFramePr/>
                <a:graphic xmlns:a="http://schemas.openxmlformats.org/drawingml/2006/main">
                  <a:graphicData uri="http://schemas.microsoft.com/office/word/2010/wordprocessingShape">
                    <wps:wsp>
                      <wps:cNvCnPr/>
                      <wps:spPr>
                        <a:xfrm>
                          <a:off x="0" y="0"/>
                          <a:ext cx="555117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39.45pt;height:0pt;width:437.1pt;z-index:251661312;mso-width-relative:page;mso-height-relative:page;" filled="f" stroked="t" coordsize="21600,21600" o:gfxdata="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UlM&#10;qdUAAAAGAQAADwAAAAAAAAABACAAAAAiAAAAZHJzL2Rvd25yZXYueG1sUEsBAhQAFAAAAAgAh07i&#10;QFp/pW/sAQAA2QMAAA4AAAAAAAAAAQAgAAAAJAEAAGRycy9lMm9Eb2MueG1sUEsFBgAAAAAGAAYA&#10;WQEAAIIFAAAAAA==&#10;">
                <v:fill on="f" focussize="0,0"/>
                <v:stroke weight="1pt" color="#000000" joinstyle="round"/>
                <v:imagedata o:title=""/>
                <o:lock v:ext="edit" aspectratio="f"/>
              </v:line>
            </w:pict>
          </mc:Fallback>
        </mc:AlternateContent>
      </w:r>
      <w:r>
        <w:rPr>
          <w:rFonts w:hint="eastAsia" w:ascii="宋体" w:hAnsi="宋体" w:eastAsia="仿宋_GB2312" w:cs="仿宋_GB2312"/>
          <w:b w:val="0"/>
          <w:bCs w:val="0"/>
          <w:sz w:val="28"/>
          <w:szCs w:val="28"/>
        </w:rPr>
        <w:t xml:space="preserve">泗水县人民政府办公室        </w:t>
      </w:r>
      <w:bookmarkStart w:id="0" w:name="BKprinttime"/>
      <w:r>
        <w:rPr>
          <w:rFonts w:hint="eastAsia" w:ascii="宋体" w:hAnsi="宋体" w:eastAsia="仿宋_GB2312" w:cs="仿宋_GB2312"/>
          <w:b w:val="0"/>
          <w:bCs w:val="0"/>
          <w:sz w:val="28"/>
          <w:szCs w:val="28"/>
        </w:rPr>
        <w:t xml:space="preserve"> </w:t>
      </w:r>
      <w:r>
        <w:rPr>
          <w:rFonts w:hint="eastAsia" w:ascii="宋体" w:hAnsi="宋体" w:eastAsia="仿宋_GB2312" w:cs="仿宋_GB2312"/>
          <w:b w:val="0"/>
          <w:bCs w:val="0"/>
          <w:sz w:val="28"/>
          <w:szCs w:val="28"/>
          <w:lang w:val="en-US" w:eastAsia="zh-CN"/>
        </w:rPr>
        <w:t xml:space="preserve">    </w:t>
      </w:r>
      <w:r>
        <w:rPr>
          <w:rFonts w:hint="eastAsia" w:ascii="宋体" w:hAnsi="宋体" w:eastAsia="仿宋_GB2312" w:cs="仿宋_GB2312"/>
          <w:b w:val="0"/>
          <w:bCs w:val="0"/>
          <w:sz w:val="28"/>
          <w:szCs w:val="28"/>
        </w:rPr>
        <w:t xml:space="preserve">       2024年</w:t>
      </w:r>
      <w:r>
        <w:rPr>
          <w:rFonts w:hint="eastAsia" w:ascii="宋体" w:hAnsi="宋体" w:eastAsia="仿宋_GB2312" w:cs="仿宋_GB2312"/>
          <w:b w:val="0"/>
          <w:bCs w:val="0"/>
          <w:sz w:val="28"/>
          <w:szCs w:val="28"/>
          <w:lang w:val="en-US" w:eastAsia="zh-CN"/>
        </w:rPr>
        <w:t>7</w:t>
      </w:r>
      <w:r>
        <w:rPr>
          <w:rFonts w:hint="eastAsia" w:ascii="宋体" w:hAnsi="宋体" w:eastAsia="仿宋_GB2312" w:cs="仿宋_GB2312"/>
          <w:b w:val="0"/>
          <w:bCs w:val="0"/>
          <w:sz w:val="28"/>
          <w:szCs w:val="28"/>
        </w:rPr>
        <w:t>月</w:t>
      </w:r>
      <w:r>
        <w:rPr>
          <w:rFonts w:hint="eastAsia" w:ascii="宋体" w:hAnsi="宋体" w:eastAsia="仿宋_GB2312" w:cs="仿宋_GB2312"/>
          <w:b w:val="0"/>
          <w:bCs w:val="0"/>
          <w:sz w:val="28"/>
          <w:szCs w:val="28"/>
          <w:lang w:val="en-US" w:eastAsia="zh-CN"/>
        </w:rPr>
        <w:t>18</w:t>
      </w:r>
      <w:r>
        <w:rPr>
          <w:rFonts w:hint="eastAsia" w:ascii="宋体" w:hAnsi="宋体" w:eastAsia="仿宋_GB2312" w:cs="仿宋_GB2312"/>
          <w:b w:val="0"/>
          <w:bCs w:val="0"/>
          <w:sz w:val="28"/>
          <w:szCs w:val="28"/>
        </w:rPr>
        <w:t>日</w:t>
      </w:r>
      <w:bookmarkEnd w:id="0"/>
      <w:r>
        <w:rPr>
          <w:rFonts w:hint="eastAsia" w:ascii="宋体" w:hAnsi="宋体" w:eastAsia="仿宋_GB2312" w:cs="仿宋_GB2312"/>
          <w:b w:val="0"/>
          <w:bCs w:val="0"/>
          <w:sz w:val="28"/>
          <w:szCs w:val="28"/>
        </w:rPr>
        <w:t>印发</w:t>
      </w:r>
    </w:p>
    <w:sectPr>
      <w:headerReference r:id="rId7" w:type="default"/>
      <w:footerReference r:id="rId8" w:type="default"/>
      <w:pgSz w:w="11906" w:h="16838"/>
      <w:pgMar w:top="1871" w:right="1587" w:bottom="1814" w:left="1587" w:header="851" w:footer="158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1864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587D0">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6587D0">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314C">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600C">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1545C">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EA1545C">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6FEE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1020C">
    <w:pPr>
      <w:pStyle w:val="4"/>
      <w:pBdr>
        <w:bottom w:val="none" w:color="auto" w:sz="0" w:space="1"/>
      </w:pBdr>
    </w:pPr>
    <w:r>
      <mc:AlternateContent>
        <mc:Choice Requires="wps">
          <w:drawing>
            <wp:anchor distT="0" distB="0" distL="114300" distR="114300" simplePos="0" relativeHeight="251663360" behindDoc="0" locked="0" layoutInCell="1" allowOverlap="1">
              <wp:simplePos x="0" y="0"/>
              <wp:positionH relativeFrom="column">
                <wp:posOffset>-537845</wp:posOffset>
              </wp:positionH>
              <wp:positionV relativeFrom="paragraph">
                <wp:posOffset>378460</wp:posOffset>
              </wp:positionV>
              <wp:extent cx="457200" cy="5565775"/>
              <wp:effectExtent l="0" t="0" r="0" b="0"/>
              <wp:wrapNone/>
              <wp:docPr id="15" name="矩形 15"/>
              <wp:cNvGraphicFramePr/>
              <a:graphic xmlns:a="http://schemas.openxmlformats.org/drawingml/2006/main">
                <a:graphicData uri="http://schemas.microsoft.com/office/word/2010/wordprocessingShape">
                  <wps:wsp>
                    <wps:cNvSpPr/>
                    <wps:spPr>
                      <a:xfrm>
                        <a:off x="0" y="0"/>
                        <a:ext cx="457200" cy="5565775"/>
                      </a:xfrm>
                      <a:prstGeom prst="rect">
                        <a:avLst/>
                      </a:prstGeom>
                      <a:noFill/>
                      <a:ln>
                        <a:noFill/>
                      </a:ln>
                    </wps:spPr>
                    <wps:txbx>
                      <w:txbxContent>
                        <w:p w14:paraId="04BFDDFD">
                          <w:pPr>
                            <w:pStyle w:val="3"/>
                            <w:tabs>
                              <w:tab w:val="left" w:pos="1218"/>
                            </w:tabs>
                            <w:jc w:val="both"/>
                            <w:rPr>
                              <w:rFonts w:hint="eastAsia" w:ascii="宋体" w:hAnsi="宋体" w:eastAsia="宋体" w:cs="宋体"/>
                              <w:sz w:val="28"/>
                              <w:szCs w:val="28"/>
                            </w:rPr>
                          </w:pPr>
                          <w:r>
                            <w:rPr>
                              <w:rStyle w:val="7"/>
                              <w:rFonts w:hint="eastAsia" w:ascii="宋体" w:hAnsi="宋体" w:eastAsia="宋体" w:cs="宋体"/>
                              <w:sz w:val="28"/>
                              <w:szCs w:val="28"/>
                            </w:rPr>
                            <w:t xml:space="preserve">— </w:t>
                          </w:r>
                          <w:r>
                            <w:rPr>
                              <w:rStyle w:val="7"/>
                              <w:rFonts w:hint="eastAsia" w:ascii="宋体" w:hAnsi="宋体" w:eastAsia="宋体" w:cs="宋体"/>
                              <w:sz w:val="28"/>
                              <w:szCs w:val="28"/>
                            </w:rPr>
                            <w:fldChar w:fldCharType="begin"/>
                          </w:r>
                          <w:r>
                            <w:rPr>
                              <w:rStyle w:val="7"/>
                              <w:rFonts w:hint="eastAsia" w:ascii="宋体" w:hAnsi="宋体" w:eastAsia="宋体" w:cs="宋体"/>
                              <w:sz w:val="28"/>
                              <w:szCs w:val="28"/>
                            </w:rPr>
                            <w:instrText xml:space="preserve">PAGE  </w:instrText>
                          </w:r>
                          <w:r>
                            <w:rPr>
                              <w:rStyle w:val="7"/>
                              <w:rFonts w:hint="eastAsia" w:ascii="宋体" w:hAnsi="宋体" w:eastAsia="宋体" w:cs="宋体"/>
                              <w:sz w:val="28"/>
                              <w:szCs w:val="28"/>
                            </w:rPr>
                            <w:fldChar w:fldCharType="separate"/>
                          </w:r>
                          <w:r>
                            <w:rPr>
                              <w:rStyle w:val="7"/>
                              <w:rFonts w:hint="eastAsia" w:ascii="宋体" w:hAnsi="宋体" w:eastAsia="宋体" w:cs="宋体"/>
                              <w:sz w:val="28"/>
                              <w:szCs w:val="28"/>
                            </w:rPr>
                            <w:t>2</w:t>
                          </w:r>
                          <w:r>
                            <w:rPr>
                              <w:rStyle w:val="7"/>
                              <w:rFonts w:hint="eastAsia" w:ascii="宋体" w:hAnsi="宋体" w:eastAsia="宋体" w:cs="宋体"/>
                              <w:sz w:val="28"/>
                              <w:szCs w:val="28"/>
                            </w:rPr>
                            <w:fldChar w:fldCharType="end"/>
                          </w:r>
                          <w:r>
                            <w:rPr>
                              <w:rStyle w:val="7"/>
                              <w:rFonts w:hint="eastAsia" w:ascii="宋体" w:hAnsi="宋体" w:eastAsia="宋体" w:cs="宋体"/>
                              <w:sz w:val="28"/>
                              <w:szCs w:val="28"/>
                            </w:rPr>
                            <w:t xml:space="preserve"> —</w:t>
                          </w:r>
                        </w:p>
                      </w:txbxContent>
                    </wps:txbx>
                    <wps:bodyPr vert="vert" upright="1"/>
                  </wps:wsp>
                </a:graphicData>
              </a:graphic>
            </wp:anchor>
          </w:drawing>
        </mc:Choice>
        <mc:Fallback>
          <w:pict>
            <v:rect id="_x0000_s1026" o:spid="_x0000_s1026" o:spt="1" style="position:absolute;left:0pt;margin-left:-42.35pt;margin-top:29.8pt;height:438.25pt;width:36pt;z-index:251663360;mso-width-relative:page;mso-height-relative:page;" filled="f" stroked="f" coordsize="21600,21600" o:gfxdata="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bd0TT2gAA&#10;AAoBAAAPAAAAAAAAAAEAIAAAACIAAABkcnMvZG93bnJldi54bWxQSwECFAAUAAAACACHTuJAkMwa&#10;1aoBAABPAwAADgAAAAAAAAABACAAAAApAQAAZHJzL2Uyb0RvYy54bWxQSwUGAAAAAAYABgBZAQAA&#10;RQUAAAAA&#10;">
              <v:fill on="f" focussize="0,0"/>
              <v:stroke on="f"/>
              <v:imagedata o:title=""/>
              <o:lock v:ext="edit" aspectratio="f"/>
              <v:textbox style="layout-flow:vertical;">
                <w:txbxContent>
                  <w:p w14:paraId="04BFDDFD">
                    <w:pPr>
                      <w:pStyle w:val="3"/>
                      <w:tabs>
                        <w:tab w:val="left" w:pos="1218"/>
                      </w:tabs>
                      <w:jc w:val="both"/>
                      <w:rPr>
                        <w:rFonts w:hint="eastAsia" w:ascii="宋体" w:hAnsi="宋体" w:eastAsia="宋体" w:cs="宋体"/>
                        <w:sz w:val="28"/>
                        <w:szCs w:val="28"/>
                      </w:rPr>
                    </w:pPr>
                    <w:r>
                      <w:rPr>
                        <w:rStyle w:val="7"/>
                        <w:rFonts w:hint="eastAsia" w:ascii="宋体" w:hAnsi="宋体" w:eastAsia="宋体" w:cs="宋体"/>
                        <w:sz w:val="28"/>
                        <w:szCs w:val="28"/>
                      </w:rPr>
                      <w:t xml:space="preserve">— </w:t>
                    </w:r>
                    <w:r>
                      <w:rPr>
                        <w:rStyle w:val="7"/>
                        <w:rFonts w:hint="eastAsia" w:ascii="宋体" w:hAnsi="宋体" w:eastAsia="宋体" w:cs="宋体"/>
                        <w:sz w:val="28"/>
                        <w:szCs w:val="28"/>
                      </w:rPr>
                      <w:fldChar w:fldCharType="begin"/>
                    </w:r>
                    <w:r>
                      <w:rPr>
                        <w:rStyle w:val="7"/>
                        <w:rFonts w:hint="eastAsia" w:ascii="宋体" w:hAnsi="宋体" w:eastAsia="宋体" w:cs="宋体"/>
                        <w:sz w:val="28"/>
                        <w:szCs w:val="28"/>
                      </w:rPr>
                      <w:instrText xml:space="preserve">PAGE  </w:instrText>
                    </w:r>
                    <w:r>
                      <w:rPr>
                        <w:rStyle w:val="7"/>
                        <w:rFonts w:hint="eastAsia" w:ascii="宋体" w:hAnsi="宋体" w:eastAsia="宋体" w:cs="宋体"/>
                        <w:sz w:val="28"/>
                        <w:szCs w:val="28"/>
                      </w:rPr>
                      <w:fldChar w:fldCharType="separate"/>
                    </w:r>
                    <w:r>
                      <w:rPr>
                        <w:rStyle w:val="7"/>
                        <w:rFonts w:hint="eastAsia" w:ascii="宋体" w:hAnsi="宋体" w:eastAsia="宋体" w:cs="宋体"/>
                        <w:sz w:val="28"/>
                        <w:szCs w:val="28"/>
                      </w:rPr>
                      <w:t>2</w:t>
                    </w:r>
                    <w:r>
                      <w:rPr>
                        <w:rStyle w:val="7"/>
                        <w:rFonts w:hint="eastAsia" w:ascii="宋体" w:hAnsi="宋体" w:eastAsia="宋体" w:cs="宋体"/>
                        <w:sz w:val="28"/>
                        <w:szCs w:val="28"/>
                      </w:rPr>
                      <w:fldChar w:fldCharType="end"/>
                    </w:r>
                    <w:r>
                      <w:rPr>
                        <w:rStyle w:val="7"/>
                        <w:rFonts w:hint="eastAsia" w:ascii="宋体" w:hAnsi="宋体" w:eastAsia="宋体" w:cs="宋体"/>
                        <w:sz w:val="28"/>
                        <w:szCs w:val="28"/>
                      </w:rPr>
                      <w:t xml:space="preserve"> —</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9FA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kYjU2OTVhYjhjNzllZmIzODYxZGFmMGY4MmQxMjEifQ=="/>
  </w:docVars>
  <w:rsids>
    <w:rsidRoot w:val="001D6EE2"/>
    <w:rsid w:val="001C3E43"/>
    <w:rsid w:val="001D6EE2"/>
    <w:rsid w:val="001D7613"/>
    <w:rsid w:val="0025739B"/>
    <w:rsid w:val="0028380D"/>
    <w:rsid w:val="00330F02"/>
    <w:rsid w:val="003756F0"/>
    <w:rsid w:val="00424390"/>
    <w:rsid w:val="00457E00"/>
    <w:rsid w:val="004812FD"/>
    <w:rsid w:val="00525477"/>
    <w:rsid w:val="00533EDF"/>
    <w:rsid w:val="006152F5"/>
    <w:rsid w:val="006E4D8B"/>
    <w:rsid w:val="00784057"/>
    <w:rsid w:val="007B4D56"/>
    <w:rsid w:val="008511E9"/>
    <w:rsid w:val="00887713"/>
    <w:rsid w:val="00A06E88"/>
    <w:rsid w:val="00BF69B4"/>
    <w:rsid w:val="00EE3B11"/>
    <w:rsid w:val="033B2B72"/>
    <w:rsid w:val="038F2C54"/>
    <w:rsid w:val="063F159D"/>
    <w:rsid w:val="09205528"/>
    <w:rsid w:val="09A06EDB"/>
    <w:rsid w:val="0CD130D4"/>
    <w:rsid w:val="0E1D7139"/>
    <w:rsid w:val="118E52B5"/>
    <w:rsid w:val="18F02060"/>
    <w:rsid w:val="1BB27AA1"/>
    <w:rsid w:val="1BDE2644"/>
    <w:rsid w:val="1C741416"/>
    <w:rsid w:val="1CE02281"/>
    <w:rsid w:val="21FA71E7"/>
    <w:rsid w:val="229E2B2D"/>
    <w:rsid w:val="22B43AB3"/>
    <w:rsid w:val="243061C8"/>
    <w:rsid w:val="25446A6C"/>
    <w:rsid w:val="26A520EC"/>
    <w:rsid w:val="28583FE8"/>
    <w:rsid w:val="28665BC8"/>
    <w:rsid w:val="28CA42EF"/>
    <w:rsid w:val="28E90FF8"/>
    <w:rsid w:val="28F14C70"/>
    <w:rsid w:val="2C920367"/>
    <w:rsid w:val="2D7D7F0E"/>
    <w:rsid w:val="2DED6716"/>
    <w:rsid w:val="2F920605"/>
    <w:rsid w:val="2FB971F8"/>
    <w:rsid w:val="301F52AD"/>
    <w:rsid w:val="36E0506A"/>
    <w:rsid w:val="3755562B"/>
    <w:rsid w:val="37B26A07"/>
    <w:rsid w:val="391B06E6"/>
    <w:rsid w:val="3A1E65D5"/>
    <w:rsid w:val="3EC232CE"/>
    <w:rsid w:val="40372168"/>
    <w:rsid w:val="41710989"/>
    <w:rsid w:val="43061E8F"/>
    <w:rsid w:val="4414020A"/>
    <w:rsid w:val="44281555"/>
    <w:rsid w:val="450679EF"/>
    <w:rsid w:val="45E22BAD"/>
    <w:rsid w:val="465F2F70"/>
    <w:rsid w:val="4D227A97"/>
    <w:rsid w:val="4D3B0DF4"/>
    <w:rsid w:val="4DB02E33"/>
    <w:rsid w:val="4FED4628"/>
    <w:rsid w:val="4FF54542"/>
    <w:rsid w:val="52C85C67"/>
    <w:rsid w:val="541B59D7"/>
    <w:rsid w:val="54DA7145"/>
    <w:rsid w:val="570A7A61"/>
    <w:rsid w:val="5B775CE0"/>
    <w:rsid w:val="5D105F98"/>
    <w:rsid w:val="5DB30942"/>
    <w:rsid w:val="5E874ACB"/>
    <w:rsid w:val="5EA063DF"/>
    <w:rsid w:val="5FCC3B5F"/>
    <w:rsid w:val="61441077"/>
    <w:rsid w:val="61C52274"/>
    <w:rsid w:val="674E6DCA"/>
    <w:rsid w:val="6C0479F0"/>
    <w:rsid w:val="6C6C43C6"/>
    <w:rsid w:val="6F634F28"/>
    <w:rsid w:val="71C32488"/>
    <w:rsid w:val="724E2E64"/>
    <w:rsid w:val="75CD5BE9"/>
    <w:rsid w:val="76DE6D2F"/>
    <w:rsid w:val="775A0EC2"/>
    <w:rsid w:val="79E82E9A"/>
    <w:rsid w:val="7A1B07FA"/>
    <w:rsid w:val="7A6E02FE"/>
    <w:rsid w:val="7D431705"/>
    <w:rsid w:val="7E501646"/>
    <w:rsid w:val="7E806D2A"/>
    <w:rsid w:val="7EF06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szCs w:val="3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sz w:val="21"/>
      <w:szCs w:val="2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正文文本 (2)_"/>
    <w:basedOn w:val="6"/>
    <w:link w:val="9"/>
    <w:qFormat/>
    <w:uiPriority w:val="99"/>
    <w:rPr>
      <w:rFonts w:ascii="微软雅黑" w:hAnsi="Calibri" w:eastAsia="微软雅黑" w:cs="微软雅黑"/>
      <w:spacing w:val="40"/>
      <w:sz w:val="26"/>
      <w:szCs w:val="26"/>
    </w:rPr>
  </w:style>
  <w:style w:type="paragraph" w:customStyle="1" w:styleId="9">
    <w:name w:val="正文文本 (2)"/>
    <w:link w:val="8"/>
    <w:qFormat/>
    <w:uiPriority w:val="99"/>
    <w:pPr>
      <w:shd w:val="clear" w:color="auto" w:fill="FFFFFF"/>
      <w:ind w:firstLine="580"/>
      <w:jc w:val="distribute"/>
    </w:pPr>
    <w:rPr>
      <w:rFonts w:ascii="微软雅黑" w:hAnsi="Calibri" w:eastAsia="微软雅黑" w:cs="微软雅黑"/>
      <w:spacing w:val="40"/>
      <w:sz w:val="26"/>
      <w:szCs w:val="26"/>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1967</Words>
  <Characters>2217</Characters>
  <Lines>20</Lines>
  <Paragraphs>5</Paragraphs>
  <TotalTime>1</TotalTime>
  <ScaleCrop>false</ScaleCrop>
  <LinksUpToDate>false</LinksUpToDate>
  <CharactersWithSpaces>2241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2024-03-08T08:40:00Z</dcterms:created>
  <dc:creator>Lenovo</dc:creator>
  <cp:lastModifiedBy>WPS_1661510369</cp:lastModifiedBy>
  <cp:lastPrinted>2024-06-11T02:37:00Z</cp:lastPrinted>
  <dcterms:modified xsi:type="dcterms:W3CDTF">2024-07-22T03:01:24Z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E5249D4FD17B4040806AEA6B4E83520B_13</vt:lpwstr>
  </property>
</Properties>
</file>