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泗水县应急管理局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年政府信息公开工作年度报告</w:t>
      </w:r>
    </w:p>
    <w:p>
      <w:pPr>
        <w:spacing w:line="600" w:lineRule="exact"/>
        <w:jc w:val="center"/>
        <w:rPr>
          <w:rFonts w:ascii="方正小标宋简体" w:eastAsia="方正小标宋简体"/>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本报告由泗水县应急管理局按照《中华人民共和国政府信息公开条例》（以下简称《条例》）和《中华人民共和国政府信息公开工作年度报告格式》（国办公开办函〔2021〕30号）要求编制。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eastAsia="仿宋_GB2312"/>
          <w:b/>
          <w:bCs/>
          <w:sz w:val="32"/>
          <w:szCs w:val="32"/>
          <w:lang w:val="en-US" w:eastAsia="zh-CN"/>
        </w:rPr>
      </w:pPr>
      <w:r>
        <w:rPr>
          <w:rFonts w:hint="default" w:ascii="Times New Roman" w:hAnsi="Times New Roman" w:eastAsia="方正仿宋简体" w:cs="Times New Roman"/>
          <w:b/>
          <w:bCs/>
          <w:sz w:val="32"/>
          <w:szCs w:val="32"/>
          <w:lang w:val="en-US" w:eastAsia="zh-CN"/>
        </w:rPr>
        <w:t>本报告所列数据的统计期限自2023年1月1日起至2023年12月31日止。本报告电子版可在“中国·泗水”政府门户网站（http://www.sishui.gov.cn/）查阅或下载。如对本报告有疑问，请与泗水县应急管理局联系（地址：泗水县泉鑫路5号，联系电话：0537-4366578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一、总体情况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2023年泗水县应急管理局认真贯彻落实省、市、县政务公开工作安排部署，围绕群众对应急管理和安全生产监管领域信息关注需求，坚持“公开为常态，不公开为例外”的工作思路，进一步巩固信息公开成果，规范信息公开内容，突出信息公开重点，着力做好主动公开、规范依申请公开，不断夯实基层政务公开基础，全面提高信息发布质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（一）主动公开情况。</w:t>
      </w:r>
      <w:r>
        <w:rPr>
          <w:rFonts w:hint="default" w:ascii="Times New Roman" w:hAnsi="Times New Roman" w:eastAsia="方正仿宋简体" w:cs="Times New Roman"/>
          <w:b/>
          <w:bCs/>
          <w:sz w:val="32"/>
          <w:szCs w:val="32"/>
          <w:lang w:val="en-US" w:eastAsia="zh-CN"/>
        </w:rPr>
        <w:t>202</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年通过政府门户网站共发布信息</w:t>
      </w:r>
      <w:r>
        <w:rPr>
          <w:rFonts w:hint="eastAsia" w:ascii="Times New Roman" w:hAnsi="Times New Roman" w:eastAsia="方正仿宋简体" w:cs="Times New Roman"/>
          <w:b/>
          <w:bCs/>
          <w:sz w:val="32"/>
          <w:szCs w:val="32"/>
          <w:lang w:val="en-US" w:eastAsia="zh-CN"/>
        </w:rPr>
        <w:t>179</w:t>
      </w:r>
      <w:r>
        <w:rPr>
          <w:rFonts w:hint="default" w:ascii="Times New Roman" w:hAnsi="Times New Roman" w:eastAsia="方正仿宋简体" w:cs="Times New Roman"/>
          <w:b/>
          <w:bCs/>
          <w:sz w:val="32"/>
          <w:szCs w:val="32"/>
          <w:lang w:val="en-US" w:eastAsia="zh-CN"/>
        </w:rPr>
        <w:t>条，其中履职依据14条，镇街部门文件</w:t>
      </w:r>
      <w:r>
        <w:rPr>
          <w:rFonts w:hint="eastAsia"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lang w:val="en-US" w:eastAsia="zh-CN"/>
        </w:rPr>
        <w:t>条，音频视频图文解读</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条，公告公示</w:t>
      </w:r>
      <w:r>
        <w:rPr>
          <w:rFonts w:hint="eastAsia" w:ascii="Times New Roman" w:hAnsi="Times New Roman" w:eastAsia="方正仿宋简体" w:cs="Times New Roman"/>
          <w:b/>
          <w:bCs/>
          <w:sz w:val="32"/>
          <w:szCs w:val="32"/>
          <w:lang w:val="en-US" w:eastAsia="zh-CN"/>
        </w:rPr>
        <w:t>29</w:t>
      </w:r>
      <w:r>
        <w:rPr>
          <w:rFonts w:hint="default" w:ascii="Times New Roman" w:hAnsi="Times New Roman" w:eastAsia="方正仿宋简体" w:cs="Times New Roman"/>
          <w:b/>
          <w:bCs/>
          <w:sz w:val="32"/>
          <w:szCs w:val="32"/>
          <w:lang w:val="en-US" w:eastAsia="zh-CN"/>
        </w:rPr>
        <w:t>条，</w:t>
      </w:r>
      <w:r>
        <w:rPr>
          <w:rFonts w:hint="eastAsia" w:ascii="Times New Roman" w:hAnsi="Times New Roman" w:eastAsia="方正仿宋简体" w:cs="Times New Roman"/>
          <w:b/>
          <w:bCs/>
          <w:sz w:val="32"/>
          <w:szCs w:val="32"/>
          <w:lang w:val="en-US" w:eastAsia="zh-CN"/>
        </w:rPr>
        <w:t>“双随机、一公开”信息18条，行政执法公示76条，</w:t>
      </w:r>
      <w:r>
        <w:rPr>
          <w:rFonts w:hint="default" w:ascii="Times New Roman" w:hAnsi="Times New Roman" w:eastAsia="方正仿宋简体" w:cs="Times New Roman"/>
          <w:b/>
          <w:bCs/>
          <w:sz w:val="32"/>
          <w:szCs w:val="32"/>
          <w:lang w:val="en-US" w:eastAsia="zh-CN"/>
        </w:rPr>
        <w:t>评估落实</w:t>
      </w: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lang w:val="en-US" w:eastAsia="zh-CN"/>
        </w:rPr>
        <w:t>条，公共监管</w:t>
      </w:r>
      <w:r>
        <w:rPr>
          <w:rFonts w:hint="eastAsia"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lang w:val="en-US" w:eastAsia="zh-CN"/>
        </w:rPr>
        <w:t>条，组织管理5条，政府开放日2条</w:t>
      </w:r>
      <w:r>
        <w:rPr>
          <w:rFonts w:hint="eastAsia" w:ascii="Times New Roman" w:hAnsi="Times New Roman" w:eastAsia="方正仿宋简体" w:cs="Times New Roman"/>
          <w:b/>
          <w:bCs/>
          <w:sz w:val="32"/>
          <w:szCs w:val="32"/>
          <w:lang w:val="en-US" w:eastAsia="zh-CN"/>
        </w:rPr>
        <w:t>，建议提案3条，应急管理8条。全年未发生因政府信息公开审查不当或保密审查人员未履行保密审查职责而引起的失泄密情况。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（二）依申请公开情况。</w:t>
      </w:r>
      <w:r>
        <w:rPr>
          <w:rFonts w:hint="eastAsia" w:ascii="Times New Roman" w:hAnsi="Times New Roman" w:eastAsia="方正仿宋简体" w:cs="Times New Roman"/>
          <w:b/>
          <w:bCs/>
          <w:sz w:val="32"/>
          <w:szCs w:val="32"/>
          <w:lang w:val="en-US" w:eastAsia="zh-CN"/>
        </w:rPr>
        <w:t>2023年，泗水县应急管理局收到依申请公开2条，已在规定时间内规范回复。政府信息公开申请未向申请人收取任何费用。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（三）政府信息管理情况。</w:t>
      </w:r>
      <w:r>
        <w:rPr>
          <w:rFonts w:hint="eastAsia" w:ascii="Times New Roman" w:hAnsi="Times New Roman" w:eastAsia="方正仿宋简体" w:cs="Times New Roman"/>
          <w:b/>
          <w:bCs/>
          <w:sz w:val="32"/>
          <w:szCs w:val="32"/>
          <w:lang w:val="en-US" w:eastAsia="zh-CN"/>
        </w:rPr>
        <w:t>健全保密审查制度，严格按照保密法律法规、政务公开保密审查条例规定及“先审查、后公开”原则，实行四重审核把关机制，进一步规范信息公开审查程序，进一步确保信息公开严格无误。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（四）平台建设情况。</w:t>
      </w:r>
      <w:r>
        <w:rPr>
          <w:rFonts w:hint="eastAsia" w:ascii="Times New Roman" w:hAnsi="Times New Roman" w:eastAsia="方正仿宋简体" w:cs="Times New Roman"/>
          <w:b/>
          <w:bCs/>
          <w:sz w:val="32"/>
          <w:szCs w:val="32"/>
          <w:lang w:val="en-US" w:eastAsia="zh-CN"/>
        </w:rPr>
        <w:t>泗水县应急管理局高度重视信息公开工作，通过泗水县人民政府网站、“泗水县应急管理局”微信公众号对外及时发布相关信息。微信公众号在运行过程中保证每周2到3次的更新频率，更新信息及时、内容发布准确、美观，措辞大方、得体，2023年共在微信公众号发布工作动态212条，</w:t>
      </w:r>
      <w:r>
        <w:rPr>
          <w:rFonts w:hint="default" w:ascii="Times New Roman" w:hAnsi="Times New Roman" w:eastAsia="方正仿宋简体" w:cs="Times New Roman"/>
          <w:b/>
          <w:bCs/>
          <w:sz w:val="32"/>
          <w:szCs w:val="32"/>
          <w:lang w:val="en-US" w:eastAsia="zh-CN"/>
        </w:rPr>
        <w:t>政府门户网站共发布信息</w:t>
      </w:r>
      <w:r>
        <w:rPr>
          <w:rFonts w:hint="eastAsia" w:ascii="Times New Roman" w:hAnsi="Times New Roman" w:eastAsia="方正仿宋简体" w:cs="Times New Roman"/>
          <w:b/>
          <w:bCs/>
          <w:sz w:val="32"/>
          <w:szCs w:val="32"/>
          <w:lang w:val="en-US" w:eastAsia="zh-CN"/>
        </w:rPr>
        <w:t>179</w:t>
      </w:r>
      <w:r>
        <w:rPr>
          <w:rFonts w:hint="default" w:ascii="Times New Roman" w:hAnsi="Times New Roman" w:eastAsia="方正仿宋简体" w:cs="Times New Roman"/>
          <w:b/>
          <w:bCs/>
          <w:sz w:val="32"/>
          <w:szCs w:val="32"/>
          <w:lang w:val="en-US" w:eastAsia="zh-CN"/>
        </w:rPr>
        <w:t>条</w:t>
      </w:r>
      <w:r>
        <w:rPr>
          <w:rFonts w:hint="eastAsia" w:ascii="Times New Roman" w:hAnsi="Times New Roman" w:eastAsia="方正仿宋简体" w:cs="Times New Roman"/>
          <w:b/>
          <w:bCs/>
          <w:sz w:val="32"/>
          <w:szCs w:val="32"/>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（五）监督保障情况。</w:t>
      </w:r>
      <w:r>
        <w:rPr>
          <w:rFonts w:hint="eastAsia" w:ascii="Times New Roman" w:hAnsi="Times New Roman" w:eastAsia="方正仿宋简体" w:cs="Times New Roman"/>
          <w:b/>
          <w:bCs/>
          <w:sz w:val="32"/>
          <w:szCs w:val="32"/>
          <w:lang w:val="en-US" w:eastAsia="zh-CN"/>
        </w:rPr>
        <w:t>成立了由局主要负责人任组长，分管领导任副组长，各科室、二级单位负责人为成员的政务公开领导小组。进一步规范政务信息公开保密和审查制度，完善政务信息公开指南和目录。开展政府开放日活动，加强群众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二、主动公开政府信息情况</w:t>
      </w:r>
    </w:p>
    <w:tbl>
      <w:tblPr>
        <w:tblStyle w:val="9"/>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19</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113</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line="600" w:lineRule="exact"/>
        <w:ind w:firstLine="643" w:firstLineChars="200"/>
        <w:rPr>
          <w:rFonts w:hint="eastAsia"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三、行政机关收到和处理政府信息公开申请情况</w:t>
      </w: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一、本年新收政府信息公开申请数量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（二）部分公开（区分处理的，只计这一情形，不计其他情形）</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2</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spacing w:line="600" w:lineRule="exact"/>
        <w:ind w:firstLine="643" w:firstLineChars="200"/>
        <w:rPr>
          <w:rFonts w:hint="eastAsia"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四、因政府信息公开工作被申请行政复议、提起行政诉讼情况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五、存在的主要问题及改进情况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2023年，县应急管理局在县政府办公室政务公开科的指导下，政务公开工作取得了一定的成效，但也存在一些不足。主要表现在：一是信息公开工作开展不均衡，少数科室政务公开的意识还比较淡薄，信息公开主动性不强；二是由于业务工作繁杂，负责政务公开工作的人员依然较少，力量薄弱；三是信息公开的宽度和广度还不够宽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针对存在的问题，在今后的政府信息公开工作中主要采取以下改进措施：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一是进一步加大政务公开力度。继续抓好政务公开规范完善，保证公开信息的时效性、完整性和准确性，全面提升政务公开档次和水平。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二是进一步加大政府信息公开工作的宣传和教育。组织机关工作人员学习《条例》，切实提高对政府信息公开重大意义的认识，不断深化公开理念。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三是进一步加强政府信息公开工作队伍建设。采取集中学习、定期培训等形式，提高政府信息公开工作人员综合素质,更好地适应新形势下对政府信息公开工作的新要求，更高效地做好我局的政府信息公开工作。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eastAsia="仿宋_GB2312"/>
          <w:b/>
          <w:bCs/>
          <w:sz w:val="32"/>
          <w:szCs w:val="32"/>
          <w:lang w:val="en-US" w:eastAsia="zh-CN"/>
        </w:rPr>
      </w:pPr>
      <w:r>
        <w:rPr>
          <w:rFonts w:hint="eastAsia" w:ascii="方正黑体简体" w:hAnsi="方正黑体简体" w:eastAsia="方正黑体简体" w:cs="方正黑体简体"/>
          <w:b/>
          <w:bCs/>
          <w:sz w:val="32"/>
          <w:szCs w:val="32"/>
          <w:lang w:val="en-US" w:eastAsia="zh-CN"/>
        </w:rPr>
        <w:t>六、其他需要报告的事项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（一）依据《政府信息公开信息处理费管理办法》收取信息处理费的情况。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2023年，泗水县应急管理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（二）落实上级年度政务公开工作要点情况。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县应急局根据县政府2023年度政务公开工作任务分解表的安排，对照工作任务清单，进一步规范政府信息管理，做好主动公开内容维护，快速高效答复政府信息公开申请，突出应急管理领域信息公开，有效地推进了政府信息公开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（三）人大代表建议和政协提案办理结果公开情况。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泗水县应急管理局共收到政协提案2件，均按时办理答复完毕。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（四）政务公开工作创新情况。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县应急管理局通过“5·12”防灾减灾日集中宣传活动、安全生产月宣传活动、“10·13”国际减灾日宣传活动等方式近距离与民众沟通，既展示了全县应急管理和安全生产各项工作的成效，也宣传了安全生产以及防灾减灾知识，提高了民众安全意识，取得了良好的效果。</w:t>
      </w:r>
    </w:p>
    <w:p>
      <w:pPr>
        <w:spacing w:line="60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0CB3D-4044-449E-9456-7B2AF94B41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502791-3514-464E-9CC1-68B8530A2055}"/>
  </w:font>
  <w:font w:name="等线">
    <w:panose1 w:val="02010600030101010101"/>
    <w:charset w:val="86"/>
    <w:family w:val="auto"/>
    <w:pitch w:val="default"/>
    <w:sig w:usb0="A00002BF" w:usb1="38CF7CFA" w:usb2="00000016" w:usb3="00000000" w:csb0="0004000F" w:csb1="00000000"/>
    <w:embedRegular r:id="rId3" w:fontKey="{DD9B3110-B4F3-4D9A-BC70-E66496A82F1D}"/>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2BE0A19B-3017-4D20-8454-D4855ECD6B14}"/>
  </w:font>
  <w:font w:name="方正黑体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5" w:fontKey="{407149D7-AE1F-4A6C-9B24-400FD7221D2E}"/>
  </w:font>
  <w:font w:name="楷体_GB2312">
    <w:panose1 w:val="02010609030101010101"/>
    <w:charset w:val="86"/>
    <w:family w:val="modern"/>
    <w:pitch w:val="default"/>
    <w:sig w:usb0="00000001" w:usb1="080E0000" w:usb2="00000000" w:usb3="00000000" w:csb0="00040000" w:csb1="00000000"/>
    <w:embedRegular r:id="rId6" w:fontKey="{66AEBE0C-63A0-456D-AA62-EAAAF8682414}"/>
  </w:font>
  <w:font w:name="楷体">
    <w:panose1 w:val="02010609060101010101"/>
    <w:charset w:val="86"/>
    <w:family w:val="modern"/>
    <w:pitch w:val="default"/>
    <w:sig w:usb0="800002BF" w:usb1="38CF7CFA" w:usb2="00000016" w:usb3="00000000" w:csb0="00040001" w:csb1="00000000"/>
    <w:embedRegular r:id="rId7" w:fontKey="{DFA62AA5-8E06-4FCA-8067-B2288A1B7F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zMTIwNWI1OWFiMWNkMmFlNWZjYTc0Y2E1YjE1ZmQifQ=="/>
    <w:docVar w:name="KSO_WPS_MARK_KEY" w:val="56935601-1b6a-4112-8d80-fd494e6f8904"/>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4CC1D57"/>
    <w:rsid w:val="3ED806D4"/>
    <w:rsid w:val="45725D94"/>
    <w:rsid w:val="46AB7CFB"/>
    <w:rsid w:val="5657137F"/>
    <w:rsid w:val="679A7139"/>
    <w:rsid w:val="6E0B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pPr>
  </w:style>
  <w:style w:type="paragraph" w:styleId="5">
    <w:name w:val="Date"/>
    <w:basedOn w:val="1"/>
    <w:next w:val="1"/>
    <w:link w:val="14"/>
    <w:semiHidden/>
    <w:unhideWhenUsed/>
    <w:qFormat/>
    <w:uiPriority w:val="99"/>
    <w:pPr>
      <w:ind w:left="100" w:leftChars="25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7"/>
    <w:uiPriority w:val="99"/>
    <w:rPr>
      <w:sz w:val="18"/>
      <w:szCs w:val="18"/>
    </w:rPr>
  </w:style>
  <w:style w:type="character" w:customStyle="1" w:styleId="12">
    <w:name w:val="页脚 字符"/>
    <w:basedOn w:val="10"/>
    <w:link w:val="6"/>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10"/>
    <w:link w:val="5"/>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年泗水县应急管理局政府网站信息公开情况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履职依据</c:v>
                </c:pt>
              </c:strCache>
            </c:strRef>
          </c:tx>
          <c:spPr>
            <a:solidFill>
              <a:schemeClr val="accent1"/>
            </a:solidFill>
            <a:ln>
              <a:noFill/>
            </a:ln>
            <a:effectLst/>
          </c:spPr>
          <c:invertIfNegative val="0"/>
          <c:dLbls>
            <c:delete val="1"/>
          </c:dLbls>
          <c:cat>
            <c:strRef>
              <c:f>Sheet1!$B$1</c:f>
              <c:strCache>
                <c:ptCount val="1"/>
                <c:pt idx="0">
                  <c:v>条数</c:v>
                </c:pt>
              </c:strCache>
            </c:strRef>
          </c:cat>
          <c:val>
            <c:numRef>
              <c:f>Sheet1!$B$2</c:f>
              <c:numCache>
                <c:formatCode>General</c:formatCode>
                <c:ptCount val="1"/>
                <c:pt idx="0">
                  <c:v>14</c:v>
                </c:pt>
              </c:numCache>
            </c:numRef>
          </c:val>
        </c:ser>
        <c:ser>
          <c:idx val="1"/>
          <c:order val="1"/>
          <c:tx>
            <c:strRef>
              <c:f>Sheet1!$A$3</c:f>
              <c:strCache>
                <c:ptCount val="1"/>
                <c:pt idx="0">
                  <c:v>镇街部门文件</c:v>
                </c:pt>
              </c:strCache>
            </c:strRef>
          </c:tx>
          <c:spPr>
            <a:solidFill>
              <a:schemeClr val="accent2"/>
            </a:solidFill>
            <a:ln>
              <a:noFill/>
            </a:ln>
            <a:effectLst/>
          </c:spPr>
          <c:invertIfNegative val="0"/>
          <c:dLbls>
            <c:delete val="1"/>
          </c:dLbls>
          <c:cat>
            <c:strRef>
              <c:f>Sheet1!$B$1</c:f>
              <c:strCache>
                <c:ptCount val="1"/>
                <c:pt idx="0">
                  <c:v>条数</c:v>
                </c:pt>
              </c:strCache>
            </c:strRef>
          </c:cat>
          <c:val>
            <c:numRef>
              <c:f>Sheet1!$B$3</c:f>
              <c:numCache>
                <c:formatCode>General</c:formatCode>
                <c:ptCount val="1"/>
                <c:pt idx="0">
                  <c:v>7</c:v>
                </c:pt>
              </c:numCache>
            </c:numRef>
          </c:val>
        </c:ser>
        <c:ser>
          <c:idx val="3"/>
          <c:order val="3"/>
          <c:tx>
            <c:strRef>
              <c:f>Sheet1!$A$4</c:f>
              <c:strCache>
                <c:ptCount val="1"/>
                <c:pt idx="0">
                  <c:v>音频视频图文解读</c:v>
                </c:pt>
              </c:strCache>
            </c:strRef>
          </c:tx>
          <c:spPr>
            <a:solidFill>
              <a:schemeClr val="accent4"/>
            </a:solidFill>
            <a:ln>
              <a:noFill/>
            </a:ln>
            <a:effectLst/>
          </c:spPr>
          <c:invertIfNegative val="0"/>
          <c:dLbls>
            <c:delete val="1"/>
          </c:dLbls>
          <c:cat>
            <c:strRef>
              <c:f>Sheet1!$B$1</c:f>
              <c:strCache>
                <c:ptCount val="1"/>
                <c:pt idx="0">
                  <c:v>条数</c:v>
                </c:pt>
              </c:strCache>
            </c:strRef>
          </c:cat>
          <c:val>
            <c:numRef>
              <c:f>Sheet1!$B$4</c:f>
              <c:numCache>
                <c:formatCode>General</c:formatCode>
                <c:ptCount val="1"/>
                <c:pt idx="0">
                  <c:v>4</c:v>
                </c:pt>
              </c:numCache>
            </c:numRef>
          </c:val>
        </c:ser>
        <c:ser>
          <c:idx val="5"/>
          <c:order val="5"/>
          <c:tx>
            <c:strRef>
              <c:f>Sheet1!$A$5</c:f>
              <c:strCache>
                <c:ptCount val="1"/>
                <c:pt idx="0">
                  <c:v>公告公示</c:v>
                </c:pt>
              </c:strCache>
            </c:strRef>
          </c:tx>
          <c:spPr>
            <a:solidFill>
              <a:schemeClr val="accent6"/>
            </a:solidFill>
            <a:ln>
              <a:noFill/>
            </a:ln>
            <a:effectLst/>
          </c:spPr>
          <c:invertIfNegative val="0"/>
          <c:dLbls>
            <c:delete val="1"/>
          </c:dLbls>
          <c:cat>
            <c:strRef>
              <c:f>Sheet1!$B$1</c:f>
              <c:strCache>
                <c:ptCount val="1"/>
                <c:pt idx="0">
                  <c:v>条数</c:v>
                </c:pt>
              </c:strCache>
            </c:strRef>
          </c:cat>
          <c:val>
            <c:numRef>
              <c:f>Sheet1!$B$5</c:f>
              <c:numCache>
                <c:formatCode>General</c:formatCode>
                <c:ptCount val="1"/>
                <c:pt idx="0">
                  <c:v>29</c:v>
                </c:pt>
              </c:numCache>
            </c:numRef>
          </c:val>
        </c:ser>
        <c:ser>
          <c:idx val="7"/>
          <c:order val="7"/>
          <c:tx>
            <c:strRef>
              <c:f>Sheet1!$A$6</c:f>
              <c:strCache>
                <c:ptCount val="1"/>
                <c:pt idx="0">
                  <c:v>评估落实</c:v>
                </c:pt>
              </c:strCache>
            </c:strRef>
          </c:tx>
          <c:spPr>
            <a:solidFill>
              <a:schemeClr val="accent2">
                <a:lumMod val="60000"/>
              </a:schemeClr>
            </a:solidFill>
            <a:ln>
              <a:noFill/>
            </a:ln>
            <a:effectLst/>
          </c:spPr>
          <c:invertIfNegative val="0"/>
          <c:dLbls>
            <c:delete val="1"/>
          </c:dLbls>
          <c:cat>
            <c:strRef>
              <c:f>Sheet1!$B$1</c:f>
              <c:strCache>
                <c:ptCount val="1"/>
                <c:pt idx="0">
                  <c:v>条数</c:v>
                </c:pt>
              </c:strCache>
            </c:strRef>
          </c:cat>
          <c:val>
            <c:numRef>
              <c:f>Sheet1!$B$6</c:f>
              <c:numCache>
                <c:formatCode>General</c:formatCode>
                <c:ptCount val="1"/>
                <c:pt idx="0">
                  <c:v>8</c:v>
                </c:pt>
              </c:numCache>
            </c:numRef>
          </c:val>
        </c:ser>
        <c:ser>
          <c:idx val="8"/>
          <c:order val="8"/>
          <c:tx>
            <c:strRef>
              <c:f>Sheet1!$A$7</c:f>
              <c:strCache>
                <c:ptCount val="1"/>
                <c:pt idx="0">
                  <c:v>公共监管</c:v>
                </c:pt>
              </c:strCache>
            </c:strRef>
          </c:tx>
          <c:spPr>
            <a:solidFill>
              <a:schemeClr val="accent3">
                <a:lumMod val="60000"/>
              </a:schemeClr>
            </a:solidFill>
            <a:ln>
              <a:noFill/>
            </a:ln>
            <a:effectLst/>
          </c:spPr>
          <c:invertIfNegative val="0"/>
          <c:dLbls>
            <c:delete val="1"/>
          </c:dLbls>
          <c:cat>
            <c:strRef>
              <c:f>Sheet1!$B$1</c:f>
              <c:strCache>
                <c:ptCount val="1"/>
                <c:pt idx="0">
                  <c:v>条数</c:v>
                </c:pt>
              </c:strCache>
            </c:strRef>
          </c:cat>
          <c:val>
            <c:numRef>
              <c:f>Sheet1!$B$7</c:f>
              <c:numCache>
                <c:formatCode>General</c:formatCode>
                <c:ptCount val="1"/>
                <c:pt idx="0">
                  <c:v>7</c:v>
                </c:pt>
              </c:numCache>
            </c:numRef>
          </c:val>
        </c:ser>
        <c:ser>
          <c:idx val="9"/>
          <c:order val="9"/>
          <c:tx>
            <c:strRef>
              <c:f>Sheet1!$A$8</c:f>
              <c:strCache>
                <c:ptCount val="1"/>
                <c:pt idx="0">
                  <c:v>组织管理</c:v>
                </c:pt>
              </c:strCache>
            </c:strRef>
          </c:tx>
          <c:spPr>
            <a:solidFill>
              <a:schemeClr val="accent4">
                <a:lumMod val="60000"/>
              </a:schemeClr>
            </a:solidFill>
            <a:ln>
              <a:noFill/>
            </a:ln>
            <a:effectLst/>
          </c:spPr>
          <c:invertIfNegative val="0"/>
          <c:dLbls>
            <c:delete val="1"/>
          </c:dLbls>
          <c:cat>
            <c:strRef>
              <c:f>Sheet1!$B$1</c:f>
              <c:strCache>
                <c:ptCount val="1"/>
                <c:pt idx="0">
                  <c:v>条数</c:v>
                </c:pt>
              </c:strCache>
            </c:strRef>
          </c:cat>
          <c:val>
            <c:numRef>
              <c:f>Sheet1!$B$8</c:f>
              <c:numCache>
                <c:formatCode>General</c:formatCode>
                <c:ptCount val="1"/>
                <c:pt idx="0">
                  <c:v>5</c:v>
                </c:pt>
              </c:numCache>
            </c:numRef>
          </c:val>
        </c:ser>
        <c:ser>
          <c:idx val="10"/>
          <c:order val="10"/>
          <c:tx>
            <c:strRef>
              <c:f>Sheet1!$A$9</c:f>
              <c:strCache>
                <c:ptCount val="1"/>
                <c:pt idx="0">
                  <c:v>政府开放日</c:v>
                </c:pt>
              </c:strCache>
            </c:strRef>
          </c:tx>
          <c:spPr>
            <a:solidFill>
              <a:schemeClr val="accent5">
                <a:lumMod val="60000"/>
              </a:schemeClr>
            </a:solidFill>
            <a:ln>
              <a:noFill/>
            </a:ln>
            <a:effectLst/>
          </c:spPr>
          <c:invertIfNegative val="0"/>
          <c:dLbls>
            <c:delete val="1"/>
          </c:dLbls>
          <c:cat>
            <c:strRef>
              <c:f>Sheet1!$B$1</c:f>
              <c:strCache>
                <c:ptCount val="1"/>
                <c:pt idx="0">
                  <c:v>条数</c:v>
                </c:pt>
              </c:strCache>
            </c:strRef>
          </c:cat>
          <c:val>
            <c:numRef>
              <c:f>Sheet1!$B$9</c:f>
              <c:numCache>
                <c:formatCode>General</c:formatCode>
                <c:ptCount val="1"/>
                <c:pt idx="0">
                  <c:v>2</c:v>
                </c:pt>
              </c:numCache>
            </c:numRef>
          </c:val>
        </c:ser>
        <c:ser>
          <c:idx val="11"/>
          <c:order val="11"/>
          <c:tx>
            <c:strRef>
              <c:f>Sheet1!$A$10</c:f>
              <c:strCache>
                <c:ptCount val="1"/>
                <c:pt idx="0">
                  <c:v>行政执法信息公示</c:v>
                </c:pt>
              </c:strCache>
            </c:strRef>
          </c:tx>
          <c:spPr>
            <a:solidFill>
              <a:schemeClr val="accent6">
                <a:lumMod val="60000"/>
              </a:schemeClr>
            </a:solidFill>
            <a:ln>
              <a:noFill/>
            </a:ln>
            <a:effectLst/>
          </c:spPr>
          <c:invertIfNegative val="0"/>
          <c:dLbls>
            <c:delete val="1"/>
          </c:dLbls>
          <c:cat>
            <c:strRef>
              <c:f>Sheet1!$B$1</c:f>
              <c:strCache>
                <c:ptCount val="1"/>
                <c:pt idx="0">
                  <c:v>条数</c:v>
                </c:pt>
              </c:strCache>
            </c:strRef>
          </c:cat>
          <c:val>
            <c:numRef>
              <c:f>Sheet1!$B$10</c:f>
              <c:numCache>
                <c:formatCode>General</c:formatCode>
                <c:ptCount val="1"/>
                <c:pt idx="0">
                  <c:v>76</c:v>
                </c:pt>
              </c:numCache>
            </c:numRef>
          </c:val>
        </c:ser>
        <c:ser>
          <c:idx val="12"/>
          <c:order val="12"/>
          <c:tx>
            <c:strRef>
              <c:f>Sheet1!$A$11</c:f>
              <c:strCache>
                <c:ptCount val="1"/>
                <c:pt idx="0">
                  <c:v>建议提案</c:v>
                </c:pt>
              </c:strCache>
            </c:strRef>
          </c:tx>
          <c:spPr>
            <a:solidFill>
              <a:schemeClr val="accent1">
                <a:lumMod val="80000"/>
                <a:lumOff val="20000"/>
              </a:schemeClr>
            </a:solidFill>
            <a:ln>
              <a:noFill/>
            </a:ln>
            <a:effectLst/>
          </c:spPr>
          <c:invertIfNegative val="0"/>
          <c:dLbls>
            <c:delete val="1"/>
          </c:dLbls>
          <c:cat>
            <c:strRef>
              <c:f>Sheet1!$B$1</c:f>
              <c:strCache>
                <c:ptCount val="1"/>
                <c:pt idx="0">
                  <c:v>条数</c:v>
                </c:pt>
              </c:strCache>
            </c:strRef>
          </c:cat>
          <c:val>
            <c:numRef>
              <c:f>Sheet1!$B$11</c:f>
              <c:numCache>
                <c:formatCode>General</c:formatCode>
                <c:ptCount val="1"/>
                <c:pt idx="0">
                  <c:v>3</c:v>
                </c:pt>
              </c:numCache>
            </c:numRef>
          </c:val>
        </c:ser>
        <c:ser>
          <c:idx val="14"/>
          <c:order val="14"/>
          <c:tx>
            <c:strRef>
              <c:f>"“双随机、一公开”信息"</c:f>
              <c:strCache>
                <c:ptCount val="1"/>
                <c:pt idx="0">
                  <c:v>“双随机、一公开”信息</c:v>
                </c:pt>
              </c:strCache>
            </c:strRef>
          </c:tx>
          <c:spPr>
            <a:solidFill>
              <a:schemeClr val="accent3">
                <a:lumMod val="80000"/>
                <a:lumOff val="20000"/>
              </a:schemeClr>
            </a:solidFill>
            <a:ln>
              <a:noFill/>
            </a:ln>
            <a:effectLst/>
          </c:spPr>
          <c:invertIfNegative val="0"/>
          <c:dLbls>
            <c:delete val="1"/>
          </c:dLbls>
          <c:cat>
            <c:strRef>
              <c:f>Sheet1!$B$1</c:f>
              <c:strCache>
                <c:ptCount val="1"/>
                <c:pt idx="0">
                  <c:v>条数</c:v>
                </c:pt>
              </c:strCache>
            </c:strRef>
          </c:cat>
          <c:val>
            <c:numRef>
              <c:f>{1}</c:f>
              <c:numCache>
                <c:formatCode>General</c:formatCode>
                <c:ptCount val="1"/>
                <c:pt idx="0">
                  <c:v>1</c:v>
                </c:pt>
              </c:numCache>
            </c:numRef>
          </c:val>
        </c:ser>
        <c:ser>
          <c:idx val="15"/>
          <c:order val="15"/>
          <c:tx>
            <c:strRef>
              <c:f>"应急管理"</c:f>
              <c:strCache>
                <c:ptCount val="1"/>
                <c:pt idx="0">
                  <c:v>应急管理</c:v>
                </c:pt>
              </c:strCache>
            </c:strRef>
          </c:tx>
          <c:spPr>
            <a:solidFill>
              <a:schemeClr val="accent4">
                <a:lumMod val="80000"/>
                <a:lumOff val="20000"/>
              </a:schemeClr>
            </a:solidFill>
            <a:ln>
              <a:noFill/>
            </a:ln>
            <a:effectLst/>
          </c:spPr>
          <c:invertIfNegative val="0"/>
          <c:dLbls>
            <c:delete val="1"/>
          </c:dLbls>
          <c:cat>
            <c:strRef>
              <c:f>Sheet1!$B$1</c:f>
              <c:strCache>
                <c:ptCount val="1"/>
                <c:pt idx="0">
                  <c:v>条数</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248475252"/>
        <c:axId val="21567611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4"/>
                <c:order val="4"/>
                <c:tx>
                  <c:strRef>
                    <c:extLst>
                      <c:ext uri="{02D57815-91ED-43cb-92C2-25804820EDAC}">
                        <c15:formulaRef>
                          <c15:sqref>Sheet1!#REF!</c15:sqref>
                        </c15:formulaRef>
                      </c:ext>
                    </c:extLst>
                    <c:strCache>
                      <c:ptCount val="1"/>
                      <c:pt idx="0">
                        <c:v/>
                      </c:pt>
                    </c:strCache>
                  </c:strRef>
                </c:tx>
                <c:spPr>
                  <a:solidFill>
                    <a:schemeClr val="accent5"/>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6"/>
                <c:order val="6"/>
                <c:tx>
                  <c:strRef>
                    <c:extLst>
                      <c:ext uri="{02D57815-91ED-43cb-92C2-25804820EDAC}">
                        <c15:formulaRef>
                          <c15:sqref>Sheet1!#REF!</c15:sqref>
                        </c15:formulaRef>
                      </c:ext>
                    </c:extLst>
                    <c:strCache>
                      <c:ptCount val="1"/>
                      <c:pt idx="0">
                        <c:v/>
                      </c:pt>
                    </c:strCache>
                  </c:strRef>
                </c:tx>
                <c:spPr>
                  <a:solidFill>
                    <a:schemeClr val="accent1">
                      <a:lumMod val="60000"/>
                    </a:schemeClr>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3"/>
                <c:order val="13"/>
                <c:tx>
                  <c:strRef>
                    <c:extLst>
                      <c:ext uri="{02D57815-91ED-43cb-92C2-25804820EDAC}">
                        <c15:formulaRef>
                          <c15:sqref>Sheet1!$A$12</c15:sqref>
                        </c15:formulaRef>
                      </c:ext>
                    </c:extLst>
                    <c:strCache>
                      <c:ptCount val="1"/>
                      <c:pt idx="0">
                        <c:v>应急管理</c:v>
                      </c:pt>
                    </c:strCache>
                  </c:strRef>
                </c:tx>
                <c:spPr>
                  <a:solidFill>
                    <a:schemeClr val="accent2">
                      <a:lumMod val="80000"/>
                      <a:lumOff val="20000"/>
                    </a:schemeClr>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Sheet1!$B$12</c15:sqref>
                        </c15:formulaRef>
                      </c:ext>
                    </c:extLst>
                    <c:numCache>
                      <c:formatCode>General</c:formatCode>
                      <c:ptCount val="1"/>
                      <c:pt idx="0">
                        <c:v>8</c:v>
                      </c:pt>
                    </c:numCache>
                  </c:numRef>
                </c:val>
              </c15:ser>
            </c15:filteredBarSeries>
          </c:ext>
        </c:extLst>
      </c:barChart>
      <c:catAx>
        <c:axId val="248475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676114"/>
        <c:crosses val="autoZero"/>
        <c:auto val="1"/>
        <c:lblAlgn val="ctr"/>
        <c:lblOffset val="100"/>
        <c:noMultiLvlLbl val="0"/>
      </c:catAx>
      <c:valAx>
        <c:axId val="2156761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475252"/>
        <c:crosses val="autoZero"/>
        <c:crossBetween val="between"/>
      </c:valAx>
      <c:spPr>
        <a:noFill/>
        <a:ln>
          <a:noFill/>
        </a:ln>
        <a:effectLst/>
      </c:spPr>
    </c:plotArea>
    <c:legend>
      <c:legendPos val="b"/>
      <c:layout>
        <c:manualLayout>
          <c:xMode val="edge"/>
          <c:yMode val="edge"/>
          <c:x val="0.081"/>
          <c:y val="0.743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年泗水县应急管理局信息公开情况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政府网站公开</c:v>
                </c:pt>
                <c:pt idx="1">
                  <c:v>微信公众号公开</c:v>
                </c:pt>
              </c:strCache>
            </c:strRef>
          </c:cat>
          <c:val>
            <c:numRef>
              <c:f>Sheet1!$B$2:$B$3</c:f>
              <c:numCache>
                <c:formatCode>General</c:formatCode>
                <c:ptCount val="2"/>
                <c:pt idx="0">
                  <c:v>179</c:v>
                </c:pt>
                <c:pt idx="1">
                  <c:v>212</c:v>
                </c:pt>
              </c:numCache>
            </c:numRef>
          </c:val>
        </c:ser>
        <c:dLbls>
          <c:showLegendKey val="0"/>
          <c:showVal val="0"/>
          <c:showCatName val="0"/>
          <c:showSerName val="0"/>
          <c:showPercent val="0"/>
          <c:showBubbleSize val="0"/>
        </c:dLbls>
        <c:gapWidth val="219"/>
        <c:overlap val="-27"/>
        <c:axId val="258400460"/>
        <c:axId val="565967671"/>
      </c:barChart>
      <c:catAx>
        <c:axId val="258400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967671"/>
        <c:crosses val="autoZero"/>
        <c:auto val="1"/>
        <c:lblAlgn val="ctr"/>
        <c:lblOffset val="100"/>
        <c:noMultiLvlLbl val="0"/>
      </c:catAx>
      <c:valAx>
        <c:axId val="565967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4004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2820</Words>
  <Characters>2936</Characters>
  <Lines>30</Lines>
  <Paragraphs>8</Paragraphs>
  <TotalTime>52</TotalTime>
  <ScaleCrop>false</ScaleCrop>
  <LinksUpToDate>false</LinksUpToDate>
  <CharactersWithSpaces>2940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 独佳记忆</cp:lastModifiedBy>
  <cp:lastPrinted>2024-01-02T08:50:00Z</cp:lastPrinted>
  <dcterms:modified xsi:type="dcterms:W3CDTF">2024-01-26T07:18:26Z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F35F29B513BD48A293CD8DBF3A625E43_13</vt:lpwstr>
  </property>
</Properties>
</file>