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泗水县交通运输局</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default" w:ascii="Times New Roman" w:hAnsi="Times New Roman" w:eastAsia="方正小标宋简体" w:cs="Times New Roman"/>
          <w:color w:val="auto"/>
          <w:sz w:val="44"/>
          <w:szCs w:val="44"/>
          <w:lang w:val="en-US" w:eastAsia="zh-CN"/>
        </w:rPr>
        <w:t>2025</w:t>
      </w:r>
      <w:r>
        <w:rPr>
          <w:rFonts w:hint="eastAsia" w:ascii="方正小标宋简体" w:hAnsi="方正小标宋简体" w:eastAsia="方正小标宋简体" w:cs="方正小标宋简体"/>
          <w:color w:val="auto"/>
          <w:sz w:val="44"/>
          <w:szCs w:val="44"/>
          <w:lang w:val="en-US" w:eastAsia="zh-CN"/>
        </w:rPr>
        <w:t>年政府信息公开工作年度报告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本报告由</w:t>
      </w:r>
      <w:r>
        <w:rPr>
          <w:rFonts w:hint="eastAsia" w:ascii="仿宋_GB2312" w:hAnsi="仿宋_GB2312" w:eastAsia="仿宋_GB2312" w:cs="仿宋_GB2312"/>
          <w:i w:val="0"/>
          <w:caps w:val="0"/>
          <w:color w:val="auto"/>
          <w:spacing w:val="0"/>
          <w:sz w:val="32"/>
          <w:szCs w:val="32"/>
          <w:lang w:eastAsia="zh-CN"/>
        </w:rPr>
        <w:t>泗水县</w:t>
      </w:r>
      <w:r>
        <w:rPr>
          <w:rFonts w:hint="eastAsia" w:ascii="仿宋_GB2312" w:hAnsi="仿宋_GB2312" w:eastAsia="仿宋_GB2312" w:cs="仿宋_GB2312"/>
          <w:i w:val="0"/>
          <w:caps w:val="0"/>
          <w:color w:val="auto"/>
          <w:spacing w:val="0"/>
          <w:sz w:val="32"/>
          <w:szCs w:val="32"/>
        </w:rPr>
        <w:t>交通运输局按照《中华人民共和国政府信息公开条例》（以下简称《条例》）和《中华人民共和国政府信息公开工作年度报告格式》（国办公开办函</w:t>
      </w:r>
      <w:r>
        <w:rPr>
          <w:rFonts w:hint="eastAsia" w:ascii="黑体" w:hAnsi="黑体" w:eastAsia="黑体" w:cs="黑体"/>
          <w:i w:val="0"/>
          <w:caps w:val="0"/>
          <w:color w:val="auto"/>
          <w:spacing w:val="0"/>
          <w:sz w:val="32"/>
          <w:szCs w:val="32"/>
        </w:rPr>
        <w:t>〔</w:t>
      </w:r>
      <w:r>
        <w:rPr>
          <w:rFonts w:hint="default" w:ascii="Times New Roman" w:hAnsi="Times New Roman" w:eastAsia="仿宋_GB2312" w:cs="Times New Roman"/>
          <w:i w:val="0"/>
          <w:caps w:val="0"/>
          <w:color w:val="auto"/>
          <w:spacing w:val="0"/>
          <w:sz w:val="32"/>
          <w:szCs w:val="32"/>
        </w:rPr>
        <w:t>2021</w:t>
      </w:r>
      <w:r>
        <w:rPr>
          <w:rFonts w:hint="eastAsia" w:ascii="仿宋_GB2312" w:hAnsi="仿宋_GB2312" w:eastAsia="仿宋_GB2312" w:cs="仿宋_GB2312"/>
          <w:i w:val="0"/>
          <w:caps w:val="0"/>
          <w:color w:val="auto"/>
          <w:spacing w:val="0"/>
          <w:sz w:val="32"/>
          <w:szCs w:val="32"/>
        </w:rPr>
        <w:t>〕</w:t>
      </w:r>
      <w:r>
        <w:rPr>
          <w:rFonts w:hint="default" w:ascii="Times New Roman" w:hAnsi="Times New Roman" w:eastAsia="仿宋_GB2312" w:cs="Times New Roman"/>
          <w:i w:val="0"/>
          <w:caps w:val="0"/>
          <w:color w:val="auto"/>
          <w:spacing w:val="0"/>
          <w:sz w:val="32"/>
          <w:szCs w:val="32"/>
        </w:rPr>
        <w:t>30</w:t>
      </w:r>
      <w:r>
        <w:rPr>
          <w:rFonts w:hint="eastAsia" w:ascii="仿宋_GB2312" w:hAnsi="仿宋_GB2312" w:eastAsia="仿宋_GB2312" w:cs="仿宋_GB2312"/>
          <w:i w:val="0"/>
          <w:caps w:val="0"/>
          <w:color w:val="auto"/>
          <w:spacing w:val="0"/>
          <w:sz w:val="32"/>
          <w:szCs w:val="32"/>
        </w:rPr>
        <w:t>号）要求编制。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本报告内容包括</w:t>
      </w:r>
      <w:r>
        <w:rPr>
          <w:rFonts w:hint="eastAsia" w:ascii="仿宋_GB2312" w:hAnsi="仿宋_GB2312" w:eastAsia="仿宋_GB2312" w:cs="仿宋_GB2312"/>
          <w:i w:val="0"/>
          <w:caps w:val="0"/>
          <w:color w:val="auto"/>
          <w:spacing w:val="0"/>
          <w:sz w:val="32"/>
          <w:szCs w:val="32"/>
          <w:lang w:eastAsia="zh-CN"/>
        </w:rPr>
        <w:t>泗水县</w:t>
      </w:r>
      <w:r>
        <w:rPr>
          <w:rFonts w:hint="eastAsia" w:ascii="仿宋_GB2312" w:hAnsi="仿宋_GB2312" w:eastAsia="仿宋_GB2312" w:cs="仿宋_GB2312"/>
          <w:i w:val="0"/>
          <w:caps w:val="0"/>
          <w:color w:val="auto"/>
          <w:spacing w:val="0"/>
          <w:sz w:val="32"/>
          <w:szCs w:val="32"/>
        </w:rPr>
        <w:t>交通运输局全年总体情况、主动公开政府信息情况、收到和处理政府信息公开申请情况、政府信息公开行政复议和行政诉讼情况、存在的主要问题及改进情况、其他需要报告的事项等六部分内容。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sz w:val="32"/>
          <w:szCs w:val="32"/>
          <w:shd w:val="clear" w:color="auto" w:fill="FFFFFF"/>
        </w:rPr>
      </w:pPr>
      <w:r>
        <w:rPr>
          <w:rFonts w:hint="eastAsia" w:ascii="仿宋_GB2312" w:hAnsi="仿宋_GB2312" w:eastAsia="仿宋_GB2312" w:cs="仿宋_GB2312"/>
          <w:i w:val="0"/>
          <w:caps w:val="0"/>
          <w:color w:val="auto"/>
          <w:spacing w:val="0"/>
          <w:sz w:val="32"/>
          <w:szCs w:val="32"/>
          <w:shd w:val="clear" w:color="auto" w:fill="FFFFFF"/>
        </w:rPr>
        <w:t>本报告所列数据的统计期限自</w:t>
      </w:r>
      <w:r>
        <w:rPr>
          <w:rFonts w:hint="default" w:ascii="Times New Roman" w:hAnsi="Times New Roman" w:eastAsia="仿宋_GB2312" w:cs="Times New Roman"/>
          <w:i w:val="0"/>
          <w:caps w:val="0"/>
          <w:color w:val="auto"/>
          <w:spacing w:val="0"/>
          <w:sz w:val="32"/>
          <w:szCs w:val="32"/>
          <w:shd w:val="clear" w:color="auto" w:fill="FFFFFF"/>
        </w:rPr>
        <w:t>202</w:t>
      </w:r>
      <w:r>
        <w:rPr>
          <w:rFonts w:hint="eastAsia" w:ascii="Times New Roman" w:hAnsi="Times New Roman" w:eastAsia="仿宋_GB2312" w:cs="Times New Roman"/>
          <w:i w:val="0"/>
          <w:caps w:val="0"/>
          <w:color w:val="auto"/>
          <w:spacing w:val="0"/>
          <w:sz w:val="32"/>
          <w:szCs w:val="32"/>
          <w:shd w:val="clear" w:color="auto" w:fill="FFFFFF"/>
          <w:lang w:val="en-US" w:eastAsia="zh-CN"/>
        </w:rPr>
        <w:t>5</w:t>
      </w:r>
      <w:r>
        <w:rPr>
          <w:rFonts w:hint="eastAsia" w:ascii="仿宋_GB2312" w:hAnsi="仿宋_GB2312" w:eastAsia="仿宋_GB2312" w:cs="仿宋_GB2312"/>
          <w:i w:val="0"/>
          <w:caps w:val="0"/>
          <w:color w:val="auto"/>
          <w:spacing w:val="0"/>
          <w:sz w:val="32"/>
          <w:szCs w:val="32"/>
          <w:shd w:val="clear" w:color="auto" w:fill="FFFFFF"/>
        </w:rPr>
        <w:t>年</w:t>
      </w:r>
      <w:r>
        <w:rPr>
          <w:rFonts w:hint="eastAsia" w:ascii="Times New Roman" w:hAnsi="Times New Roman" w:eastAsia="仿宋_GB2312" w:cs="Times New Roman"/>
          <w:i w:val="0"/>
          <w:caps w:val="0"/>
          <w:color w:val="auto"/>
          <w:spacing w:val="0"/>
          <w:sz w:val="32"/>
          <w:szCs w:val="32"/>
          <w:shd w:val="clear" w:color="auto" w:fill="FFFFFF"/>
        </w:rPr>
        <w:t>1</w:t>
      </w:r>
      <w:r>
        <w:rPr>
          <w:rFonts w:hint="eastAsia" w:ascii="仿宋_GB2312" w:hAnsi="仿宋_GB2312" w:eastAsia="仿宋_GB2312" w:cs="仿宋_GB2312"/>
          <w:i w:val="0"/>
          <w:caps w:val="0"/>
          <w:color w:val="auto"/>
          <w:spacing w:val="0"/>
          <w:sz w:val="32"/>
          <w:szCs w:val="32"/>
          <w:shd w:val="clear" w:color="auto" w:fill="FFFFFF"/>
        </w:rPr>
        <w:t>月</w:t>
      </w:r>
      <w:r>
        <w:rPr>
          <w:rFonts w:hint="eastAsia" w:ascii="Times New Roman" w:hAnsi="Times New Roman" w:eastAsia="仿宋_GB2312" w:cs="Times New Roman"/>
          <w:i w:val="0"/>
          <w:caps w:val="0"/>
          <w:color w:val="auto"/>
          <w:spacing w:val="0"/>
          <w:sz w:val="32"/>
          <w:szCs w:val="32"/>
          <w:shd w:val="clear" w:color="auto" w:fill="FFFFFF"/>
        </w:rPr>
        <w:t>1</w:t>
      </w:r>
      <w:r>
        <w:rPr>
          <w:rFonts w:hint="eastAsia" w:ascii="仿宋_GB2312" w:hAnsi="仿宋_GB2312" w:eastAsia="仿宋_GB2312" w:cs="仿宋_GB2312"/>
          <w:i w:val="0"/>
          <w:caps w:val="0"/>
          <w:color w:val="auto"/>
          <w:spacing w:val="0"/>
          <w:sz w:val="32"/>
          <w:szCs w:val="32"/>
          <w:shd w:val="clear" w:color="auto" w:fill="FFFFFF"/>
        </w:rPr>
        <w:t>日起至</w:t>
      </w:r>
      <w:r>
        <w:rPr>
          <w:rFonts w:hint="eastAsia" w:ascii="Times New Roman" w:hAnsi="Times New Roman" w:eastAsia="仿宋_GB2312" w:cs="Times New Roman"/>
          <w:i w:val="0"/>
          <w:caps w:val="0"/>
          <w:color w:val="auto"/>
          <w:spacing w:val="0"/>
          <w:sz w:val="32"/>
          <w:szCs w:val="32"/>
          <w:shd w:val="clear" w:color="auto" w:fill="FFFFFF"/>
        </w:rPr>
        <w:t>202</w:t>
      </w:r>
      <w:r>
        <w:rPr>
          <w:rFonts w:hint="eastAsia" w:ascii="Times New Roman" w:hAnsi="Times New Roman" w:eastAsia="仿宋_GB2312" w:cs="Times New Roman"/>
          <w:i w:val="0"/>
          <w:caps w:val="0"/>
          <w:color w:val="auto"/>
          <w:spacing w:val="0"/>
          <w:sz w:val="32"/>
          <w:szCs w:val="32"/>
          <w:shd w:val="clear" w:color="auto" w:fill="FFFFFF"/>
          <w:lang w:val="en-US" w:eastAsia="zh-CN"/>
        </w:rPr>
        <w:t>5</w:t>
      </w:r>
      <w:r>
        <w:rPr>
          <w:rFonts w:hint="eastAsia" w:ascii="仿宋_GB2312" w:hAnsi="仿宋_GB2312" w:eastAsia="仿宋_GB2312" w:cs="仿宋_GB2312"/>
          <w:i w:val="0"/>
          <w:caps w:val="0"/>
          <w:color w:val="auto"/>
          <w:spacing w:val="0"/>
          <w:sz w:val="32"/>
          <w:szCs w:val="32"/>
          <w:shd w:val="clear" w:color="auto" w:fill="FFFFFF"/>
        </w:rPr>
        <w:t>年</w:t>
      </w:r>
      <w:r>
        <w:rPr>
          <w:rFonts w:hint="eastAsia" w:ascii="Times New Roman" w:hAnsi="Times New Roman" w:eastAsia="仿宋_GB2312" w:cs="Times New Roman"/>
          <w:i w:val="0"/>
          <w:caps w:val="0"/>
          <w:color w:val="auto"/>
          <w:spacing w:val="0"/>
          <w:sz w:val="32"/>
          <w:szCs w:val="32"/>
          <w:shd w:val="clear" w:color="auto" w:fill="FFFFFF"/>
        </w:rPr>
        <w:t>12</w:t>
      </w:r>
      <w:r>
        <w:rPr>
          <w:rFonts w:hint="eastAsia" w:ascii="仿宋_GB2312" w:hAnsi="仿宋_GB2312" w:eastAsia="仿宋_GB2312" w:cs="仿宋_GB2312"/>
          <w:i w:val="0"/>
          <w:caps w:val="0"/>
          <w:color w:val="auto"/>
          <w:spacing w:val="0"/>
          <w:sz w:val="32"/>
          <w:szCs w:val="32"/>
          <w:shd w:val="clear" w:color="auto" w:fill="FFFFFF"/>
        </w:rPr>
        <w:t>月</w:t>
      </w:r>
      <w:r>
        <w:rPr>
          <w:rFonts w:hint="eastAsia" w:ascii="Times New Roman" w:hAnsi="Times New Roman" w:eastAsia="仿宋_GB2312" w:cs="Times New Roman"/>
          <w:i w:val="0"/>
          <w:caps w:val="0"/>
          <w:color w:val="auto"/>
          <w:spacing w:val="0"/>
          <w:sz w:val="32"/>
          <w:szCs w:val="32"/>
          <w:shd w:val="clear" w:color="auto" w:fill="FFFFFF"/>
        </w:rPr>
        <w:t>31</w:t>
      </w:r>
      <w:r>
        <w:rPr>
          <w:rFonts w:hint="eastAsia" w:ascii="仿宋_GB2312" w:hAnsi="仿宋_GB2312" w:eastAsia="仿宋_GB2312" w:cs="仿宋_GB2312"/>
          <w:i w:val="0"/>
          <w:caps w:val="0"/>
          <w:color w:val="auto"/>
          <w:spacing w:val="0"/>
          <w:sz w:val="32"/>
          <w:szCs w:val="32"/>
          <w:shd w:val="clear" w:color="auto" w:fill="FFFFFF"/>
        </w:rPr>
        <w:t>日止。本报告电子版可在“中国·泗水”政府门户网站</w:t>
      </w:r>
      <w:r>
        <w:rPr>
          <w:rFonts w:hint="eastAsia" w:ascii="仿宋_GB2312" w:hAnsi="仿宋_GB2312" w:eastAsia="仿宋_GB2312" w:cs="仿宋_GB2312"/>
          <w:i w:val="0"/>
          <w:caps w:val="0"/>
          <w:color w:val="auto"/>
          <w:spacing w:val="0"/>
          <w:sz w:val="32"/>
          <w:szCs w:val="32"/>
          <w:shd w:val="clear" w:color="auto" w:fill="FFFFFF"/>
          <w:lang w:eastAsia="zh-CN"/>
        </w:rPr>
        <w:t>（</w:t>
      </w:r>
      <w:r>
        <w:rPr>
          <w:rFonts w:hint="eastAsia" w:ascii="仿宋_GB2312" w:hAnsi="仿宋_GB2312" w:eastAsia="仿宋_GB2312" w:cs="仿宋_GB2312"/>
          <w:i w:val="0"/>
          <w:caps w:val="0"/>
          <w:color w:val="auto"/>
          <w:spacing w:val="0"/>
          <w:sz w:val="32"/>
          <w:szCs w:val="32"/>
          <w:shd w:val="clear" w:color="auto" w:fill="FFFFFF"/>
        </w:rPr>
        <w:t>www.sishui.gov.cn</w:t>
      </w:r>
      <w:r>
        <w:rPr>
          <w:rFonts w:hint="eastAsia" w:ascii="仿宋_GB2312" w:hAnsi="仿宋_GB2312" w:eastAsia="仿宋_GB2312" w:cs="仿宋_GB2312"/>
          <w:i w:val="0"/>
          <w:caps w:val="0"/>
          <w:color w:val="auto"/>
          <w:spacing w:val="0"/>
          <w:sz w:val="32"/>
          <w:szCs w:val="32"/>
          <w:shd w:val="clear" w:color="auto" w:fill="FFFFFF"/>
          <w:lang w:eastAsia="zh-CN"/>
        </w:rPr>
        <w:t>）</w:t>
      </w:r>
      <w:r>
        <w:rPr>
          <w:rFonts w:hint="eastAsia" w:ascii="仿宋_GB2312" w:hAnsi="仿宋_GB2312" w:eastAsia="仿宋_GB2312" w:cs="仿宋_GB2312"/>
          <w:i w:val="0"/>
          <w:caps w:val="0"/>
          <w:color w:val="auto"/>
          <w:spacing w:val="0"/>
          <w:sz w:val="32"/>
          <w:szCs w:val="32"/>
          <w:shd w:val="clear" w:color="auto" w:fill="FFFFFF"/>
        </w:rPr>
        <w:t>查阅或下载。如对本报告有疑问，请与泗水县交通运输局联系（地址：泗水县中兴路</w:t>
      </w:r>
      <w:r>
        <w:rPr>
          <w:rFonts w:hint="eastAsia" w:ascii="Times New Roman" w:hAnsi="Times New Roman" w:eastAsia="仿宋_GB2312" w:cs="Times New Roman"/>
          <w:i w:val="0"/>
          <w:caps w:val="0"/>
          <w:color w:val="auto"/>
          <w:spacing w:val="0"/>
          <w:sz w:val="32"/>
          <w:szCs w:val="32"/>
          <w:shd w:val="clear" w:color="auto" w:fill="FFFFFF"/>
        </w:rPr>
        <w:t>10</w:t>
      </w:r>
      <w:r>
        <w:rPr>
          <w:rFonts w:hint="eastAsia" w:ascii="仿宋_GB2312" w:hAnsi="仿宋_GB2312" w:eastAsia="仿宋_GB2312" w:cs="仿宋_GB2312"/>
          <w:i w:val="0"/>
          <w:caps w:val="0"/>
          <w:color w:val="auto"/>
          <w:spacing w:val="0"/>
          <w:sz w:val="32"/>
          <w:szCs w:val="32"/>
          <w:shd w:val="clear" w:color="auto" w:fill="FFFFFF"/>
        </w:rPr>
        <w:t>号，联系电话：</w:t>
      </w:r>
      <w:r>
        <w:rPr>
          <w:rFonts w:hint="eastAsia" w:ascii="Times New Roman" w:hAnsi="Times New Roman" w:eastAsia="仿宋_GB2312" w:cs="Times New Roman"/>
          <w:i w:val="0"/>
          <w:caps w:val="0"/>
          <w:color w:val="auto"/>
          <w:spacing w:val="0"/>
          <w:sz w:val="32"/>
          <w:szCs w:val="32"/>
          <w:shd w:val="clear" w:color="auto" w:fill="FFFFFF"/>
        </w:rPr>
        <w:t>0537</w:t>
      </w:r>
      <w:r>
        <w:rPr>
          <w:rFonts w:hint="eastAsia" w:ascii="仿宋_GB2312" w:hAnsi="仿宋_GB2312" w:eastAsia="仿宋_GB2312" w:cs="仿宋_GB2312"/>
          <w:i w:val="0"/>
          <w:caps w:val="0"/>
          <w:color w:val="auto"/>
          <w:spacing w:val="0"/>
          <w:sz w:val="32"/>
          <w:szCs w:val="32"/>
          <w:shd w:val="clear" w:color="auto" w:fill="FFFFFF"/>
        </w:rPr>
        <w:t>-</w:t>
      </w:r>
      <w:r>
        <w:rPr>
          <w:rFonts w:hint="eastAsia" w:ascii="Times New Roman" w:hAnsi="Times New Roman" w:eastAsia="仿宋_GB2312" w:cs="Times New Roman"/>
          <w:i w:val="0"/>
          <w:caps w:val="0"/>
          <w:color w:val="auto"/>
          <w:spacing w:val="0"/>
          <w:sz w:val="32"/>
          <w:szCs w:val="32"/>
          <w:shd w:val="clear" w:color="auto" w:fill="FFFFFF"/>
        </w:rPr>
        <w:t>4221611</w:t>
      </w:r>
      <w:r>
        <w:rPr>
          <w:rFonts w:hint="eastAsia" w:ascii="仿宋_GB2312" w:hAnsi="仿宋_GB2312" w:eastAsia="仿宋_GB2312" w:cs="仿宋_GB2312"/>
          <w:i w:val="0"/>
          <w:caps w:val="0"/>
          <w:color w:val="auto"/>
          <w:spacing w:val="0"/>
          <w:sz w:val="32"/>
          <w:szCs w:val="32"/>
          <w:shd w:val="clear" w:color="auto"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黑体" w:hAnsi="黑体" w:eastAsia="黑体" w:cs="黑体"/>
          <w:b/>
          <w:bCs/>
          <w:i w:val="0"/>
          <w:caps w:val="0"/>
          <w:color w:val="auto"/>
          <w:spacing w:val="0"/>
          <w:sz w:val="32"/>
          <w:szCs w:val="32"/>
        </w:rPr>
      </w:pPr>
      <w:r>
        <w:rPr>
          <w:rFonts w:hint="eastAsia" w:ascii="黑体" w:hAnsi="黑体" w:eastAsia="黑体" w:cs="黑体"/>
          <w:b/>
          <w:bCs/>
          <w:i w:val="0"/>
          <w:caps w:val="0"/>
          <w:color w:val="auto"/>
          <w:spacing w:val="0"/>
          <w:sz w:val="32"/>
          <w:szCs w:val="32"/>
        </w:rPr>
        <w:t>一、总体情况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lang w:eastAsia="zh-CN"/>
        </w:rPr>
      </w:pPr>
      <w:r>
        <w:rPr>
          <w:rFonts w:hint="eastAsia" w:ascii="Times New Roman" w:hAnsi="Times New Roman" w:eastAsia="仿宋_GB2312" w:cs="Times New Roman"/>
          <w:i w:val="0"/>
          <w:caps w:val="0"/>
          <w:color w:val="auto"/>
          <w:spacing w:val="0"/>
          <w:sz w:val="32"/>
          <w:szCs w:val="32"/>
          <w:shd w:val="clear" w:color="auto" w:fill="FFFFFF"/>
        </w:rPr>
        <w:t>2025</w:t>
      </w:r>
      <w:r>
        <w:rPr>
          <w:rFonts w:hint="eastAsia" w:ascii="仿宋_GB2312" w:hAnsi="仿宋_GB2312" w:eastAsia="仿宋_GB2312" w:cs="仿宋_GB2312"/>
          <w:i w:val="0"/>
          <w:caps w:val="0"/>
          <w:color w:val="auto"/>
          <w:spacing w:val="0"/>
          <w:sz w:val="32"/>
          <w:szCs w:val="32"/>
        </w:rPr>
        <w:t>年，</w:t>
      </w:r>
      <w:r>
        <w:rPr>
          <w:rFonts w:hint="eastAsia" w:ascii="仿宋_GB2312" w:hAnsi="仿宋_GB2312" w:eastAsia="仿宋_GB2312" w:cs="仿宋_GB2312"/>
          <w:i w:val="0"/>
          <w:caps w:val="0"/>
          <w:color w:val="auto"/>
          <w:spacing w:val="0"/>
          <w:sz w:val="32"/>
          <w:szCs w:val="32"/>
          <w:lang w:eastAsia="zh-CN"/>
        </w:rPr>
        <w:t>泗水</w:t>
      </w:r>
      <w:r>
        <w:rPr>
          <w:rFonts w:hint="eastAsia" w:ascii="仿宋_GB2312" w:hAnsi="仿宋_GB2312" w:eastAsia="仿宋_GB2312" w:cs="仿宋_GB2312"/>
          <w:i w:val="0"/>
          <w:caps w:val="0"/>
          <w:color w:val="auto"/>
          <w:spacing w:val="0"/>
          <w:sz w:val="32"/>
          <w:szCs w:val="32"/>
        </w:rPr>
        <w:t>县交通运输局坚持以习近平新时代中国特色社会主义思想为指导，深入学习贯彻党的二十大和二十届历次全会精神，</w:t>
      </w:r>
      <w:r>
        <w:rPr>
          <w:rFonts w:hint="eastAsia" w:ascii="仿宋_GB2312" w:hAnsi="仿宋_GB2312" w:eastAsia="仿宋_GB2312" w:cs="仿宋_GB2312"/>
          <w:i w:val="0"/>
          <w:caps w:val="0"/>
          <w:color w:val="auto"/>
          <w:spacing w:val="0"/>
          <w:sz w:val="32"/>
          <w:szCs w:val="32"/>
          <w:lang w:eastAsia="zh-CN"/>
        </w:rPr>
        <w:t>认真贯彻落实《中华人民共和国政府信息公开条例》，把政府信息公开工作纳入重要议事日程认真组织开展，遵循内容全面性、发布及时性、获取便民性的原则，以政府网站作为信息公开发布主要渠道，不断提升信息公开工作效能，创新公开形式，持续优化信息制作、审核、发布全流程管理，以更高标准推动公开内容深化、政策解读细化、社会关切回应实化，不断提升政府信息服务质效，扎实推进政府信息公开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楷体_GB2312" w:hAnsi="楷体_GB2312" w:eastAsia="楷体_GB2312" w:cs="楷体_GB2312"/>
          <w:b/>
          <w:bCs w:val="0"/>
          <w:i w:val="0"/>
          <w:caps w:val="0"/>
          <w:color w:val="auto"/>
          <w:spacing w:val="0"/>
          <w:sz w:val="32"/>
          <w:szCs w:val="32"/>
        </w:rPr>
      </w:pPr>
      <w:r>
        <w:rPr>
          <w:rFonts w:hint="eastAsia" w:ascii="楷体_GB2312" w:hAnsi="楷体_GB2312" w:eastAsia="楷体_GB2312" w:cs="楷体_GB2312"/>
          <w:b/>
          <w:bCs w:val="0"/>
          <w:i w:val="0"/>
          <w:caps w:val="0"/>
          <w:color w:val="auto"/>
          <w:spacing w:val="0"/>
          <w:sz w:val="32"/>
          <w:szCs w:val="32"/>
          <w:shd w:val="clear" w:fill="FFFFFF"/>
        </w:rPr>
        <w:t>（一）主动公开情况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FF0000"/>
          <w:spacing w:val="0"/>
          <w:sz w:val="32"/>
          <w:szCs w:val="32"/>
          <w:lang w:eastAsia="zh-CN"/>
        </w:rPr>
      </w:pPr>
      <w:r>
        <w:rPr>
          <w:rFonts w:hint="eastAsia" w:ascii="仿宋_GB2312" w:hAnsi="仿宋_GB2312" w:eastAsia="仿宋_GB2312" w:cs="仿宋_GB2312"/>
          <w:i w:val="0"/>
          <w:caps w:val="0"/>
          <w:color w:val="auto"/>
          <w:spacing w:val="0"/>
          <w:sz w:val="32"/>
          <w:szCs w:val="32"/>
          <w:lang w:eastAsia="zh-CN"/>
        </w:rPr>
        <w:t>围绕交通运输领域政务公开重点工作安排，紧扣“公开促落实、促规范、促服务”原则，持续推进重大民生信息等内容主动公开。本年度，主动公开政府信息</w:t>
      </w:r>
      <w:r>
        <w:rPr>
          <w:rFonts w:hint="eastAsia" w:ascii="仿宋_GB2312" w:hAnsi="仿宋_GB2312" w:eastAsia="仿宋_GB2312" w:cs="仿宋_GB2312"/>
          <w:i w:val="0"/>
          <w:caps w:val="0"/>
          <w:color w:val="auto"/>
          <w:spacing w:val="0"/>
          <w:sz w:val="32"/>
          <w:szCs w:val="32"/>
          <w:lang w:val="en-US" w:eastAsia="zh-CN"/>
        </w:rPr>
        <w:t>51</w:t>
      </w:r>
      <w:r>
        <w:rPr>
          <w:rFonts w:hint="eastAsia" w:ascii="仿宋_GB2312" w:hAnsi="仿宋_GB2312" w:eastAsia="仿宋_GB2312" w:cs="仿宋_GB2312"/>
          <w:i w:val="0"/>
          <w:caps w:val="0"/>
          <w:color w:val="auto"/>
          <w:spacing w:val="0"/>
          <w:sz w:val="32"/>
          <w:szCs w:val="32"/>
          <w:lang w:eastAsia="zh-CN"/>
        </w:rPr>
        <w:t>条，其中包括：通知公告</w:t>
      </w:r>
      <w:r>
        <w:rPr>
          <w:rFonts w:hint="eastAsia" w:ascii="仿宋_GB2312" w:hAnsi="仿宋_GB2312" w:eastAsia="仿宋_GB2312" w:cs="仿宋_GB2312"/>
          <w:i w:val="0"/>
          <w:caps w:val="0"/>
          <w:color w:val="auto"/>
          <w:spacing w:val="0"/>
          <w:sz w:val="32"/>
          <w:szCs w:val="32"/>
          <w:lang w:val="en-US" w:eastAsia="zh-CN"/>
        </w:rPr>
        <w:t>4条</w:t>
      </w:r>
      <w:r>
        <w:rPr>
          <w:rFonts w:hint="eastAsia" w:ascii="仿宋_GB2312" w:hAnsi="仿宋_GB2312" w:eastAsia="仿宋_GB2312" w:cs="仿宋_GB2312"/>
          <w:i w:val="0"/>
          <w:caps w:val="0"/>
          <w:color w:val="auto"/>
          <w:spacing w:val="0"/>
          <w:sz w:val="32"/>
          <w:szCs w:val="32"/>
          <w:lang w:eastAsia="zh-CN"/>
        </w:rPr>
        <w:t>、法律规章</w:t>
      </w:r>
      <w:r>
        <w:rPr>
          <w:rFonts w:hint="eastAsia" w:ascii="仿宋_GB2312" w:hAnsi="仿宋_GB2312" w:eastAsia="仿宋_GB2312" w:cs="仿宋_GB2312"/>
          <w:i w:val="0"/>
          <w:caps w:val="0"/>
          <w:color w:val="auto"/>
          <w:spacing w:val="0"/>
          <w:sz w:val="32"/>
          <w:szCs w:val="32"/>
          <w:lang w:val="en-US" w:eastAsia="zh-CN"/>
        </w:rPr>
        <w:t>1条</w:t>
      </w:r>
      <w:r>
        <w:rPr>
          <w:rFonts w:hint="eastAsia" w:ascii="仿宋_GB2312" w:hAnsi="仿宋_GB2312" w:eastAsia="仿宋_GB2312" w:cs="仿宋_GB2312"/>
          <w:i w:val="0"/>
          <w:caps w:val="0"/>
          <w:color w:val="auto"/>
          <w:spacing w:val="0"/>
          <w:sz w:val="32"/>
          <w:szCs w:val="32"/>
          <w:lang w:eastAsia="zh-CN"/>
        </w:rPr>
        <w:t>、图文解读</w:t>
      </w:r>
      <w:r>
        <w:rPr>
          <w:rFonts w:hint="eastAsia" w:ascii="仿宋_GB2312" w:hAnsi="仿宋_GB2312" w:eastAsia="仿宋_GB2312" w:cs="仿宋_GB2312"/>
          <w:i w:val="0"/>
          <w:caps w:val="0"/>
          <w:color w:val="auto"/>
          <w:spacing w:val="0"/>
          <w:sz w:val="32"/>
          <w:szCs w:val="32"/>
          <w:lang w:val="en-US" w:eastAsia="zh-CN"/>
        </w:rPr>
        <w:t>1条、</w:t>
      </w:r>
      <w:r>
        <w:rPr>
          <w:rFonts w:hint="eastAsia" w:ascii="仿宋_GB2312" w:hAnsi="仿宋_GB2312" w:eastAsia="仿宋_GB2312" w:cs="仿宋_GB2312"/>
          <w:i w:val="0"/>
          <w:caps w:val="0"/>
          <w:color w:val="auto"/>
          <w:spacing w:val="0"/>
          <w:sz w:val="32"/>
          <w:szCs w:val="32"/>
          <w:lang w:eastAsia="zh-CN"/>
        </w:rPr>
        <w:t>部门预决算</w:t>
      </w:r>
      <w:r>
        <w:rPr>
          <w:rFonts w:hint="eastAsia" w:ascii="仿宋_GB2312" w:hAnsi="仿宋_GB2312" w:eastAsia="仿宋_GB2312" w:cs="仿宋_GB2312"/>
          <w:i w:val="0"/>
          <w:caps w:val="0"/>
          <w:color w:val="auto"/>
          <w:spacing w:val="0"/>
          <w:sz w:val="32"/>
          <w:szCs w:val="32"/>
          <w:lang w:val="en-US" w:eastAsia="zh-CN"/>
        </w:rPr>
        <w:t>4条</w:t>
      </w:r>
      <w:r>
        <w:rPr>
          <w:rFonts w:hint="eastAsia" w:ascii="仿宋_GB2312" w:hAnsi="仿宋_GB2312" w:eastAsia="仿宋_GB2312" w:cs="仿宋_GB2312"/>
          <w:i w:val="0"/>
          <w:caps w:val="0"/>
          <w:color w:val="auto"/>
          <w:spacing w:val="0"/>
          <w:sz w:val="32"/>
          <w:szCs w:val="32"/>
          <w:lang w:eastAsia="zh-CN"/>
        </w:rPr>
        <w:t>、</w:t>
      </w:r>
      <w:r>
        <w:rPr>
          <w:rFonts w:hint="eastAsia" w:ascii="仿宋_GB2312" w:hAnsi="仿宋_GB2312" w:eastAsia="仿宋_GB2312" w:cs="仿宋_GB2312"/>
          <w:i w:val="0"/>
          <w:caps w:val="0"/>
          <w:color w:val="auto"/>
          <w:spacing w:val="0"/>
          <w:sz w:val="32"/>
          <w:szCs w:val="32"/>
          <w:lang w:val="en-US" w:eastAsia="zh-CN"/>
        </w:rPr>
        <w:t>政府信息公开年报1条、“双随机、一公开”监管5条、</w:t>
      </w:r>
      <w:r>
        <w:rPr>
          <w:rFonts w:hint="eastAsia" w:ascii="仿宋_GB2312" w:hAnsi="仿宋_GB2312" w:eastAsia="仿宋_GB2312" w:cs="仿宋_GB2312"/>
          <w:i w:val="0"/>
          <w:caps w:val="0"/>
          <w:color w:val="auto"/>
          <w:spacing w:val="0"/>
          <w:sz w:val="32"/>
          <w:szCs w:val="32"/>
          <w:lang w:eastAsia="zh-CN"/>
        </w:rPr>
        <w:t>行政执法公示</w:t>
      </w:r>
      <w:r>
        <w:rPr>
          <w:rFonts w:hint="eastAsia" w:ascii="仿宋_GB2312" w:hAnsi="仿宋_GB2312" w:eastAsia="仿宋_GB2312" w:cs="仿宋_GB2312"/>
          <w:i w:val="0"/>
          <w:caps w:val="0"/>
          <w:color w:val="auto"/>
          <w:spacing w:val="0"/>
          <w:sz w:val="32"/>
          <w:szCs w:val="32"/>
          <w:lang w:val="en-US" w:eastAsia="zh-CN"/>
        </w:rPr>
        <w:t>35条</w:t>
      </w:r>
      <w:r>
        <w:rPr>
          <w:rFonts w:hint="eastAsia" w:ascii="仿宋_GB2312" w:hAnsi="仿宋_GB2312" w:eastAsia="仿宋_GB2312" w:cs="仿宋_GB2312"/>
          <w:i w:val="0"/>
          <w:caps w:val="0"/>
          <w:color w:val="auto"/>
          <w:spacing w:val="0"/>
          <w:sz w:val="32"/>
          <w:szCs w:val="32"/>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outlineLvl w:val="9"/>
      </w:pPr>
      <w:r>
        <w:drawing>
          <wp:inline distT="0" distB="0" distL="114300" distR="114300">
            <wp:extent cx="5123815" cy="4410075"/>
            <wp:effectExtent l="5080" t="4445" r="14605" b="5080"/>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outlineLvl w:val="9"/>
        <w:rPr>
          <w:rFonts w:hint="eastAsia" w:ascii="楷体_GB2312" w:hAnsi="楷体_GB2312" w:eastAsia="楷体_GB2312" w:cs="楷体_GB2312"/>
          <w:b/>
          <w:bCs w:val="0"/>
          <w:i w:val="0"/>
          <w:caps w:val="0"/>
          <w:color w:val="auto"/>
          <w:spacing w:val="0"/>
          <w:sz w:val="32"/>
          <w:szCs w:val="32"/>
          <w:lang w:val="en-US" w:eastAsia="zh-CN"/>
        </w:rPr>
      </w:pPr>
      <w:r>
        <w:rPr>
          <w:rFonts w:hint="eastAsia" w:ascii="楷体_GB2312" w:hAnsi="楷体_GB2312" w:eastAsia="楷体_GB2312" w:cs="楷体_GB2312"/>
          <w:b/>
          <w:bCs w:val="0"/>
          <w:i w:val="0"/>
          <w:caps w:val="0"/>
          <w:color w:val="auto"/>
          <w:spacing w:val="0"/>
          <w:sz w:val="32"/>
          <w:szCs w:val="32"/>
          <w:shd w:val="clear" w:fill="FFFFFF"/>
        </w:rPr>
        <w:t>（二）依申请公开</w:t>
      </w:r>
      <w:r>
        <w:rPr>
          <w:rFonts w:hint="eastAsia" w:ascii="楷体_GB2312" w:hAnsi="楷体_GB2312" w:eastAsia="楷体_GB2312" w:cs="楷体_GB2312"/>
          <w:b/>
          <w:bCs w:val="0"/>
          <w:i w:val="0"/>
          <w:caps w:val="0"/>
          <w:color w:val="auto"/>
          <w:spacing w:val="0"/>
          <w:sz w:val="32"/>
          <w:szCs w:val="32"/>
          <w:shd w:val="clear" w:fill="FFFFFF"/>
          <w:lang w:val="en-US" w:eastAsia="zh-CN"/>
        </w:rPr>
        <w:t>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Calibri" w:hAnsi="Calibri" w:cs="Calibri"/>
          <w:i w:val="0"/>
          <w:caps w:val="0"/>
          <w:color w:val="333333"/>
          <w:spacing w:val="0"/>
          <w:sz w:val="24"/>
          <w:szCs w:val="24"/>
        </w:rPr>
      </w:pPr>
      <w:r>
        <w:rPr>
          <w:rFonts w:hint="eastAsia" w:ascii="仿宋_GB2312" w:hAnsi="仿宋_GB2312" w:eastAsia="仿宋_GB2312" w:cs="仿宋_GB2312"/>
          <w:i w:val="0"/>
          <w:caps w:val="0"/>
          <w:color w:val="auto"/>
          <w:spacing w:val="0"/>
          <w:sz w:val="32"/>
          <w:szCs w:val="32"/>
          <w:lang w:eastAsia="zh-CN"/>
        </w:rPr>
        <w:t>坚决树牢为民服务理念，依法有据、严谨规范做好政府信息依申请公开工作，保障公民、法人和其他组织合法权益，更好服务群众个性化合理信息需求。</w:t>
      </w:r>
      <w:r>
        <w:rPr>
          <w:rFonts w:hint="eastAsia" w:ascii="Times New Roman" w:hAnsi="Times New Roman" w:eastAsia="仿宋_GB2312" w:cs="Times New Roman"/>
          <w:i w:val="0"/>
          <w:caps w:val="0"/>
          <w:color w:val="auto"/>
          <w:spacing w:val="0"/>
          <w:sz w:val="32"/>
          <w:szCs w:val="32"/>
          <w:shd w:val="clear" w:color="auto" w:fill="FFFFFF"/>
        </w:rPr>
        <w:t>2025</w:t>
      </w:r>
      <w:r>
        <w:rPr>
          <w:rFonts w:hint="eastAsia" w:ascii="仿宋_GB2312" w:hAnsi="仿宋_GB2312" w:eastAsia="仿宋_GB2312" w:cs="仿宋_GB2312"/>
          <w:i w:val="0"/>
          <w:caps w:val="0"/>
          <w:color w:val="auto"/>
          <w:spacing w:val="0"/>
          <w:sz w:val="32"/>
          <w:szCs w:val="32"/>
          <w:lang w:eastAsia="zh-CN"/>
        </w:rPr>
        <w:t>年，我局未收到政府信息公开申请，未向申请人收取任何费用。</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outlineLvl w:val="9"/>
        <w:rPr>
          <w:rFonts w:hint="eastAsia" w:ascii="方正楷体简体" w:hAnsi="方正楷体简体" w:eastAsia="方正楷体简体" w:cs="方正楷体简体"/>
          <w:b/>
          <w:color w:val="auto"/>
          <w:sz w:val="32"/>
          <w:szCs w:val="32"/>
          <w:lang w:val="en-US" w:eastAsia="zh-CN"/>
        </w:rPr>
      </w:pPr>
      <w:r>
        <w:rPr>
          <w:rFonts w:hint="eastAsia" w:ascii="方正楷体简体" w:hAnsi="方正楷体简体" w:eastAsia="方正楷体简体" w:cs="方正楷体简体"/>
          <w:b/>
          <w:color w:val="auto"/>
          <w:sz w:val="32"/>
          <w:szCs w:val="32"/>
        </w:rPr>
        <w:t>政府信息管理</w:t>
      </w:r>
      <w:r>
        <w:rPr>
          <w:rFonts w:hint="eastAsia" w:ascii="方正楷体简体" w:hAnsi="方正楷体简体" w:eastAsia="方正楷体简体" w:cs="方正楷体简体"/>
          <w:b/>
          <w:color w:val="auto"/>
          <w:sz w:val="32"/>
          <w:szCs w:val="32"/>
          <w:lang w:val="en-US" w:eastAsia="zh-CN"/>
        </w:rPr>
        <w:t>情况</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仿宋_GB2312" w:hAnsi="仿宋_GB2312" w:eastAsia="仿宋_GB2312" w:cs="仿宋_GB2312"/>
          <w:i w:val="0"/>
          <w:caps w:val="0"/>
          <w:color w:val="FF0000"/>
          <w:spacing w:val="0"/>
          <w:sz w:val="32"/>
          <w:szCs w:val="32"/>
          <w:lang w:eastAsia="zh-CN"/>
        </w:rPr>
      </w:pPr>
      <w:r>
        <w:rPr>
          <w:rFonts w:hint="eastAsia" w:ascii="仿宋_GB2312" w:hAnsi="仿宋_GB2312" w:eastAsia="仿宋_GB2312" w:cs="仿宋_GB2312"/>
          <w:i w:val="0"/>
          <w:caps w:val="0"/>
          <w:color w:val="auto"/>
          <w:spacing w:val="0"/>
          <w:sz w:val="32"/>
          <w:szCs w:val="32"/>
          <w:lang w:eastAsia="zh-CN"/>
        </w:rPr>
        <w:t>严格按照《中华人民共和国政府信息公开条例》要求，深化信息制作、获取、保存、公开、保密审查等全链条管理，强化公文公开属性源头认定和发布审查机制，规范执行政府信息公开发布审核、信息发布保密审查等工作要求，确保公开信息准确、及时、权威，国家秘密和工作秘密绝对安全。</w:t>
      </w:r>
    </w:p>
    <w:p>
      <w:pPr>
        <w:keepNext w:val="0"/>
        <w:keepLines w:val="0"/>
        <w:pageBreakBefore w:val="0"/>
        <w:numPr>
          <w:ilvl w:val="0"/>
          <w:numId w:val="0"/>
        </w:numPr>
        <w:kinsoku/>
        <w:wordWrap/>
        <w:overflowPunct/>
        <w:topLinePunct w:val="0"/>
        <w:autoSpaceDE/>
        <w:autoSpaceDN/>
        <w:bidi w:val="0"/>
        <w:adjustRightInd/>
        <w:snapToGrid/>
        <w:spacing w:line="600" w:lineRule="exact"/>
        <w:ind w:right="-105" w:rightChars="-50" w:firstLine="643" w:firstLineChars="200"/>
        <w:textAlignment w:val="auto"/>
        <w:rPr>
          <w:rFonts w:hint="eastAsia" w:ascii="方正楷体简体" w:hAnsi="方正楷体简体" w:eastAsia="方正楷体简体" w:cs="方正楷体简体"/>
          <w:b/>
          <w:color w:val="auto"/>
          <w:sz w:val="32"/>
          <w:szCs w:val="32"/>
          <w:lang w:val="en-US" w:eastAsia="zh-CN"/>
        </w:rPr>
      </w:pPr>
      <w:r>
        <w:rPr>
          <w:rFonts w:hint="eastAsia" w:ascii="方正楷体简体" w:hAnsi="方正楷体简体" w:eastAsia="方正楷体简体" w:cs="方正楷体简体"/>
          <w:b/>
          <w:color w:val="auto"/>
          <w:sz w:val="32"/>
          <w:szCs w:val="32"/>
        </w:rPr>
        <w:t>（四）政府信息公开平台建设</w:t>
      </w:r>
      <w:r>
        <w:rPr>
          <w:rFonts w:hint="eastAsia" w:ascii="方正楷体简体" w:hAnsi="方正楷体简体" w:eastAsia="方正楷体简体" w:cs="方正楷体简体"/>
          <w:b/>
          <w:color w:val="auto"/>
          <w:sz w:val="32"/>
          <w:szCs w:val="32"/>
          <w:lang w:val="en-US" w:eastAsia="zh-CN"/>
        </w:rPr>
        <w:t>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仿宋_GB2312" w:hAnsi="仿宋_GB2312" w:eastAsia="仿宋_GB2312" w:cs="仿宋_GB2312"/>
          <w:i w:val="0"/>
          <w:caps w:val="0"/>
          <w:color w:val="auto"/>
          <w:spacing w:val="0"/>
          <w:sz w:val="32"/>
          <w:szCs w:val="32"/>
          <w:lang w:eastAsia="zh-CN"/>
        </w:rPr>
      </w:pPr>
      <w:r>
        <w:rPr>
          <w:rFonts w:hint="eastAsia" w:ascii="仿宋_GB2312" w:hAnsi="仿宋_GB2312" w:eastAsia="仿宋_GB2312" w:cs="仿宋_GB2312"/>
          <w:i w:val="0"/>
          <w:caps w:val="0"/>
          <w:color w:val="auto"/>
          <w:spacing w:val="0"/>
          <w:sz w:val="32"/>
          <w:szCs w:val="32"/>
          <w:lang w:eastAsia="zh-CN"/>
        </w:rPr>
        <w:t>我局依托政府网站平台，及时对交通运输行业政策等进行集中统一发布与动态更新，实时发布行政处罚、行政检查结果，及时更新重大民生信息，系统展示交通行业发展现状，提升公众获取信息和享受服务的便捷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outlineLvl w:val="9"/>
        <w:rPr>
          <w:rFonts w:hint="eastAsia" w:ascii="仿宋_GB2312" w:eastAsia="仿宋_GB2312" w:cs="仿宋_GB2312"/>
          <w:i w:val="0"/>
          <w:caps w:val="0"/>
          <w:color w:val="auto"/>
          <w:spacing w:val="0"/>
          <w:sz w:val="28"/>
          <w:szCs w:val="28"/>
        </w:rPr>
      </w:pPr>
      <w:r>
        <w:rPr>
          <w:rFonts w:hint="eastAsia" w:ascii="楷体_GB2312" w:hAnsi="楷体_GB2312" w:eastAsia="楷体_GB2312" w:cs="楷体_GB2312"/>
          <w:b/>
          <w:i w:val="0"/>
          <w:caps w:val="0"/>
          <w:color w:val="auto"/>
          <w:spacing w:val="0"/>
          <w:sz w:val="32"/>
          <w:szCs w:val="32"/>
          <w:shd w:val="clear" w:fill="FFFFFF"/>
        </w:rPr>
        <w:t>（五）监督保障情况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仿宋_GB2312" w:hAnsi="仿宋_GB2312" w:eastAsia="仿宋_GB2312" w:cs="仿宋_GB2312"/>
          <w:i w:val="0"/>
          <w:caps w:val="0"/>
          <w:color w:val="FF0000"/>
          <w:spacing w:val="0"/>
          <w:sz w:val="32"/>
          <w:szCs w:val="32"/>
          <w:lang w:eastAsia="zh-CN"/>
        </w:rPr>
      </w:pPr>
      <w:r>
        <w:rPr>
          <w:rFonts w:hint="eastAsia" w:ascii="仿宋_GB2312" w:hAnsi="仿宋_GB2312" w:eastAsia="仿宋_GB2312" w:cs="仿宋_GB2312"/>
          <w:i w:val="0"/>
          <w:caps w:val="0"/>
          <w:color w:val="auto"/>
          <w:spacing w:val="0"/>
          <w:sz w:val="32"/>
          <w:szCs w:val="32"/>
          <w:lang w:eastAsia="zh-CN"/>
        </w:rPr>
        <w:t>加大督查考核力度，定期对局属各单位、机关各科室政务公开落实情况进行督促，对不规范行为进行排查纠正；组织开展政务公开业务培训，着力提升工作人员政策把握、信息公开处理和服务群众各项能力；公开监督投诉电话、邮箱，主动接受社会监督，认真处理群众关于信息公开方面的意见建议和投诉；按规定编制并发布本年度报告。</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黑体" w:hAnsi="黑体" w:eastAsia="黑体" w:cs="黑体"/>
          <w:b/>
          <w:bCs/>
          <w:i w:val="0"/>
          <w:caps w:val="0"/>
          <w:color w:val="auto"/>
          <w:spacing w:val="0"/>
          <w:sz w:val="32"/>
          <w:szCs w:val="32"/>
        </w:rPr>
      </w:pPr>
      <w:r>
        <w:rPr>
          <w:rFonts w:hint="eastAsia" w:ascii="黑体" w:hAnsi="黑体" w:eastAsia="黑体" w:cs="黑体"/>
          <w:b/>
          <w:bCs/>
          <w:i w:val="0"/>
          <w:caps w:val="0"/>
          <w:color w:val="auto"/>
          <w:spacing w:val="0"/>
          <w:sz w:val="32"/>
          <w:szCs w:val="32"/>
        </w:rPr>
        <w:t>主动公开政府信息情况</w:t>
      </w:r>
    </w:p>
    <w:tbl>
      <w:tblPr>
        <w:tblStyle w:val="4"/>
        <w:tblW w:w="8424" w:type="dxa"/>
        <w:jc w:val="center"/>
        <w:tblCellSpacing w:w="0" w:type="dxa"/>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331"/>
        <w:gridCol w:w="2045"/>
        <w:gridCol w:w="2131"/>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8424" w:type="dxa"/>
            <w:gridSpan w:val="4"/>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2331" w:type="dxa"/>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信息内容</w:t>
            </w:r>
          </w:p>
        </w:tc>
        <w:tc>
          <w:tcPr>
            <w:tcW w:w="2045" w:type="dxa"/>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本年制发件数</w:t>
            </w:r>
          </w:p>
        </w:tc>
        <w:tc>
          <w:tcPr>
            <w:tcW w:w="2131" w:type="dxa"/>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本年废止件数</w:t>
            </w:r>
          </w:p>
        </w:tc>
        <w:tc>
          <w:tcPr>
            <w:tcW w:w="1917" w:type="dxa"/>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2331" w:type="dxa"/>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规章</w:t>
            </w:r>
          </w:p>
        </w:tc>
        <w:tc>
          <w:tcPr>
            <w:tcW w:w="2045" w:type="dxa"/>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2131" w:type="dxa"/>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1917" w:type="dxa"/>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2331" w:type="dxa"/>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行政规范性文件</w:t>
            </w:r>
          </w:p>
        </w:tc>
        <w:tc>
          <w:tcPr>
            <w:tcW w:w="2045" w:type="dxa"/>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2131" w:type="dxa"/>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rFonts w:hint="eastAsia" w:eastAsia="宋体"/>
                <w:color w:val="auto"/>
                <w:sz w:val="21"/>
                <w:szCs w:val="21"/>
                <w:lang w:eastAsia="zh-CN"/>
              </w:rPr>
            </w:pPr>
            <w:r>
              <w:rPr>
                <w:rFonts w:hint="eastAsia" w:ascii="宋体" w:hAnsi="宋体" w:eastAsia="宋体" w:cs="宋体"/>
                <w:color w:val="auto"/>
                <w:sz w:val="24"/>
                <w:szCs w:val="24"/>
                <w:lang w:val="en-US" w:eastAsia="zh-CN"/>
              </w:rPr>
              <w:t>0</w:t>
            </w:r>
          </w:p>
        </w:tc>
        <w:tc>
          <w:tcPr>
            <w:tcW w:w="1917" w:type="dxa"/>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8424" w:type="dxa"/>
            <w:gridSpan w:val="4"/>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2331" w:type="dxa"/>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信息内容</w:t>
            </w:r>
          </w:p>
        </w:tc>
        <w:tc>
          <w:tcPr>
            <w:tcW w:w="6093" w:type="dxa"/>
            <w:gridSpan w:val="3"/>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2331" w:type="dxa"/>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行政许可</w:t>
            </w:r>
          </w:p>
        </w:tc>
        <w:tc>
          <w:tcPr>
            <w:tcW w:w="6093" w:type="dxa"/>
            <w:gridSpan w:val="3"/>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8424" w:type="dxa"/>
            <w:gridSpan w:val="4"/>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2331" w:type="dxa"/>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信息内容</w:t>
            </w:r>
          </w:p>
        </w:tc>
        <w:tc>
          <w:tcPr>
            <w:tcW w:w="6093" w:type="dxa"/>
            <w:gridSpan w:val="3"/>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2331" w:type="dxa"/>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行政处罚</w:t>
            </w:r>
          </w:p>
        </w:tc>
        <w:tc>
          <w:tcPr>
            <w:tcW w:w="6093" w:type="dxa"/>
            <w:gridSpan w:val="3"/>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rFonts w:hint="default" w:eastAsia="宋体"/>
                <w:color w:val="auto"/>
                <w:sz w:val="21"/>
                <w:szCs w:val="21"/>
                <w:lang w:val="en-US" w:eastAsia="zh-CN"/>
              </w:rPr>
            </w:pPr>
            <w:r>
              <w:rPr>
                <w:rFonts w:hint="eastAsia" w:eastAsia="宋体"/>
                <w:color w:val="auto"/>
                <w:sz w:val="21"/>
                <w:szCs w:val="21"/>
                <w:lang w:val="en-US" w:eastAsia="zh-CN"/>
              </w:rPr>
              <w:t>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2331" w:type="dxa"/>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行政强制</w:t>
            </w:r>
          </w:p>
        </w:tc>
        <w:tc>
          <w:tcPr>
            <w:tcW w:w="6093" w:type="dxa"/>
            <w:gridSpan w:val="3"/>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8424" w:type="dxa"/>
            <w:gridSpan w:val="4"/>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2331" w:type="dxa"/>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信息内容</w:t>
            </w:r>
          </w:p>
        </w:tc>
        <w:tc>
          <w:tcPr>
            <w:tcW w:w="6093" w:type="dxa"/>
            <w:gridSpan w:val="3"/>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2331" w:type="dxa"/>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行政事业性收费</w:t>
            </w:r>
          </w:p>
        </w:tc>
        <w:tc>
          <w:tcPr>
            <w:tcW w:w="6093" w:type="dxa"/>
            <w:gridSpan w:val="3"/>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bl>
    <w:p>
      <w:pPr>
        <w:keepNext w:val="0"/>
        <w:keepLines w:val="0"/>
        <w:pageBreakBefore w:val="0"/>
        <w:numPr>
          <w:ilvl w:val="0"/>
          <w:numId w:val="2"/>
        </w:numPr>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黑体" w:hAnsi="黑体" w:eastAsia="黑体" w:cs="黑体"/>
          <w:b/>
          <w:bCs/>
          <w:i w:val="0"/>
          <w:caps w:val="0"/>
          <w:color w:val="auto"/>
          <w:spacing w:val="0"/>
          <w:sz w:val="32"/>
          <w:szCs w:val="32"/>
        </w:rPr>
      </w:pPr>
      <w:r>
        <w:rPr>
          <w:rFonts w:hint="eastAsia" w:ascii="黑体" w:hAnsi="黑体" w:eastAsia="黑体" w:cs="黑体"/>
          <w:b/>
          <w:bCs/>
          <w:i w:val="0"/>
          <w:caps w:val="0"/>
          <w:color w:val="auto"/>
          <w:spacing w:val="0"/>
          <w:sz w:val="32"/>
          <w:szCs w:val="32"/>
        </w:rPr>
        <w:t>收到和处理政府信息公开申请情况</w:t>
      </w:r>
    </w:p>
    <w:tbl>
      <w:tblPr>
        <w:tblStyle w:val="4"/>
        <w:tblW w:w="8466" w:type="dxa"/>
        <w:jc w:val="center"/>
        <w:tblCellSpacing w:w="0" w:type="dxa"/>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52"/>
        <w:gridCol w:w="937"/>
        <w:gridCol w:w="2684"/>
        <w:gridCol w:w="759"/>
        <w:gridCol w:w="581"/>
        <w:gridCol w:w="567"/>
        <w:gridCol w:w="581"/>
        <w:gridCol w:w="553"/>
        <w:gridCol w:w="540"/>
        <w:gridCol w:w="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4373" w:type="dxa"/>
            <w:gridSpan w:val="3"/>
            <w:vMerge w:val="restart"/>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（本列数据的勾稽关系为：第一项加第二项之和，等于第三项加第四项之和）</w:t>
            </w:r>
          </w:p>
        </w:tc>
        <w:tc>
          <w:tcPr>
            <w:tcW w:w="4093" w:type="dxa"/>
            <w:gridSpan w:val="7"/>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4373" w:type="dxa"/>
            <w:gridSpan w:val="3"/>
            <w:vMerge w:val="continue"/>
            <w:tcMar>
              <w:top w:w="0" w:type="dxa"/>
              <w:left w:w="105" w:type="dxa"/>
              <w:bottom w:w="0" w:type="dxa"/>
              <w:right w:w="105" w:type="dxa"/>
            </w:tcMar>
            <w:vAlign w:val="center"/>
          </w:tcPr>
          <w:p>
            <w:pPr>
              <w:rPr>
                <w:rFonts w:hint="eastAsia" w:ascii="宋体"/>
                <w:color w:val="auto"/>
                <w:sz w:val="24"/>
                <w:szCs w:val="24"/>
              </w:rPr>
            </w:pPr>
          </w:p>
        </w:tc>
        <w:tc>
          <w:tcPr>
            <w:tcW w:w="759" w:type="dxa"/>
            <w:vMerge w:val="restart"/>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自然人</w:t>
            </w:r>
          </w:p>
        </w:tc>
        <w:tc>
          <w:tcPr>
            <w:tcW w:w="2822" w:type="dxa"/>
            <w:gridSpan w:val="5"/>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法人或其他组织</w:t>
            </w:r>
          </w:p>
        </w:tc>
        <w:tc>
          <w:tcPr>
            <w:tcW w:w="512" w:type="dxa"/>
            <w:vMerge w:val="restart"/>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45" w:hRule="atLeast"/>
          <w:tblCellSpacing w:w="0" w:type="dxa"/>
          <w:jc w:val="center"/>
        </w:trPr>
        <w:tc>
          <w:tcPr>
            <w:tcW w:w="4373" w:type="dxa"/>
            <w:gridSpan w:val="3"/>
            <w:vMerge w:val="continue"/>
            <w:tcMar>
              <w:top w:w="0" w:type="dxa"/>
              <w:left w:w="105" w:type="dxa"/>
              <w:bottom w:w="0" w:type="dxa"/>
              <w:right w:w="105" w:type="dxa"/>
            </w:tcMar>
            <w:vAlign w:val="center"/>
          </w:tcPr>
          <w:p>
            <w:pPr>
              <w:rPr>
                <w:rFonts w:hint="eastAsia" w:ascii="宋体"/>
                <w:color w:val="auto"/>
                <w:sz w:val="24"/>
                <w:szCs w:val="24"/>
              </w:rPr>
            </w:pPr>
          </w:p>
        </w:tc>
        <w:tc>
          <w:tcPr>
            <w:tcW w:w="759" w:type="dxa"/>
            <w:vMerge w:val="continue"/>
            <w:tcMar>
              <w:top w:w="0" w:type="dxa"/>
              <w:left w:w="60" w:type="dxa"/>
              <w:bottom w:w="0" w:type="dxa"/>
              <w:right w:w="60" w:type="dxa"/>
            </w:tcMar>
            <w:vAlign w:val="center"/>
          </w:tcPr>
          <w:p>
            <w:pPr>
              <w:rPr>
                <w:rFonts w:hint="eastAsia" w:ascii="宋体"/>
                <w:color w:val="auto"/>
                <w:sz w:val="24"/>
                <w:szCs w:val="24"/>
              </w:rPr>
            </w:pP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商业</w:t>
            </w:r>
          </w:p>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企业</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科研</w:t>
            </w:r>
          </w:p>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机构</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社会公益组织</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法律服务机构</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其他</w:t>
            </w:r>
          </w:p>
        </w:tc>
        <w:tc>
          <w:tcPr>
            <w:tcW w:w="512" w:type="dxa"/>
            <w:vMerge w:val="continue"/>
            <w:tcMar>
              <w:top w:w="0" w:type="dxa"/>
              <w:left w:w="60" w:type="dxa"/>
              <w:bottom w:w="0" w:type="dxa"/>
              <w:right w:w="60" w:type="dxa"/>
            </w:tcMar>
            <w:vAlign w:val="center"/>
          </w:tcPr>
          <w:p>
            <w:pPr>
              <w:rPr>
                <w:rFonts w:hint="eastAsia"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20" w:hRule="atLeast"/>
          <w:tblCellSpacing w:w="0" w:type="dxa"/>
          <w:jc w:val="center"/>
        </w:trPr>
        <w:tc>
          <w:tcPr>
            <w:tcW w:w="4373" w:type="dxa"/>
            <w:gridSpan w:val="3"/>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一、本年新收政府信息公开申请数量</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rFonts w:hint="eastAsia" w:eastAsiaTheme="minorEastAsia"/>
                <w:color w:val="auto"/>
                <w:sz w:val="21"/>
                <w:szCs w:val="21"/>
                <w:lang w:eastAsia="zh-CN"/>
              </w:rPr>
            </w:pPr>
            <w:r>
              <w:rPr>
                <w:rFonts w:hint="eastAsia" w:ascii="宋体" w:hAnsi="宋体" w:eastAsia="宋体" w:cs="宋体"/>
                <w:color w:val="auto"/>
                <w:sz w:val="24"/>
                <w:szCs w:val="24"/>
                <w:lang w:val="en-US" w:eastAsia="zh-CN"/>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rFonts w:hint="eastAsia" w:eastAsiaTheme="minorEastAsia"/>
                <w:color w:val="auto"/>
                <w:sz w:val="21"/>
                <w:szCs w:val="21"/>
                <w:lang w:eastAsia="zh-CN"/>
              </w:rPr>
            </w:pPr>
            <w:r>
              <w:rPr>
                <w:rFonts w:hint="eastAsia" w:ascii="宋体" w:hAnsi="宋体" w:eastAsia="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0" w:hRule="atLeast"/>
          <w:tblCellSpacing w:w="0" w:type="dxa"/>
          <w:jc w:val="center"/>
        </w:trPr>
        <w:tc>
          <w:tcPr>
            <w:tcW w:w="4373" w:type="dxa"/>
            <w:gridSpan w:val="3"/>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二、上年结转政府信息公开申请数量</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752" w:type="dxa"/>
            <w:vMerge w:val="restart"/>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三、本年度办理结果</w:t>
            </w:r>
          </w:p>
        </w:tc>
        <w:tc>
          <w:tcPr>
            <w:tcW w:w="3621" w:type="dxa"/>
            <w:gridSpan w:val="2"/>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（一）予以公开</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rFonts w:hint="eastAsia" w:eastAsiaTheme="minorEastAsia"/>
                <w:color w:val="auto"/>
                <w:sz w:val="21"/>
                <w:szCs w:val="21"/>
                <w:lang w:eastAsia="zh-CN"/>
              </w:rPr>
            </w:pPr>
            <w:r>
              <w:rPr>
                <w:rFonts w:hint="eastAsia" w:ascii="宋体" w:hAnsi="宋体" w:eastAsia="宋体" w:cs="宋体"/>
                <w:color w:val="auto"/>
                <w:sz w:val="24"/>
                <w:szCs w:val="24"/>
                <w:lang w:val="en-US" w:eastAsia="zh-CN"/>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rFonts w:hint="eastAsia" w:eastAsiaTheme="minorEastAsia"/>
                <w:color w:val="auto"/>
                <w:sz w:val="21"/>
                <w:szCs w:val="21"/>
                <w:lang w:eastAsia="zh-CN"/>
              </w:rPr>
            </w:pPr>
            <w:r>
              <w:rPr>
                <w:rFonts w:hint="eastAsia" w:ascii="宋体" w:hAnsi="宋体" w:eastAsia="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05" w:hRule="atLeast"/>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3621" w:type="dxa"/>
            <w:gridSpan w:val="2"/>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（二）部分公开（区分处理的，只计这一情形，不计其他情形）</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937" w:type="dxa"/>
            <w:vMerge w:val="restart"/>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（三）不予公开</w:t>
            </w:r>
          </w:p>
        </w:tc>
        <w:tc>
          <w:tcPr>
            <w:tcW w:w="2684" w:type="dxa"/>
            <w:tcMar>
              <w:top w:w="0" w:type="dxa"/>
              <w:left w:w="60" w:type="dxa"/>
              <w:bottom w:w="0" w:type="dxa"/>
              <w:right w:w="60" w:type="dxa"/>
            </w:tcMar>
            <w:vAlign w:val="top"/>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1.属于国家秘密</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937" w:type="dxa"/>
            <w:vMerge w:val="continue"/>
            <w:tcMar>
              <w:top w:w="0" w:type="dxa"/>
              <w:left w:w="60" w:type="dxa"/>
              <w:bottom w:w="0" w:type="dxa"/>
              <w:right w:w="60" w:type="dxa"/>
            </w:tcMar>
            <w:vAlign w:val="center"/>
          </w:tcPr>
          <w:p>
            <w:pPr>
              <w:rPr>
                <w:rFonts w:hint="eastAsia" w:ascii="宋体"/>
                <w:color w:val="auto"/>
                <w:sz w:val="24"/>
                <w:szCs w:val="24"/>
              </w:rPr>
            </w:pPr>
          </w:p>
        </w:tc>
        <w:tc>
          <w:tcPr>
            <w:tcW w:w="2684" w:type="dxa"/>
            <w:tcMar>
              <w:top w:w="0" w:type="dxa"/>
              <w:left w:w="60" w:type="dxa"/>
              <w:bottom w:w="0" w:type="dxa"/>
              <w:right w:w="60" w:type="dxa"/>
            </w:tcMar>
            <w:vAlign w:val="top"/>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2.其他法律行政法规禁止公开</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937" w:type="dxa"/>
            <w:vMerge w:val="continue"/>
            <w:tcMar>
              <w:top w:w="0" w:type="dxa"/>
              <w:left w:w="60" w:type="dxa"/>
              <w:bottom w:w="0" w:type="dxa"/>
              <w:right w:w="60" w:type="dxa"/>
            </w:tcMar>
            <w:vAlign w:val="center"/>
          </w:tcPr>
          <w:p>
            <w:pPr>
              <w:rPr>
                <w:rFonts w:hint="eastAsia" w:ascii="宋体"/>
                <w:color w:val="auto"/>
                <w:sz w:val="24"/>
                <w:szCs w:val="24"/>
              </w:rPr>
            </w:pPr>
          </w:p>
        </w:tc>
        <w:tc>
          <w:tcPr>
            <w:tcW w:w="2684" w:type="dxa"/>
            <w:tcMar>
              <w:top w:w="0" w:type="dxa"/>
              <w:left w:w="60" w:type="dxa"/>
              <w:bottom w:w="0" w:type="dxa"/>
              <w:right w:w="60" w:type="dxa"/>
            </w:tcMar>
            <w:vAlign w:val="top"/>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3.危及“三安全一稳定”</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937" w:type="dxa"/>
            <w:vMerge w:val="continue"/>
            <w:tcMar>
              <w:top w:w="0" w:type="dxa"/>
              <w:left w:w="60" w:type="dxa"/>
              <w:bottom w:w="0" w:type="dxa"/>
              <w:right w:w="60" w:type="dxa"/>
            </w:tcMar>
            <w:vAlign w:val="center"/>
          </w:tcPr>
          <w:p>
            <w:pPr>
              <w:rPr>
                <w:rFonts w:hint="eastAsia" w:ascii="宋体"/>
                <w:color w:val="auto"/>
                <w:sz w:val="24"/>
                <w:szCs w:val="24"/>
              </w:rPr>
            </w:pPr>
          </w:p>
        </w:tc>
        <w:tc>
          <w:tcPr>
            <w:tcW w:w="2684" w:type="dxa"/>
            <w:tcMar>
              <w:top w:w="0" w:type="dxa"/>
              <w:left w:w="60" w:type="dxa"/>
              <w:bottom w:w="0" w:type="dxa"/>
              <w:right w:w="60" w:type="dxa"/>
            </w:tcMar>
            <w:vAlign w:val="top"/>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4.保护第三方合法权益</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937" w:type="dxa"/>
            <w:vMerge w:val="continue"/>
            <w:tcMar>
              <w:top w:w="0" w:type="dxa"/>
              <w:left w:w="60" w:type="dxa"/>
              <w:bottom w:w="0" w:type="dxa"/>
              <w:right w:w="60" w:type="dxa"/>
            </w:tcMar>
            <w:vAlign w:val="center"/>
          </w:tcPr>
          <w:p>
            <w:pPr>
              <w:rPr>
                <w:rFonts w:hint="eastAsia" w:ascii="宋体"/>
                <w:color w:val="auto"/>
                <w:sz w:val="24"/>
                <w:szCs w:val="24"/>
              </w:rPr>
            </w:pPr>
          </w:p>
        </w:tc>
        <w:tc>
          <w:tcPr>
            <w:tcW w:w="2684" w:type="dxa"/>
            <w:tcMar>
              <w:top w:w="0" w:type="dxa"/>
              <w:left w:w="60" w:type="dxa"/>
              <w:bottom w:w="0" w:type="dxa"/>
              <w:right w:w="60" w:type="dxa"/>
            </w:tcMar>
            <w:vAlign w:val="top"/>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5.属于三类内部事务信息</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937" w:type="dxa"/>
            <w:vMerge w:val="continue"/>
            <w:tcMar>
              <w:top w:w="0" w:type="dxa"/>
              <w:left w:w="60" w:type="dxa"/>
              <w:bottom w:w="0" w:type="dxa"/>
              <w:right w:w="60" w:type="dxa"/>
            </w:tcMar>
            <w:vAlign w:val="center"/>
          </w:tcPr>
          <w:p>
            <w:pPr>
              <w:rPr>
                <w:rFonts w:hint="eastAsia" w:ascii="宋体"/>
                <w:color w:val="auto"/>
                <w:sz w:val="24"/>
                <w:szCs w:val="24"/>
              </w:rPr>
            </w:pPr>
          </w:p>
        </w:tc>
        <w:tc>
          <w:tcPr>
            <w:tcW w:w="2684" w:type="dxa"/>
            <w:tcMar>
              <w:top w:w="0" w:type="dxa"/>
              <w:left w:w="60" w:type="dxa"/>
              <w:bottom w:w="0" w:type="dxa"/>
              <w:right w:w="60" w:type="dxa"/>
            </w:tcMar>
            <w:vAlign w:val="top"/>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6.属于四类过程性信息</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937" w:type="dxa"/>
            <w:vMerge w:val="continue"/>
            <w:tcMar>
              <w:top w:w="0" w:type="dxa"/>
              <w:left w:w="60" w:type="dxa"/>
              <w:bottom w:w="0" w:type="dxa"/>
              <w:right w:w="60" w:type="dxa"/>
            </w:tcMar>
            <w:vAlign w:val="center"/>
          </w:tcPr>
          <w:p>
            <w:pPr>
              <w:rPr>
                <w:rFonts w:hint="eastAsia" w:ascii="宋体"/>
                <w:color w:val="auto"/>
                <w:sz w:val="24"/>
                <w:szCs w:val="24"/>
              </w:rPr>
            </w:pPr>
          </w:p>
        </w:tc>
        <w:tc>
          <w:tcPr>
            <w:tcW w:w="2684" w:type="dxa"/>
            <w:tcMar>
              <w:top w:w="0" w:type="dxa"/>
              <w:left w:w="60" w:type="dxa"/>
              <w:bottom w:w="0" w:type="dxa"/>
              <w:right w:w="60" w:type="dxa"/>
            </w:tcMar>
            <w:vAlign w:val="top"/>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7.属于行政执法案卷</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937" w:type="dxa"/>
            <w:vMerge w:val="continue"/>
            <w:tcMar>
              <w:top w:w="0" w:type="dxa"/>
              <w:left w:w="60" w:type="dxa"/>
              <w:bottom w:w="0" w:type="dxa"/>
              <w:right w:w="60" w:type="dxa"/>
            </w:tcMar>
            <w:vAlign w:val="center"/>
          </w:tcPr>
          <w:p>
            <w:pPr>
              <w:rPr>
                <w:rFonts w:hint="eastAsia" w:ascii="宋体"/>
                <w:color w:val="auto"/>
                <w:sz w:val="24"/>
                <w:szCs w:val="24"/>
              </w:rPr>
            </w:pPr>
          </w:p>
        </w:tc>
        <w:tc>
          <w:tcPr>
            <w:tcW w:w="2684" w:type="dxa"/>
            <w:tcMar>
              <w:top w:w="0" w:type="dxa"/>
              <w:left w:w="60" w:type="dxa"/>
              <w:bottom w:w="0" w:type="dxa"/>
              <w:right w:w="60" w:type="dxa"/>
            </w:tcMar>
            <w:vAlign w:val="top"/>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8.属于行政查询事项</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937" w:type="dxa"/>
            <w:vMerge w:val="restart"/>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（四）无法提供</w:t>
            </w:r>
          </w:p>
        </w:tc>
        <w:tc>
          <w:tcPr>
            <w:tcW w:w="2684" w:type="dxa"/>
            <w:tcMar>
              <w:top w:w="0" w:type="dxa"/>
              <w:left w:w="60" w:type="dxa"/>
              <w:bottom w:w="0" w:type="dxa"/>
              <w:right w:w="60" w:type="dxa"/>
            </w:tcMar>
            <w:vAlign w:val="top"/>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1.本机关不掌握相关政府信息</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rFonts w:hint="eastAsia" w:eastAsiaTheme="minorEastAsia"/>
                <w:color w:val="auto"/>
                <w:sz w:val="21"/>
                <w:szCs w:val="21"/>
                <w:lang w:eastAsia="zh-CN"/>
              </w:rPr>
            </w:pPr>
            <w:r>
              <w:rPr>
                <w:rFonts w:hint="eastAsia" w:ascii="宋体" w:hAnsi="宋体" w:eastAsia="宋体" w:cs="宋体"/>
                <w:color w:val="auto"/>
                <w:sz w:val="24"/>
                <w:szCs w:val="24"/>
                <w:lang w:val="en-US" w:eastAsia="zh-CN"/>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rFonts w:hint="eastAsia" w:eastAsiaTheme="minorEastAsia"/>
                <w:color w:val="auto"/>
                <w:sz w:val="21"/>
                <w:szCs w:val="21"/>
                <w:lang w:eastAsia="zh-CN"/>
              </w:rPr>
            </w:pPr>
            <w:r>
              <w:rPr>
                <w:rFonts w:hint="eastAsia" w:ascii="宋体" w:hAnsi="宋体" w:eastAsia="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937" w:type="dxa"/>
            <w:vMerge w:val="continue"/>
            <w:tcMar>
              <w:top w:w="0" w:type="dxa"/>
              <w:left w:w="60" w:type="dxa"/>
              <w:bottom w:w="0" w:type="dxa"/>
              <w:right w:w="60" w:type="dxa"/>
            </w:tcMar>
            <w:vAlign w:val="center"/>
          </w:tcPr>
          <w:p>
            <w:pPr>
              <w:rPr>
                <w:rFonts w:hint="eastAsia" w:ascii="宋体"/>
                <w:color w:val="auto"/>
                <w:sz w:val="24"/>
                <w:szCs w:val="24"/>
              </w:rPr>
            </w:pPr>
          </w:p>
        </w:tc>
        <w:tc>
          <w:tcPr>
            <w:tcW w:w="2684" w:type="dxa"/>
            <w:tcMar>
              <w:top w:w="0" w:type="dxa"/>
              <w:left w:w="60" w:type="dxa"/>
              <w:bottom w:w="0" w:type="dxa"/>
              <w:right w:w="60" w:type="dxa"/>
            </w:tcMar>
            <w:vAlign w:val="top"/>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2.没有现成信息需要另行制作</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937" w:type="dxa"/>
            <w:vMerge w:val="continue"/>
            <w:tcMar>
              <w:top w:w="0" w:type="dxa"/>
              <w:left w:w="60" w:type="dxa"/>
              <w:bottom w:w="0" w:type="dxa"/>
              <w:right w:w="60" w:type="dxa"/>
            </w:tcMar>
            <w:vAlign w:val="center"/>
          </w:tcPr>
          <w:p>
            <w:pPr>
              <w:rPr>
                <w:rFonts w:hint="eastAsia" w:ascii="宋体"/>
                <w:color w:val="auto"/>
                <w:sz w:val="24"/>
                <w:szCs w:val="24"/>
              </w:rPr>
            </w:pPr>
          </w:p>
        </w:tc>
        <w:tc>
          <w:tcPr>
            <w:tcW w:w="2684" w:type="dxa"/>
            <w:tcMar>
              <w:top w:w="0" w:type="dxa"/>
              <w:left w:w="60" w:type="dxa"/>
              <w:bottom w:w="0" w:type="dxa"/>
              <w:right w:w="60" w:type="dxa"/>
            </w:tcMar>
            <w:vAlign w:val="top"/>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3.补正后申请内容仍不明确</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752" w:type="dxa"/>
            <w:vMerge w:val="restart"/>
            <w:tcMar>
              <w:top w:w="0" w:type="dxa"/>
              <w:left w:w="60" w:type="dxa"/>
              <w:bottom w:w="0" w:type="dxa"/>
              <w:right w:w="60" w:type="dxa"/>
            </w:tcMar>
            <w:vAlign w:val="center"/>
          </w:tcPr>
          <w:p>
            <w:pPr>
              <w:keepNext w:val="0"/>
              <w:keepLines w:val="0"/>
              <w:widowControl/>
              <w:suppressLineNumbers w:val="0"/>
              <w:jc w:val="left"/>
              <w:rPr>
                <w:color w:val="auto"/>
              </w:rPr>
            </w:pPr>
          </w:p>
        </w:tc>
        <w:tc>
          <w:tcPr>
            <w:tcW w:w="937" w:type="dxa"/>
            <w:vMerge w:val="restart"/>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（五）不予处理</w:t>
            </w:r>
          </w:p>
        </w:tc>
        <w:tc>
          <w:tcPr>
            <w:tcW w:w="2684" w:type="dxa"/>
            <w:tcMar>
              <w:top w:w="0" w:type="dxa"/>
              <w:left w:w="60" w:type="dxa"/>
              <w:bottom w:w="0" w:type="dxa"/>
              <w:right w:w="60" w:type="dxa"/>
            </w:tcMar>
            <w:vAlign w:val="top"/>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1.信访举报投诉类申请</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937" w:type="dxa"/>
            <w:vMerge w:val="continue"/>
            <w:tcMar>
              <w:top w:w="0" w:type="dxa"/>
              <w:left w:w="60" w:type="dxa"/>
              <w:bottom w:w="0" w:type="dxa"/>
              <w:right w:w="60" w:type="dxa"/>
            </w:tcMar>
            <w:vAlign w:val="center"/>
          </w:tcPr>
          <w:p>
            <w:pPr>
              <w:rPr>
                <w:rFonts w:hint="eastAsia" w:ascii="宋体"/>
                <w:color w:val="auto"/>
                <w:sz w:val="24"/>
                <w:szCs w:val="24"/>
              </w:rPr>
            </w:pPr>
          </w:p>
        </w:tc>
        <w:tc>
          <w:tcPr>
            <w:tcW w:w="2684" w:type="dxa"/>
            <w:tcMar>
              <w:top w:w="0" w:type="dxa"/>
              <w:left w:w="60" w:type="dxa"/>
              <w:bottom w:w="0" w:type="dxa"/>
              <w:right w:w="60" w:type="dxa"/>
            </w:tcMar>
            <w:vAlign w:val="top"/>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2.重复申请</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937" w:type="dxa"/>
            <w:vMerge w:val="continue"/>
            <w:tcMar>
              <w:top w:w="0" w:type="dxa"/>
              <w:left w:w="60" w:type="dxa"/>
              <w:bottom w:w="0" w:type="dxa"/>
              <w:right w:w="60" w:type="dxa"/>
            </w:tcMar>
            <w:vAlign w:val="center"/>
          </w:tcPr>
          <w:p>
            <w:pPr>
              <w:rPr>
                <w:rFonts w:hint="eastAsia" w:ascii="宋体"/>
                <w:color w:val="auto"/>
                <w:sz w:val="24"/>
                <w:szCs w:val="24"/>
              </w:rPr>
            </w:pPr>
          </w:p>
        </w:tc>
        <w:tc>
          <w:tcPr>
            <w:tcW w:w="2684" w:type="dxa"/>
            <w:tcMar>
              <w:top w:w="0" w:type="dxa"/>
              <w:left w:w="60" w:type="dxa"/>
              <w:bottom w:w="0" w:type="dxa"/>
              <w:right w:w="60" w:type="dxa"/>
            </w:tcMar>
            <w:vAlign w:val="top"/>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3.要求提供公开出版物</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937" w:type="dxa"/>
            <w:vMerge w:val="continue"/>
            <w:tcMar>
              <w:top w:w="0" w:type="dxa"/>
              <w:left w:w="60" w:type="dxa"/>
              <w:bottom w:w="0" w:type="dxa"/>
              <w:right w:w="60" w:type="dxa"/>
            </w:tcMar>
            <w:vAlign w:val="center"/>
          </w:tcPr>
          <w:p>
            <w:pPr>
              <w:rPr>
                <w:rFonts w:hint="eastAsia" w:ascii="宋体"/>
                <w:color w:val="auto"/>
                <w:sz w:val="24"/>
                <w:szCs w:val="24"/>
              </w:rPr>
            </w:pPr>
          </w:p>
        </w:tc>
        <w:tc>
          <w:tcPr>
            <w:tcW w:w="2684" w:type="dxa"/>
            <w:tcMar>
              <w:top w:w="0" w:type="dxa"/>
              <w:left w:w="60" w:type="dxa"/>
              <w:bottom w:w="0" w:type="dxa"/>
              <w:right w:w="60" w:type="dxa"/>
            </w:tcMar>
            <w:vAlign w:val="top"/>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4.无正当理由大量反复申请</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80" w:hRule="atLeast"/>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937" w:type="dxa"/>
            <w:vMerge w:val="continue"/>
            <w:tcMar>
              <w:top w:w="0" w:type="dxa"/>
              <w:left w:w="60" w:type="dxa"/>
              <w:bottom w:w="0" w:type="dxa"/>
              <w:right w:w="60" w:type="dxa"/>
            </w:tcMar>
            <w:vAlign w:val="center"/>
          </w:tcPr>
          <w:p>
            <w:pPr>
              <w:rPr>
                <w:rFonts w:hint="eastAsia" w:ascii="宋体"/>
                <w:color w:val="auto"/>
                <w:sz w:val="24"/>
                <w:szCs w:val="24"/>
              </w:rPr>
            </w:pPr>
          </w:p>
        </w:tc>
        <w:tc>
          <w:tcPr>
            <w:tcW w:w="2684"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5.要求行政机关确认或重新出具已获取信息</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937" w:type="dxa"/>
            <w:vMerge w:val="restart"/>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（六）其他处理</w:t>
            </w:r>
          </w:p>
        </w:tc>
        <w:tc>
          <w:tcPr>
            <w:tcW w:w="2684"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1.申请人无正当理由逾期不补正、行政机关不再处理其政府信息公开申请</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937" w:type="dxa"/>
            <w:vMerge w:val="continue"/>
            <w:tcMar>
              <w:top w:w="0" w:type="dxa"/>
              <w:left w:w="60" w:type="dxa"/>
              <w:bottom w:w="0" w:type="dxa"/>
              <w:right w:w="60" w:type="dxa"/>
            </w:tcMar>
            <w:vAlign w:val="center"/>
          </w:tcPr>
          <w:p>
            <w:pPr>
              <w:rPr>
                <w:rFonts w:hint="eastAsia" w:ascii="宋体"/>
                <w:color w:val="auto"/>
                <w:sz w:val="24"/>
                <w:szCs w:val="24"/>
              </w:rPr>
            </w:pPr>
          </w:p>
        </w:tc>
        <w:tc>
          <w:tcPr>
            <w:tcW w:w="2684"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2.申请人逾期未按收费通知要求缴纳费用、行政机关不再处理其政府信息公开申请</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937" w:type="dxa"/>
            <w:vMerge w:val="continue"/>
            <w:tcMar>
              <w:top w:w="0" w:type="dxa"/>
              <w:left w:w="60" w:type="dxa"/>
              <w:bottom w:w="0" w:type="dxa"/>
              <w:right w:w="60" w:type="dxa"/>
            </w:tcMar>
            <w:vAlign w:val="center"/>
          </w:tcPr>
          <w:p>
            <w:pPr>
              <w:rPr>
                <w:rFonts w:hint="eastAsia" w:ascii="宋体"/>
                <w:color w:val="auto"/>
                <w:sz w:val="24"/>
                <w:szCs w:val="24"/>
              </w:rPr>
            </w:pPr>
          </w:p>
        </w:tc>
        <w:tc>
          <w:tcPr>
            <w:tcW w:w="2684"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3.其他</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3621" w:type="dxa"/>
            <w:gridSpan w:val="2"/>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（七）总计</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rFonts w:hint="eastAsia" w:eastAsiaTheme="minorEastAsia"/>
                <w:color w:val="auto"/>
                <w:sz w:val="21"/>
                <w:szCs w:val="21"/>
                <w:lang w:eastAsia="zh-CN"/>
              </w:rPr>
            </w:pPr>
            <w:r>
              <w:rPr>
                <w:rFonts w:hint="eastAsia" w:ascii="宋体" w:hAnsi="宋体" w:eastAsia="宋体" w:cs="宋体"/>
                <w:color w:val="auto"/>
                <w:sz w:val="24"/>
                <w:szCs w:val="24"/>
                <w:lang w:val="en-US" w:eastAsia="zh-CN"/>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rFonts w:hint="eastAsia" w:eastAsiaTheme="minorEastAsia"/>
                <w:color w:val="auto"/>
                <w:sz w:val="21"/>
                <w:szCs w:val="21"/>
                <w:lang w:eastAsia="zh-CN"/>
              </w:rPr>
            </w:pPr>
            <w:r>
              <w:rPr>
                <w:rFonts w:hint="eastAsia" w:ascii="宋体" w:hAnsi="宋体" w:eastAsia="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4373" w:type="dxa"/>
            <w:gridSpan w:val="3"/>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四、结转下年度继续办理</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bl>
    <w:p>
      <w:pPr>
        <w:keepNext w:val="0"/>
        <w:keepLines w:val="0"/>
        <w:pageBreakBefore w:val="0"/>
        <w:numPr>
          <w:ilvl w:val="0"/>
          <w:numId w:val="2"/>
        </w:numPr>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黑体" w:hAnsi="黑体" w:eastAsia="黑体" w:cs="黑体"/>
          <w:b/>
          <w:bCs/>
          <w:i w:val="0"/>
          <w:caps w:val="0"/>
          <w:color w:val="auto"/>
          <w:spacing w:val="0"/>
          <w:sz w:val="32"/>
          <w:szCs w:val="32"/>
        </w:rPr>
      </w:pPr>
      <w:r>
        <w:rPr>
          <w:rFonts w:hint="eastAsia" w:ascii="黑体" w:hAnsi="黑体" w:eastAsia="黑体" w:cs="黑体"/>
          <w:b/>
          <w:bCs/>
          <w:i w:val="0"/>
          <w:caps w:val="0"/>
          <w:color w:val="auto"/>
          <w:spacing w:val="0"/>
          <w:sz w:val="32"/>
          <w:szCs w:val="32"/>
        </w:rPr>
        <w:t>政府信息公开行政复议、行政诉讼情况</w:t>
      </w:r>
    </w:p>
    <w:tbl>
      <w:tblPr>
        <w:tblStyle w:val="4"/>
        <w:tblW w:w="8516" w:type="dxa"/>
        <w:jc w:val="center"/>
        <w:tblCellSpacing w:w="0" w:type="dxa"/>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85"/>
        <w:gridCol w:w="585"/>
        <w:gridCol w:w="572"/>
        <w:gridCol w:w="558"/>
        <w:gridCol w:w="472"/>
        <w:gridCol w:w="612"/>
        <w:gridCol w:w="612"/>
        <w:gridCol w:w="612"/>
        <w:gridCol w:w="599"/>
        <w:gridCol w:w="472"/>
        <w:gridCol w:w="612"/>
        <w:gridCol w:w="612"/>
        <w:gridCol w:w="612"/>
        <w:gridCol w:w="529"/>
        <w:gridCol w:w="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2772" w:type="dxa"/>
            <w:gridSpan w:val="5"/>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行政复议</w:t>
            </w:r>
          </w:p>
        </w:tc>
        <w:tc>
          <w:tcPr>
            <w:tcW w:w="5744" w:type="dxa"/>
            <w:gridSpan w:val="10"/>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585" w:type="dxa"/>
            <w:vMerge w:val="restart"/>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结果维持</w:t>
            </w:r>
          </w:p>
        </w:tc>
        <w:tc>
          <w:tcPr>
            <w:tcW w:w="585" w:type="dxa"/>
            <w:vMerge w:val="restart"/>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结果</w:t>
            </w:r>
          </w:p>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纠正</w:t>
            </w:r>
          </w:p>
        </w:tc>
        <w:tc>
          <w:tcPr>
            <w:tcW w:w="572" w:type="dxa"/>
            <w:vMerge w:val="restart"/>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其他结果</w:t>
            </w:r>
          </w:p>
        </w:tc>
        <w:tc>
          <w:tcPr>
            <w:tcW w:w="558" w:type="dxa"/>
            <w:vMerge w:val="restart"/>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尚未审结</w:t>
            </w:r>
          </w:p>
        </w:tc>
        <w:tc>
          <w:tcPr>
            <w:tcW w:w="472" w:type="dxa"/>
            <w:vMerge w:val="restart"/>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总计</w:t>
            </w:r>
          </w:p>
        </w:tc>
        <w:tc>
          <w:tcPr>
            <w:tcW w:w="2907" w:type="dxa"/>
            <w:gridSpan w:val="5"/>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未经复议直接起诉</w:t>
            </w:r>
          </w:p>
        </w:tc>
        <w:tc>
          <w:tcPr>
            <w:tcW w:w="2837" w:type="dxa"/>
            <w:gridSpan w:val="5"/>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585" w:type="dxa"/>
            <w:vMerge w:val="continue"/>
            <w:tcMar>
              <w:top w:w="0" w:type="dxa"/>
              <w:left w:w="105" w:type="dxa"/>
              <w:bottom w:w="0" w:type="dxa"/>
              <w:right w:w="105" w:type="dxa"/>
            </w:tcMar>
            <w:vAlign w:val="center"/>
          </w:tcPr>
          <w:p>
            <w:pPr>
              <w:rPr>
                <w:rFonts w:hint="eastAsia" w:ascii="宋体"/>
                <w:color w:val="auto"/>
                <w:sz w:val="24"/>
                <w:szCs w:val="24"/>
              </w:rPr>
            </w:pPr>
          </w:p>
        </w:tc>
        <w:tc>
          <w:tcPr>
            <w:tcW w:w="585" w:type="dxa"/>
            <w:vMerge w:val="continue"/>
            <w:tcMar>
              <w:top w:w="0" w:type="dxa"/>
              <w:left w:w="105" w:type="dxa"/>
              <w:bottom w:w="0" w:type="dxa"/>
              <w:right w:w="105" w:type="dxa"/>
            </w:tcMar>
            <w:vAlign w:val="center"/>
          </w:tcPr>
          <w:p>
            <w:pPr>
              <w:rPr>
                <w:rFonts w:hint="eastAsia" w:ascii="宋体"/>
                <w:color w:val="auto"/>
                <w:sz w:val="24"/>
                <w:szCs w:val="24"/>
              </w:rPr>
            </w:pPr>
          </w:p>
        </w:tc>
        <w:tc>
          <w:tcPr>
            <w:tcW w:w="572" w:type="dxa"/>
            <w:vMerge w:val="continue"/>
            <w:tcMar>
              <w:top w:w="0" w:type="dxa"/>
              <w:left w:w="105" w:type="dxa"/>
              <w:bottom w:w="0" w:type="dxa"/>
              <w:right w:w="105" w:type="dxa"/>
            </w:tcMar>
            <w:vAlign w:val="center"/>
          </w:tcPr>
          <w:p>
            <w:pPr>
              <w:rPr>
                <w:rFonts w:hint="eastAsia" w:ascii="宋体"/>
                <w:color w:val="auto"/>
                <w:sz w:val="24"/>
                <w:szCs w:val="24"/>
              </w:rPr>
            </w:pPr>
          </w:p>
        </w:tc>
        <w:tc>
          <w:tcPr>
            <w:tcW w:w="558" w:type="dxa"/>
            <w:vMerge w:val="continue"/>
            <w:tcMar>
              <w:top w:w="0" w:type="dxa"/>
              <w:left w:w="105" w:type="dxa"/>
              <w:bottom w:w="0" w:type="dxa"/>
              <w:right w:w="105" w:type="dxa"/>
            </w:tcMar>
            <w:vAlign w:val="center"/>
          </w:tcPr>
          <w:p>
            <w:pPr>
              <w:rPr>
                <w:rFonts w:hint="eastAsia" w:ascii="宋体"/>
                <w:color w:val="auto"/>
                <w:sz w:val="24"/>
                <w:szCs w:val="24"/>
              </w:rPr>
            </w:pPr>
          </w:p>
        </w:tc>
        <w:tc>
          <w:tcPr>
            <w:tcW w:w="472" w:type="dxa"/>
            <w:vMerge w:val="continue"/>
            <w:tcMar>
              <w:top w:w="0" w:type="dxa"/>
              <w:left w:w="105" w:type="dxa"/>
              <w:bottom w:w="0" w:type="dxa"/>
              <w:right w:w="105" w:type="dxa"/>
            </w:tcMar>
            <w:vAlign w:val="center"/>
          </w:tcPr>
          <w:p>
            <w:pPr>
              <w:rPr>
                <w:rFonts w:hint="eastAsia" w:ascii="宋体"/>
                <w:color w:val="auto"/>
                <w:sz w:val="24"/>
                <w:szCs w:val="24"/>
              </w:rPr>
            </w:pPr>
          </w:p>
        </w:tc>
        <w:tc>
          <w:tcPr>
            <w:tcW w:w="612"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结果维持</w:t>
            </w:r>
          </w:p>
        </w:tc>
        <w:tc>
          <w:tcPr>
            <w:tcW w:w="612"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结果纠正</w:t>
            </w:r>
          </w:p>
        </w:tc>
        <w:tc>
          <w:tcPr>
            <w:tcW w:w="612"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其他结果</w:t>
            </w:r>
          </w:p>
        </w:tc>
        <w:tc>
          <w:tcPr>
            <w:tcW w:w="599"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尚未审结</w:t>
            </w:r>
          </w:p>
        </w:tc>
        <w:tc>
          <w:tcPr>
            <w:tcW w:w="472"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总计</w:t>
            </w:r>
          </w:p>
        </w:tc>
        <w:tc>
          <w:tcPr>
            <w:tcW w:w="612"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结果维持</w:t>
            </w:r>
          </w:p>
        </w:tc>
        <w:tc>
          <w:tcPr>
            <w:tcW w:w="612"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结果纠正</w:t>
            </w:r>
          </w:p>
        </w:tc>
        <w:tc>
          <w:tcPr>
            <w:tcW w:w="612"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其他结果</w:t>
            </w:r>
          </w:p>
        </w:tc>
        <w:tc>
          <w:tcPr>
            <w:tcW w:w="529"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尚未审结</w:t>
            </w:r>
          </w:p>
        </w:tc>
        <w:tc>
          <w:tcPr>
            <w:tcW w:w="472"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75" w:hRule="atLeast"/>
          <w:tblCellSpacing w:w="0" w:type="dxa"/>
          <w:jc w:val="center"/>
        </w:trPr>
        <w:tc>
          <w:tcPr>
            <w:tcW w:w="585"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5"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72"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8"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rFonts w:hint="eastAsia" w:eastAsiaTheme="minorEastAsia"/>
                <w:color w:val="auto"/>
                <w:sz w:val="21"/>
                <w:szCs w:val="21"/>
                <w:lang w:eastAsia="zh-CN"/>
              </w:rPr>
            </w:pPr>
            <w:r>
              <w:rPr>
                <w:rFonts w:hint="eastAsia" w:ascii="宋体" w:hAnsi="宋体" w:eastAsia="宋体" w:cs="宋体"/>
                <w:color w:val="auto"/>
                <w:sz w:val="24"/>
                <w:szCs w:val="24"/>
                <w:lang w:val="en-US" w:eastAsia="zh-CN"/>
              </w:rPr>
              <w:t>0</w:t>
            </w:r>
          </w:p>
        </w:tc>
        <w:tc>
          <w:tcPr>
            <w:tcW w:w="472"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rFonts w:hint="eastAsia" w:eastAsiaTheme="minorEastAsia"/>
                <w:color w:val="auto"/>
                <w:sz w:val="21"/>
                <w:szCs w:val="21"/>
                <w:lang w:eastAsia="zh-CN"/>
              </w:rPr>
            </w:pPr>
            <w:r>
              <w:rPr>
                <w:rFonts w:hint="eastAsia" w:ascii="宋体" w:hAnsi="宋体" w:eastAsia="宋体" w:cs="宋体"/>
                <w:color w:val="auto"/>
                <w:sz w:val="24"/>
                <w:szCs w:val="24"/>
                <w:lang w:val="en-US" w:eastAsia="zh-CN"/>
              </w:rPr>
              <w:t>0</w:t>
            </w:r>
          </w:p>
        </w:tc>
        <w:tc>
          <w:tcPr>
            <w:tcW w:w="612"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612"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612"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99"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rFonts w:hint="eastAsia" w:eastAsiaTheme="minorEastAsia"/>
                <w:color w:val="auto"/>
                <w:sz w:val="21"/>
                <w:szCs w:val="21"/>
                <w:lang w:eastAsia="zh-CN"/>
              </w:rPr>
            </w:pPr>
            <w:r>
              <w:rPr>
                <w:rFonts w:hint="eastAsia" w:ascii="宋体" w:hAnsi="宋体" w:eastAsia="宋体" w:cs="宋体"/>
                <w:color w:val="auto"/>
                <w:sz w:val="24"/>
                <w:szCs w:val="24"/>
                <w:lang w:val="en-US" w:eastAsia="zh-CN"/>
              </w:rPr>
              <w:t>0</w:t>
            </w:r>
          </w:p>
        </w:tc>
        <w:tc>
          <w:tcPr>
            <w:tcW w:w="472"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rFonts w:hint="eastAsia" w:eastAsiaTheme="minorEastAsia"/>
                <w:color w:val="auto"/>
                <w:sz w:val="21"/>
                <w:szCs w:val="21"/>
                <w:lang w:eastAsia="zh-CN"/>
              </w:rPr>
            </w:pPr>
            <w:r>
              <w:rPr>
                <w:rFonts w:hint="eastAsia" w:ascii="宋体" w:hAnsi="宋体" w:eastAsia="宋体" w:cs="宋体"/>
                <w:color w:val="auto"/>
                <w:sz w:val="24"/>
                <w:szCs w:val="24"/>
                <w:lang w:val="en-US" w:eastAsia="zh-CN"/>
              </w:rPr>
              <w:t>0</w:t>
            </w:r>
          </w:p>
        </w:tc>
        <w:tc>
          <w:tcPr>
            <w:tcW w:w="612"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612"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612"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29"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472"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outlineLvl w:val="9"/>
        <w:rPr>
          <w:rFonts w:hint="eastAsia" w:ascii="黑体" w:hAnsi="黑体" w:eastAsia="黑体" w:cs="黑体"/>
          <w:b/>
          <w:bCs/>
          <w:i w:val="0"/>
          <w:caps w:val="0"/>
          <w:color w:val="auto"/>
          <w:spacing w:val="0"/>
          <w:sz w:val="32"/>
          <w:szCs w:val="32"/>
        </w:rPr>
      </w:pPr>
      <w:r>
        <w:rPr>
          <w:rFonts w:hint="eastAsia" w:ascii="黑体" w:hAnsi="黑体" w:eastAsia="黑体" w:cs="黑体"/>
          <w:b/>
          <w:bCs/>
          <w:i w:val="0"/>
          <w:caps w:val="0"/>
          <w:color w:val="auto"/>
          <w:spacing w:val="0"/>
          <w:sz w:val="32"/>
          <w:szCs w:val="32"/>
        </w:rPr>
        <w:t>五、存在的主要问题及改进情况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default" w:ascii="仿宋_GB2312" w:hAnsi="仿宋_GB2312" w:eastAsia="仿宋_GB2312" w:cs="仿宋_GB2312"/>
          <w:i w:val="0"/>
          <w:caps w:val="0"/>
          <w:color w:val="auto"/>
          <w:spacing w:val="0"/>
          <w:sz w:val="32"/>
          <w:szCs w:val="32"/>
          <w:lang w:eastAsia="zh-CN"/>
        </w:rPr>
      </w:pPr>
      <w:r>
        <w:rPr>
          <w:rFonts w:hint="eastAsia" w:ascii="仿宋_GB2312" w:hAnsi="仿宋_GB2312" w:eastAsia="仿宋_GB2312" w:cs="仿宋_GB2312"/>
          <w:i w:val="0"/>
          <w:caps w:val="0"/>
          <w:color w:val="auto"/>
          <w:spacing w:val="0"/>
          <w:sz w:val="32"/>
          <w:szCs w:val="32"/>
          <w:lang w:eastAsia="zh-CN"/>
        </w:rPr>
        <w:t>存在的主要问题：一是信息公开的全面性与时效性有待提升。二是信息获取的便捷性存在短板。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default" w:ascii="Calibri" w:hAnsi="Calibri" w:cs="Calibri"/>
          <w:i w:val="0"/>
          <w:caps w:val="0"/>
          <w:color w:val="333333"/>
          <w:spacing w:val="0"/>
          <w:sz w:val="21"/>
          <w:szCs w:val="21"/>
        </w:rPr>
      </w:pPr>
      <w:r>
        <w:rPr>
          <w:rFonts w:hint="eastAsia" w:ascii="仿宋_GB2312" w:hAnsi="仿宋_GB2312" w:eastAsia="仿宋_GB2312" w:cs="仿宋_GB2312"/>
          <w:i w:val="0"/>
          <w:caps w:val="0"/>
          <w:color w:val="auto"/>
          <w:spacing w:val="0"/>
          <w:sz w:val="32"/>
          <w:szCs w:val="32"/>
          <w:lang w:eastAsia="zh-CN"/>
        </w:rPr>
        <w:t>改进情况：一是严格落实“源头认定、同步部署、限时公开”的工作机制。明确各类信息的公开时限要求，完善公开和不予公开两类政府信息的界定，充实信息公开内容。二是积极拓宽信息公开的渠道和方式。充分发挥政府网站、电子屏、报纸等媒介的作用，推行“一表读懂”“一图看懂”等简明化信息呈现方式，保障人民群众获取信息权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outlineLvl w:val="9"/>
        <w:rPr>
          <w:rFonts w:hint="eastAsia" w:ascii="黑体" w:hAnsi="黑体" w:eastAsia="黑体" w:cs="黑体"/>
          <w:b/>
          <w:bCs/>
          <w:i w:val="0"/>
          <w:caps w:val="0"/>
          <w:color w:val="auto"/>
          <w:spacing w:val="0"/>
          <w:sz w:val="32"/>
          <w:szCs w:val="32"/>
        </w:rPr>
      </w:pPr>
      <w:r>
        <w:rPr>
          <w:rFonts w:hint="eastAsia" w:ascii="黑体" w:hAnsi="黑体" w:eastAsia="黑体" w:cs="黑体"/>
          <w:b/>
          <w:bCs/>
          <w:i w:val="0"/>
          <w:caps w:val="0"/>
          <w:color w:val="auto"/>
          <w:spacing w:val="0"/>
          <w:sz w:val="32"/>
          <w:szCs w:val="32"/>
        </w:rPr>
        <w:t>六、其他需要报告的事项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（一）依据《政府信息公开信息处理费管理办法》收取信息处理费的情况：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Times New Roman" w:hAnsi="Times New Roman" w:eastAsia="仿宋_GB2312" w:cs="Times New Roman"/>
          <w:i w:val="0"/>
          <w:caps w:val="0"/>
          <w:color w:val="auto"/>
          <w:spacing w:val="0"/>
          <w:sz w:val="32"/>
          <w:szCs w:val="32"/>
          <w:shd w:val="clear" w:color="auto" w:fill="FFFFFF"/>
        </w:rPr>
        <w:t>202</w:t>
      </w:r>
      <w:r>
        <w:rPr>
          <w:rFonts w:hint="eastAsia" w:ascii="Times New Roman" w:hAnsi="Times New Roman" w:eastAsia="仿宋_GB2312" w:cs="Times New Roman"/>
          <w:i w:val="0"/>
          <w:caps w:val="0"/>
          <w:color w:val="auto"/>
          <w:spacing w:val="0"/>
          <w:sz w:val="32"/>
          <w:szCs w:val="32"/>
          <w:shd w:val="clear" w:color="auto" w:fill="FFFFFF"/>
          <w:lang w:val="en-US" w:eastAsia="zh-CN"/>
        </w:rPr>
        <w:t>5</w:t>
      </w:r>
      <w:r>
        <w:rPr>
          <w:rFonts w:hint="eastAsia" w:ascii="仿宋_GB2312" w:hAnsi="仿宋_GB2312" w:eastAsia="仿宋_GB2312" w:cs="仿宋_GB2312"/>
          <w:i w:val="0"/>
          <w:caps w:val="0"/>
          <w:color w:val="auto"/>
          <w:spacing w:val="0"/>
          <w:sz w:val="32"/>
          <w:szCs w:val="32"/>
        </w:rPr>
        <w:t>年，泗水县</w:t>
      </w:r>
      <w:r>
        <w:rPr>
          <w:rFonts w:hint="eastAsia" w:ascii="仿宋_GB2312" w:hAnsi="仿宋_GB2312" w:eastAsia="仿宋_GB2312" w:cs="仿宋_GB2312"/>
          <w:i w:val="0"/>
          <w:caps w:val="0"/>
          <w:color w:val="auto"/>
          <w:spacing w:val="0"/>
          <w:sz w:val="32"/>
          <w:szCs w:val="32"/>
          <w:lang w:eastAsia="zh-CN"/>
        </w:rPr>
        <w:t>交通运输</w:t>
      </w:r>
      <w:r>
        <w:rPr>
          <w:rFonts w:hint="eastAsia" w:ascii="仿宋_GB2312" w:hAnsi="仿宋_GB2312" w:eastAsia="仿宋_GB2312" w:cs="仿宋_GB2312"/>
          <w:i w:val="0"/>
          <w:caps w:val="0"/>
          <w:color w:val="auto"/>
          <w:spacing w:val="0"/>
          <w:sz w:val="32"/>
          <w:szCs w:val="32"/>
        </w:rPr>
        <w:t>局严格落实《国务院办公厅关于印发&lt;政府信息公开信息处理费管理办法&gt;的通知》（国办函〔</w:t>
      </w:r>
      <w:r>
        <w:rPr>
          <w:rFonts w:hint="eastAsia" w:ascii="Times New Roman" w:hAnsi="Times New Roman" w:eastAsia="仿宋_GB2312" w:cs="Times New Roman"/>
          <w:i w:val="0"/>
          <w:caps w:val="0"/>
          <w:color w:val="auto"/>
          <w:spacing w:val="0"/>
          <w:sz w:val="32"/>
          <w:szCs w:val="32"/>
          <w:shd w:val="clear" w:color="auto" w:fill="FFFFFF"/>
        </w:rPr>
        <w:t>2020</w:t>
      </w:r>
      <w:r>
        <w:rPr>
          <w:rFonts w:hint="eastAsia" w:ascii="仿宋_GB2312" w:hAnsi="仿宋_GB2312" w:eastAsia="仿宋_GB2312" w:cs="仿宋_GB2312"/>
          <w:i w:val="0"/>
          <w:caps w:val="0"/>
          <w:color w:val="auto"/>
          <w:spacing w:val="0"/>
          <w:sz w:val="32"/>
          <w:szCs w:val="32"/>
        </w:rPr>
        <w:t>〕</w:t>
      </w:r>
      <w:r>
        <w:rPr>
          <w:rFonts w:hint="eastAsia" w:ascii="Times New Roman" w:hAnsi="Times New Roman" w:eastAsia="仿宋_GB2312" w:cs="Times New Roman"/>
          <w:i w:val="0"/>
          <w:caps w:val="0"/>
          <w:color w:val="auto"/>
          <w:spacing w:val="0"/>
          <w:sz w:val="32"/>
          <w:szCs w:val="32"/>
          <w:shd w:val="clear" w:color="auto" w:fill="FFFFFF"/>
        </w:rPr>
        <w:t>109</w:t>
      </w:r>
      <w:r>
        <w:rPr>
          <w:rFonts w:hint="eastAsia" w:ascii="仿宋_GB2312" w:hAnsi="仿宋_GB2312" w:eastAsia="仿宋_GB2312" w:cs="仿宋_GB2312"/>
          <w:i w:val="0"/>
          <w:caps w:val="0"/>
          <w:color w:val="auto"/>
          <w:spacing w:val="0"/>
          <w:sz w:val="32"/>
          <w:szCs w:val="32"/>
        </w:rPr>
        <w:t>号）和《山东省人民政府办公厅关于做好政府信息公开信息处理费管理工作有关事项的通知》（鲁政办字〔</w:t>
      </w:r>
      <w:r>
        <w:rPr>
          <w:rFonts w:hint="eastAsia" w:ascii="Times New Roman" w:hAnsi="Times New Roman" w:eastAsia="仿宋_GB2312" w:cs="Times New Roman"/>
          <w:i w:val="0"/>
          <w:caps w:val="0"/>
          <w:color w:val="auto"/>
          <w:spacing w:val="0"/>
          <w:sz w:val="32"/>
          <w:szCs w:val="32"/>
          <w:shd w:val="clear" w:color="auto" w:fill="FFFFFF"/>
        </w:rPr>
        <w:t>2020</w:t>
      </w:r>
      <w:r>
        <w:rPr>
          <w:rFonts w:hint="eastAsia" w:ascii="仿宋_GB2312" w:hAnsi="仿宋_GB2312" w:eastAsia="仿宋_GB2312" w:cs="仿宋_GB2312"/>
          <w:i w:val="0"/>
          <w:caps w:val="0"/>
          <w:color w:val="auto"/>
          <w:spacing w:val="0"/>
          <w:sz w:val="32"/>
          <w:szCs w:val="32"/>
        </w:rPr>
        <w:t>〕</w:t>
      </w:r>
      <w:r>
        <w:rPr>
          <w:rFonts w:hint="eastAsia" w:ascii="Times New Roman" w:hAnsi="Times New Roman" w:eastAsia="仿宋_GB2312" w:cs="Times New Roman"/>
          <w:i w:val="0"/>
          <w:caps w:val="0"/>
          <w:color w:val="auto"/>
          <w:spacing w:val="0"/>
          <w:sz w:val="32"/>
          <w:szCs w:val="32"/>
          <w:shd w:val="clear" w:color="auto" w:fill="FFFFFF"/>
        </w:rPr>
        <w:t>179</w:t>
      </w:r>
      <w:r>
        <w:rPr>
          <w:rFonts w:hint="eastAsia" w:ascii="仿宋_GB2312" w:hAnsi="仿宋_GB2312" w:eastAsia="仿宋_GB2312" w:cs="仿宋_GB2312"/>
          <w:i w:val="0"/>
          <w:caps w:val="0"/>
          <w:color w:val="auto"/>
          <w:spacing w:val="0"/>
          <w:sz w:val="32"/>
          <w:szCs w:val="32"/>
        </w:rPr>
        <w:t>号）规定，政府信息公开申请未向申请人收取任何费用。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（二）本行政机关落实上级年度政务公开工作要点情况：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Times New Roman" w:hAnsi="Times New Roman" w:eastAsia="仿宋_GB2312" w:cs="Times New Roman"/>
          <w:i w:val="0"/>
          <w:caps w:val="0"/>
          <w:color w:val="auto"/>
          <w:spacing w:val="0"/>
          <w:sz w:val="32"/>
          <w:szCs w:val="32"/>
          <w:shd w:val="clear" w:color="auto" w:fill="FFFFFF"/>
        </w:rPr>
        <w:t>2025</w:t>
      </w:r>
      <w:r>
        <w:rPr>
          <w:rFonts w:hint="eastAsia" w:ascii="仿宋_GB2312" w:hAnsi="仿宋_GB2312" w:eastAsia="仿宋_GB2312" w:cs="仿宋_GB2312"/>
          <w:i w:val="0"/>
          <w:caps w:val="0"/>
          <w:color w:val="auto"/>
          <w:spacing w:val="0"/>
          <w:sz w:val="32"/>
          <w:szCs w:val="32"/>
        </w:rPr>
        <w:t>年，</w:t>
      </w:r>
      <w:r>
        <w:rPr>
          <w:rFonts w:hint="eastAsia" w:ascii="仿宋_GB2312" w:hAnsi="仿宋_GB2312" w:eastAsia="仿宋_GB2312" w:cs="仿宋_GB2312"/>
          <w:i w:val="0"/>
          <w:caps w:val="0"/>
          <w:color w:val="auto"/>
          <w:spacing w:val="0"/>
          <w:sz w:val="32"/>
          <w:szCs w:val="32"/>
          <w:lang w:eastAsia="zh-CN"/>
        </w:rPr>
        <w:t>我局</w:t>
      </w:r>
      <w:r>
        <w:rPr>
          <w:rFonts w:hint="eastAsia" w:ascii="仿宋_GB2312" w:hAnsi="仿宋_GB2312" w:eastAsia="仿宋_GB2312" w:cs="仿宋_GB2312"/>
          <w:i w:val="0"/>
          <w:caps w:val="0"/>
          <w:color w:val="auto"/>
          <w:spacing w:val="0"/>
          <w:sz w:val="32"/>
          <w:szCs w:val="32"/>
        </w:rPr>
        <w:t>扎实推进落实上级年度政务公开工作要点，秉持标准引领原则，对照上级标准规范细化政务公开事项清单、健全工作流程，稳步推动政务公开向规范化转型；深化数字赋能举措，提升</w:t>
      </w:r>
      <w:r>
        <w:rPr>
          <w:rFonts w:hint="eastAsia" w:ascii="仿宋_GB2312" w:hAnsi="仿宋_GB2312" w:eastAsia="仿宋_GB2312" w:cs="仿宋_GB2312"/>
          <w:i w:val="0"/>
          <w:caps w:val="0"/>
          <w:color w:val="auto"/>
          <w:spacing w:val="0"/>
          <w:sz w:val="32"/>
          <w:szCs w:val="32"/>
          <w:lang w:eastAsia="zh-CN"/>
        </w:rPr>
        <w:t>网站</w:t>
      </w:r>
      <w:r>
        <w:rPr>
          <w:rFonts w:hint="eastAsia" w:ascii="仿宋_GB2312" w:hAnsi="仿宋_GB2312" w:eastAsia="仿宋_GB2312" w:cs="仿宋_GB2312"/>
          <w:i w:val="0"/>
          <w:caps w:val="0"/>
          <w:color w:val="auto"/>
          <w:spacing w:val="0"/>
          <w:sz w:val="32"/>
          <w:szCs w:val="32"/>
        </w:rPr>
        <w:t>信息发布频次，全力推动政务公开提质增效；紧扣重点工作推进部署，聚焦核心领域，精准推送关键信息，充分发挥政务公开服务发展、保障民生的重要作用；同时丰富互动交流形式，通过多元方式畅通沟通渠道，精准回应社会各界关切，持续提升政务公开工作质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（三）本行政机关人大代表建议和政协提案办理结果公开情况：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sz w:val="32"/>
          <w:szCs w:val="32"/>
          <w:lang w:eastAsia="zh-CN"/>
        </w:rPr>
      </w:pPr>
      <w:r>
        <w:rPr>
          <w:rFonts w:hint="eastAsia" w:ascii="仿宋_GB2312" w:hAnsi="仿宋_GB2312" w:eastAsia="仿宋_GB2312" w:cs="仿宋_GB2312"/>
          <w:i w:val="0"/>
          <w:caps w:val="0"/>
          <w:color w:val="auto"/>
          <w:spacing w:val="0"/>
          <w:sz w:val="32"/>
          <w:szCs w:val="32"/>
          <w:lang w:val="en-US" w:eastAsia="zh-CN"/>
        </w:rPr>
        <w:t>2025年，我局</w:t>
      </w:r>
      <w:r>
        <w:rPr>
          <w:rFonts w:hint="eastAsia" w:ascii="仿宋_GB2312" w:hAnsi="仿宋_GB2312" w:eastAsia="仿宋_GB2312" w:cs="仿宋_GB2312"/>
          <w:i w:val="0"/>
          <w:caps w:val="0"/>
          <w:color w:val="auto"/>
          <w:spacing w:val="0"/>
          <w:sz w:val="32"/>
          <w:szCs w:val="32"/>
        </w:rPr>
        <w:t>未收到人大代表建议和政协委员提案。</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本行政机关年度政务公开工作创新情况</w:t>
      </w:r>
      <w:r>
        <w:rPr>
          <w:rFonts w:hint="eastAsia" w:ascii="仿宋_GB2312" w:hAnsi="仿宋_GB2312" w:eastAsia="仿宋_GB2312" w:cs="仿宋_GB2312"/>
          <w:i w:val="0"/>
          <w:caps w:val="0"/>
          <w:color w:val="auto"/>
          <w:spacing w:val="0"/>
          <w:sz w:val="32"/>
          <w:szCs w:val="32"/>
          <w:lang w:eastAsia="zh-CN"/>
        </w:rPr>
        <w:t>：</w:t>
      </w:r>
      <w:bookmarkStart w:id="0" w:name="_GoBack"/>
      <w:bookmarkEnd w:id="0"/>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default" w:ascii="仿宋_GB2312" w:hAnsi="仿宋_GB2312" w:eastAsia="仿宋_GB2312" w:cs="仿宋_GB2312"/>
          <w:i w:val="0"/>
          <w:caps w:val="0"/>
          <w:color w:val="FF0000"/>
          <w:spacing w:val="0"/>
          <w:sz w:val="32"/>
          <w:szCs w:val="32"/>
          <w:lang w:val="en-US" w:eastAsia="zh-CN"/>
        </w:rPr>
      </w:pPr>
      <w:r>
        <w:rPr>
          <w:rFonts w:hint="eastAsia" w:ascii="仿宋_GB2312" w:hAnsi="仿宋_GB2312" w:eastAsia="仿宋_GB2312" w:cs="仿宋_GB2312"/>
          <w:i w:val="0"/>
          <w:caps w:val="0"/>
          <w:color w:val="auto"/>
          <w:spacing w:val="0"/>
          <w:sz w:val="32"/>
          <w:szCs w:val="32"/>
          <w:lang w:val="en-US" w:eastAsia="zh-CN"/>
        </w:rPr>
        <w:t>从公开内容、群众关切、公开渠道、问题解决等多方面发力。聚焦公开内容精准高效，依托政务公开网站平台及时上传民生相关信息；聚焦群众关切协同推进，安排专人定时管理发布，遵循应公开尽公开原则；聚焦公开渠道创新发展，在局办公室设立政务公开专区，通过多渠道展示政务信息；聚焦群众关切及时解决，并设置反馈机制，开展宣传活动促进良性互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7D57EB"/>
    <w:multiLevelType w:val="singleLevel"/>
    <w:tmpl w:val="427D57EB"/>
    <w:lvl w:ilvl="0" w:tentative="0">
      <w:start w:val="3"/>
      <w:numFmt w:val="chineseCounting"/>
      <w:suff w:val="nothing"/>
      <w:lvlText w:val="（%1）"/>
      <w:lvlJc w:val="left"/>
      <w:rPr>
        <w:rFonts w:hint="eastAsia"/>
      </w:rPr>
    </w:lvl>
  </w:abstractNum>
  <w:abstractNum w:abstractNumId="1">
    <w:nsid w:val="4CB4B21D"/>
    <w:multiLevelType w:val="singleLevel"/>
    <w:tmpl w:val="4CB4B21D"/>
    <w:lvl w:ilvl="0" w:tentative="0">
      <w:start w:val="4"/>
      <w:numFmt w:val="chineseCounting"/>
      <w:suff w:val="nothing"/>
      <w:lvlText w:val="（%1）"/>
      <w:lvlJc w:val="left"/>
      <w:rPr>
        <w:rFonts w:hint="eastAsia"/>
      </w:rPr>
    </w:lvl>
  </w:abstractNum>
  <w:abstractNum w:abstractNumId="2">
    <w:nsid w:val="5C64456C"/>
    <w:multiLevelType w:val="singleLevel"/>
    <w:tmpl w:val="5C64456C"/>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3137A1"/>
    <w:rsid w:val="003B1002"/>
    <w:rsid w:val="004D7818"/>
    <w:rsid w:val="01501168"/>
    <w:rsid w:val="01A279B4"/>
    <w:rsid w:val="02A02136"/>
    <w:rsid w:val="02A256B8"/>
    <w:rsid w:val="02B07E4A"/>
    <w:rsid w:val="02CB3DFA"/>
    <w:rsid w:val="02CB529A"/>
    <w:rsid w:val="03182367"/>
    <w:rsid w:val="03C83ED8"/>
    <w:rsid w:val="03E80C1D"/>
    <w:rsid w:val="047B6388"/>
    <w:rsid w:val="04A24D25"/>
    <w:rsid w:val="04F03074"/>
    <w:rsid w:val="052E0064"/>
    <w:rsid w:val="053147B0"/>
    <w:rsid w:val="05B82430"/>
    <w:rsid w:val="06614F29"/>
    <w:rsid w:val="06663947"/>
    <w:rsid w:val="066D02F0"/>
    <w:rsid w:val="068F2B08"/>
    <w:rsid w:val="06AB4C19"/>
    <w:rsid w:val="06B0159C"/>
    <w:rsid w:val="072A7087"/>
    <w:rsid w:val="075B1ABC"/>
    <w:rsid w:val="079543E7"/>
    <w:rsid w:val="07B21DCE"/>
    <w:rsid w:val="08126F7B"/>
    <w:rsid w:val="08732693"/>
    <w:rsid w:val="089B57BA"/>
    <w:rsid w:val="092651FA"/>
    <w:rsid w:val="09CF03E4"/>
    <w:rsid w:val="09FE132B"/>
    <w:rsid w:val="0AB0509D"/>
    <w:rsid w:val="0B031926"/>
    <w:rsid w:val="0B60116B"/>
    <w:rsid w:val="0B6E385B"/>
    <w:rsid w:val="0B842DF4"/>
    <w:rsid w:val="0C1C71E6"/>
    <w:rsid w:val="0C263F30"/>
    <w:rsid w:val="0CAD5E42"/>
    <w:rsid w:val="0CD37237"/>
    <w:rsid w:val="0D6F2595"/>
    <w:rsid w:val="0D8B647D"/>
    <w:rsid w:val="0DC6440D"/>
    <w:rsid w:val="0F223D0F"/>
    <w:rsid w:val="0F4767BB"/>
    <w:rsid w:val="0FC5647A"/>
    <w:rsid w:val="0FF96839"/>
    <w:rsid w:val="1009675A"/>
    <w:rsid w:val="10BF42F6"/>
    <w:rsid w:val="124B28B2"/>
    <w:rsid w:val="129862B9"/>
    <w:rsid w:val="12E85D23"/>
    <w:rsid w:val="13FC629D"/>
    <w:rsid w:val="14082418"/>
    <w:rsid w:val="140C2DD8"/>
    <w:rsid w:val="145145DF"/>
    <w:rsid w:val="147D4949"/>
    <w:rsid w:val="148C65FA"/>
    <w:rsid w:val="15111D87"/>
    <w:rsid w:val="153C066C"/>
    <w:rsid w:val="159A5F17"/>
    <w:rsid w:val="15DC36B9"/>
    <w:rsid w:val="160B7034"/>
    <w:rsid w:val="163313CE"/>
    <w:rsid w:val="1747285B"/>
    <w:rsid w:val="17575793"/>
    <w:rsid w:val="18A64DF4"/>
    <w:rsid w:val="18CD2139"/>
    <w:rsid w:val="19662DC6"/>
    <w:rsid w:val="1B0B727A"/>
    <w:rsid w:val="1B203DF4"/>
    <w:rsid w:val="1BB55BCE"/>
    <w:rsid w:val="1BE04C49"/>
    <w:rsid w:val="1C321E7A"/>
    <w:rsid w:val="1C712F2E"/>
    <w:rsid w:val="1C9C307B"/>
    <w:rsid w:val="1D7D47CD"/>
    <w:rsid w:val="1DDC3C48"/>
    <w:rsid w:val="1E401EE3"/>
    <w:rsid w:val="1EB9345F"/>
    <w:rsid w:val="1EDA4B52"/>
    <w:rsid w:val="1EE9322D"/>
    <w:rsid w:val="1FBF2F1C"/>
    <w:rsid w:val="2016581D"/>
    <w:rsid w:val="203264BB"/>
    <w:rsid w:val="207E11FA"/>
    <w:rsid w:val="207F4344"/>
    <w:rsid w:val="20C2176D"/>
    <w:rsid w:val="21677FBF"/>
    <w:rsid w:val="21884507"/>
    <w:rsid w:val="21A81414"/>
    <w:rsid w:val="21AE779A"/>
    <w:rsid w:val="21AF2379"/>
    <w:rsid w:val="21EB1E8E"/>
    <w:rsid w:val="21F62107"/>
    <w:rsid w:val="21F95218"/>
    <w:rsid w:val="22062247"/>
    <w:rsid w:val="22692BA2"/>
    <w:rsid w:val="229306A8"/>
    <w:rsid w:val="23034A76"/>
    <w:rsid w:val="23420FA9"/>
    <w:rsid w:val="246B7C8E"/>
    <w:rsid w:val="24A9078A"/>
    <w:rsid w:val="24B727FE"/>
    <w:rsid w:val="24DA5A4D"/>
    <w:rsid w:val="25C562B2"/>
    <w:rsid w:val="26650204"/>
    <w:rsid w:val="267B183F"/>
    <w:rsid w:val="26D048A5"/>
    <w:rsid w:val="26E8674F"/>
    <w:rsid w:val="270873D4"/>
    <w:rsid w:val="275D5DE8"/>
    <w:rsid w:val="277C6032"/>
    <w:rsid w:val="277D419D"/>
    <w:rsid w:val="27BC0C38"/>
    <w:rsid w:val="297A1DE7"/>
    <w:rsid w:val="298C719F"/>
    <w:rsid w:val="29BD3913"/>
    <w:rsid w:val="29ED11EB"/>
    <w:rsid w:val="2A57374B"/>
    <w:rsid w:val="2AD74926"/>
    <w:rsid w:val="2B106681"/>
    <w:rsid w:val="2B257116"/>
    <w:rsid w:val="2B3137A1"/>
    <w:rsid w:val="2B346F29"/>
    <w:rsid w:val="2BCD5A2C"/>
    <w:rsid w:val="2D2942B7"/>
    <w:rsid w:val="2DEA45EC"/>
    <w:rsid w:val="2E2F20CB"/>
    <w:rsid w:val="2EB8225D"/>
    <w:rsid w:val="2ECD3FA8"/>
    <w:rsid w:val="2EE30751"/>
    <w:rsid w:val="2EED19D6"/>
    <w:rsid w:val="2F520861"/>
    <w:rsid w:val="2F720A20"/>
    <w:rsid w:val="2F761727"/>
    <w:rsid w:val="2F912174"/>
    <w:rsid w:val="2FCD5E15"/>
    <w:rsid w:val="2FE30EBA"/>
    <w:rsid w:val="30127BAA"/>
    <w:rsid w:val="30B11278"/>
    <w:rsid w:val="30F912BD"/>
    <w:rsid w:val="311C67EE"/>
    <w:rsid w:val="31571355"/>
    <w:rsid w:val="31B9708C"/>
    <w:rsid w:val="31E17817"/>
    <w:rsid w:val="31E90F9B"/>
    <w:rsid w:val="32472159"/>
    <w:rsid w:val="327114B8"/>
    <w:rsid w:val="32AF716A"/>
    <w:rsid w:val="32D95FF8"/>
    <w:rsid w:val="32E86F55"/>
    <w:rsid w:val="343A30FF"/>
    <w:rsid w:val="3445348A"/>
    <w:rsid w:val="346F3C1D"/>
    <w:rsid w:val="34751F0E"/>
    <w:rsid w:val="34A875DD"/>
    <w:rsid w:val="34D35655"/>
    <w:rsid w:val="34F924DC"/>
    <w:rsid w:val="350C68E3"/>
    <w:rsid w:val="354C2B59"/>
    <w:rsid w:val="356C2E9B"/>
    <w:rsid w:val="357D7D29"/>
    <w:rsid w:val="358E5E5D"/>
    <w:rsid w:val="35E4590A"/>
    <w:rsid w:val="363022C8"/>
    <w:rsid w:val="36474ADA"/>
    <w:rsid w:val="364F7DC6"/>
    <w:rsid w:val="37247304"/>
    <w:rsid w:val="37E67FE8"/>
    <w:rsid w:val="386D03F6"/>
    <w:rsid w:val="38E67F2C"/>
    <w:rsid w:val="39054A54"/>
    <w:rsid w:val="39E32DF1"/>
    <w:rsid w:val="39FA59CB"/>
    <w:rsid w:val="3A185AAE"/>
    <w:rsid w:val="3AA86F9C"/>
    <w:rsid w:val="3B0B7E5B"/>
    <w:rsid w:val="3B7118D4"/>
    <w:rsid w:val="3B8F0449"/>
    <w:rsid w:val="3BC65D97"/>
    <w:rsid w:val="3BC7244D"/>
    <w:rsid w:val="3BE00939"/>
    <w:rsid w:val="3C011916"/>
    <w:rsid w:val="3C090802"/>
    <w:rsid w:val="3C99061E"/>
    <w:rsid w:val="3CAE38E2"/>
    <w:rsid w:val="3CB46D8D"/>
    <w:rsid w:val="3CD65390"/>
    <w:rsid w:val="3CE03D27"/>
    <w:rsid w:val="3CF01715"/>
    <w:rsid w:val="3D4012B3"/>
    <w:rsid w:val="3D540E05"/>
    <w:rsid w:val="3E4B54A8"/>
    <w:rsid w:val="3E7B5F3E"/>
    <w:rsid w:val="3EBC3508"/>
    <w:rsid w:val="3ECE4F8F"/>
    <w:rsid w:val="3EE929B2"/>
    <w:rsid w:val="3FDB7A63"/>
    <w:rsid w:val="40683A2D"/>
    <w:rsid w:val="40806787"/>
    <w:rsid w:val="415141BF"/>
    <w:rsid w:val="417A6863"/>
    <w:rsid w:val="417D29BC"/>
    <w:rsid w:val="418876D1"/>
    <w:rsid w:val="41D841C9"/>
    <w:rsid w:val="41FC43DA"/>
    <w:rsid w:val="42650F03"/>
    <w:rsid w:val="42AB6B84"/>
    <w:rsid w:val="42F06763"/>
    <w:rsid w:val="43917729"/>
    <w:rsid w:val="43980AC3"/>
    <w:rsid w:val="445E1112"/>
    <w:rsid w:val="446C0EF6"/>
    <w:rsid w:val="448E1566"/>
    <w:rsid w:val="4534670D"/>
    <w:rsid w:val="453F1095"/>
    <w:rsid w:val="458F0094"/>
    <w:rsid w:val="45B54E58"/>
    <w:rsid w:val="45EF7D18"/>
    <w:rsid w:val="45F63117"/>
    <w:rsid w:val="467B662A"/>
    <w:rsid w:val="468A49CA"/>
    <w:rsid w:val="46B052F8"/>
    <w:rsid w:val="46EA78E2"/>
    <w:rsid w:val="47485946"/>
    <w:rsid w:val="475E60F2"/>
    <w:rsid w:val="47AB33E0"/>
    <w:rsid w:val="47C4552E"/>
    <w:rsid w:val="481B43D8"/>
    <w:rsid w:val="4820736C"/>
    <w:rsid w:val="48C035CB"/>
    <w:rsid w:val="48CE7ED9"/>
    <w:rsid w:val="492C3691"/>
    <w:rsid w:val="4933028C"/>
    <w:rsid w:val="49AF0DD9"/>
    <w:rsid w:val="49F2211B"/>
    <w:rsid w:val="4AEF02AC"/>
    <w:rsid w:val="4AF0321B"/>
    <w:rsid w:val="4B31502E"/>
    <w:rsid w:val="4B7E0C88"/>
    <w:rsid w:val="4B8D118F"/>
    <w:rsid w:val="4BA82A19"/>
    <w:rsid w:val="4BB16F8C"/>
    <w:rsid w:val="4BDF6F74"/>
    <w:rsid w:val="4BE00A7E"/>
    <w:rsid w:val="4C28036F"/>
    <w:rsid w:val="4C503E30"/>
    <w:rsid w:val="4C572F3E"/>
    <w:rsid w:val="4C603C5A"/>
    <w:rsid w:val="4C9B6C1B"/>
    <w:rsid w:val="4CF350C2"/>
    <w:rsid w:val="4D585D79"/>
    <w:rsid w:val="4D617D55"/>
    <w:rsid w:val="4D6D2029"/>
    <w:rsid w:val="4DCD34F6"/>
    <w:rsid w:val="4F754A79"/>
    <w:rsid w:val="50164C74"/>
    <w:rsid w:val="50354C77"/>
    <w:rsid w:val="5055613A"/>
    <w:rsid w:val="50CB4A05"/>
    <w:rsid w:val="514C1571"/>
    <w:rsid w:val="514E5D3E"/>
    <w:rsid w:val="5257255D"/>
    <w:rsid w:val="529630CE"/>
    <w:rsid w:val="535847FC"/>
    <w:rsid w:val="53C8781A"/>
    <w:rsid w:val="53ED52F0"/>
    <w:rsid w:val="53FC2A40"/>
    <w:rsid w:val="54023126"/>
    <w:rsid w:val="540D178C"/>
    <w:rsid w:val="549D661A"/>
    <w:rsid w:val="54B55B04"/>
    <w:rsid w:val="56284BCA"/>
    <w:rsid w:val="563F1AF8"/>
    <w:rsid w:val="565B19E3"/>
    <w:rsid w:val="56656AFF"/>
    <w:rsid w:val="56926CC6"/>
    <w:rsid w:val="57776B27"/>
    <w:rsid w:val="57790230"/>
    <w:rsid w:val="57CA29E8"/>
    <w:rsid w:val="57CD2AB5"/>
    <w:rsid w:val="57DB45A1"/>
    <w:rsid w:val="580466AE"/>
    <w:rsid w:val="585D0627"/>
    <w:rsid w:val="585D2CAD"/>
    <w:rsid w:val="586D3732"/>
    <w:rsid w:val="599B7B8D"/>
    <w:rsid w:val="59D67B4A"/>
    <w:rsid w:val="59FF11E3"/>
    <w:rsid w:val="5A0E4961"/>
    <w:rsid w:val="5A25458E"/>
    <w:rsid w:val="5A415080"/>
    <w:rsid w:val="5AB32068"/>
    <w:rsid w:val="5ACA70DD"/>
    <w:rsid w:val="5AFA7EDA"/>
    <w:rsid w:val="5B7329A8"/>
    <w:rsid w:val="5BE80A42"/>
    <w:rsid w:val="5C265E47"/>
    <w:rsid w:val="5CBE384A"/>
    <w:rsid w:val="5CD806C2"/>
    <w:rsid w:val="5D0431D6"/>
    <w:rsid w:val="5D4402F9"/>
    <w:rsid w:val="5D575A42"/>
    <w:rsid w:val="5D5E76CE"/>
    <w:rsid w:val="5D706394"/>
    <w:rsid w:val="5E0B4B6B"/>
    <w:rsid w:val="5E0C5B17"/>
    <w:rsid w:val="5E47020B"/>
    <w:rsid w:val="5ECB6E25"/>
    <w:rsid w:val="5F2F79A2"/>
    <w:rsid w:val="5FC06A48"/>
    <w:rsid w:val="600C22B3"/>
    <w:rsid w:val="6138323B"/>
    <w:rsid w:val="61A2617A"/>
    <w:rsid w:val="623D72D1"/>
    <w:rsid w:val="62630412"/>
    <w:rsid w:val="62E13A77"/>
    <w:rsid w:val="63611FDB"/>
    <w:rsid w:val="63B00D0C"/>
    <w:rsid w:val="64024AA0"/>
    <w:rsid w:val="65333B86"/>
    <w:rsid w:val="65A83608"/>
    <w:rsid w:val="664B7CA9"/>
    <w:rsid w:val="665B74B9"/>
    <w:rsid w:val="6674301B"/>
    <w:rsid w:val="668404A4"/>
    <w:rsid w:val="66AC61EB"/>
    <w:rsid w:val="66D83257"/>
    <w:rsid w:val="66E076D6"/>
    <w:rsid w:val="67011108"/>
    <w:rsid w:val="670D4777"/>
    <w:rsid w:val="67AB038C"/>
    <w:rsid w:val="67EB7217"/>
    <w:rsid w:val="68257ACB"/>
    <w:rsid w:val="68E16877"/>
    <w:rsid w:val="693C685A"/>
    <w:rsid w:val="6A290B4E"/>
    <w:rsid w:val="6A326F9F"/>
    <w:rsid w:val="6A372B34"/>
    <w:rsid w:val="6BCC5AB5"/>
    <w:rsid w:val="6BFE58A3"/>
    <w:rsid w:val="6C1C7AD2"/>
    <w:rsid w:val="6C6D5068"/>
    <w:rsid w:val="6D6844FF"/>
    <w:rsid w:val="6D7C4A84"/>
    <w:rsid w:val="6DEC5701"/>
    <w:rsid w:val="6E2F2A59"/>
    <w:rsid w:val="6E4D24C0"/>
    <w:rsid w:val="6EBE38A5"/>
    <w:rsid w:val="6EDA7046"/>
    <w:rsid w:val="6F4316ED"/>
    <w:rsid w:val="6F6B1EFD"/>
    <w:rsid w:val="708B6A0B"/>
    <w:rsid w:val="70FA0A95"/>
    <w:rsid w:val="7106579F"/>
    <w:rsid w:val="714D4207"/>
    <w:rsid w:val="71537C4A"/>
    <w:rsid w:val="726F76DF"/>
    <w:rsid w:val="72E22A98"/>
    <w:rsid w:val="73274771"/>
    <w:rsid w:val="73C0345F"/>
    <w:rsid w:val="73E122AF"/>
    <w:rsid w:val="742108C9"/>
    <w:rsid w:val="746563E1"/>
    <w:rsid w:val="74667D7B"/>
    <w:rsid w:val="747E546E"/>
    <w:rsid w:val="74C35890"/>
    <w:rsid w:val="75045006"/>
    <w:rsid w:val="752E2F9D"/>
    <w:rsid w:val="757545D6"/>
    <w:rsid w:val="75DC4D97"/>
    <w:rsid w:val="77596510"/>
    <w:rsid w:val="7778135C"/>
    <w:rsid w:val="779615A8"/>
    <w:rsid w:val="7811598F"/>
    <w:rsid w:val="78497F42"/>
    <w:rsid w:val="78B907ED"/>
    <w:rsid w:val="7B2612E1"/>
    <w:rsid w:val="7B3D43E4"/>
    <w:rsid w:val="7B4106E0"/>
    <w:rsid w:val="7B470AA5"/>
    <w:rsid w:val="7B734672"/>
    <w:rsid w:val="7B7F1C59"/>
    <w:rsid w:val="7C1C2288"/>
    <w:rsid w:val="7C5A3007"/>
    <w:rsid w:val="7D185062"/>
    <w:rsid w:val="7D287FB2"/>
    <w:rsid w:val="7D594284"/>
    <w:rsid w:val="7D64275B"/>
    <w:rsid w:val="7E772C0A"/>
    <w:rsid w:val="7E8E4C99"/>
    <w:rsid w:val="7EDF2CD3"/>
    <w:rsid w:val="7EEB29BF"/>
    <w:rsid w:val="7F823B2A"/>
    <w:rsid w:val="7FA20D20"/>
    <w:rsid w:val="7FC27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F:\&#32593;&#31449;&#31649;&#29702;\&#25919;&#21153;&#20844;&#24320;&#65292;&#20449;&#24687;&#21457;&#24067;\&#20449;&#24687;&#20844;&#24320;&#24180;&#24230;&#25253;&#21578;\&#27863;&#27700;&#21439;&#20132;&#36890;&#36816;&#36755;&#23616;2025&#24180;&#25919;&#24220;&#20449;&#24687;&#20844;&#24320;&#24037;&#20316;&#24180;&#24230;&#25253;&#21578;\&#27863;&#27700;&#21439;&#20132;&#36890;&#36816;&#36755;&#23616;2025&#24180;&#25919;&#24220;&#20449;&#24687;&#20844;&#24320;&#39292;&#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elete val="1"/>
          </c:dLbls>
          <c:cat>
            <c:strRef>
              <c:f>[泗水县交通运输局2025年政府信息公开饼图.xlsx]Sheet1!$A$1:$A$7</c:f>
              <c:strCache>
                <c:ptCount val="7"/>
                <c:pt idx="0">
                  <c:v>行政执法公示</c:v>
                </c:pt>
                <c:pt idx="1">
                  <c:v>通知公告</c:v>
                </c:pt>
                <c:pt idx="2">
                  <c:v>双随机一公开</c:v>
                </c:pt>
                <c:pt idx="3">
                  <c:v>法律规章</c:v>
                </c:pt>
                <c:pt idx="4">
                  <c:v>图文解读</c:v>
                </c:pt>
                <c:pt idx="5">
                  <c:v>部门预决算</c:v>
                </c:pt>
                <c:pt idx="6">
                  <c:v>政府信息公开年报</c:v>
                </c:pt>
              </c:strCache>
            </c:strRef>
          </c:cat>
          <c:val>
            <c:numRef>
              <c:f>[泗水县交通运输局2025年政府信息公开饼图.xlsx]Sheet1!$B$1:$B$7</c:f>
              <c:numCache>
                <c:formatCode>General</c:formatCode>
                <c:ptCount val="7"/>
                <c:pt idx="0">
                  <c:v>35</c:v>
                </c:pt>
                <c:pt idx="1">
                  <c:v>4</c:v>
                </c:pt>
                <c:pt idx="2">
                  <c:v>5</c:v>
                </c:pt>
                <c:pt idx="3">
                  <c:v>1</c:v>
                </c:pt>
                <c:pt idx="4">
                  <c:v>1</c:v>
                </c:pt>
                <c:pt idx="5">
                  <c:v>4</c:v>
                </c:pt>
                <c:pt idx="6">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1000" b="0" i="0" u="none" strike="noStrike" kern="1200" cap="none" spc="0" normalizeH="0" baseline="0">
                <a:solidFill>
                  <a:sysClr val="windowText" lastClr="000000"/>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cap="none" spc="0" normalizeH="0" baseline="0">
                <a:solidFill>
                  <a:sysClr val="windowText" lastClr="000000"/>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cap="none" spc="0" normalizeH="0" baseline="0">
                <a:solidFill>
                  <a:sysClr val="windowText" lastClr="000000"/>
                </a:solidFill>
                <a:latin typeface="+mn-lt"/>
                <a:ea typeface="+mn-ea"/>
                <a:cs typeface="+mn-cs"/>
              </a:defRPr>
            </a:pPr>
          </a:p>
        </c:txPr>
      </c:legendEntry>
      <c:legendEntry>
        <c:idx val="3"/>
        <c:txPr>
          <a:bodyPr rot="0" spcFirstLastPara="0" vertOverflow="ellipsis" vert="horz" wrap="square" anchor="ctr" anchorCtr="1"/>
          <a:lstStyle/>
          <a:p>
            <a:pPr>
              <a:defRPr lang="zh-CN" sz="900" b="0" i="0" u="none" strike="noStrike" kern="1200" cap="none" spc="0" normalizeH="0" baseline="0">
                <a:solidFill>
                  <a:sysClr val="windowText" lastClr="000000"/>
                </a:solidFill>
                <a:latin typeface="+mn-lt"/>
                <a:ea typeface="+mn-ea"/>
                <a:cs typeface="+mn-cs"/>
              </a:defRPr>
            </a:pPr>
          </a:p>
        </c:txPr>
      </c:legendEntry>
      <c:legendEntry>
        <c:idx val="4"/>
        <c:txPr>
          <a:bodyPr rot="0" spcFirstLastPara="0" vertOverflow="ellipsis" vert="horz" wrap="square" anchor="ctr" anchorCtr="1"/>
          <a:lstStyle/>
          <a:p>
            <a:pPr>
              <a:defRPr lang="zh-CN" sz="900" b="0" i="0" u="none" strike="noStrike" kern="1200" cap="none" spc="0" normalizeH="0" baseline="0">
                <a:solidFill>
                  <a:sysClr val="windowText" lastClr="000000"/>
                </a:solidFill>
                <a:latin typeface="+mn-lt"/>
                <a:ea typeface="+mn-ea"/>
                <a:cs typeface="+mn-cs"/>
              </a:defRPr>
            </a:pPr>
          </a:p>
        </c:txPr>
      </c:legendEntry>
      <c:legendEntry>
        <c:idx val="5"/>
        <c:txPr>
          <a:bodyPr rot="0" spcFirstLastPara="0" vertOverflow="ellipsis" vert="horz" wrap="square" anchor="ctr" anchorCtr="1"/>
          <a:lstStyle/>
          <a:p>
            <a:pPr>
              <a:defRPr lang="zh-CN" sz="900" b="0" i="0" u="none" strike="noStrike" kern="1200" cap="none" spc="0" normalizeH="0" baseline="0">
                <a:solidFill>
                  <a:sysClr val="windowText" lastClr="000000"/>
                </a:solidFill>
                <a:latin typeface="+mn-lt"/>
                <a:ea typeface="+mn-ea"/>
                <a:cs typeface="+mn-cs"/>
              </a:defRPr>
            </a:pPr>
          </a:p>
        </c:txPr>
      </c:legendEntry>
      <c:legendEntry>
        <c:idx val="6"/>
        <c:txPr>
          <a:bodyPr rot="0" spcFirstLastPara="0" vertOverflow="ellipsis" vert="horz" wrap="square" anchor="ctr" anchorCtr="1"/>
          <a:lstStyle/>
          <a:p>
            <a:pPr>
              <a:defRPr lang="zh-CN" sz="900" b="0" i="0" u="none" strike="noStrike" kern="1200" cap="none" spc="0" normalizeH="0" baseline="0">
                <a:solidFill>
                  <a:sysClr val="windowText" lastClr="000000"/>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no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noFill/>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2024-01-23T02:16:00Z</dcterms:created>
  <dc:creator>Administrator</dc:creator>
  <cp:lastModifiedBy>Administrator</cp:lastModifiedBy>
  <dcterms:modified xsi:type="dcterms:W3CDTF">2026-01-19T01:10:52Z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ies>
</file>