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20" w:lineRule="exact"/>
        <w:ind w:left="0" w:right="0" w:firstLine="0"/>
        <w:jc w:val="center"/>
        <w:textAlignment w:val="auto"/>
        <w:rPr>
          <w:rFonts w:hint="default" w:ascii="Times New Roman" w:hAnsi="Times New Roman" w:eastAsia="方正小标宋简体" w:cs="Times New Roman"/>
          <w:b/>
          <w:bCs/>
          <w:i w:val="0"/>
          <w:iCs w:val="0"/>
          <w:caps w:val="0"/>
          <w:color w:val="000000" w:themeColor="text1"/>
          <w:spacing w:val="0"/>
          <w:sz w:val="44"/>
          <w:szCs w:val="44"/>
          <w:shd w:val="clear" w:fill="FFFFFF"/>
          <w14:textFill>
            <w14:solidFill>
              <w14:schemeClr w14:val="tx1"/>
            </w14:solidFill>
          </w14:textFill>
        </w:rPr>
      </w:pPr>
      <w:r>
        <w:rPr>
          <w:rFonts w:hint="default" w:ascii="Times New Roman" w:hAnsi="Times New Roman" w:eastAsia="方正小标宋简体" w:cs="Times New Roman"/>
          <w:b/>
          <w:bCs/>
          <w:i w:val="0"/>
          <w:iCs w:val="0"/>
          <w:caps w:val="0"/>
          <w:color w:val="000000" w:themeColor="text1"/>
          <w:spacing w:val="0"/>
          <w:sz w:val="44"/>
          <w:szCs w:val="44"/>
          <w:shd w:val="clear" w:fill="FFFFFF"/>
          <w:lang w:val="en-US" w:eastAsia="zh-CN"/>
          <w14:textFill>
            <w14:solidFill>
              <w14:schemeClr w14:val="tx1"/>
            </w14:solidFill>
          </w14:textFill>
        </w:rPr>
        <w:t>泉林镇人民政府</w:t>
      </w:r>
      <w:r>
        <w:rPr>
          <w:rFonts w:hint="default" w:ascii="Times New Roman" w:hAnsi="Times New Roman" w:eastAsia="方正小标宋简体" w:cs="Times New Roman"/>
          <w:b/>
          <w:bCs/>
          <w:i w:val="0"/>
          <w:iCs w:val="0"/>
          <w:caps w:val="0"/>
          <w:color w:val="000000" w:themeColor="text1"/>
          <w:spacing w:val="0"/>
          <w:sz w:val="44"/>
          <w:szCs w:val="44"/>
          <w:shd w:val="clear" w:fill="FFFFFF"/>
          <w14:textFill>
            <w14:solidFill>
              <w14:schemeClr w14:val="tx1"/>
            </w14:solidFill>
          </w14:textFill>
        </w:rPr>
        <w:t>2023年政府信息公开工作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20" w:lineRule="exact"/>
        <w:ind w:left="0" w:right="0" w:firstLine="0"/>
        <w:jc w:val="center"/>
        <w:textAlignment w:val="auto"/>
        <w:rPr>
          <w:rFonts w:hint="default" w:ascii="Times New Roman" w:hAnsi="Times New Roman" w:eastAsia="方正小标宋简体" w:cs="Times New Roman"/>
          <w:b/>
          <w:bCs/>
          <w:i w:val="0"/>
          <w:iCs w:val="0"/>
          <w:caps w:val="0"/>
          <w:color w:val="000000" w:themeColor="text1"/>
          <w:spacing w:val="0"/>
          <w:sz w:val="44"/>
          <w:szCs w:val="44"/>
          <w14:textFill>
            <w14:solidFill>
              <w14:schemeClr w14:val="tx1"/>
            </w14:solidFill>
          </w14:textFill>
        </w:rPr>
      </w:pPr>
      <w:r>
        <w:rPr>
          <w:rFonts w:hint="default" w:ascii="Times New Roman" w:hAnsi="Times New Roman" w:eastAsia="方正小标宋简体" w:cs="Times New Roman"/>
          <w:b/>
          <w:bCs/>
          <w:i w:val="0"/>
          <w:iCs w:val="0"/>
          <w:caps w:val="0"/>
          <w:color w:val="000000" w:themeColor="text1"/>
          <w:spacing w:val="0"/>
          <w:sz w:val="44"/>
          <w:szCs w:val="44"/>
          <w:shd w:val="clear" w:fill="FFFFFF"/>
          <w14:textFill>
            <w14:solidFill>
              <w14:schemeClr w14:val="tx1"/>
            </w14:solidFill>
          </w14:textFill>
        </w:rPr>
        <w:t>年度报告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jc w:val="both"/>
        <w:textAlignment w:val="auto"/>
        <w:rPr>
          <w:rFonts w:hint="default" w:ascii="Times New Roman" w:hAnsi="Times New Roman" w:eastAsia="方正黑体简体" w:cs="Times New Roman"/>
          <w:i w:val="0"/>
          <w:iCs w:val="0"/>
          <w:caps w:val="0"/>
          <w:color w:val="000000"/>
          <w:spacing w:val="0"/>
          <w:sz w:val="24"/>
          <w:szCs w:val="24"/>
        </w:rPr>
      </w:pPr>
      <w:r>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t>本报告由泗水县泉林镇人民政府按照《中华人民共和国政府信息公开条例》（以下简称《条例》）和《中华人民共和国政府信息公开工作年度报告格式》（国办公开办函〔2021〕30号）要求编制。本报告内容包括总体情况、主动公开政府信息情况、收到和处理政府信息公开申请情况、政府信息公开行政复议和行政诉讼情况、存在的主要问题及改进情况、其他需要报告的事项等六部分内容。本报告所列数据的统计期限自2023年1月1日起至2023年12月31日止。本报告电子版可在泗水县政府门户网站（www.sishui.gov.cn）查阅或下载。如对本报告有疑问，请与泗水县泉林镇人民政府联系（地址：泗水县</w:t>
      </w:r>
      <w:r>
        <w:rPr>
          <w:rFonts w:hint="eastAsia" w:ascii="Times New Roman" w:hAnsi="Times New Roman" w:eastAsia="仿宋_GB2312" w:cs="Times New Roman"/>
          <w:b w:val="0"/>
          <w:bCs w:val="0"/>
          <w:i w:val="0"/>
          <w:iCs w:val="0"/>
          <w:caps w:val="0"/>
          <w:color w:val="000000"/>
          <w:spacing w:val="0"/>
          <w:kern w:val="0"/>
          <w:sz w:val="32"/>
          <w:szCs w:val="32"/>
          <w:shd w:val="clear" w:fill="FFFFFF"/>
          <w:lang w:val="en-US" w:eastAsia="zh-CN" w:bidi="ar"/>
        </w:rPr>
        <w:t>327国道与泉石线交叉路口西100米路北</w:t>
      </w:r>
      <w:r>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t>，联系电话：0537-4</w:t>
      </w:r>
      <w:r>
        <w:rPr>
          <w:rFonts w:hint="eastAsia" w:ascii="Times New Roman" w:hAnsi="Times New Roman" w:eastAsia="仿宋_GB2312" w:cs="Times New Roman"/>
          <w:b w:val="0"/>
          <w:bCs w:val="0"/>
          <w:i w:val="0"/>
          <w:iCs w:val="0"/>
          <w:caps w:val="0"/>
          <w:color w:val="000000"/>
          <w:spacing w:val="0"/>
          <w:kern w:val="0"/>
          <w:sz w:val="32"/>
          <w:szCs w:val="32"/>
          <w:shd w:val="clear" w:fill="FFFFFF"/>
          <w:lang w:val="en-US" w:eastAsia="zh-CN" w:bidi="ar"/>
        </w:rPr>
        <w:t>011203</w:t>
      </w:r>
      <w:r>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jc w:val="both"/>
        <w:textAlignment w:val="auto"/>
        <w:rPr>
          <w:rFonts w:hint="default" w:ascii="Times New Roman" w:hAnsi="Times New Roman" w:eastAsia="方正黑体简体" w:cs="Times New Roman"/>
          <w:i w:val="0"/>
          <w:iCs w:val="0"/>
          <w:caps w:val="0"/>
          <w:color w:val="000000"/>
          <w:spacing w:val="0"/>
          <w:sz w:val="24"/>
          <w:szCs w:val="24"/>
        </w:rPr>
      </w:pPr>
      <w:r>
        <w:rPr>
          <w:rFonts w:hint="default" w:ascii="Times New Roman" w:hAnsi="Times New Roman" w:eastAsia="方正黑体简体" w:cs="Times New Roman"/>
          <w:b w:val="0"/>
          <w:bCs w:val="0"/>
          <w:i w:val="0"/>
          <w:iCs w:val="0"/>
          <w:caps w:val="0"/>
          <w:color w:val="000000"/>
          <w:spacing w:val="0"/>
          <w:kern w:val="0"/>
          <w:sz w:val="32"/>
          <w:szCs w:val="32"/>
          <w:shd w:val="clear" w:fill="FFFFFF"/>
          <w:lang w:val="en-US" w:eastAsia="zh-CN" w:bidi="ar"/>
        </w:rPr>
        <w:t>一、总体情况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jc w:val="both"/>
        <w:textAlignment w:val="auto"/>
        <w:rPr>
          <w:rFonts w:hint="default" w:ascii="Times New Roman" w:hAnsi="Times New Roman" w:eastAsia="微软雅黑" w:cs="Times New Roman"/>
          <w:i w:val="0"/>
          <w:iCs w:val="0"/>
          <w:caps w:val="0"/>
          <w:color w:val="000000"/>
          <w:spacing w:val="0"/>
          <w:sz w:val="24"/>
          <w:szCs w:val="24"/>
        </w:rPr>
      </w:pPr>
      <w:r>
        <w:rPr>
          <w:rFonts w:hint="default" w:ascii="Times New Roman" w:hAnsi="Times New Roman" w:eastAsia="微软雅黑" w:cs="Times New Roman"/>
          <w:b w:val="0"/>
          <w:bCs w:val="0"/>
          <w:i w:val="0"/>
          <w:iCs w:val="0"/>
          <w:caps w:val="0"/>
          <w:color w:val="000000"/>
          <w:spacing w:val="0"/>
          <w:kern w:val="0"/>
          <w:sz w:val="32"/>
          <w:szCs w:val="32"/>
          <w:shd w:val="clear" w:fill="FFFFFF"/>
          <w:lang w:val="en-US" w:eastAsia="zh-CN" w:bidi="ar"/>
        </w:rPr>
        <w:t>2023</w:t>
      </w:r>
      <w:r>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t>年度，泉林镇人民政府认真贯彻落实中央、省市县有关政府信息公开工作的决策部署，紧紧围绕经济社会发展各项工作，进一步规范公开内容、健全公开制度，拓展公开渠道，及时、准确地向社会公开政府信息，不断提升工作效率和服务水平，依法保障群众知情权、参与权和监督权。</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3"/>
        <w:jc w:val="both"/>
        <w:textAlignment w:val="auto"/>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pPr>
      <w:r>
        <w:rPr>
          <w:rFonts w:hint="default" w:ascii="Times New Roman" w:hAnsi="Times New Roman" w:eastAsia="楷体_GB2312" w:cs="Times New Roman"/>
          <w:b/>
          <w:bCs/>
          <w:i w:val="0"/>
          <w:iCs w:val="0"/>
          <w:caps w:val="0"/>
          <w:color w:val="000000"/>
          <w:spacing w:val="0"/>
          <w:kern w:val="0"/>
          <w:sz w:val="32"/>
          <w:szCs w:val="32"/>
          <w:shd w:val="clear" w:fill="FFFFFF"/>
          <w:lang w:val="en-US" w:eastAsia="zh-CN" w:bidi="ar"/>
        </w:rPr>
        <w:t>主动公开方面。</w:t>
      </w:r>
      <w:r>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t>常态化做好政府信息主动公开，</w:t>
      </w:r>
      <w:r>
        <w:rPr>
          <w:rFonts w:hint="eastAsia" w:ascii="Times New Roman" w:hAnsi="Times New Roman" w:eastAsia="仿宋_GB2312" w:cs="Times New Roman"/>
          <w:b w:val="0"/>
          <w:bCs w:val="0"/>
          <w:i w:val="0"/>
          <w:iCs w:val="0"/>
          <w:caps w:val="0"/>
          <w:color w:val="000000"/>
          <w:spacing w:val="0"/>
          <w:kern w:val="0"/>
          <w:sz w:val="32"/>
          <w:szCs w:val="32"/>
          <w:shd w:val="clear" w:fill="FFFFFF"/>
          <w:lang w:val="en-US" w:eastAsia="zh-CN" w:bidi="ar"/>
        </w:rPr>
        <w:t>2023年度</w:t>
      </w:r>
      <w:r>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t>发布政务信息</w:t>
      </w:r>
      <w:r>
        <w:rPr>
          <w:rFonts w:hint="eastAsia" w:ascii="Times New Roman" w:hAnsi="Times New Roman" w:eastAsia="仿宋_GB2312" w:cs="Times New Roman"/>
          <w:b w:val="0"/>
          <w:bCs w:val="0"/>
          <w:i w:val="0"/>
          <w:iCs w:val="0"/>
          <w:caps w:val="0"/>
          <w:color w:val="000000"/>
          <w:spacing w:val="0"/>
          <w:kern w:val="0"/>
          <w:sz w:val="32"/>
          <w:szCs w:val="32"/>
          <w:shd w:val="clear" w:fill="FFFFFF"/>
          <w:lang w:val="en-US" w:eastAsia="zh-CN" w:bidi="ar"/>
        </w:rPr>
        <w:t>共346</w:t>
      </w:r>
      <w:r>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t>条，其中微信公众号</w:t>
      </w:r>
      <w:r>
        <w:rPr>
          <w:rFonts w:hint="eastAsia" w:ascii="Times New Roman" w:hAnsi="Times New Roman" w:eastAsia="仿宋_GB2312" w:cs="Times New Roman"/>
          <w:b w:val="0"/>
          <w:bCs w:val="0"/>
          <w:i w:val="0"/>
          <w:iCs w:val="0"/>
          <w:caps w:val="0"/>
          <w:color w:val="000000"/>
          <w:spacing w:val="0"/>
          <w:kern w:val="0"/>
          <w:sz w:val="32"/>
          <w:szCs w:val="32"/>
          <w:shd w:val="clear" w:fill="FFFFFF"/>
          <w:lang w:val="en-US" w:eastAsia="zh-CN" w:bidi="ar"/>
        </w:rPr>
        <w:t>337条、</w:t>
      </w:r>
      <w:r>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t>乡镇工作动态</w:t>
      </w:r>
      <w:r>
        <w:rPr>
          <w:rFonts w:hint="eastAsia" w:ascii="Times New Roman" w:hAnsi="Times New Roman" w:eastAsia="仿宋_GB2312" w:cs="Times New Roman"/>
          <w:b w:val="0"/>
          <w:bCs w:val="0"/>
          <w:i w:val="0"/>
          <w:iCs w:val="0"/>
          <w:caps w:val="0"/>
          <w:color w:val="000000"/>
          <w:spacing w:val="0"/>
          <w:kern w:val="0"/>
          <w:sz w:val="32"/>
          <w:szCs w:val="32"/>
          <w:shd w:val="clear" w:fill="FFFFFF"/>
          <w:lang w:val="en-US" w:eastAsia="zh-CN" w:bidi="ar"/>
        </w:rPr>
        <w:t>6条</w:t>
      </w:r>
      <w:r>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t>、其他类信息</w:t>
      </w:r>
      <w:r>
        <w:rPr>
          <w:rFonts w:hint="eastAsia" w:ascii="Times New Roman" w:hAnsi="Times New Roman" w:eastAsia="仿宋_GB2312" w:cs="Times New Roman"/>
          <w:b w:val="0"/>
          <w:bCs w:val="0"/>
          <w:i w:val="0"/>
          <w:iCs w:val="0"/>
          <w:caps w:val="0"/>
          <w:color w:val="000000"/>
          <w:spacing w:val="0"/>
          <w:kern w:val="0"/>
          <w:sz w:val="32"/>
          <w:szCs w:val="32"/>
          <w:shd w:val="clear" w:fill="FFFFFF"/>
          <w:lang w:val="en-US" w:eastAsia="zh-CN" w:bidi="ar"/>
        </w:rPr>
        <w:t>3</w:t>
      </w:r>
      <w:r>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t>条，公开政府机构职能、领导信息、政府文件、人事任免、重要决策、政府工作报告等信息。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right="0"/>
        <w:jc w:val="center"/>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pPr>
      <w:r>
        <w:drawing>
          <wp:inline distT="0" distB="0" distL="114300" distR="114300">
            <wp:extent cx="5085715" cy="2519680"/>
            <wp:effectExtent l="0" t="0" r="635" b="139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085715" cy="2519680"/>
                    </a:xfrm>
                    <a:prstGeom prst="rect">
                      <a:avLst/>
                    </a:prstGeom>
                    <a:noFill/>
                    <a:ln>
                      <a:noFill/>
                    </a:ln>
                  </pic:spPr>
                </pic:pic>
              </a:graphicData>
            </a:graphic>
          </wp:inline>
        </w:drawing>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atLeast"/>
        <w:ind w:left="0" w:right="0" w:firstLine="641"/>
        <w:jc w:val="both"/>
        <w:textAlignment w:val="auto"/>
        <w:rPr>
          <w:rFonts w:hint="default" w:ascii="Times New Roman" w:hAnsi="Times New Roman" w:eastAsia="微软雅黑" w:cs="Times New Roman"/>
          <w:i w:val="0"/>
          <w:iCs w:val="0"/>
          <w:caps w:val="0"/>
          <w:color w:val="000000"/>
          <w:spacing w:val="0"/>
          <w:sz w:val="24"/>
          <w:szCs w:val="24"/>
        </w:rPr>
      </w:pPr>
      <w:r>
        <w:rPr>
          <w:rFonts w:hint="default" w:ascii="Times New Roman" w:hAnsi="Times New Roman" w:eastAsia="楷体_GB2312" w:cs="Times New Roman"/>
          <w:b/>
          <w:bCs/>
          <w:i w:val="0"/>
          <w:iCs w:val="0"/>
          <w:caps w:val="0"/>
          <w:color w:val="000000"/>
          <w:spacing w:val="0"/>
          <w:kern w:val="0"/>
          <w:sz w:val="32"/>
          <w:szCs w:val="32"/>
          <w:shd w:val="clear" w:fill="FFFFFF"/>
          <w:lang w:val="en-US" w:eastAsia="zh-CN" w:bidi="ar"/>
        </w:rPr>
        <w:t>（二）依申请公开方面。</w:t>
      </w:r>
      <w:r>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t>按照</w:t>
      </w:r>
      <w:r>
        <w:rPr>
          <w:rFonts w:hint="default" w:ascii="Times New Roman" w:hAnsi="Times New Roman" w:eastAsia="微软雅黑" w:cs="Times New Roman"/>
          <w:b w:val="0"/>
          <w:bCs w:val="0"/>
          <w:i w:val="0"/>
          <w:iCs w:val="0"/>
          <w:caps w:val="0"/>
          <w:color w:val="000000"/>
          <w:spacing w:val="0"/>
          <w:kern w:val="0"/>
          <w:sz w:val="32"/>
          <w:szCs w:val="32"/>
          <w:shd w:val="clear" w:fill="FFFFFF"/>
          <w:lang w:val="en-US" w:eastAsia="zh-CN" w:bidi="ar"/>
        </w:rPr>
        <w:t>“</w:t>
      </w:r>
      <w:r>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t>政府信息依申请公开答复文书</w:t>
      </w:r>
      <w:r>
        <w:rPr>
          <w:rFonts w:hint="default" w:ascii="Times New Roman" w:hAnsi="Times New Roman" w:eastAsia="微软雅黑" w:cs="Times New Roman"/>
          <w:b w:val="0"/>
          <w:bCs w:val="0"/>
          <w:i w:val="0"/>
          <w:iCs w:val="0"/>
          <w:caps w:val="0"/>
          <w:color w:val="000000"/>
          <w:spacing w:val="0"/>
          <w:kern w:val="0"/>
          <w:sz w:val="32"/>
          <w:szCs w:val="32"/>
          <w:shd w:val="clear" w:fill="FFFFFF"/>
          <w:lang w:val="en-US" w:eastAsia="zh-CN" w:bidi="ar"/>
        </w:rPr>
        <w:t>”</w:t>
      </w:r>
      <w:r>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t>，依法依规做好依申请公开答复。全年收到政府信息依申请公开申请</w:t>
      </w:r>
      <w:r>
        <w:rPr>
          <w:rFonts w:hint="default" w:ascii="Times New Roman" w:hAnsi="Times New Roman" w:eastAsia="微软雅黑" w:cs="Times New Roman"/>
          <w:b w:val="0"/>
          <w:bCs w:val="0"/>
          <w:i w:val="0"/>
          <w:iCs w:val="0"/>
          <w:caps w:val="0"/>
          <w:color w:val="000000"/>
          <w:spacing w:val="0"/>
          <w:kern w:val="0"/>
          <w:sz w:val="32"/>
          <w:szCs w:val="32"/>
          <w:shd w:val="clear" w:fill="FFFFFF"/>
          <w:lang w:val="en-US" w:eastAsia="zh-CN" w:bidi="ar"/>
        </w:rPr>
        <w:t>2</w:t>
      </w:r>
      <w:r>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t>件、结转办结上年度</w:t>
      </w:r>
      <w:r>
        <w:rPr>
          <w:rFonts w:hint="default" w:ascii="Times New Roman" w:hAnsi="Times New Roman" w:eastAsia="微软雅黑" w:cs="Times New Roman"/>
          <w:b w:val="0"/>
          <w:bCs w:val="0"/>
          <w:i w:val="0"/>
          <w:iCs w:val="0"/>
          <w:caps w:val="0"/>
          <w:color w:val="000000"/>
          <w:spacing w:val="0"/>
          <w:kern w:val="0"/>
          <w:sz w:val="32"/>
          <w:szCs w:val="32"/>
          <w:shd w:val="clear" w:fill="FFFFFF"/>
          <w:lang w:val="en-US" w:eastAsia="zh-CN" w:bidi="ar"/>
        </w:rPr>
        <w:t>0</w:t>
      </w:r>
      <w:r>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t>件、总体办结</w:t>
      </w:r>
      <w:r>
        <w:rPr>
          <w:rFonts w:hint="default" w:ascii="Times New Roman" w:hAnsi="Times New Roman" w:eastAsia="微软雅黑" w:cs="Times New Roman"/>
          <w:b w:val="0"/>
          <w:bCs w:val="0"/>
          <w:i w:val="0"/>
          <w:iCs w:val="0"/>
          <w:caps w:val="0"/>
          <w:color w:val="000000"/>
          <w:spacing w:val="0"/>
          <w:kern w:val="0"/>
          <w:sz w:val="32"/>
          <w:szCs w:val="32"/>
          <w:shd w:val="clear" w:fill="FFFFFF"/>
          <w:lang w:val="en-US" w:eastAsia="zh-CN" w:bidi="ar"/>
        </w:rPr>
        <w:t>2</w:t>
      </w:r>
      <w:r>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t>件、转到下年度办理数量</w:t>
      </w:r>
      <w:r>
        <w:rPr>
          <w:rFonts w:hint="default" w:ascii="Times New Roman" w:hAnsi="Times New Roman" w:eastAsia="微软雅黑" w:cs="Times New Roman"/>
          <w:b w:val="0"/>
          <w:bCs w:val="0"/>
          <w:i w:val="0"/>
          <w:iCs w:val="0"/>
          <w:caps w:val="0"/>
          <w:color w:val="000000"/>
          <w:spacing w:val="0"/>
          <w:kern w:val="0"/>
          <w:sz w:val="32"/>
          <w:szCs w:val="32"/>
          <w:shd w:val="clear" w:fill="FFFFFF"/>
          <w:lang w:val="en-US" w:eastAsia="zh-CN" w:bidi="ar"/>
        </w:rPr>
        <w:t>0</w:t>
      </w:r>
      <w:r>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t>件。其中，予以公开</w:t>
      </w:r>
      <w:r>
        <w:rPr>
          <w:rFonts w:hint="default" w:ascii="Times New Roman" w:hAnsi="Times New Roman" w:eastAsia="微软雅黑" w:cs="Times New Roman"/>
          <w:b w:val="0"/>
          <w:bCs w:val="0"/>
          <w:i w:val="0"/>
          <w:iCs w:val="0"/>
          <w:caps w:val="0"/>
          <w:color w:val="000000"/>
          <w:spacing w:val="0"/>
          <w:kern w:val="0"/>
          <w:sz w:val="32"/>
          <w:szCs w:val="32"/>
          <w:shd w:val="clear" w:fill="FFFFFF"/>
          <w:lang w:val="en-US" w:eastAsia="zh-CN" w:bidi="ar"/>
        </w:rPr>
        <w:t>1</w:t>
      </w:r>
      <w:r>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t>件、部分公开</w:t>
      </w:r>
      <w:r>
        <w:rPr>
          <w:rFonts w:hint="default" w:ascii="Times New Roman" w:hAnsi="Times New Roman" w:eastAsia="微软雅黑" w:cs="Times New Roman"/>
          <w:b w:val="0"/>
          <w:bCs w:val="0"/>
          <w:i w:val="0"/>
          <w:iCs w:val="0"/>
          <w:caps w:val="0"/>
          <w:color w:val="000000"/>
          <w:spacing w:val="0"/>
          <w:kern w:val="0"/>
          <w:sz w:val="32"/>
          <w:szCs w:val="32"/>
          <w:shd w:val="clear" w:fill="FFFFFF"/>
          <w:lang w:val="en-US" w:eastAsia="zh-CN" w:bidi="ar"/>
        </w:rPr>
        <w:t>0</w:t>
      </w:r>
      <w:r>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t>件，无法提供</w:t>
      </w:r>
      <w:r>
        <w:rPr>
          <w:rFonts w:hint="default" w:ascii="Times New Roman" w:hAnsi="Times New Roman" w:eastAsia="微软雅黑" w:cs="Times New Roman"/>
          <w:b w:val="0"/>
          <w:bCs w:val="0"/>
          <w:i w:val="0"/>
          <w:iCs w:val="0"/>
          <w:caps w:val="0"/>
          <w:color w:val="000000"/>
          <w:spacing w:val="0"/>
          <w:kern w:val="0"/>
          <w:sz w:val="32"/>
          <w:szCs w:val="32"/>
          <w:shd w:val="clear" w:fill="FFFFFF"/>
          <w:lang w:val="en-US" w:eastAsia="zh-CN" w:bidi="ar"/>
        </w:rPr>
        <w:t>1</w:t>
      </w:r>
      <w:r>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t>件（所申请公开项目不存在）、不予公开</w:t>
      </w:r>
      <w:r>
        <w:rPr>
          <w:rFonts w:hint="default" w:ascii="Times New Roman" w:hAnsi="Times New Roman" w:eastAsia="微软雅黑" w:cs="Times New Roman"/>
          <w:b w:val="0"/>
          <w:bCs w:val="0"/>
          <w:i w:val="0"/>
          <w:iCs w:val="0"/>
          <w:caps w:val="0"/>
          <w:color w:val="000000"/>
          <w:spacing w:val="0"/>
          <w:kern w:val="0"/>
          <w:sz w:val="32"/>
          <w:szCs w:val="32"/>
          <w:shd w:val="clear" w:fill="FFFFFF"/>
          <w:lang w:val="en-US" w:eastAsia="zh-CN" w:bidi="ar"/>
        </w:rPr>
        <w:t>0</w:t>
      </w:r>
      <w:r>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t>件。</w:t>
      </w:r>
      <w:r>
        <w:rPr>
          <w:rFonts w:hint="default" w:ascii="Times New Roman" w:hAnsi="Times New Roman" w:eastAsia="微软雅黑" w:cs="Times New Roman"/>
          <w:b w:val="0"/>
          <w:bCs w:val="0"/>
          <w:i w:val="0"/>
          <w:iCs w:val="0"/>
          <w:caps w:val="0"/>
          <w:color w:val="000000"/>
          <w:spacing w:val="0"/>
          <w:kern w:val="0"/>
          <w:sz w:val="32"/>
          <w:szCs w:val="32"/>
          <w:shd w:val="clear" w:fill="FFFFFF"/>
          <w:lang w:val="en-US" w:eastAsia="zh-CN" w:bidi="ar"/>
        </w:rPr>
        <w:t>2023</w:t>
      </w:r>
      <w:r>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t>年，我镇未发生因政府信息公开不规范产生行政复议、行政诉讼的案件。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atLeast"/>
        <w:ind w:left="0" w:right="0" w:firstLine="641"/>
        <w:jc w:val="both"/>
        <w:textAlignment w:val="auto"/>
        <w:rPr>
          <w:rFonts w:hint="default" w:ascii="Times New Roman" w:hAnsi="Times New Roman" w:eastAsia="微软雅黑" w:cs="Times New Roman"/>
          <w:i w:val="0"/>
          <w:iCs w:val="0"/>
          <w:caps w:val="0"/>
          <w:color w:val="000000"/>
          <w:spacing w:val="0"/>
          <w:sz w:val="24"/>
          <w:szCs w:val="24"/>
        </w:rPr>
      </w:pPr>
      <w:r>
        <w:rPr>
          <w:rFonts w:hint="default" w:ascii="Times New Roman" w:hAnsi="Times New Roman" w:eastAsia="楷体_GB2312" w:cs="Times New Roman"/>
          <w:b/>
          <w:bCs/>
          <w:i w:val="0"/>
          <w:iCs w:val="0"/>
          <w:caps w:val="0"/>
          <w:color w:val="000000"/>
          <w:spacing w:val="0"/>
          <w:kern w:val="0"/>
          <w:sz w:val="32"/>
          <w:szCs w:val="32"/>
          <w:shd w:val="clear" w:fill="FFFFFF"/>
          <w:lang w:val="en-US" w:eastAsia="zh-CN" w:bidi="ar"/>
        </w:rPr>
        <w:t>（三）政府信息管理方面。</w:t>
      </w:r>
      <w:r>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t>严格落实信息发布</w:t>
      </w:r>
      <w:r>
        <w:rPr>
          <w:rFonts w:hint="default" w:ascii="Times New Roman" w:hAnsi="Times New Roman" w:eastAsia="微软雅黑" w:cs="Times New Roman"/>
          <w:b w:val="0"/>
          <w:bCs w:val="0"/>
          <w:i w:val="0"/>
          <w:iCs w:val="0"/>
          <w:caps w:val="0"/>
          <w:color w:val="000000"/>
          <w:spacing w:val="0"/>
          <w:kern w:val="0"/>
          <w:sz w:val="32"/>
          <w:szCs w:val="32"/>
          <w:shd w:val="clear" w:fill="FFFFFF"/>
          <w:lang w:val="en-US" w:eastAsia="zh-CN" w:bidi="ar"/>
        </w:rPr>
        <w:t>“</w:t>
      </w:r>
      <w:r>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t>三审</w:t>
      </w:r>
      <w:r>
        <w:rPr>
          <w:rFonts w:hint="default" w:ascii="Times New Roman" w:hAnsi="Times New Roman" w:eastAsia="微软雅黑" w:cs="Times New Roman"/>
          <w:b w:val="0"/>
          <w:bCs w:val="0"/>
          <w:i w:val="0"/>
          <w:iCs w:val="0"/>
          <w:caps w:val="0"/>
          <w:color w:val="000000"/>
          <w:spacing w:val="0"/>
          <w:kern w:val="0"/>
          <w:sz w:val="32"/>
          <w:szCs w:val="32"/>
          <w:shd w:val="clear" w:fill="FFFFFF"/>
          <w:lang w:val="en-US" w:eastAsia="zh-CN" w:bidi="ar"/>
        </w:rPr>
        <w:t>”“</w:t>
      </w:r>
      <w:r>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t>三校</w:t>
      </w:r>
      <w:r>
        <w:rPr>
          <w:rFonts w:hint="default" w:ascii="Times New Roman" w:hAnsi="Times New Roman" w:eastAsia="微软雅黑" w:cs="Times New Roman"/>
          <w:b w:val="0"/>
          <w:bCs w:val="0"/>
          <w:i w:val="0"/>
          <w:iCs w:val="0"/>
          <w:caps w:val="0"/>
          <w:color w:val="000000"/>
          <w:spacing w:val="0"/>
          <w:kern w:val="0"/>
          <w:sz w:val="32"/>
          <w:szCs w:val="32"/>
          <w:shd w:val="clear" w:fill="FFFFFF"/>
          <w:lang w:val="en-US" w:eastAsia="zh-CN" w:bidi="ar"/>
        </w:rPr>
        <w:t>”</w:t>
      </w:r>
      <w:r>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t>制度，不断提高信息发布的数量和质量。根据政府信息公开工作要求，对应信息发布渠道，通过分板块、详记录、建台账的方式做好政府信息管理，并按要求对现行有效的规章和规范性文件进行整理。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atLeast"/>
        <w:ind w:left="0" w:right="0" w:firstLine="641"/>
        <w:jc w:val="both"/>
        <w:textAlignment w:val="auto"/>
        <w:rPr>
          <w:rFonts w:hint="default" w:ascii="Times New Roman" w:hAnsi="Times New Roman" w:eastAsia="微软雅黑" w:cs="Times New Roman"/>
          <w:i w:val="0"/>
          <w:iCs w:val="0"/>
          <w:caps w:val="0"/>
          <w:color w:val="000000"/>
          <w:spacing w:val="0"/>
          <w:sz w:val="24"/>
          <w:szCs w:val="24"/>
        </w:rPr>
      </w:pPr>
      <w:r>
        <w:rPr>
          <w:rFonts w:hint="default" w:ascii="Times New Roman" w:hAnsi="Times New Roman" w:eastAsia="楷体_GB2312" w:cs="Times New Roman"/>
          <w:b/>
          <w:bCs/>
          <w:i w:val="0"/>
          <w:iCs w:val="0"/>
          <w:caps w:val="0"/>
          <w:color w:val="000000"/>
          <w:spacing w:val="0"/>
          <w:kern w:val="0"/>
          <w:sz w:val="32"/>
          <w:szCs w:val="32"/>
          <w:shd w:val="clear" w:fill="FFFFFF"/>
          <w:lang w:val="en-US" w:eastAsia="zh-CN" w:bidi="ar"/>
        </w:rPr>
        <w:t>（四）政府信息公开平台建设方面。</w:t>
      </w:r>
      <w:r>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t>及时强化网站政务信息公开员培训工作，杜绝表述错误、栏目空白、超期更新等问题。持续推进</w:t>
      </w:r>
      <w:r>
        <w:rPr>
          <w:rFonts w:hint="default" w:ascii="Times New Roman" w:hAnsi="Times New Roman" w:eastAsia="微软雅黑" w:cs="Times New Roman"/>
          <w:b w:val="0"/>
          <w:bCs w:val="0"/>
          <w:i w:val="0"/>
          <w:iCs w:val="0"/>
          <w:caps w:val="0"/>
          <w:color w:val="000000"/>
          <w:spacing w:val="0"/>
          <w:kern w:val="0"/>
          <w:sz w:val="32"/>
          <w:szCs w:val="32"/>
          <w:shd w:val="clear" w:fill="FFFFFF"/>
          <w:lang w:val="en-US" w:eastAsia="zh-CN" w:bidi="ar"/>
        </w:rPr>
        <w:t>“</w:t>
      </w:r>
      <w:r>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t>一网通办</w:t>
      </w:r>
      <w:r>
        <w:rPr>
          <w:rFonts w:hint="default" w:ascii="Times New Roman" w:hAnsi="Times New Roman" w:eastAsia="微软雅黑" w:cs="Times New Roman"/>
          <w:b w:val="0"/>
          <w:bCs w:val="0"/>
          <w:i w:val="0"/>
          <w:iCs w:val="0"/>
          <w:caps w:val="0"/>
          <w:color w:val="000000"/>
          <w:spacing w:val="0"/>
          <w:kern w:val="0"/>
          <w:sz w:val="32"/>
          <w:szCs w:val="32"/>
          <w:shd w:val="clear" w:fill="FFFFFF"/>
          <w:lang w:val="en-US" w:eastAsia="zh-CN" w:bidi="ar"/>
        </w:rPr>
        <w:t>”</w:t>
      </w:r>
      <w:r>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t>能力巩固提升，做实做细一体化平台事项梳理，办事指南更新发布等工作。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atLeast"/>
        <w:ind w:left="0" w:right="0" w:firstLine="641"/>
        <w:jc w:val="both"/>
        <w:textAlignment w:val="auto"/>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pPr>
      <w:r>
        <w:rPr>
          <w:rFonts w:hint="default" w:ascii="Times New Roman" w:hAnsi="Times New Roman" w:eastAsia="楷体_GB2312" w:cs="Times New Roman"/>
          <w:b/>
          <w:bCs/>
          <w:i w:val="0"/>
          <w:iCs w:val="0"/>
          <w:caps w:val="0"/>
          <w:color w:val="000000"/>
          <w:spacing w:val="0"/>
          <w:kern w:val="0"/>
          <w:sz w:val="32"/>
          <w:szCs w:val="32"/>
          <w:shd w:val="clear" w:fill="FFFFFF"/>
          <w:lang w:val="en-US" w:eastAsia="zh-CN" w:bidi="ar"/>
        </w:rPr>
        <w:t>（五）监督保障方面。</w:t>
      </w:r>
      <w:r>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t>优化举措，拓宽交流通道，</w:t>
      </w:r>
      <w:r>
        <w:rPr>
          <w:rFonts w:hint="default" w:ascii="Times New Roman" w:hAnsi="Times New Roman" w:eastAsia="微软雅黑" w:cs="Times New Roman"/>
          <w:b w:val="0"/>
          <w:bCs w:val="0"/>
          <w:i w:val="0"/>
          <w:iCs w:val="0"/>
          <w:caps w:val="0"/>
          <w:color w:val="000000"/>
          <w:spacing w:val="0"/>
          <w:kern w:val="0"/>
          <w:sz w:val="32"/>
          <w:szCs w:val="32"/>
          <w:shd w:val="clear" w:fill="FFFFFF"/>
          <w:lang w:val="en-US" w:eastAsia="zh-CN" w:bidi="ar"/>
        </w:rPr>
        <w:t>12345</w:t>
      </w:r>
      <w:r>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t>热线交办件</w:t>
      </w:r>
      <w:r>
        <w:rPr>
          <w:rFonts w:hint="default" w:ascii="Times New Roman" w:hAnsi="Times New Roman" w:eastAsia="微软雅黑" w:cs="Times New Roman"/>
          <w:b w:val="0"/>
          <w:bCs w:val="0"/>
          <w:i w:val="0"/>
          <w:iCs w:val="0"/>
          <w:caps w:val="0"/>
          <w:color w:val="000000"/>
          <w:spacing w:val="0"/>
          <w:kern w:val="0"/>
          <w:sz w:val="32"/>
          <w:szCs w:val="32"/>
          <w:shd w:val="clear" w:fill="FFFFFF"/>
          <w:lang w:val="en-US" w:eastAsia="zh-CN" w:bidi="ar"/>
        </w:rPr>
        <w:t>2498</w:t>
      </w:r>
      <w:r>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t>件，办结</w:t>
      </w:r>
      <w:r>
        <w:rPr>
          <w:rFonts w:hint="default" w:ascii="Times New Roman" w:hAnsi="Times New Roman" w:eastAsia="微软雅黑" w:cs="Times New Roman"/>
          <w:b w:val="0"/>
          <w:bCs w:val="0"/>
          <w:i w:val="0"/>
          <w:iCs w:val="0"/>
          <w:caps w:val="0"/>
          <w:color w:val="000000"/>
          <w:spacing w:val="0"/>
          <w:kern w:val="0"/>
          <w:sz w:val="32"/>
          <w:szCs w:val="32"/>
          <w:shd w:val="clear" w:fill="FFFFFF"/>
          <w:lang w:val="en-US" w:eastAsia="zh-CN" w:bidi="ar"/>
        </w:rPr>
        <w:t>2498</w:t>
      </w:r>
      <w:r>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t>件。公开各科室联系电话，设置党政办公室办公接访电话，接受社会监督。严格按照政府信息公开工作考核制度、社会评议制度和责任追究制度，定期参加政府信息公开工作考核、评议。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20" w:lineRule="atLeast"/>
        <w:ind w:left="0" w:right="0" w:firstLine="641"/>
        <w:jc w:val="both"/>
        <w:textAlignment w:val="auto"/>
        <w:rPr>
          <w:rFonts w:hint="default" w:ascii="Times New Roman" w:hAnsi="Times New Roman" w:eastAsia="仿宋_GB2312" w:cs="Times New Roman"/>
          <w:b w:val="0"/>
          <w:bCs w:val="0"/>
          <w:i w:val="0"/>
          <w:iCs w:val="0"/>
          <w:caps w:val="0"/>
          <w:color w:val="000000"/>
          <w:spacing w:val="0"/>
          <w:kern w:val="0"/>
          <w:sz w:val="32"/>
          <w:szCs w:val="32"/>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6" w:lineRule="atLeast"/>
        <w:ind w:left="0" w:right="0" w:firstLine="640"/>
        <w:jc w:val="both"/>
        <w:rPr>
          <w:rFonts w:hint="default" w:ascii="Times New Roman" w:hAnsi="Times New Roman" w:eastAsia="方正黑体简体" w:cs="Times New Roman"/>
          <w:i w:val="0"/>
          <w:iCs w:val="0"/>
          <w:caps w:val="0"/>
          <w:color w:val="000000"/>
          <w:spacing w:val="0"/>
          <w:sz w:val="24"/>
          <w:szCs w:val="24"/>
        </w:rPr>
      </w:pPr>
      <w:r>
        <w:rPr>
          <w:rFonts w:hint="default" w:ascii="Times New Roman" w:hAnsi="Times New Roman" w:eastAsia="方正黑体简体" w:cs="Times New Roman"/>
          <w:b w:val="0"/>
          <w:bCs w:val="0"/>
          <w:i w:val="0"/>
          <w:iCs w:val="0"/>
          <w:caps w:val="0"/>
          <w:color w:val="000000"/>
          <w:spacing w:val="0"/>
          <w:kern w:val="0"/>
          <w:sz w:val="32"/>
          <w:szCs w:val="32"/>
          <w:shd w:val="clear" w:fill="FFFFFF"/>
          <w:lang w:val="en-US" w:eastAsia="zh-CN" w:bidi="ar"/>
        </w:rPr>
        <w:t>二、主动公开政府信息情况</w:t>
      </w:r>
    </w:p>
    <w:tbl>
      <w:tblPr>
        <w:tblStyle w:val="4"/>
        <w:tblW w:w="5000" w:type="pct"/>
        <w:tblInd w:w="0" w:type="dxa"/>
        <w:tblLayout w:type="autofit"/>
        <w:tblCellMar>
          <w:top w:w="0" w:type="dxa"/>
          <w:left w:w="108" w:type="dxa"/>
          <w:bottom w:w="0" w:type="dxa"/>
          <w:right w:w="108" w:type="dxa"/>
        </w:tblCellMar>
      </w:tblPr>
      <w:tblGrid>
        <w:gridCol w:w="2279"/>
        <w:gridCol w:w="2279"/>
        <w:gridCol w:w="2279"/>
        <w:gridCol w:w="2280"/>
      </w:tblGrid>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方正黑体简体" w:cs="Times New Roman"/>
                <w:color w:val="000000"/>
                <w:kern w:val="0"/>
                <w:szCs w:val="21"/>
              </w:rPr>
              <w:t>第二十条第（一）项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1250" w:type="pct"/>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本年制发件数</w:t>
            </w:r>
          </w:p>
        </w:tc>
        <w:tc>
          <w:tcPr>
            <w:tcW w:w="1250" w:type="pct"/>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本年废止件数</w:t>
            </w:r>
          </w:p>
        </w:tc>
        <w:tc>
          <w:tcPr>
            <w:tcW w:w="1250" w:type="pct"/>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现行有效件数</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规章</w:t>
            </w:r>
          </w:p>
        </w:tc>
        <w:tc>
          <w:tcPr>
            <w:tcW w:w="1250" w:type="pct"/>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000000" w:themeColor="text1"/>
                <w:kern w:val="0"/>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Cs w:val="21"/>
                <w:lang w:val="en-US" w:eastAsia="zh-CN"/>
                <w14:textFill>
                  <w14:solidFill>
                    <w14:schemeClr w14:val="tx1"/>
                  </w14:solidFill>
                </w14:textFill>
              </w:rPr>
              <w:t>0</w:t>
            </w:r>
          </w:p>
        </w:tc>
        <w:tc>
          <w:tcPr>
            <w:tcW w:w="1250" w:type="pct"/>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000000" w:themeColor="text1"/>
                <w:kern w:val="0"/>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Cs w:val="21"/>
                <w:lang w:val="en-US" w:eastAsia="zh-CN"/>
                <w14:textFill>
                  <w14:solidFill>
                    <w14:schemeClr w14:val="tx1"/>
                  </w14:solidFill>
                </w14:textFill>
              </w:rPr>
              <w:t>0</w:t>
            </w:r>
          </w:p>
        </w:tc>
        <w:tc>
          <w:tcPr>
            <w:tcW w:w="1250" w:type="pct"/>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000000" w:themeColor="text1"/>
                <w:kern w:val="0"/>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Cs w:val="21"/>
                <w:lang w:val="en-US" w:eastAsia="zh-CN"/>
                <w14:textFill>
                  <w14:solidFill>
                    <w14:schemeClr w14:val="tx1"/>
                  </w14:solidFill>
                </w14:textFill>
              </w:rPr>
              <w:t>0</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行政规范性文件</w:t>
            </w:r>
          </w:p>
        </w:tc>
        <w:tc>
          <w:tcPr>
            <w:tcW w:w="1250" w:type="pct"/>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000000" w:themeColor="text1"/>
                <w:kern w:val="0"/>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Cs w:val="21"/>
                <w:lang w:val="en-US" w:eastAsia="zh-CN"/>
                <w14:textFill>
                  <w14:solidFill>
                    <w14:schemeClr w14:val="tx1"/>
                  </w14:solidFill>
                </w14:textFill>
              </w:rPr>
              <w:t>0</w:t>
            </w:r>
          </w:p>
        </w:tc>
        <w:tc>
          <w:tcPr>
            <w:tcW w:w="1250" w:type="pct"/>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000000" w:themeColor="text1"/>
                <w:kern w:val="0"/>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Cs w:val="21"/>
                <w:lang w:val="en-US" w:eastAsia="zh-CN"/>
                <w14:textFill>
                  <w14:solidFill>
                    <w14:schemeClr w14:val="tx1"/>
                  </w14:solidFill>
                </w14:textFill>
              </w:rPr>
              <w:t>0</w:t>
            </w:r>
          </w:p>
        </w:tc>
        <w:tc>
          <w:tcPr>
            <w:tcW w:w="1250" w:type="pct"/>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000000" w:themeColor="text1"/>
                <w:kern w:val="0"/>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Cs w:val="21"/>
                <w:lang w:val="en-US" w:eastAsia="zh-CN"/>
                <w14:textFill>
                  <w14:solidFill>
                    <w14:schemeClr w14:val="tx1"/>
                  </w14:solidFill>
                </w14:textFill>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hint="default"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方正黑体简体" w:cs="Times New Roman"/>
                <w:color w:val="000000"/>
                <w:kern w:val="0"/>
                <w:szCs w:val="21"/>
              </w:rPr>
              <w:t>第二十条第（五）项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本年处理决定数量</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行政许可</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themeColor="text1"/>
                <w:kern w:val="0"/>
                <w:szCs w:val="21"/>
                <w:lang w:val="en-US" w:eastAsia="zh-CN"/>
                <w14:textFill>
                  <w14:solidFill>
                    <w14:schemeClr w14:val="tx1"/>
                  </w14:solidFill>
                </w14:textFill>
              </w:rPr>
            </w:pPr>
            <w:r>
              <w:rPr>
                <w:rFonts w:hint="default" w:ascii="Times New Roman" w:hAnsi="Times New Roman" w:eastAsia="仿宋_GB2312" w:cs="Times New Roman"/>
                <w:color w:val="000000" w:themeColor="text1"/>
                <w:kern w:val="0"/>
                <w:szCs w:val="21"/>
                <w:lang w:val="en-US" w:eastAsia="zh-CN"/>
                <w14:textFill>
                  <w14:solidFill>
                    <w14:schemeClr w14:val="tx1"/>
                  </w14:solidFill>
                </w14:textFill>
              </w:rPr>
              <w:t>2344</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hint="default"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方正黑体简体" w:cs="Times New Roman"/>
                <w:color w:val="000000"/>
                <w:kern w:val="0"/>
                <w:szCs w:val="21"/>
              </w:rPr>
              <w:t>第二十条第（六）项</w:t>
            </w:r>
          </w:p>
        </w:tc>
      </w:tr>
      <w:tr>
        <w:tblPrEx>
          <w:tblCellMar>
            <w:top w:w="0" w:type="dxa"/>
            <w:left w:w="108" w:type="dxa"/>
            <w:bottom w:w="0" w:type="dxa"/>
            <w:right w:w="108" w:type="dxa"/>
          </w:tblCellMar>
        </w:tblPrEx>
        <w:trPr>
          <w:trHeight w:val="583"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本年处理决定数量</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行政处罚</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themeColor="text1"/>
                <w:kern w:val="0"/>
                <w:szCs w:val="21"/>
                <w:lang w:eastAsia="zh-CN"/>
                <w14:textFill>
                  <w14:solidFill>
                    <w14:schemeClr w14:val="tx1"/>
                  </w14:solidFill>
                </w14:textFill>
              </w:rPr>
            </w:pPr>
            <w:r>
              <w:rPr>
                <w:rFonts w:hint="default" w:ascii="Times New Roman" w:hAnsi="Times New Roman" w:eastAsia="仿宋_GB2312" w:cs="Times New Roman"/>
                <w:color w:val="000000" w:themeColor="text1"/>
                <w:kern w:val="0"/>
                <w:szCs w:val="21"/>
                <w:lang w:val="en-US" w:eastAsia="zh-CN"/>
                <w14:textFill>
                  <w14:solidFill>
                    <w14:schemeClr w14:val="tx1"/>
                  </w14:solidFill>
                </w14:textFill>
              </w:rPr>
              <w:t>0</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行政强制</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themeColor="text1"/>
                <w:kern w:val="0"/>
                <w:szCs w:val="21"/>
                <w:lang w:val="en-US" w:eastAsia="zh-CN"/>
                <w14:textFill>
                  <w14:solidFill>
                    <w14:schemeClr w14:val="tx1"/>
                  </w14:solidFill>
                </w14:textFill>
              </w:rPr>
            </w:pPr>
            <w:r>
              <w:rPr>
                <w:rFonts w:hint="default" w:ascii="Times New Roman" w:hAnsi="Times New Roman" w:eastAsia="仿宋_GB2312" w:cs="Times New Roman"/>
                <w:color w:val="000000" w:themeColor="text1"/>
                <w:kern w:val="0"/>
                <w:szCs w:val="21"/>
                <w:lang w:val="en-US" w:eastAsia="zh-CN"/>
                <w14:textFill>
                  <w14:solidFill>
                    <w14:schemeClr w14:val="tx1"/>
                  </w14:solidFill>
                </w14:textFill>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方正黑体简体" w:cs="Times New Roman"/>
                <w:color w:val="000000"/>
                <w:kern w:val="0"/>
                <w:szCs w:val="21"/>
              </w:rPr>
              <w:t>第二十条第（八）项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本年收费金额（单位：万元）</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行政事业性收费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Cs w:val="21"/>
                <w:lang w:eastAsia="zh-CN"/>
              </w:rPr>
            </w:pPr>
            <w:r>
              <w:rPr>
                <w:rFonts w:hint="default" w:ascii="Times New Roman" w:hAnsi="Times New Roman" w:eastAsia="仿宋_GB2312" w:cs="Times New Roman"/>
                <w:color w:val="000000"/>
                <w:kern w:val="0"/>
                <w:szCs w:val="21"/>
                <w:lang w:val="en-US" w:eastAsia="zh-CN"/>
              </w:rPr>
              <w:t>0</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right="0" w:firstLine="641"/>
        <w:jc w:val="both"/>
        <w:textAlignment w:val="auto"/>
        <w:rPr>
          <w:rFonts w:hint="default" w:ascii="Times New Roman" w:hAnsi="Times New Roman" w:eastAsia="黑体" w:cs="Times New Roman"/>
          <w:b w:val="0"/>
          <w:bCs w:val="0"/>
          <w:i w:val="0"/>
          <w:iCs w:val="0"/>
          <w:caps w:val="0"/>
          <w:color w:val="000000"/>
          <w:spacing w:val="0"/>
          <w:kern w:val="0"/>
          <w:sz w:val="32"/>
          <w:szCs w:val="32"/>
          <w:shd w:val="clear" w:fill="FFFFFF"/>
          <w:lang w:val="en-US" w:eastAsia="zh-CN" w:bidi="ar"/>
        </w:rPr>
        <w:sectPr>
          <w:pgSz w:w="11906" w:h="16838"/>
          <w:pgMar w:top="2041" w:right="1474" w:bottom="1531" w:left="1531" w:header="851" w:footer="992" w:gutter="0"/>
          <w:cols w:space="425" w:num="1"/>
          <w:docGrid w:type="lines" w:linePitch="312" w:charSpace="0"/>
        </w:sect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right="0" w:firstLine="641"/>
        <w:jc w:val="both"/>
        <w:textAlignment w:val="auto"/>
        <w:rPr>
          <w:rFonts w:hint="default" w:ascii="Times New Roman" w:hAnsi="Times New Roman" w:eastAsia="方正黑体简体" w:cs="Times New Roman"/>
          <w:b w:val="0"/>
          <w:bCs w:val="0"/>
          <w:i w:val="0"/>
          <w:iCs w:val="0"/>
          <w:caps w:val="0"/>
          <w:color w:val="000000"/>
          <w:spacing w:val="0"/>
          <w:kern w:val="0"/>
          <w:sz w:val="32"/>
          <w:szCs w:val="32"/>
          <w:shd w:val="clear" w:fill="FFFFFF"/>
          <w:lang w:val="en-US" w:eastAsia="zh-CN" w:bidi="ar"/>
        </w:rPr>
      </w:pPr>
      <w:r>
        <w:rPr>
          <w:rFonts w:hint="default" w:ascii="Times New Roman" w:hAnsi="Times New Roman" w:eastAsia="方正黑体简体" w:cs="Times New Roman"/>
          <w:b w:val="0"/>
          <w:bCs w:val="0"/>
          <w:i w:val="0"/>
          <w:iCs w:val="0"/>
          <w:caps w:val="0"/>
          <w:color w:val="000000"/>
          <w:spacing w:val="0"/>
          <w:kern w:val="0"/>
          <w:sz w:val="32"/>
          <w:szCs w:val="32"/>
          <w:shd w:val="clear" w:fill="FFFFFF"/>
          <w:lang w:val="en-US" w:eastAsia="zh-CN" w:bidi="ar"/>
        </w:rPr>
        <w:t>三、收到和处理政府信息公开申请情况</w:t>
      </w:r>
    </w:p>
    <w:tbl>
      <w:tblPr>
        <w:tblStyle w:val="4"/>
        <w:tblpPr w:leftFromText="180" w:rightFromText="180" w:vertAnchor="text" w:horzAnchor="page" w:tblpX="1150" w:tblpY="596"/>
        <w:tblOverlap w:val="never"/>
        <w:tblW w:w="9913"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trPr>
        <w:tc>
          <w:tcPr>
            <w:tcW w:w="5093" w:type="dxa"/>
            <w:gridSpan w:val="3"/>
            <w:vMerge w:val="restart"/>
            <w:shd w:val="clear" w:color="auto" w:fill="auto"/>
            <w:tcMar>
              <w:left w:w="108" w:type="dxa"/>
              <w:right w:w="108" w:type="dxa"/>
            </w:tcMar>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（本列数据的勾稽关系为：第一项加第二项之和，</w:t>
            </w:r>
          </w:p>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等于第三项加第四项之和）</w:t>
            </w:r>
          </w:p>
        </w:tc>
        <w:tc>
          <w:tcPr>
            <w:tcW w:w="4820" w:type="dxa"/>
            <w:gridSpan w:val="7"/>
            <w:shd w:val="clear" w:color="auto" w:fill="auto"/>
            <w:tcMar>
              <w:left w:w="108" w:type="dxa"/>
              <w:right w:w="108" w:type="dxa"/>
            </w:tcMar>
            <w:vAlign w:val="center"/>
          </w:tcPr>
          <w:p>
            <w:pPr>
              <w:widowControl/>
              <w:spacing w:line="320" w:lineRule="exac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5093" w:type="dxa"/>
            <w:gridSpan w:val="3"/>
            <w:vMerge w:val="continue"/>
            <w:shd w:val="clear" w:color="auto" w:fill="auto"/>
            <w:tcMar>
              <w:left w:w="108" w:type="dxa"/>
              <w:right w:w="108" w:type="dxa"/>
            </w:tcMar>
            <w:vAlign w:val="center"/>
          </w:tcPr>
          <w:p>
            <w:pPr>
              <w:jc w:val="center"/>
              <w:rPr>
                <w:rFonts w:hint="eastAsia" w:ascii="仿宋_GB2312" w:hAnsi="仿宋_GB2312" w:eastAsia="仿宋_GB2312" w:cs="仿宋_GB2312"/>
                <w:szCs w:val="21"/>
              </w:rPr>
            </w:pPr>
          </w:p>
        </w:tc>
        <w:tc>
          <w:tcPr>
            <w:tcW w:w="829" w:type="dxa"/>
            <w:vMerge w:val="restart"/>
            <w:shd w:val="clear" w:color="auto" w:fill="auto"/>
            <w:tcMar>
              <w:left w:w="108" w:type="dxa"/>
              <w:right w:w="108" w:type="dxa"/>
            </w:tcMar>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自然人</w:t>
            </w:r>
          </w:p>
        </w:tc>
        <w:tc>
          <w:tcPr>
            <w:tcW w:w="3140" w:type="dxa"/>
            <w:gridSpan w:val="5"/>
            <w:shd w:val="clear" w:color="auto" w:fill="auto"/>
            <w:tcMar>
              <w:left w:w="108" w:type="dxa"/>
              <w:right w:w="108" w:type="dxa"/>
            </w:tcMar>
            <w:vAlign w:val="center"/>
          </w:tcPr>
          <w:p>
            <w:pPr>
              <w:widowControl/>
              <w:spacing w:line="320" w:lineRule="exact"/>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法人或其他组织</w:t>
            </w:r>
          </w:p>
        </w:tc>
        <w:tc>
          <w:tcPr>
            <w:tcW w:w="851" w:type="dxa"/>
            <w:vMerge w:val="restart"/>
            <w:shd w:val="clear" w:color="auto" w:fill="auto"/>
            <w:tcMar>
              <w:left w:w="108" w:type="dxa"/>
              <w:right w:w="108" w:type="dxa"/>
            </w:tcMar>
            <w:vAlign w:val="center"/>
          </w:tcPr>
          <w:p>
            <w:pPr>
              <w:widowControl/>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trPr>
        <w:tc>
          <w:tcPr>
            <w:tcW w:w="5093" w:type="dxa"/>
            <w:gridSpan w:val="3"/>
            <w:vMerge w:val="continue"/>
            <w:shd w:val="clear" w:color="auto" w:fill="auto"/>
            <w:tcMar>
              <w:left w:w="108" w:type="dxa"/>
              <w:right w:w="108" w:type="dxa"/>
            </w:tcMar>
            <w:vAlign w:val="center"/>
          </w:tcPr>
          <w:p>
            <w:pPr>
              <w:jc w:val="center"/>
              <w:rPr>
                <w:rFonts w:hint="eastAsia" w:ascii="仿宋_GB2312" w:hAnsi="仿宋_GB2312" w:eastAsia="仿宋_GB2312" w:cs="仿宋_GB2312"/>
                <w:szCs w:val="21"/>
              </w:rPr>
            </w:pPr>
          </w:p>
        </w:tc>
        <w:tc>
          <w:tcPr>
            <w:tcW w:w="829" w:type="dxa"/>
            <w:vMerge w:val="continue"/>
            <w:shd w:val="clear" w:color="auto" w:fill="auto"/>
            <w:tcMar>
              <w:left w:w="108" w:type="dxa"/>
              <w:right w:w="108" w:type="dxa"/>
            </w:tcMar>
            <w:vAlign w:val="center"/>
          </w:tcPr>
          <w:p>
            <w:pPr>
              <w:jc w:val="center"/>
              <w:rPr>
                <w:rFonts w:hint="eastAsia" w:ascii="仿宋_GB2312" w:hAnsi="仿宋_GB2312" w:eastAsia="仿宋_GB2312" w:cs="仿宋_GB2312"/>
                <w:szCs w:val="21"/>
              </w:rPr>
            </w:pP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106" w:leftChars="-51" w:right="-107" w:rightChars="-51" w:hanging="1"/>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kern w:val="0"/>
                <w:szCs w:val="21"/>
              </w:rPr>
              <w:t>商业企业</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107" w:leftChars="-51" w:right="-107" w:rightChars="-51"/>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kern w:val="0"/>
                <w:szCs w:val="21"/>
              </w:rPr>
              <w:t>科研机构</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107" w:leftChars="-51" w:right="-107" w:rightChars="-51"/>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kern w:val="0"/>
                <w:szCs w:val="21"/>
              </w:rPr>
              <w:t>社会公益组织</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ind w:left="-106" w:leftChars="-51" w:right="-107" w:rightChars="-51" w:hanging="1"/>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kern w:val="0"/>
                <w:szCs w:val="21"/>
              </w:rPr>
              <w:t>法律服务机构</w:t>
            </w:r>
          </w:p>
        </w:tc>
        <w:tc>
          <w:tcPr>
            <w:tcW w:w="567" w:type="dxa"/>
            <w:shd w:val="clear" w:color="auto" w:fill="auto"/>
            <w:tcMar>
              <w:left w:w="108" w:type="dxa"/>
              <w:right w:w="108" w:type="dxa"/>
            </w:tcMar>
            <w:vAlign w:val="center"/>
          </w:tcPr>
          <w:p>
            <w:pPr>
              <w:widowControl/>
              <w:spacing w:line="360" w:lineRule="exact"/>
              <w:ind w:left="-63" w:leftChars="-30" w:right="-134" w:rightChars="-64"/>
              <w:jc w:val="center"/>
              <w:rPr>
                <w:rFonts w:hint="eastAsia" w:ascii="仿宋_GB2312" w:hAnsi="仿宋_GB2312" w:eastAsia="仿宋_GB2312" w:cs="仿宋_GB2312"/>
                <w:szCs w:val="21"/>
              </w:rPr>
            </w:pPr>
            <w:r>
              <w:rPr>
                <w:rFonts w:hint="eastAsia" w:ascii="仿宋_GB2312" w:hAnsi="仿宋_GB2312" w:eastAsia="仿宋_GB2312" w:cs="仿宋_GB2312"/>
                <w:kern w:val="0"/>
                <w:szCs w:val="21"/>
              </w:rPr>
              <w:t>其他</w:t>
            </w:r>
          </w:p>
        </w:tc>
        <w:tc>
          <w:tcPr>
            <w:tcW w:w="851" w:type="dxa"/>
            <w:vMerge w:val="continue"/>
            <w:shd w:val="clear" w:color="auto" w:fill="auto"/>
            <w:tcMar>
              <w:left w:w="108" w:type="dxa"/>
              <w:right w:w="108" w:type="dxa"/>
            </w:tcMar>
            <w:vAlign w:val="center"/>
          </w:tcPr>
          <w:p>
            <w:pPr>
              <w:jc w:val="center"/>
              <w:rPr>
                <w:rFonts w:hint="eastAsia" w:ascii="仿宋_GB2312" w:hAnsi="仿宋_GB2312" w:eastAsia="仿宋_GB2312" w:cs="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093" w:type="dxa"/>
            <w:gridSpan w:val="3"/>
            <w:shd w:val="clear" w:color="auto" w:fill="auto"/>
            <w:tcMar>
              <w:left w:w="108" w:type="dxa"/>
              <w:right w:w="108" w:type="dxa"/>
            </w:tcMar>
            <w:vAlign w:val="center"/>
          </w:tcPr>
          <w:p>
            <w:pPr>
              <w:widowControl/>
              <w:rPr>
                <w:rFonts w:hint="eastAsia" w:ascii="仿宋_GB2312" w:hAnsi="仿宋_GB2312" w:eastAsia="仿宋_GB2312" w:cs="仿宋_GB2312"/>
                <w:szCs w:val="21"/>
              </w:rPr>
            </w:pPr>
            <w:r>
              <w:rPr>
                <w:rFonts w:hint="eastAsia" w:ascii="仿宋_GB2312" w:hAnsi="仿宋_GB2312" w:eastAsia="仿宋_GB2312" w:cs="仿宋_GB2312"/>
                <w:kern w:val="0"/>
                <w:szCs w:val="21"/>
              </w:rPr>
              <w:t>一、</w:t>
            </w:r>
            <w:bookmarkStart w:id="0" w:name="_Hlk66973412"/>
            <w:r>
              <w:rPr>
                <w:rFonts w:hint="eastAsia" w:ascii="仿宋_GB2312" w:hAnsi="仿宋_GB2312" w:eastAsia="仿宋_GB2312" w:cs="仿宋_GB2312"/>
                <w:kern w:val="0"/>
                <w:szCs w:val="21"/>
              </w:rPr>
              <w:t>本年新收政府信息公开申请数量</w:t>
            </w:r>
            <w:bookmarkEnd w:id="0"/>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093" w:type="dxa"/>
            <w:gridSpan w:val="3"/>
            <w:shd w:val="clear" w:color="auto" w:fill="auto"/>
            <w:tcMar>
              <w:left w:w="108" w:type="dxa"/>
              <w:right w:w="108" w:type="dxa"/>
            </w:tcMar>
            <w:vAlign w:val="center"/>
          </w:tcPr>
          <w:p>
            <w:pPr>
              <w:widowControl/>
              <w:rPr>
                <w:rFonts w:hint="eastAsia" w:ascii="仿宋_GB2312" w:hAnsi="仿宋_GB2312" w:eastAsia="仿宋_GB2312" w:cs="仿宋_GB2312"/>
                <w:szCs w:val="21"/>
              </w:rPr>
            </w:pPr>
            <w:r>
              <w:rPr>
                <w:rFonts w:hint="eastAsia" w:ascii="仿宋_GB2312" w:hAnsi="仿宋_GB2312" w:eastAsia="仿宋_GB2312" w:cs="仿宋_GB2312"/>
                <w:kern w:val="0"/>
                <w:szCs w:val="21"/>
              </w:rPr>
              <w:t>二、上年结转政府信息公开申请数量</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6" w:type="dxa"/>
            <w:vMerge w:val="restart"/>
            <w:shd w:val="clear" w:color="auto" w:fill="auto"/>
            <w:tcMar>
              <w:left w:w="108" w:type="dxa"/>
              <w:right w:w="108" w:type="dxa"/>
            </w:tcMar>
            <w:vAlign w:val="center"/>
          </w:tcPr>
          <w:p>
            <w:pPr>
              <w:widowControl/>
              <w:spacing w:after="180"/>
              <w:rPr>
                <w:rFonts w:hint="eastAsia" w:ascii="仿宋_GB2312" w:hAnsi="仿宋_GB2312" w:eastAsia="仿宋_GB2312" w:cs="仿宋_GB2312"/>
                <w:szCs w:val="21"/>
              </w:rPr>
            </w:pPr>
            <w:r>
              <w:rPr>
                <w:rFonts w:hint="eastAsia" w:ascii="仿宋_GB2312" w:hAnsi="仿宋_GB2312" w:eastAsia="仿宋_GB2312" w:cs="仿宋_GB2312"/>
                <w:kern w:val="0"/>
                <w:szCs w:val="21"/>
              </w:rPr>
              <w:t>三、本年度办理结果</w:t>
            </w:r>
          </w:p>
        </w:tc>
        <w:tc>
          <w:tcPr>
            <w:tcW w:w="4677" w:type="dxa"/>
            <w:gridSpan w:val="2"/>
            <w:shd w:val="clear" w:color="auto" w:fill="auto"/>
            <w:tcMar>
              <w:left w:w="108" w:type="dxa"/>
              <w:right w:w="108" w:type="dxa"/>
            </w:tcMar>
            <w:vAlign w:val="center"/>
          </w:tcPr>
          <w:p>
            <w:pPr>
              <w:widowControl/>
              <w:rPr>
                <w:rFonts w:hint="eastAsia" w:ascii="仿宋_GB2312" w:hAnsi="仿宋_GB2312" w:eastAsia="仿宋_GB2312" w:cs="仿宋_GB2312"/>
                <w:szCs w:val="21"/>
              </w:rPr>
            </w:pPr>
            <w:r>
              <w:rPr>
                <w:rFonts w:hint="eastAsia" w:ascii="仿宋_GB2312" w:hAnsi="仿宋_GB2312" w:eastAsia="仿宋_GB2312" w:cs="仿宋_GB2312"/>
                <w:kern w:val="0"/>
                <w:szCs w:val="21"/>
              </w:rPr>
              <w:t>（一）予以公开</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1</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6" w:type="dxa"/>
            <w:vMerge w:val="continue"/>
            <w:shd w:val="clear" w:color="auto" w:fill="auto"/>
            <w:tcMar>
              <w:left w:w="108" w:type="dxa"/>
              <w:right w:w="108" w:type="dxa"/>
            </w:tcMar>
            <w:vAlign w:val="center"/>
          </w:tcPr>
          <w:p>
            <w:pPr>
              <w:rPr>
                <w:rFonts w:hint="eastAsia" w:ascii="仿宋_GB2312" w:hAnsi="仿宋_GB2312" w:eastAsia="仿宋_GB2312" w:cs="仿宋_GB2312"/>
                <w:szCs w:val="21"/>
              </w:rPr>
            </w:pPr>
          </w:p>
        </w:tc>
        <w:tc>
          <w:tcPr>
            <w:tcW w:w="4677"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Cs w:val="21"/>
              </w:rPr>
            </w:pPr>
            <w:r>
              <w:rPr>
                <w:rFonts w:hint="eastAsia" w:ascii="仿宋_GB2312" w:hAnsi="仿宋_GB2312" w:eastAsia="仿宋_GB2312" w:cs="仿宋_GB2312"/>
                <w:kern w:val="0"/>
                <w:szCs w:val="21"/>
              </w:rPr>
              <w:t>（二）部分公开（</w:t>
            </w:r>
            <w:bookmarkStart w:id="1" w:name="_Hlk66973981"/>
            <w:r>
              <w:rPr>
                <w:rFonts w:hint="eastAsia" w:ascii="仿宋_GB2312" w:hAnsi="仿宋_GB2312" w:eastAsia="仿宋_GB2312" w:cs="仿宋_GB2312"/>
                <w:kern w:val="0"/>
                <w:szCs w:val="21"/>
              </w:rPr>
              <w:t>区分处理的，只计这一情形，不计其他情形</w:t>
            </w:r>
            <w:bookmarkEnd w:id="1"/>
            <w:r>
              <w:rPr>
                <w:rFonts w:hint="eastAsia" w:ascii="仿宋_GB2312" w:hAnsi="仿宋_GB2312" w:eastAsia="仿宋_GB2312" w:cs="仿宋_GB2312"/>
                <w:kern w:val="0"/>
                <w:szCs w:val="21"/>
              </w:rPr>
              <w:t>）</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shd w:val="clear" w:color="auto" w:fill="auto"/>
            <w:tcMar>
              <w:left w:w="108" w:type="dxa"/>
              <w:right w:w="108" w:type="dxa"/>
            </w:tcMar>
            <w:vAlign w:val="center"/>
          </w:tcPr>
          <w:p>
            <w:pPr>
              <w:rPr>
                <w:rFonts w:hint="eastAsia" w:ascii="仿宋_GB2312" w:hAnsi="仿宋_GB2312" w:eastAsia="仿宋_GB2312" w:cs="仿宋_GB2312"/>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hint="eastAsia" w:ascii="仿宋_GB2312" w:hAnsi="仿宋_GB2312" w:eastAsia="仿宋_GB2312" w:cs="仿宋_GB2312"/>
                <w:szCs w:val="21"/>
              </w:rPr>
            </w:pPr>
            <w:r>
              <w:rPr>
                <w:rFonts w:hint="eastAsia" w:ascii="仿宋_GB2312" w:hAnsi="仿宋_GB2312" w:eastAsia="仿宋_GB2312" w:cs="仿宋_GB2312"/>
                <w:kern w:val="0"/>
                <w:szCs w:val="21"/>
              </w:rPr>
              <w:t>（三）不予公开</w:t>
            </w:r>
          </w:p>
        </w:tc>
        <w:tc>
          <w:tcPr>
            <w:tcW w:w="2976" w:type="dxa"/>
            <w:shd w:val="clear" w:color="auto" w:fill="auto"/>
            <w:tcMar>
              <w:left w:w="108" w:type="dxa"/>
              <w:right w:w="108" w:type="dxa"/>
            </w:tcMar>
            <w:vAlign w:val="center"/>
          </w:tcPr>
          <w:p>
            <w:pPr>
              <w:widowControl/>
              <w:spacing w:line="200" w:lineRule="exac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1.属于国家秘密</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shd w:val="clear" w:color="auto" w:fill="auto"/>
            <w:tcMar>
              <w:left w:w="108" w:type="dxa"/>
              <w:right w:w="108" w:type="dxa"/>
            </w:tcMar>
            <w:vAlign w:val="center"/>
          </w:tcPr>
          <w:p>
            <w:pPr>
              <w:rPr>
                <w:rFonts w:hint="eastAsia" w:ascii="仿宋_GB2312" w:hAnsi="仿宋_GB2312" w:eastAsia="仿宋_GB2312" w:cs="仿宋_GB2312"/>
                <w:szCs w:val="21"/>
              </w:rPr>
            </w:pPr>
          </w:p>
        </w:tc>
        <w:tc>
          <w:tcPr>
            <w:tcW w:w="1701" w:type="dxa"/>
            <w:vMerge w:val="continue"/>
            <w:shd w:val="clear" w:color="auto" w:fill="auto"/>
            <w:tcMar>
              <w:left w:w="108" w:type="dxa"/>
              <w:right w:w="108" w:type="dxa"/>
            </w:tcMar>
            <w:vAlign w:val="center"/>
          </w:tcPr>
          <w:p>
            <w:pPr>
              <w:spacing w:line="200" w:lineRule="exact"/>
              <w:rPr>
                <w:rFonts w:hint="eastAsia" w:ascii="仿宋_GB2312" w:hAnsi="仿宋_GB2312" w:eastAsia="仿宋_GB2312" w:cs="仿宋_GB2312"/>
                <w:szCs w:val="21"/>
              </w:rPr>
            </w:pPr>
          </w:p>
        </w:tc>
        <w:tc>
          <w:tcPr>
            <w:tcW w:w="2976" w:type="dxa"/>
            <w:shd w:val="clear" w:color="auto" w:fill="auto"/>
            <w:tcMar>
              <w:left w:w="108" w:type="dxa"/>
              <w:right w:w="108" w:type="dxa"/>
            </w:tcMar>
            <w:vAlign w:val="center"/>
          </w:tcPr>
          <w:p>
            <w:pPr>
              <w:widowControl/>
              <w:spacing w:line="200" w:lineRule="exac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2.</w:t>
            </w:r>
            <w:bookmarkStart w:id="2" w:name="_Hlk66974104"/>
            <w:r>
              <w:rPr>
                <w:rFonts w:hint="eastAsia" w:ascii="仿宋_GB2312" w:hAnsi="仿宋_GB2312" w:eastAsia="仿宋_GB2312" w:cs="仿宋_GB2312"/>
                <w:kern w:val="0"/>
                <w:szCs w:val="21"/>
              </w:rPr>
              <w:t>其他法律行政法规禁止公开</w:t>
            </w:r>
            <w:bookmarkEnd w:id="2"/>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shd w:val="clear" w:color="auto" w:fill="auto"/>
            <w:tcMar>
              <w:left w:w="108" w:type="dxa"/>
              <w:right w:w="108" w:type="dxa"/>
            </w:tcMar>
            <w:vAlign w:val="center"/>
          </w:tcPr>
          <w:p>
            <w:pPr>
              <w:rPr>
                <w:rFonts w:hint="eastAsia" w:ascii="仿宋_GB2312" w:hAnsi="仿宋_GB2312" w:eastAsia="仿宋_GB2312" w:cs="仿宋_GB2312"/>
                <w:szCs w:val="21"/>
              </w:rPr>
            </w:pPr>
          </w:p>
        </w:tc>
        <w:tc>
          <w:tcPr>
            <w:tcW w:w="1701" w:type="dxa"/>
            <w:vMerge w:val="continue"/>
            <w:shd w:val="clear" w:color="auto" w:fill="auto"/>
            <w:tcMar>
              <w:left w:w="108" w:type="dxa"/>
              <w:right w:w="108" w:type="dxa"/>
            </w:tcMar>
            <w:vAlign w:val="center"/>
          </w:tcPr>
          <w:p>
            <w:pPr>
              <w:spacing w:line="200" w:lineRule="exact"/>
              <w:rPr>
                <w:rFonts w:hint="eastAsia" w:ascii="仿宋_GB2312" w:hAnsi="仿宋_GB2312" w:eastAsia="仿宋_GB2312" w:cs="仿宋_GB2312"/>
                <w:szCs w:val="21"/>
              </w:rPr>
            </w:pPr>
          </w:p>
        </w:tc>
        <w:tc>
          <w:tcPr>
            <w:tcW w:w="2976" w:type="dxa"/>
            <w:shd w:val="clear" w:color="auto" w:fill="auto"/>
            <w:tcMar>
              <w:left w:w="108" w:type="dxa"/>
              <w:right w:w="108" w:type="dxa"/>
            </w:tcMar>
            <w:vAlign w:val="center"/>
          </w:tcPr>
          <w:p>
            <w:pPr>
              <w:widowControl/>
              <w:spacing w:line="200" w:lineRule="exac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3.危及“三安全一稳定”</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shd w:val="clear" w:color="auto" w:fill="auto"/>
            <w:tcMar>
              <w:left w:w="108" w:type="dxa"/>
              <w:right w:w="108" w:type="dxa"/>
            </w:tcMar>
            <w:vAlign w:val="center"/>
          </w:tcPr>
          <w:p>
            <w:pPr>
              <w:rPr>
                <w:rFonts w:hint="eastAsia" w:ascii="仿宋_GB2312" w:hAnsi="仿宋_GB2312" w:eastAsia="仿宋_GB2312" w:cs="仿宋_GB2312"/>
                <w:szCs w:val="21"/>
              </w:rPr>
            </w:pPr>
          </w:p>
        </w:tc>
        <w:tc>
          <w:tcPr>
            <w:tcW w:w="1701" w:type="dxa"/>
            <w:vMerge w:val="continue"/>
            <w:shd w:val="clear" w:color="auto" w:fill="auto"/>
            <w:tcMar>
              <w:left w:w="108" w:type="dxa"/>
              <w:right w:w="108" w:type="dxa"/>
            </w:tcMar>
            <w:vAlign w:val="center"/>
          </w:tcPr>
          <w:p>
            <w:pPr>
              <w:spacing w:line="200" w:lineRule="exact"/>
              <w:rPr>
                <w:rFonts w:hint="eastAsia" w:ascii="仿宋_GB2312" w:hAnsi="仿宋_GB2312" w:eastAsia="仿宋_GB2312" w:cs="仿宋_GB2312"/>
                <w:szCs w:val="21"/>
              </w:rPr>
            </w:pPr>
          </w:p>
        </w:tc>
        <w:tc>
          <w:tcPr>
            <w:tcW w:w="2976" w:type="dxa"/>
            <w:shd w:val="clear" w:color="auto" w:fill="auto"/>
            <w:tcMar>
              <w:left w:w="108" w:type="dxa"/>
              <w:right w:w="108" w:type="dxa"/>
            </w:tcMar>
            <w:vAlign w:val="center"/>
          </w:tcPr>
          <w:p>
            <w:pPr>
              <w:widowControl/>
              <w:spacing w:line="200" w:lineRule="exac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4.</w:t>
            </w:r>
            <w:bookmarkStart w:id="3" w:name="_Hlk66974290"/>
            <w:r>
              <w:rPr>
                <w:rFonts w:hint="eastAsia" w:ascii="仿宋_GB2312" w:hAnsi="仿宋_GB2312" w:eastAsia="仿宋_GB2312" w:cs="仿宋_GB2312"/>
                <w:kern w:val="0"/>
                <w:szCs w:val="21"/>
              </w:rPr>
              <w:t>保护第三方合法权益</w:t>
            </w:r>
            <w:bookmarkEnd w:id="3"/>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shd w:val="clear" w:color="auto" w:fill="auto"/>
            <w:tcMar>
              <w:left w:w="108" w:type="dxa"/>
              <w:right w:w="108" w:type="dxa"/>
            </w:tcMar>
            <w:vAlign w:val="center"/>
          </w:tcPr>
          <w:p>
            <w:pPr>
              <w:rPr>
                <w:rFonts w:hint="eastAsia" w:ascii="仿宋_GB2312" w:hAnsi="仿宋_GB2312" w:eastAsia="仿宋_GB2312" w:cs="仿宋_GB2312"/>
                <w:szCs w:val="21"/>
              </w:rPr>
            </w:pPr>
          </w:p>
        </w:tc>
        <w:tc>
          <w:tcPr>
            <w:tcW w:w="1701" w:type="dxa"/>
            <w:vMerge w:val="continue"/>
            <w:shd w:val="clear" w:color="auto" w:fill="auto"/>
            <w:tcMar>
              <w:left w:w="108" w:type="dxa"/>
              <w:right w:w="108" w:type="dxa"/>
            </w:tcMar>
            <w:vAlign w:val="center"/>
          </w:tcPr>
          <w:p>
            <w:pPr>
              <w:spacing w:line="200" w:lineRule="exact"/>
              <w:rPr>
                <w:rFonts w:hint="eastAsia" w:ascii="仿宋_GB2312" w:hAnsi="仿宋_GB2312" w:eastAsia="仿宋_GB2312" w:cs="仿宋_GB2312"/>
                <w:szCs w:val="21"/>
              </w:rPr>
            </w:pPr>
          </w:p>
        </w:tc>
        <w:tc>
          <w:tcPr>
            <w:tcW w:w="2976" w:type="dxa"/>
            <w:shd w:val="clear" w:color="auto" w:fill="auto"/>
            <w:tcMar>
              <w:left w:w="108" w:type="dxa"/>
              <w:right w:w="108" w:type="dxa"/>
            </w:tcMar>
            <w:vAlign w:val="center"/>
          </w:tcPr>
          <w:p>
            <w:pPr>
              <w:widowControl/>
              <w:spacing w:line="200" w:lineRule="exac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5.属于三类内部事务信息</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shd w:val="clear" w:color="auto" w:fill="auto"/>
            <w:tcMar>
              <w:left w:w="108" w:type="dxa"/>
              <w:right w:w="108" w:type="dxa"/>
            </w:tcMar>
            <w:vAlign w:val="center"/>
          </w:tcPr>
          <w:p>
            <w:pPr>
              <w:rPr>
                <w:rFonts w:hint="eastAsia" w:ascii="仿宋_GB2312" w:hAnsi="仿宋_GB2312" w:eastAsia="仿宋_GB2312" w:cs="仿宋_GB2312"/>
                <w:szCs w:val="21"/>
              </w:rPr>
            </w:pPr>
          </w:p>
        </w:tc>
        <w:tc>
          <w:tcPr>
            <w:tcW w:w="1701" w:type="dxa"/>
            <w:vMerge w:val="continue"/>
            <w:shd w:val="clear" w:color="auto" w:fill="auto"/>
            <w:tcMar>
              <w:left w:w="108" w:type="dxa"/>
              <w:right w:w="108" w:type="dxa"/>
            </w:tcMar>
            <w:vAlign w:val="center"/>
          </w:tcPr>
          <w:p>
            <w:pPr>
              <w:spacing w:line="200" w:lineRule="exact"/>
              <w:rPr>
                <w:rFonts w:hint="eastAsia" w:ascii="仿宋_GB2312" w:hAnsi="仿宋_GB2312" w:eastAsia="仿宋_GB2312" w:cs="仿宋_GB2312"/>
                <w:szCs w:val="21"/>
              </w:rPr>
            </w:pPr>
          </w:p>
        </w:tc>
        <w:tc>
          <w:tcPr>
            <w:tcW w:w="2976" w:type="dxa"/>
            <w:shd w:val="clear" w:color="auto" w:fill="auto"/>
            <w:tcMar>
              <w:left w:w="108" w:type="dxa"/>
              <w:right w:w="108" w:type="dxa"/>
            </w:tcMar>
            <w:vAlign w:val="center"/>
          </w:tcPr>
          <w:p>
            <w:pPr>
              <w:widowControl/>
              <w:spacing w:line="200" w:lineRule="exac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6.</w:t>
            </w:r>
            <w:bookmarkStart w:id="4" w:name="_Hlk66974555"/>
            <w:r>
              <w:rPr>
                <w:rFonts w:hint="eastAsia" w:ascii="仿宋_GB2312" w:hAnsi="仿宋_GB2312" w:eastAsia="仿宋_GB2312" w:cs="仿宋_GB2312"/>
                <w:kern w:val="0"/>
                <w:szCs w:val="21"/>
              </w:rPr>
              <w:t>属于四类过程性信息</w:t>
            </w:r>
            <w:bookmarkEnd w:id="4"/>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shd w:val="clear" w:color="auto" w:fill="auto"/>
            <w:tcMar>
              <w:left w:w="108" w:type="dxa"/>
              <w:right w:w="108" w:type="dxa"/>
            </w:tcMar>
            <w:vAlign w:val="center"/>
          </w:tcPr>
          <w:p>
            <w:pPr>
              <w:rPr>
                <w:rFonts w:hint="eastAsia" w:ascii="仿宋_GB2312" w:hAnsi="仿宋_GB2312" w:eastAsia="仿宋_GB2312" w:cs="仿宋_GB2312"/>
                <w:szCs w:val="21"/>
              </w:rPr>
            </w:pPr>
          </w:p>
        </w:tc>
        <w:tc>
          <w:tcPr>
            <w:tcW w:w="1701" w:type="dxa"/>
            <w:vMerge w:val="continue"/>
            <w:shd w:val="clear" w:color="auto" w:fill="auto"/>
            <w:tcMar>
              <w:left w:w="108" w:type="dxa"/>
              <w:right w:w="108" w:type="dxa"/>
            </w:tcMar>
            <w:vAlign w:val="center"/>
          </w:tcPr>
          <w:p>
            <w:pPr>
              <w:spacing w:line="200" w:lineRule="exact"/>
              <w:rPr>
                <w:rFonts w:hint="eastAsia" w:ascii="仿宋_GB2312" w:hAnsi="仿宋_GB2312" w:eastAsia="仿宋_GB2312" w:cs="仿宋_GB2312"/>
                <w:szCs w:val="21"/>
              </w:rPr>
            </w:pPr>
          </w:p>
        </w:tc>
        <w:tc>
          <w:tcPr>
            <w:tcW w:w="2976" w:type="dxa"/>
            <w:shd w:val="clear" w:color="auto" w:fill="auto"/>
            <w:tcMar>
              <w:left w:w="108" w:type="dxa"/>
              <w:right w:w="108" w:type="dxa"/>
            </w:tcMar>
            <w:vAlign w:val="center"/>
          </w:tcPr>
          <w:p>
            <w:pPr>
              <w:widowControl/>
              <w:spacing w:line="200" w:lineRule="exac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7.属于行政执法案卷</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shd w:val="clear" w:color="auto" w:fill="auto"/>
            <w:tcMar>
              <w:left w:w="108" w:type="dxa"/>
              <w:right w:w="108" w:type="dxa"/>
            </w:tcMar>
            <w:vAlign w:val="center"/>
          </w:tcPr>
          <w:p>
            <w:pPr>
              <w:rPr>
                <w:rFonts w:hint="eastAsia" w:ascii="仿宋_GB2312" w:hAnsi="仿宋_GB2312" w:eastAsia="仿宋_GB2312" w:cs="仿宋_GB2312"/>
                <w:szCs w:val="21"/>
              </w:rPr>
            </w:pPr>
          </w:p>
        </w:tc>
        <w:tc>
          <w:tcPr>
            <w:tcW w:w="1701" w:type="dxa"/>
            <w:vMerge w:val="continue"/>
            <w:shd w:val="clear" w:color="auto" w:fill="auto"/>
            <w:tcMar>
              <w:left w:w="108" w:type="dxa"/>
              <w:right w:w="108" w:type="dxa"/>
            </w:tcMar>
            <w:vAlign w:val="center"/>
          </w:tcPr>
          <w:p>
            <w:pPr>
              <w:spacing w:line="200" w:lineRule="exact"/>
              <w:rPr>
                <w:rFonts w:hint="eastAsia" w:ascii="仿宋_GB2312" w:hAnsi="仿宋_GB2312" w:eastAsia="仿宋_GB2312" w:cs="仿宋_GB2312"/>
                <w:szCs w:val="21"/>
              </w:rPr>
            </w:pPr>
          </w:p>
        </w:tc>
        <w:tc>
          <w:tcPr>
            <w:tcW w:w="2976" w:type="dxa"/>
            <w:shd w:val="clear" w:color="auto" w:fill="auto"/>
            <w:tcMar>
              <w:left w:w="108" w:type="dxa"/>
              <w:right w:w="108" w:type="dxa"/>
            </w:tcMar>
            <w:vAlign w:val="center"/>
          </w:tcPr>
          <w:p>
            <w:pPr>
              <w:widowControl/>
              <w:spacing w:line="200" w:lineRule="exac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8.</w:t>
            </w:r>
            <w:bookmarkStart w:id="5" w:name="_Hlk66975211"/>
            <w:r>
              <w:rPr>
                <w:rFonts w:hint="eastAsia" w:ascii="仿宋_GB2312" w:hAnsi="仿宋_GB2312" w:eastAsia="仿宋_GB2312" w:cs="仿宋_GB2312"/>
                <w:kern w:val="0"/>
                <w:szCs w:val="21"/>
              </w:rPr>
              <w:t>属于行政查询事项</w:t>
            </w:r>
            <w:bookmarkEnd w:id="5"/>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shd w:val="clear" w:color="auto" w:fill="auto"/>
            <w:tcMar>
              <w:left w:w="108" w:type="dxa"/>
              <w:right w:w="108" w:type="dxa"/>
            </w:tcMar>
            <w:vAlign w:val="center"/>
          </w:tcPr>
          <w:p>
            <w:pPr>
              <w:rPr>
                <w:rFonts w:hint="eastAsia" w:ascii="仿宋_GB2312" w:hAnsi="仿宋_GB2312" w:eastAsia="仿宋_GB2312" w:cs="仿宋_GB2312"/>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hint="eastAsia" w:ascii="仿宋_GB2312" w:hAnsi="仿宋_GB2312" w:eastAsia="仿宋_GB2312" w:cs="仿宋_GB2312"/>
                <w:szCs w:val="21"/>
              </w:rPr>
            </w:pPr>
            <w:r>
              <w:rPr>
                <w:rFonts w:hint="eastAsia" w:ascii="仿宋_GB2312" w:hAnsi="仿宋_GB2312" w:eastAsia="仿宋_GB2312" w:cs="仿宋_GB2312"/>
                <w:kern w:val="0"/>
                <w:szCs w:val="21"/>
              </w:rPr>
              <w:t>（四）无法提供</w:t>
            </w:r>
          </w:p>
        </w:tc>
        <w:tc>
          <w:tcPr>
            <w:tcW w:w="2976" w:type="dxa"/>
            <w:shd w:val="clear" w:color="auto" w:fill="auto"/>
            <w:tcMar>
              <w:left w:w="108" w:type="dxa"/>
              <w:right w:w="108" w:type="dxa"/>
            </w:tcMar>
            <w:vAlign w:val="center"/>
          </w:tcPr>
          <w:p>
            <w:pPr>
              <w:widowControl/>
              <w:spacing w:line="200" w:lineRule="exac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1.本机关不掌握相关政府信息</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shd w:val="clear" w:color="auto" w:fill="auto"/>
            <w:tcMar>
              <w:left w:w="108" w:type="dxa"/>
              <w:right w:w="108" w:type="dxa"/>
            </w:tcMar>
            <w:vAlign w:val="center"/>
          </w:tcPr>
          <w:p>
            <w:pPr>
              <w:rPr>
                <w:rFonts w:hint="eastAsia" w:ascii="仿宋_GB2312" w:hAnsi="仿宋_GB2312" w:eastAsia="仿宋_GB2312" w:cs="仿宋_GB2312"/>
                <w:szCs w:val="21"/>
              </w:rPr>
            </w:pPr>
          </w:p>
        </w:tc>
        <w:tc>
          <w:tcPr>
            <w:tcW w:w="1701" w:type="dxa"/>
            <w:vMerge w:val="continue"/>
            <w:shd w:val="clear" w:color="auto" w:fill="auto"/>
            <w:tcMar>
              <w:left w:w="108" w:type="dxa"/>
              <w:right w:w="108" w:type="dxa"/>
            </w:tcMar>
            <w:vAlign w:val="center"/>
          </w:tcPr>
          <w:p>
            <w:pPr>
              <w:spacing w:line="200" w:lineRule="exact"/>
              <w:ind w:left="-107" w:leftChars="-51"/>
              <w:rPr>
                <w:rFonts w:hint="eastAsia" w:ascii="仿宋_GB2312" w:hAnsi="仿宋_GB2312" w:eastAsia="仿宋_GB2312" w:cs="仿宋_GB2312"/>
                <w:szCs w:val="21"/>
              </w:rPr>
            </w:pPr>
          </w:p>
        </w:tc>
        <w:tc>
          <w:tcPr>
            <w:tcW w:w="2976" w:type="dxa"/>
            <w:shd w:val="clear" w:color="auto" w:fill="auto"/>
            <w:tcMar>
              <w:left w:w="108" w:type="dxa"/>
              <w:right w:w="108" w:type="dxa"/>
            </w:tcMar>
            <w:vAlign w:val="center"/>
          </w:tcPr>
          <w:p>
            <w:pPr>
              <w:widowControl/>
              <w:spacing w:line="200" w:lineRule="exac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2.</w:t>
            </w:r>
            <w:bookmarkStart w:id="6" w:name="_Hlk66975392"/>
            <w:r>
              <w:rPr>
                <w:rFonts w:hint="eastAsia" w:ascii="仿宋_GB2312" w:hAnsi="仿宋_GB2312" w:eastAsia="仿宋_GB2312" w:cs="仿宋_GB2312"/>
                <w:kern w:val="0"/>
                <w:szCs w:val="21"/>
              </w:rPr>
              <w:t>没有现成信息需要另行制作</w:t>
            </w:r>
            <w:bookmarkEnd w:id="6"/>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shd w:val="clear" w:color="auto" w:fill="auto"/>
            <w:tcMar>
              <w:left w:w="108" w:type="dxa"/>
              <w:right w:w="108" w:type="dxa"/>
            </w:tcMar>
            <w:vAlign w:val="center"/>
          </w:tcPr>
          <w:p>
            <w:pPr>
              <w:rPr>
                <w:rFonts w:hint="eastAsia" w:ascii="仿宋_GB2312" w:hAnsi="仿宋_GB2312" w:eastAsia="仿宋_GB2312" w:cs="仿宋_GB2312"/>
                <w:szCs w:val="21"/>
              </w:rPr>
            </w:pPr>
          </w:p>
        </w:tc>
        <w:tc>
          <w:tcPr>
            <w:tcW w:w="1701" w:type="dxa"/>
            <w:vMerge w:val="continue"/>
            <w:shd w:val="clear" w:color="auto" w:fill="auto"/>
            <w:tcMar>
              <w:left w:w="108" w:type="dxa"/>
              <w:right w:w="108" w:type="dxa"/>
            </w:tcMar>
            <w:vAlign w:val="center"/>
          </w:tcPr>
          <w:p>
            <w:pPr>
              <w:spacing w:line="200" w:lineRule="exact"/>
              <w:ind w:left="-107" w:leftChars="-51"/>
              <w:rPr>
                <w:rFonts w:hint="eastAsia" w:ascii="仿宋_GB2312" w:hAnsi="仿宋_GB2312" w:eastAsia="仿宋_GB2312" w:cs="仿宋_GB2312"/>
                <w:szCs w:val="21"/>
              </w:rPr>
            </w:pPr>
          </w:p>
        </w:tc>
        <w:tc>
          <w:tcPr>
            <w:tcW w:w="2976" w:type="dxa"/>
            <w:shd w:val="clear" w:color="auto" w:fill="auto"/>
            <w:tcMar>
              <w:left w:w="108" w:type="dxa"/>
              <w:right w:w="108" w:type="dxa"/>
            </w:tcMar>
            <w:vAlign w:val="center"/>
          </w:tcPr>
          <w:p>
            <w:pPr>
              <w:widowControl/>
              <w:spacing w:line="200" w:lineRule="exac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3.</w:t>
            </w:r>
            <w:bookmarkStart w:id="7" w:name="_Hlk66975466"/>
            <w:r>
              <w:rPr>
                <w:rFonts w:hint="eastAsia" w:ascii="仿宋_GB2312" w:hAnsi="仿宋_GB2312" w:eastAsia="仿宋_GB2312" w:cs="仿宋_GB2312"/>
                <w:kern w:val="0"/>
                <w:szCs w:val="21"/>
              </w:rPr>
              <w:t>补正后申请内容仍不明确</w:t>
            </w:r>
            <w:bookmarkEnd w:id="7"/>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1</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shd w:val="clear" w:color="auto" w:fill="auto"/>
            <w:tcMar>
              <w:left w:w="108" w:type="dxa"/>
              <w:right w:w="108" w:type="dxa"/>
            </w:tcMar>
            <w:vAlign w:val="center"/>
          </w:tcPr>
          <w:p>
            <w:pPr>
              <w:rPr>
                <w:rFonts w:hint="eastAsia" w:ascii="仿宋_GB2312" w:hAnsi="仿宋_GB2312" w:eastAsia="仿宋_GB2312" w:cs="仿宋_GB2312"/>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hint="eastAsia" w:ascii="仿宋_GB2312" w:hAnsi="仿宋_GB2312" w:eastAsia="仿宋_GB2312" w:cs="仿宋_GB2312"/>
                <w:szCs w:val="21"/>
              </w:rPr>
            </w:pPr>
            <w:r>
              <w:rPr>
                <w:rFonts w:hint="eastAsia" w:ascii="仿宋_GB2312" w:hAnsi="仿宋_GB2312" w:eastAsia="仿宋_GB2312" w:cs="仿宋_GB2312"/>
                <w:kern w:val="0"/>
                <w:szCs w:val="21"/>
              </w:rPr>
              <w:t>（五）不予处理</w:t>
            </w:r>
          </w:p>
        </w:tc>
        <w:tc>
          <w:tcPr>
            <w:tcW w:w="2976" w:type="dxa"/>
            <w:shd w:val="clear" w:color="auto" w:fill="auto"/>
            <w:tcMar>
              <w:left w:w="108" w:type="dxa"/>
              <w:right w:w="108" w:type="dxa"/>
            </w:tcMar>
            <w:vAlign w:val="center"/>
          </w:tcPr>
          <w:p>
            <w:pPr>
              <w:widowControl/>
              <w:spacing w:line="200" w:lineRule="exac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w:t>
            </w:r>
            <w:bookmarkStart w:id="8" w:name="_Hlk66975537"/>
            <w:r>
              <w:rPr>
                <w:rFonts w:hint="eastAsia" w:ascii="仿宋_GB2312" w:hAnsi="仿宋_GB2312" w:eastAsia="仿宋_GB2312" w:cs="仿宋_GB2312"/>
                <w:kern w:val="0"/>
                <w:szCs w:val="21"/>
              </w:rPr>
              <w:t>信访举报投诉类申请</w:t>
            </w:r>
            <w:bookmarkEnd w:id="8"/>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shd w:val="clear" w:color="auto" w:fill="auto"/>
            <w:tcMar>
              <w:left w:w="108" w:type="dxa"/>
              <w:right w:w="108" w:type="dxa"/>
            </w:tcMar>
            <w:vAlign w:val="center"/>
          </w:tcPr>
          <w:p>
            <w:pPr>
              <w:rPr>
                <w:rFonts w:hint="eastAsia" w:ascii="仿宋_GB2312" w:hAnsi="仿宋_GB2312" w:eastAsia="仿宋_GB2312" w:cs="仿宋_GB2312"/>
                <w:szCs w:val="21"/>
              </w:rPr>
            </w:pPr>
          </w:p>
        </w:tc>
        <w:tc>
          <w:tcPr>
            <w:tcW w:w="1701" w:type="dxa"/>
            <w:vMerge w:val="continue"/>
            <w:shd w:val="clear" w:color="auto" w:fill="auto"/>
            <w:tcMar>
              <w:left w:w="108" w:type="dxa"/>
              <w:right w:w="108" w:type="dxa"/>
            </w:tcMar>
            <w:vAlign w:val="center"/>
          </w:tcPr>
          <w:p>
            <w:pPr>
              <w:spacing w:line="200" w:lineRule="exact"/>
              <w:rPr>
                <w:rFonts w:hint="eastAsia" w:ascii="仿宋_GB2312" w:hAnsi="仿宋_GB2312" w:eastAsia="仿宋_GB2312" w:cs="仿宋_GB2312"/>
                <w:szCs w:val="21"/>
              </w:rPr>
            </w:pPr>
          </w:p>
        </w:tc>
        <w:tc>
          <w:tcPr>
            <w:tcW w:w="2976" w:type="dxa"/>
            <w:shd w:val="clear" w:color="auto" w:fill="auto"/>
            <w:tcMar>
              <w:left w:w="108" w:type="dxa"/>
              <w:right w:w="108" w:type="dxa"/>
            </w:tcMar>
            <w:vAlign w:val="center"/>
          </w:tcPr>
          <w:p>
            <w:pPr>
              <w:widowControl/>
              <w:spacing w:line="200" w:lineRule="exac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2.重复申请</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shd w:val="clear" w:color="auto" w:fill="auto"/>
            <w:tcMar>
              <w:left w:w="108" w:type="dxa"/>
              <w:right w:w="108" w:type="dxa"/>
            </w:tcMar>
            <w:vAlign w:val="center"/>
          </w:tcPr>
          <w:p>
            <w:pPr>
              <w:rPr>
                <w:rFonts w:hint="eastAsia" w:ascii="仿宋_GB2312" w:hAnsi="仿宋_GB2312" w:eastAsia="仿宋_GB2312" w:cs="仿宋_GB2312"/>
                <w:szCs w:val="21"/>
              </w:rPr>
            </w:pPr>
          </w:p>
        </w:tc>
        <w:tc>
          <w:tcPr>
            <w:tcW w:w="1701" w:type="dxa"/>
            <w:vMerge w:val="continue"/>
            <w:shd w:val="clear" w:color="auto" w:fill="auto"/>
            <w:tcMar>
              <w:left w:w="108" w:type="dxa"/>
              <w:right w:w="108" w:type="dxa"/>
            </w:tcMar>
            <w:vAlign w:val="center"/>
          </w:tcPr>
          <w:p>
            <w:pPr>
              <w:spacing w:line="200" w:lineRule="exact"/>
              <w:rPr>
                <w:rFonts w:hint="eastAsia" w:ascii="仿宋_GB2312" w:hAnsi="仿宋_GB2312" w:eastAsia="仿宋_GB2312" w:cs="仿宋_GB2312"/>
                <w:szCs w:val="21"/>
              </w:rPr>
            </w:pPr>
          </w:p>
        </w:tc>
        <w:tc>
          <w:tcPr>
            <w:tcW w:w="2976" w:type="dxa"/>
            <w:shd w:val="clear" w:color="auto" w:fill="auto"/>
            <w:tcMar>
              <w:left w:w="108" w:type="dxa"/>
              <w:right w:w="108" w:type="dxa"/>
            </w:tcMar>
            <w:vAlign w:val="center"/>
          </w:tcPr>
          <w:p>
            <w:pPr>
              <w:widowControl/>
              <w:spacing w:line="200" w:lineRule="exact"/>
              <w:rPr>
                <w:rFonts w:hint="eastAsia" w:ascii="仿宋_GB2312" w:hAnsi="仿宋_GB2312" w:eastAsia="仿宋_GB2312" w:cs="仿宋_GB2312"/>
                <w:szCs w:val="21"/>
              </w:rPr>
            </w:pPr>
            <w:r>
              <w:rPr>
                <w:rFonts w:hint="eastAsia" w:ascii="仿宋_GB2312" w:hAnsi="仿宋_GB2312" w:eastAsia="仿宋_GB2312" w:cs="仿宋_GB2312"/>
                <w:kern w:val="0"/>
                <w:szCs w:val="21"/>
              </w:rPr>
              <w:t>3.要求提供公开出版物</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trPr>
        <w:tc>
          <w:tcPr>
            <w:tcW w:w="416" w:type="dxa"/>
            <w:vMerge w:val="continue"/>
            <w:shd w:val="clear" w:color="auto" w:fill="auto"/>
            <w:tcMar>
              <w:left w:w="108" w:type="dxa"/>
              <w:right w:w="108" w:type="dxa"/>
            </w:tcMar>
            <w:vAlign w:val="center"/>
          </w:tcPr>
          <w:p>
            <w:pPr>
              <w:rPr>
                <w:rFonts w:hint="eastAsia" w:ascii="仿宋_GB2312" w:hAnsi="仿宋_GB2312" w:eastAsia="仿宋_GB2312" w:cs="仿宋_GB2312"/>
                <w:szCs w:val="21"/>
              </w:rPr>
            </w:pPr>
          </w:p>
        </w:tc>
        <w:tc>
          <w:tcPr>
            <w:tcW w:w="1701" w:type="dxa"/>
            <w:vMerge w:val="continue"/>
            <w:shd w:val="clear" w:color="auto" w:fill="auto"/>
            <w:tcMar>
              <w:left w:w="108" w:type="dxa"/>
              <w:right w:w="108" w:type="dxa"/>
            </w:tcMar>
            <w:vAlign w:val="center"/>
          </w:tcPr>
          <w:p>
            <w:pPr>
              <w:spacing w:line="200" w:lineRule="exact"/>
              <w:rPr>
                <w:rFonts w:hint="eastAsia" w:ascii="仿宋_GB2312" w:hAnsi="仿宋_GB2312" w:eastAsia="仿宋_GB2312" w:cs="仿宋_GB2312"/>
                <w:szCs w:val="21"/>
              </w:rPr>
            </w:pPr>
          </w:p>
        </w:tc>
        <w:tc>
          <w:tcPr>
            <w:tcW w:w="2976" w:type="dxa"/>
            <w:shd w:val="clear" w:color="auto" w:fill="auto"/>
            <w:tcMar>
              <w:left w:w="108" w:type="dxa"/>
              <w:right w:w="108" w:type="dxa"/>
            </w:tcMar>
            <w:vAlign w:val="center"/>
          </w:tcPr>
          <w:p>
            <w:pPr>
              <w:widowControl/>
              <w:spacing w:line="200" w:lineRule="exact"/>
              <w:rPr>
                <w:rFonts w:hint="eastAsia" w:ascii="仿宋_GB2312" w:hAnsi="仿宋_GB2312" w:eastAsia="仿宋_GB2312" w:cs="仿宋_GB2312"/>
                <w:szCs w:val="21"/>
              </w:rPr>
            </w:pPr>
            <w:r>
              <w:rPr>
                <w:rFonts w:hint="eastAsia" w:ascii="仿宋_GB2312" w:hAnsi="仿宋_GB2312" w:eastAsia="仿宋_GB2312" w:cs="仿宋_GB2312"/>
                <w:kern w:val="0"/>
                <w:szCs w:val="21"/>
              </w:rPr>
              <w:t>4.无正当理由大量反复申请</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6" w:type="dxa"/>
            <w:vMerge w:val="continue"/>
            <w:shd w:val="clear" w:color="auto" w:fill="auto"/>
            <w:tcMar>
              <w:left w:w="108" w:type="dxa"/>
              <w:right w:w="108" w:type="dxa"/>
            </w:tcMar>
            <w:vAlign w:val="center"/>
          </w:tcPr>
          <w:p>
            <w:pPr>
              <w:rPr>
                <w:rFonts w:hint="eastAsia" w:ascii="仿宋_GB2312" w:hAnsi="仿宋_GB2312" w:eastAsia="仿宋_GB2312" w:cs="仿宋_GB2312"/>
                <w:szCs w:val="21"/>
              </w:rPr>
            </w:pPr>
          </w:p>
        </w:tc>
        <w:tc>
          <w:tcPr>
            <w:tcW w:w="1701" w:type="dxa"/>
            <w:vMerge w:val="continue"/>
            <w:shd w:val="clear" w:color="auto" w:fill="auto"/>
            <w:tcMar>
              <w:left w:w="108" w:type="dxa"/>
              <w:right w:w="108" w:type="dxa"/>
            </w:tcMar>
            <w:vAlign w:val="center"/>
          </w:tcPr>
          <w:p>
            <w:pPr>
              <w:spacing w:line="200" w:lineRule="exact"/>
              <w:rPr>
                <w:rFonts w:hint="eastAsia" w:ascii="仿宋_GB2312" w:hAnsi="仿宋_GB2312" w:eastAsia="仿宋_GB2312" w:cs="仿宋_GB2312"/>
                <w:szCs w:val="21"/>
              </w:rPr>
            </w:pP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5.要求行政机关确认或重新</w:t>
            </w:r>
          </w:p>
          <w:p>
            <w:pPr>
              <w:keepNext w:val="0"/>
              <w:keepLines w:val="0"/>
              <w:pageBreakBefore w:val="0"/>
              <w:widowControl/>
              <w:kinsoku/>
              <w:wordWrap/>
              <w:overflowPunct/>
              <w:topLinePunct w:val="0"/>
              <w:autoSpaceDE/>
              <w:autoSpaceDN/>
              <w:bidi w:val="0"/>
              <w:adjustRightInd/>
              <w:snapToGrid/>
              <w:spacing w:line="240" w:lineRule="exact"/>
              <w:ind w:firstLine="210" w:firstLineChars="100"/>
              <w:textAlignment w:val="auto"/>
              <w:rPr>
                <w:rFonts w:hint="eastAsia" w:ascii="仿宋_GB2312" w:hAnsi="仿宋_GB2312" w:eastAsia="仿宋_GB2312" w:cs="仿宋_GB2312"/>
                <w:szCs w:val="21"/>
              </w:rPr>
            </w:pPr>
            <w:r>
              <w:rPr>
                <w:rFonts w:hint="eastAsia" w:ascii="仿宋_GB2312" w:hAnsi="仿宋_GB2312" w:eastAsia="仿宋_GB2312" w:cs="仿宋_GB2312"/>
                <w:kern w:val="0"/>
                <w:szCs w:val="21"/>
              </w:rPr>
              <w:t>出具已获取信息</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6" w:type="dxa"/>
            <w:vMerge w:val="continue"/>
            <w:shd w:val="clear" w:color="auto" w:fill="auto"/>
            <w:tcMar>
              <w:left w:w="108" w:type="dxa"/>
              <w:right w:w="108" w:type="dxa"/>
            </w:tcMar>
            <w:vAlign w:val="center"/>
          </w:tcPr>
          <w:p>
            <w:pPr>
              <w:rPr>
                <w:rFonts w:hint="eastAsia" w:ascii="仿宋_GB2312" w:hAnsi="仿宋_GB2312" w:eastAsia="仿宋_GB2312" w:cs="仿宋_GB2312"/>
                <w:szCs w:val="21"/>
              </w:rPr>
            </w:pPr>
          </w:p>
        </w:tc>
        <w:tc>
          <w:tcPr>
            <w:tcW w:w="1701" w:type="dxa"/>
            <w:vMerge w:val="restart"/>
            <w:shd w:val="clear" w:color="auto" w:fill="auto"/>
            <w:tcMar>
              <w:left w:w="108" w:type="dxa"/>
              <w:right w:w="108" w:type="dxa"/>
            </w:tcMar>
            <w:vAlign w:val="center"/>
          </w:tcPr>
          <w:p>
            <w:pPr>
              <w:widowControl/>
              <w:spacing w:line="300" w:lineRule="exac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（六）其他处理</w:t>
            </w:r>
          </w:p>
        </w:tc>
        <w:tc>
          <w:tcPr>
            <w:tcW w:w="297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rPr>
            </w:pPr>
            <w:r>
              <w:rPr>
                <w:rFonts w:hint="eastAsia" w:ascii="仿宋_GB2312" w:hAnsi="仿宋_GB2312" w:eastAsia="仿宋_GB2312" w:cs="仿宋_GB2312"/>
              </w:rPr>
              <w:t>1.申请人无正当理由逾期不补正、行政机关不再处理其政府信息公开申请</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6" w:type="dxa"/>
            <w:vMerge w:val="continue"/>
            <w:shd w:val="clear" w:color="auto" w:fill="auto"/>
            <w:tcMar>
              <w:left w:w="108" w:type="dxa"/>
              <w:right w:w="108" w:type="dxa"/>
            </w:tcMar>
            <w:vAlign w:val="center"/>
          </w:tcPr>
          <w:p>
            <w:pPr>
              <w:rPr>
                <w:rFonts w:hint="eastAsia" w:ascii="仿宋_GB2312" w:hAnsi="仿宋_GB2312" w:eastAsia="仿宋_GB2312" w:cs="仿宋_GB2312"/>
                <w:szCs w:val="21"/>
              </w:rPr>
            </w:pPr>
          </w:p>
        </w:tc>
        <w:tc>
          <w:tcPr>
            <w:tcW w:w="1701" w:type="dxa"/>
            <w:vMerge w:val="continue"/>
            <w:shd w:val="clear" w:color="auto" w:fill="auto"/>
            <w:tcMar>
              <w:left w:w="108" w:type="dxa"/>
              <w:right w:w="108" w:type="dxa"/>
            </w:tcMar>
            <w:vAlign w:val="center"/>
          </w:tcPr>
          <w:p>
            <w:pPr>
              <w:widowControl/>
              <w:spacing w:line="300" w:lineRule="exact"/>
              <w:rPr>
                <w:rFonts w:hint="eastAsia" w:ascii="仿宋_GB2312" w:hAnsi="仿宋_GB2312" w:eastAsia="仿宋_GB2312" w:cs="仿宋_GB2312"/>
                <w:kern w:val="0"/>
                <w:szCs w:val="21"/>
              </w:rPr>
            </w:pPr>
          </w:p>
        </w:tc>
        <w:tc>
          <w:tcPr>
            <w:tcW w:w="297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kern w:val="0"/>
                <w:szCs w:val="21"/>
              </w:rPr>
            </w:pPr>
            <w:r>
              <w:rPr>
                <w:rFonts w:hint="eastAsia" w:ascii="仿宋_GB2312" w:hAnsi="仿宋_GB2312" w:eastAsia="仿宋_GB2312" w:cs="仿宋_GB2312"/>
              </w:rPr>
              <w:t>2.申请人逾期未按收费通知要求缴纳费用、行政机关不再处理其政府信息公开申请</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6" w:type="dxa"/>
            <w:vMerge w:val="continue"/>
            <w:shd w:val="clear" w:color="auto" w:fill="auto"/>
            <w:tcMar>
              <w:left w:w="108" w:type="dxa"/>
              <w:right w:w="108" w:type="dxa"/>
            </w:tcMar>
            <w:vAlign w:val="center"/>
          </w:tcPr>
          <w:p>
            <w:pPr>
              <w:rPr>
                <w:rFonts w:hint="eastAsia" w:ascii="仿宋_GB2312" w:hAnsi="仿宋_GB2312" w:eastAsia="仿宋_GB2312" w:cs="仿宋_GB2312"/>
                <w:szCs w:val="21"/>
              </w:rPr>
            </w:pPr>
          </w:p>
        </w:tc>
        <w:tc>
          <w:tcPr>
            <w:tcW w:w="1701" w:type="dxa"/>
            <w:vMerge w:val="continue"/>
            <w:shd w:val="clear" w:color="auto" w:fill="auto"/>
            <w:tcMar>
              <w:left w:w="108" w:type="dxa"/>
              <w:right w:w="108" w:type="dxa"/>
            </w:tcMar>
            <w:vAlign w:val="center"/>
          </w:tcPr>
          <w:p>
            <w:pPr>
              <w:widowControl/>
              <w:spacing w:line="300" w:lineRule="exact"/>
              <w:rPr>
                <w:rFonts w:hint="eastAsia" w:ascii="仿宋_GB2312" w:hAnsi="仿宋_GB2312" w:eastAsia="仿宋_GB2312" w:cs="仿宋_GB2312"/>
                <w:kern w:val="0"/>
                <w:szCs w:val="21"/>
              </w:rPr>
            </w:pPr>
          </w:p>
        </w:tc>
        <w:tc>
          <w:tcPr>
            <w:tcW w:w="2976" w:type="dxa"/>
            <w:shd w:val="clear" w:color="auto" w:fill="auto"/>
            <w:vAlign w:val="center"/>
          </w:tcPr>
          <w:p>
            <w:pPr>
              <w:widowControl/>
              <w:spacing w:line="300" w:lineRule="exact"/>
              <w:rPr>
                <w:rFonts w:hint="eastAsia" w:ascii="仿宋_GB2312" w:hAnsi="仿宋_GB2312" w:eastAsia="仿宋_GB2312" w:cs="仿宋_GB2312"/>
                <w:kern w:val="0"/>
                <w:szCs w:val="21"/>
              </w:rPr>
            </w:pPr>
            <w:r>
              <w:rPr>
                <w:rFonts w:hint="eastAsia" w:ascii="仿宋_GB2312" w:hAnsi="仿宋_GB2312" w:eastAsia="仿宋_GB2312" w:cs="仿宋_GB2312"/>
              </w:rPr>
              <w:t>3.其他</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6" w:type="dxa"/>
            <w:vMerge w:val="continue"/>
            <w:shd w:val="clear" w:color="auto" w:fill="auto"/>
            <w:tcMar>
              <w:left w:w="108" w:type="dxa"/>
              <w:right w:w="108" w:type="dxa"/>
            </w:tcMar>
            <w:vAlign w:val="center"/>
          </w:tcPr>
          <w:p>
            <w:pPr>
              <w:rPr>
                <w:rFonts w:hint="eastAsia" w:ascii="仿宋_GB2312" w:hAnsi="仿宋_GB2312" w:eastAsia="仿宋_GB2312" w:cs="仿宋_GB2312"/>
                <w:szCs w:val="21"/>
              </w:rPr>
            </w:pPr>
          </w:p>
        </w:tc>
        <w:tc>
          <w:tcPr>
            <w:tcW w:w="4677" w:type="dxa"/>
            <w:gridSpan w:val="2"/>
            <w:shd w:val="clear" w:color="auto" w:fill="auto"/>
            <w:tcMar>
              <w:left w:w="108" w:type="dxa"/>
              <w:right w:w="108" w:type="dxa"/>
            </w:tcMar>
            <w:vAlign w:val="center"/>
          </w:tcPr>
          <w:p>
            <w:pPr>
              <w:widowControl/>
              <w:spacing w:line="300" w:lineRule="exac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（七）总计</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5093" w:type="dxa"/>
            <w:gridSpan w:val="3"/>
            <w:shd w:val="clear" w:color="auto" w:fill="auto"/>
            <w:tcMar>
              <w:left w:w="108" w:type="dxa"/>
              <w:right w:w="108" w:type="dxa"/>
            </w:tcMar>
            <w:vAlign w:val="center"/>
          </w:tcPr>
          <w:p>
            <w:pPr>
              <w:widowControl/>
              <w:spacing w:line="300" w:lineRule="exac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四、结转下年度继续办理</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0</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6" w:lineRule="atLeast"/>
        <w:ind w:left="0" w:right="0" w:firstLine="640"/>
        <w:jc w:val="both"/>
        <w:rPr>
          <w:rFonts w:hint="default" w:ascii="Times New Roman" w:hAnsi="Times New Roman" w:eastAsia="黑体" w:cs="Times New Roman"/>
          <w:b w:val="0"/>
          <w:bCs w:val="0"/>
          <w:i w:val="0"/>
          <w:iCs w:val="0"/>
          <w:caps w:val="0"/>
          <w:color w:val="000000"/>
          <w:spacing w:val="0"/>
          <w:kern w:val="0"/>
          <w:sz w:val="32"/>
          <w:szCs w:val="32"/>
          <w:shd w:val="clear" w:fill="FFFFFF"/>
          <w:lang w:val="en-US" w:eastAsia="zh-CN" w:bidi="ar"/>
        </w:rPr>
        <w:sectPr>
          <w:pgSz w:w="11906" w:h="16838"/>
          <w:pgMar w:top="1531" w:right="907" w:bottom="1531" w:left="1531" w:header="851" w:footer="992" w:gutter="0"/>
          <w:cols w:space="425" w:num="1"/>
          <w:docGrid w:type="lines" w:linePitch="312" w:charSpace="0"/>
        </w:sect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6" w:lineRule="atLeast"/>
        <w:ind w:left="0" w:right="0" w:firstLine="640"/>
        <w:jc w:val="both"/>
        <w:rPr>
          <w:rFonts w:hint="default" w:ascii="Times New Roman" w:hAnsi="Times New Roman" w:eastAsia="方正黑体简体" w:cs="Times New Roman"/>
          <w:b w:val="0"/>
          <w:bCs w:val="0"/>
          <w:i w:val="0"/>
          <w:iCs w:val="0"/>
          <w:caps w:val="0"/>
          <w:color w:val="000000"/>
          <w:spacing w:val="0"/>
          <w:kern w:val="0"/>
          <w:sz w:val="32"/>
          <w:szCs w:val="32"/>
          <w:shd w:val="clear" w:fill="FFFFFF"/>
          <w:lang w:val="en-US" w:eastAsia="zh-CN" w:bidi="ar"/>
        </w:rPr>
      </w:pPr>
      <w:r>
        <w:rPr>
          <w:rFonts w:hint="default" w:ascii="Times New Roman" w:hAnsi="Times New Roman" w:eastAsia="方正黑体简体" w:cs="Times New Roman"/>
          <w:b w:val="0"/>
          <w:bCs w:val="0"/>
          <w:i w:val="0"/>
          <w:iCs w:val="0"/>
          <w:caps w:val="0"/>
          <w:color w:val="000000"/>
          <w:spacing w:val="0"/>
          <w:kern w:val="0"/>
          <w:sz w:val="32"/>
          <w:szCs w:val="32"/>
          <w:shd w:val="clear" w:fill="FFFFFF"/>
          <w:lang w:val="en-US" w:eastAsia="zh-CN" w:bidi="ar"/>
        </w:rPr>
        <w:t>四、政府信息公开行政复议、行政诉讼情况</w:t>
      </w:r>
    </w:p>
    <w:tbl>
      <w:tblPr>
        <w:tblStyle w:val="4"/>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eastAsia="仿宋_GB2312" w:cs="Times New Roman"/>
              </w:rPr>
            </w:pPr>
            <w:r>
              <w:rPr>
                <w:rFonts w:hint="default" w:ascii="Times New Roman" w:hAnsi="Times New Roman" w:eastAsia="仿宋_GB2312" w:cs="Times New Roman"/>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eastAsia="仿宋_GB2312" w:cs="Times New Roman"/>
              </w:rPr>
            </w:pPr>
            <w:r>
              <w:rPr>
                <w:rFonts w:hint="default" w:ascii="Times New Roman" w:hAnsi="Times New Roman" w:eastAsia="仿宋_GB2312" w:cs="Times New Roman"/>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ind w:left="-149" w:leftChars="-71" w:right="-170" w:rightChars="-81"/>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结果</w:t>
            </w:r>
          </w:p>
          <w:p>
            <w:pPr>
              <w:widowControl/>
              <w:ind w:left="-149" w:leftChars="-71" w:right="-170" w:rightChars="-81"/>
              <w:jc w:val="center"/>
              <w:rPr>
                <w:rFonts w:hint="default" w:ascii="Times New Roman" w:hAnsi="Times New Roman" w:eastAsia="仿宋_GB2312" w:cs="Times New Roman"/>
              </w:rPr>
            </w:pPr>
            <w:r>
              <w:rPr>
                <w:rFonts w:hint="default" w:ascii="Times New Roman" w:hAnsi="Times New Roman" w:eastAsia="仿宋_GB2312" w:cs="Times New Roman"/>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43" w:leftChars="-21" w:right="-132" w:rightChars="-63" w:hanging="1"/>
              <w:jc w:val="center"/>
              <w:rPr>
                <w:rFonts w:hint="default" w:ascii="Times New Roman" w:hAnsi="Times New Roman" w:eastAsia="仿宋_GB2312" w:cs="Times New Roman"/>
              </w:rPr>
            </w:pPr>
            <w:r>
              <w:rPr>
                <w:rFonts w:hint="default" w:ascii="Times New Roman" w:hAnsi="Times New Roman" w:eastAsia="仿宋_GB2312" w:cs="Times New Roman"/>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82" w:leftChars="-39" w:right="-97" w:rightChars="-46"/>
              <w:jc w:val="center"/>
              <w:rPr>
                <w:rFonts w:hint="default" w:ascii="Times New Roman" w:hAnsi="Times New Roman" w:eastAsia="仿宋_GB2312" w:cs="Times New Roman"/>
              </w:rPr>
            </w:pPr>
            <w:r>
              <w:rPr>
                <w:rFonts w:hint="default" w:ascii="Times New Roman" w:hAnsi="Times New Roman" w:eastAsia="仿宋_GB2312" w:cs="Times New Roman"/>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18" w:leftChars="-56" w:right="-118" w:rightChars="-56"/>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尚未</w:t>
            </w:r>
          </w:p>
          <w:p>
            <w:pPr>
              <w:widowControl/>
              <w:ind w:left="-118" w:leftChars="-56" w:right="-118" w:rightChars="-56"/>
              <w:jc w:val="center"/>
              <w:rPr>
                <w:rFonts w:hint="default" w:ascii="Times New Roman" w:hAnsi="Times New Roman" w:eastAsia="仿宋_GB2312" w:cs="Times New Roman"/>
              </w:rPr>
            </w:pPr>
            <w:r>
              <w:rPr>
                <w:rFonts w:hint="default" w:ascii="Times New Roman" w:hAnsi="Times New Roman" w:eastAsia="仿宋_GB2312" w:cs="Times New Roman"/>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320" w:lineRule="exact"/>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总</w:t>
            </w:r>
          </w:p>
          <w:p>
            <w:pPr>
              <w:widowControl/>
              <w:spacing w:line="320" w:lineRule="exact"/>
              <w:jc w:val="center"/>
              <w:rPr>
                <w:rFonts w:hint="default" w:ascii="Times New Roman" w:hAnsi="Times New Roman" w:eastAsia="仿宋_GB2312" w:cs="Times New Roman"/>
              </w:rPr>
            </w:pPr>
            <w:r>
              <w:rPr>
                <w:rFonts w:hint="default" w:ascii="Times New Roman" w:hAnsi="Times New Roman" w:eastAsia="仿宋_GB2312" w:cs="Times New Roman"/>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eastAsia="仿宋_GB2312" w:cs="Times New Roman"/>
              </w:rPr>
            </w:pPr>
            <w:r>
              <w:rPr>
                <w:rFonts w:hint="default" w:ascii="Times New Roman" w:hAnsi="Times New Roman" w:eastAsia="仿宋_GB2312" w:cs="Times New Roman"/>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eastAsia="仿宋_GB2312" w:cs="Times New Roman"/>
              </w:rPr>
            </w:pPr>
            <w:bookmarkStart w:id="9" w:name="_Hlk67039688"/>
            <w:r>
              <w:rPr>
                <w:rFonts w:hint="default" w:ascii="Times New Roman" w:hAnsi="Times New Roman" w:eastAsia="仿宋_GB2312" w:cs="Times New Roman"/>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eastAsia="仿宋_GB2312" w:cs="Times New Roman"/>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eastAsia="仿宋_GB2312" w:cs="Times New Roman"/>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eastAsia="仿宋_GB2312" w:cs="Times New Roman"/>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eastAsia="仿宋_GB2312" w:cs="Times New Roman"/>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eastAsia="仿宋_GB2312" w:cs="Times New Roman"/>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105" w:leftChars="-50" w:right="-126" w:rightChars="-60"/>
              <w:jc w:val="center"/>
              <w:rPr>
                <w:rFonts w:hint="default" w:ascii="Times New Roman" w:hAnsi="Times New Roman" w:eastAsia="仿宋_GB2312" w:cs="Times New Roman"/>
              </w:rPr>
            </w:pPr>
            <w:r>
              <w:rPr>
                <w:rFonts w:hint="default" w:ascii="Times New Roman" w:hAnsi="Times New Roman" w:eastAsia="仿宋_GB2312" w:cs="Times New Roman"/>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86" w:leftChars="-41" w:right="-88" w:rightChars="-42"/>
              <w:jc w:val="center"/>
              <w:rPr>
                <w:rFonts w:hint="default" w:ascii="Times New Roman" w:hAnsi="Times New Roman" w:eastAsia="仿宋_GB2312" w:cs="Times New Roman"/>
              </w:rPr>
            </w:pPr>
            <w:r>
              <w:rPr>
                <w:rFonts w:hint="default" w:ascii="Times New Roman" w:hAnsi="Times New Roman" w:eastAsia="仿宋_GB2312" w:cs="Times New Roman"/>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26" w:leftChars="-60" w:right="-136" w:rightChars="-65"/>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其他</w:t>
            </w:r>
          </w:p>
          <w:p>
            <w:pPr>
              <w:widowControl/>
              <w:ind w:left="-126" w:leftChars="-60" w:right="-136" w:rightChars="-65"/>
              <w:jc w:val="center"/>
              <w:rPr>
                <w:rFonts w:hint="default" w:ascii="Times New Roman" w:hAnsi="Times New Roman" w:eastAsia="仿宋_GB2312" w:cs="Times New Roman"/>
              </w:rPr>
            </w:pPr>
            <w:r>
              <w:rPr>
                <w:rFonts w:hint="default" w:ascii="Times New Roman" w:hAnsi="Times New Roman" w:eastAsia="仿宋_GB2312" w:cs="Times New Roman"/>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64" w:leftChars="-78" w:right="-153" w:rightChars="-73"/>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尚未</w:t>
            </w:r>
          </w:p>
          <w:p>
            <w:pPr>
              <w:widowControl/>
              <w:ind w:left="-164" w:leftChars="-78" w:right="-153" w:rightChars="-73"/>
              <w:jc w:val="center"/>
              <w:rPr>
                <w:rFonts w:hint="default" w:ascii="Times New Roman" w:hAnsi="Times New Roman" w:eastAsia="仿宋_GB2312" w:cs="Times New Roman"/>
              </w:rPr>
            </w:pPr>
            <w:r>
              <w:rPr>
                <w:rFonts w:hint="default" w:ascii="Times New Roman" w:hAnsi="Times New Roman" w:eastAsia="仿宋_GB2312" w:cs="Times New Roman"/>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eastAsia="仿宋_GB2312" w:cs="Times New Roman"/>
              </w:rPr>
            </w:pPr>
            <w:r>
              <w:rPr>
                <w:rFonts w:hint="default" w:ascii="Times New Roman" w:hAnsi="Times New Roman" w:eastAsia="仿宋_GB2312" w:cs="Times New Roman"/>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99" w:leftChars="-47" w:right="-78" w:rightChars="-37"/>
              <w:jc w:val="center"/>
              <w:rPr>
                <w:rFonts w:hint="default" w:ascii="Times New Roman" w:hAnsi="Times New Roman" w:eastAsia="仿宋_GB2312" w:cs="Times New Roman"/>
              </w:rPr>
            </w:pPr>
            <w:r>
              <w:rPr>
                <w:rFonts w:hint="default" w:ascii="Times New Roman" w:hAnsi="Times New Roman" w:eastAsia="仿宋_GB2312" w:cs="Times New Roman"/>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36" w:leftChars="-65" w:right="-124" w:rightChars="-59"/>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结果</w:t>
            </w:r>
          </w:p>
          <w:p>
            <w:pPr>
              <w:widowControl/>
              <w:ind w:left="-136" w:leftChars="-65" w:right="-124" w:rightChars="-59"/>
              <w:jc w:val="center"/>
              <w:rPr>
                <w:rFonts w:hint="default" w:ascii="Times New Roman" w:hAnsi="Times New Roman" w:eastAsia="仿宋_GB2312" w:cs="Times New Roman"/>
              </w:rPr>
            </w:pPr>
            <w:r>
              <w:rPr>
                <w:rFonts w:hint="default" w:ascii="Times New Roman" w:hAnsi="Times New Roman" w:eastAsia="仿宋_GB2312" w:cs="Times New Roman"/>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73" w:leftChars="-83" w:right="-134" w:rightChars="-64" w:hanging="1"/>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其他</w:t>
            </w:r>
          </w:p>
          <w:p>
            <w:pPr>
              <w:widowControl/>
              <w:ind w:left="-173" w:leftChars="-83" w:right="-134" w:rightChars="-64" w:hanging="1"/>
              <w:jc w:val="center"/>
              <w:rPr>
                <w:rFonts w:hint="default" w:ascii="Times New Roman" w:hAnsi="Times New Roman" w:eastAsia="仿宋_GB2312" w:cs="Times New Roman"/>
              </w:rPr>
            </w:pPr>
            <w:r>
              <w:rPr>
                <w:rFonts w:hint="default" w:ascii="Times New Roman" w:hAnsi="Times New Roman" w:eastAsia="仿宋_GB2312" w:cs="Times New Roman"/>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67" w:leftChars="-33" w:right="-105" w:rightChars="-50" w:hanging="2" w:hangingChars="1"/>
              <w:jc w:val="center"/>
              <w:rPr>
                <w:rFonts w:hint="default" w:ascii="Times New Roman" w:hAnsi="Times New Roman" w:eastAsia="仿宋_GB2312" w:cs="Times New Roman"/>
              </w:rPr>
            </w:pPr>
            <w:r>
              <w:rPr>
                <w:rFonts w:hint="default" w:ascii="Times New Roman" w:hAnsi="Times New Roman" w:eastAsia="仿宋_GB2312" w:cs="Times New Roman"/>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eastAsia="仿宋_GB2312" w:cs="Times New Roman"/>
              </w:rPr>
            </w:pPr>
            <w:r>
              <w:rPr>
                <w:rFonts w:hint="default" w:ascii="Times New Roman" w:hAnsi="Times New Roman" w:eastAsia="仿宋_GB2312" w:cs="Times New Roman"/>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rPr>
            </w:pPr>
            <w:r>
              <w:rPr>
                <w:rFonts w:hint="default" w:ascii="Times New Roman" w:hAnsi="Times New Roman" w:cs="Times New Roman"/>
                <w:lang w:val="en-US" w:eastAsia="zh-CN"/>
              </w:rPr>
              <w:t>0</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6" w:lineRule="atLeast"/>
        <w:ind w:left="0" w:right="0" w:firstLine="640"/>
        <w:jc w:val="both"/>
        <w:rPr>
          <w:rFonts w:hint="default" w:ascii="Times New Roman" w:hAnsi="Times New Roman" w:eastAsia="方正黑体简体" w:cs="Times New Roman"/>
          <w:b w:val="0"/>
          <w:bCs w:val="0"/>
          <w:i w:val="0"/>
          <w:iCs w:val="0"/>
          <w:caps w:val="0"/>
          <w:color w:val="000000"/>
          <w:spacing w:val="0"/>
          <w:kern w:val="0"/>
          <w:sz w:val="32"/>
          <w:szCs w:val="32"/>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6" w:lineRule="atLeast"/>
        <w:ind w:left="0" w:right="0" w:firstLine="640"/>
        <w:jc w:val="both"/>
        <w:rPr>
          <w:rFonts w:hint="default" w:ascii="Times New Roman" w:hAnsi="Times New Roman" w:eastAsia="方正黑体简体" w:cs="Times New Roman"/>
          <w:b w:val="0"/>
          <w:bCs w:val="0"/>
          <w:i w:val="0"/>
          <w:iCs w:val="0"/>
          <w:caps w:val="0"/>
          <w:color w:val="000000"/>
          <w:spacing w:val="0"/>
          <w:kern w:val="0"/>
          <w:sz w:val="32"/>
          <w:szCs w:val="32"/>
          <w:shd w:val="clear" w:fill="FFFFFF"/>
          <w:lang w:val="en-US" w:eastAsia="zh-CN" w:bidi="ar"/>
        </w:rPr>
      </w:pPr>
      <w:r>
        <w:rPr>
          <w:rFonts w:hint="default" w:ascii="Times New Roman" w:hAnsi="Times New Roman" w:eastAsia="方正黑体简体" w:cs="Times New Roman"/>
          <w:b w:val="0"/>
          <w:bCs w:val="0"/>
          <w:i w:val="0"/>
          <w:iCs w:val="0"/>
          <w:caps w:val="0"/>
          <w:color w:val="000000"/>
          <w:spacing w:val="0"/>
          <w:kern w:val="0"/>
          <w:sz w:val="32"/>
          <w:szCs w:val="32"/>
          <w:shd w:val="clear" w:fill="FFFFFF"/>
          <w:lang w:val="en-US" w:eastAsia="zh-CN" w:bidi="ar"/>
        </w:rPr>
        <w:t>五、存在的主要问题及改进情况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3"/>
        <w:rPr>
          <w:rFonts w:hint="default" w:ascii="Times New Roman" w:hAnsi="Times New Roman" w:eastAsia="微软雅黑" w:cs="Times New Roman"/>
          <w:i w:val="0"/>
          <w:iCs w:val="0"/>
          <w:caps w:val="0"/>
          <w:color w:val="000000"/>
          <w:spacing w:val="0"/>
          <w:sz w:val="24"/>
          <w:szCs w:val="24"/>
        </w:rPr>
      </w:pPr>
      <w:r>
        <w:rPr>
          <w:rFonts w:hint="default" w:ascii="Times New Roman" w:hAnsi="Times New Roman" w:eastAsia="楷体_GB2312" w:cs="Times New Roman"/>
          <w:b/>
          <w:bCs/>
          <w:i w:val="0"/>
          <w:iCs w:val="0"/>
          <w:caps w:val="0"/>
          <w:color w:val="000000"/>
          <w:spacing w:val="0"/>
          <w:sz w:val="32"/>
          <w:szCs w:val="32"/>
          <w:shd w:val="clear" w:fill="FFFFFF"/>
        </w:rPr>
        <w:t>（一）主要问题。</w:t>
      </w:r>
      <w:r>
        <w:rPr>
          <w:rFonts w:hint="default" w:ascii="Times New Roman" w:hAnsi="Times New Roman" w:eastAsia="仿宋_GB2312" w:cs="Times New Roman"/>
          <w:b/>
          <w:bCs/>
          <w:i w:val="0"/>
          <w:iCs w:val="0"/>
          <w:caps w:val="0"/>
          <w:color w:val="000000"/>
          <w:spacing w:val="0"/>
          <w:sz w:val="32"/>
          <w:szCs w:val="32"/>
          <w:shd w:val="clear" w:fill="FFFFFF"/>
        </w:rPr>
        <w:t>一是</w:t>
      </w:r>
      <w:r>
        <w:rPr>
          <w:rFonts w:hint="default" w:ascii="Times New Roman" w:hAnsi="Times New Roman" w:eastAsia="仿宋_GB2312" w:cs="Times New Roman"/>
          <w:b w:val="0"/>
          <w:bCs w:val="0"/>
          <w:i w:val="0"/>
          <w:iCs w:val="0"/>
          <w:caps w:val="0"/>
          <w:color w:val="000000"/>
          <w:spacing w:val="0"/>
          <w:sz w:val="32"/>
          <w:szCs w:val="32"/>
          <w:shd w:val="clear" w:fill="FFFFFF"/>
        </w:rPr>
        <w:t>政策解读方面，解读形式仍需进一步丰富；</w:t>
      </w:r>
      <w:r>
        <w:rPr>
          <w:rFonts w:hint="default" w:ascii="Times New Roman" w:hAnsi="Times New Roman" w:eastAsia="仿宋_GB2312" w:cs="Times New Roman"/>
          <w:b/>
          <w:bCs/>
          <w:i w:val="0"/>
          <w:iCs w:val="0"/>
          <w:caps w:val="0"/>
          <w:color w:val="000000"/>
          <w:spacing w:val="0"/>
          <w:sz w:val="32"/>
          <w:szCs w:val="32"/>
          <w:shd w:val="clear" w:fill="FFFFFF"/>
        </w:rPr>
        <w:t>二是</w:t>
      </w:r>
      <w:r>
        <w:rPr>
          <w:rFonts w:hint="default" w:ascii="Times New Roman" w:hAnsi="Times New Roman" w:eastAsia="仿宋_GB2312" w:cs="Times New Roman"/>
          <w:b w:val="0"/>
          <w:bCs w:val="0"/>
          <w:i w:val="0"/>
          <w:iCs w:val="0"/>
          <w:caps w:val="0"/>
          <w:color w:val="000000"/>
          <w:spacing w:val="0"/>
          <w:sz w:val="32"/>
          <w:szCs w:val="32"/>
          <w:shd w:val="clear" w:fill="FFFFFF"/>
        </w:rPr>
        <w:t>业务本领方面，部分从事政府信息公开工作人员，主动意识和业务素质有待进一步提高。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3"/>
        <w:rPr>
          <w:rFonts w:hint="default" w:ascii="Times New Roman" w:hAnsi="Times New Roman" w:eastAsia="微软雅黑" w:cs="Times New Roman"/>
          <w:i w:val="0"/>
          <w:iCs w:val="0"/>
          <w:caps w:val="0"/>
          <w:color w:val="000000"/>
          <w:spacing w:val="0"/>
          <w:sz w:val="24"/>
          <w:szCs w:val="24"/>
        </w:rPr>
      </w:pPr>
      <w:r>
        <w:rPr>
          <w:rFonts w:hint="default" w:ascii="Times New Roman" w:hAnsi="Times New Roman" w:eastAsia="楷体_GB2312" w:cs="Times New Roman"/>
          <w:b/>
          <w:bCs/>
          <w:i w:val="0"/>
          <w:iCs w:val="0"/>
          <w:caps w:val="0"/>
          <w:color w:val="000000"/>
          <w:spacing w:val="0"/>
          <w:sz w:val="32"/>
          <w:szCs w:val="32"/>
          <w:shd w:val="clear" w:fill="FFFFFF"/>
        </w:rPr>
        <w:t>（二）改进情况。</w:t>
      </w:r>
      <w:r>
        <w:rPr>
          <w:rFonts w:hint="default" w:ascii="Times New Roman" w:hAnsi="Times New Roman" w:eastAsia="仿宋_GB2312" w:cs="Times New Roman"/>
          <w:b/>
          <w:bCs/>
          <w:i w:val="0"/>
          <w:iCs w:val="0"/>
          <w:caps w:val="0"/>
          <w:color w:val="000000"/>
          <w:spacing w:val="0"/>
          <w:sz w:val="32"/>
          <w:szCs w:val="32"/>
          <w:shd w:val="clear" w:fill="FFFFFF"/>
        </w:rPr>
        <w:t>一是</w:t>
      </w:r>
      <w:r>
        <w:rPr>
          <w:rFonts w:hint="default" w:ascii="Times New Roman" w:hAnsi="Times New Roman" w:eastAsia="仿宋_GB2312" w:cs="Times New Roman"/>
          <w:b w:val="0"/>
          <w:bCs w:val="0"/>
          <w:i w:val="0"/>
          <w:iCs w:val="0"/>
          <w:caps w:val="0"/>
          <w:color w:val="000000"/>
          <w:spacing w:val="0"/>
          <w:sz w:val="32"/>
          <w:szCs w:val="32"/>
          <w:shd w:val="clear" w:fill="FFFFFF"/>
        </w:rPr>
        <w:t>进一步提升政策解读质量，提高漫画、短视频、小程序等形式在政策解读中的比例，加大宣传解读力度；</w:t>
      </w:r>
      <w:r>
        <w:rPr>
          <w:rFonts w:hint="default" w:ascii="Times New Roman" w:hAnsi="Times New Roman" w:eastAsia="仿宋_GB2312" w:cs="Times New Roman"/>
          <w:b/>
          <w:bCs/>
          <w:i w:val="0"/>
          <w:iCs w:val="0"/>
          <w:caps w:val="0"/>
          <w:color w:val="000000"/>
          <w:spacing w:val="0"/>
          <w:sz w:val="32"/>
          <w:szCs w:val="32"/>
          <w:shd w:val="clear" w:fill="FFFFFF"/>
        </w:rPr>
        <w:t>二是</w:t>
      </w:r>
      <w:r>
        <w:rPr>
          <w:rFonts w:hint="default" w:ascii="Times New Roman" w:hAnsi="Times New Roman" w:eastAsia="仿宋_GB2312" w:cs="Times New Roman"/>
          <w:b w:val="0"/>
          <w:bCs w:val="0"/>
          <w:i w:val="0"/>
          <w:iCs w:val="0"/>
          <w:caps w:val="0"/>
          <w:color w:val="000000"/>
          <w:spacing w:val="0"/>
          <w:sz w:val="32"/>
          <w:szCs w:val="32"/>
          <w:shd w:val="clear" w:fill="FFFFFF"/>
        </w:rPr>
        <w:t>加强对政府信息公开工作的培训力度，增强从事人员工作开展的专业性、精准性。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eastAsia" w:ascii="方正黑体简体" w:hAnsi="方正黑体简体" w:eastAsia="方正黑体简体" w:cs="方正黑体简体"/>
          <w:i w:val="0"/>
          <w:iCs w:val="0"/>
          <w:caps w:val="0"/>
          <w:color w:val="000000"/>
          <w:spacing w:val="0"/>
          <w:sz w:val="24"/>
          <w:szCs w:val="24"/>
        </w:rPr>
      </w:pPr>
      <w:r>
        <w:rPr>
          <w:rFonts w:hint="eastAsia" w:ascii="方正黑体简体" w:hAnsi="方正黑体简体" w:eastAsia="方正黑体简体" w:cs="方正黑体简体"/>
          <w:b w:val="0"/>
          <w:bCs w:val="0"/>
          <w:i w:val="0"/>
          <w:iCs w:val="0"/>
          <w:caps w:val="0"/>
          <w:color w:val="000000"/>
          <w:spacing w:val="0"/>
          <w:sz w:val="32"/>
          <w:szCs w:val="32"/>
          <w:shd w:val="clear" w:fill="FFFFFF"/>
        </w:rPr>
        <w:t>六、其他需要报告的事项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3"/>
        <w:rPr>
          <w:rFonts w:hint="eastAsia" w:ascii="Times New Roman" w:hAnsi="Times New Roman" w:eastAsia="楷体_GB2312" w:cs="Times New Roman"/>
          <w:b/>
          <w:bCs/>
          <w:i w:val="0"/>
          <w:iCs w:val="0"/>
          <w:caps w:val="0"/>
          <w:color w:val="000000"/>
          <w:spacing w:val="0"/>
          <w:sz w:val="32"/>
          <w:szCs w:val="32"/>
          <w:shd w:val="clear" w:fill="FFFFFF"/>
        </w:rPr>
      </w:pPr>
      <w:r>
        <w:rPr>
          <w:rFonts w:hint="eastAsia" w:ascii="Times New Roman" w:hAnsi="Times New Roman" w:eastAsia="楷体_GB2312" w:cs="Times New Roman"/>
          <w:b/>
          <w:bCs/>
          <w:i w:val="0"/>
          <w:iCs w:val="0"/>
          <w:caps w:val="0"/>
          <w:color w:val="000000"/>
          <w:spacing w:val="0"/>
          <w:sz w:val="32"/>
          <w:szCs w:val="32"/>
          <w:shd w:val="clear" w:fill="FFFFFF"/>
        </w:rPr>
        <w:t>（一）依据《政府信息公开信息处理费管理办法》收取信息处理费的情况：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3"/>
        <w:rPr>
          <w:rFonts w:hint="eastAsia" w:ascii="Times New Roman" w:hAnsi="Times New Roman" w:eastAsia="仿宋_GB2312" w:cs="Times New Roman"/>
          <w:b w:val="0"/>
          <w:bCs w:val="0"/>
          <w:i w:val="0"/>
          <w:iCs w:val="0"/>
          <w:caps w:val="0"/>
          <w:color w:val="000000"/>
          <w:spacing w:val="0"/>
          <w:sz w:val="32"/>
          <w:szCs w:val="32"/>
          <w:shd w:val="clear" w:fill="FFFFFF"/>
        </w:rPr>
      </w:pPr>
      <w:r>
        <w:rPr>
          <w:rFonts w:hint="eastAsia" w:ascii="Times New Roman" w:hAnsi="Times New Roman" w:eastAsia="仿宋_GB2312" w:cs="Times New Roman"/>
          <w:b w:val="0"/>
          <w:bCs w:val="0"/>
          <w:i w:val="0"/>
          <w:iCs w:val="0"/>
          <w:caps w:val="0"/>
          <w:color w:val="000000"/>
          <w:spacing w:val="0"/>
          <w:sz w:val="32"/>
          <w:szCs w:val="32"/>
          <w:shd w:val="clear" w:fill="FFFFFF"/>
        </w:rPr>
        <w:t>2023年，泗水县</w:t>
      </w:r>
      <w:r>
        <w:rPr>
          <w:rFonts w:hint="eastAsia" w:ascii="Times New Roman" w:hAnsi="Times New Roman" w:eastAsia="仿宋_GB2312" w:cs="Times New Roman"/>
          <w:b w:val="0"/>
          <w:bCs w:val="0"/>
          <w:i w:val="0"/>
          <w:iCs w:val="0"/>
          <w:caps w:val="0"/>
          <w:color w:val="000000"/>
          <w:spacing w:val="0"/>
          <w:sz w:val="32"/>
          <w:szCs w:val="32"/>
          <w:shd w:val="clear" w:fill="FFFFFF"/>
          <w:lang w:val="en-US" w:eastAsia="zh-CN"/>
        </w:rPr>
        <w:t>泉林镇人民政府</w:t>
      </w:r>
      <w:r>
        <w:rPr>
          <w:rFonts w:hint="eastAsia" w:ascii="Times New Roman" w:hAnsi="Times New Roman" w:eastAsia="仿宋_GB2312" w:cs="Times New Roman"/>
          <w:b w:val="0"/>
          <w:bCs w:val="0"/>
          <w:i w:val="0"/>
          <w:iCs w:val="0"/>
          <w:caps w:val="0"/>
          <w:color w:val="000000"/>
          <w:spacing w:val="0"/>
          <w:sz w:val="32"/>
          <w:szCs w:val="32"/>
          <w:shd w:val="clear" w:fill="FFFFFF"/>
        </w:rPr>
        <w:t>严格落实《国务院办公厅关于印发&lt;政府信息公开信息处理费管理办法&gt;的通知》（国办函〔2020〕109号）和《山东省人民政府办公厅关于做好政府信息公开信息处理费管理工作有关事项的通知》（鲁政办字〔2020〕179号）规定，政府信息公开申请未向申请人收取任何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3"/>
        <w:rPr>
          <w:rFonts w:hint="eastAsia" w:ascii="Times New Roman" w:hAnsi="Times New Roman" w:eastAsia="楷体_GB2312" w:cs="Times New Roman"/>
          <w:b/>
          <w:bCs/>
          <w:i w:val="0"/>
          <w:iCs w:val="0"/>
          <w:caps w:val="0"/>
          <w:color w:val="000000"/>
          <w:spacing w:val="0"/>
          <w:sz w:val="32"/>
          <w:szCs w:val="32"/>
          <w:shd w:val="clear" w:fill="FFFFFF"/>
        </w:rPr>
      </w:pPr>
      <w:r>
        <w:rPr>
          <w:rFonts w:hint="eastAsia" w:ascii="Times New Roman" w:hAnsi="Times New Roman" w:eastAsia="楷体_GB2312" w:cs="Times New Roman"/>
          <w:b/>
          <w:bCs/>
          <w:i w:val="0"/>
          <w:iCs w:val="0"/>
          <w:caps w:val="0"/>
          <w:color w:val="000000"/>
          <w:spacing w:val="0"/>
          <w:sz w:val="32"/>
          <w:szCs w:val="32"/>
          <w:shd w:val="clear" w:fill="FFFFFF"/>
        </w:rPr>
        <w:t>（二）本行政机关落实上级年度政务公开工作要点情况：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3"/>
        <w:rPr>
          <w:rFonts w:hint="eastAsia" w:ascii="Times New Roman" w:hAnsi="Times New Roman" w:eastAsia="仿宋_GB2312" w:cs="Times New Roman"/>
          <w:b w:val="0"/>
          <w:bCs w:val="0"/>
          <w:i w:val="0"/>
          <w:iCs w:val="0"/>
          <w:caps w:val="0"/>
          <w:color w:val="000000"/>
          <w:spacing w:val="0"/>
          <w:sz w:val="32"/>
          <w:szCs w:val="32"/>
          <w:shd w:val="clear" w:fill="FFFFFF"/>
        </w:rPr>
      </w:pPr>
      <w:r>
        <w:rPr>
          <w:rFonts w:hint="eastAsia" w:ascii="Times New Roman" w:hAnsi="Times New Roman" w:eastAsia="仿宋_GB2312" w:cs="Times New Roman"/>
          <w:b w:val="0"/>
          <w:bCs w:val="0"/>
          <w:i w:val="0"/>
          <w:iCs w:val="0"/>
          <w:caps w:val="0"/>
          <w:color w:val="000000"/>
          <w:spacing w:val="0"/>
          <w:sz w:val="32"/>
          <w:szCs w:val="32"/>
          <w:shd w:val="clear" w:fill="FFFFFF"/>
        </w:rPr>
        <w:t>强化基础信息公开，全面公开机构职能、行政许可、行政处罚、行政强制等信息，准确公开行政事业性收费、政府采购等信息。重点领域信息公开进一步加强。公开财政信息、食品药品监管、社会救助、稳岗就业、义务</w:t>
      </w:r>
      <w:bookmarkStart w:id="10" w:name="_GoBack"/>
      <w:bookmarkEnd w:id="10"/>
      <w:r>
        <w:rPr>
          <w:rFonts w:hint="eastAsia" w:ascii="Times New Roman" w:hAnsi="Times New Roman" w:eastAsia="仿宋_GB2312" w:cs="Times New Roman"/>
          <w:b w:val="0"/>
          <w:bCs w:val="0"/>
          <w:i w:val="0"/>
          <w:iCs w:val="0"/>
          <w:caps w:val="0"/>
          <w:color w:val="000000"/>
          <w:spacing w:val="0"/>
          <w:sz w:val="32"/>
          <w:szCs w:val="32"/>
          <w:shd w:val="clear" w:fill="FFFFFF"/>
        </w:rPr>
        <w:t>教育、公共文化服务等信息。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3"/>
        <w:rPr>
          <w:rFonts w:hint="eastAsia" w:ascii="Times New Roman" w:hAnsi="Times New Roman" w:eastAsia="楷体_GB2312" w:cs="Times New Roman"/>
          <w:b/>
          <w:bCs/>
          <w:i w:val="0"/>
          <w:iCs w:val="0"/>
          <w:caps w:val="0"/>
          <w:color w:val="000000"/>
          <w:spacing w:val="0"/>
          <w:sz w:val="32"/>
          <w:szCs w:val="32"/>
          <w:shd w:val="clear" w:fill="FFFFFF"/>
        </w:rPr>
      </w:pPr>
      <w:r>
        <w:rPr>
          <w:rFonts w:hint="eastAsia" w:ascii="Times New Roman" w:hAnsi="Times New Roman" w:eastAsia="楷体_GB2312" w:cs="Times New Roman"/>
          <w:b/>
          <w:bCs/>
          <w:i w:val="0"/>
          <w:iCs w:val="0"/>
          <w:caps w:val="0"/>
          <w:color w:val="000000"/>
          <w:spacing w:val="0"/>
          <w:sz w:val="32"/>
          <w:szCs w:val="32"/>
          <w:shd w:val="clear" w:fill="FFFFFF"/>
        </w:rPr>
        <w:t>（三）人大代表建议和政协提案办理结果公开情况：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3"/>
        <w:rPr>
          <w:rFonts w:hint="eastAsia" w:ascii="Times New Roman" w:hAnsi="Times New Roman" w:eastAsia="仿宋_GB2312" w:cs="Times New Roman"/>
          <w:b w:val="0"/>
          <w:bCs w:val="0"/>
          <w:i w:val="0"/>
          <w:iCs w:val="0"/>
          <w:caps w:val="0"/>
          <w:color w:val="000000"/>
          <w:spacing w:val="0"/>
          <w:sz w:val="32"/>
          <w:szCs w:val="32"/>
          <w:shd w:val="clear" w:fill="FFFFFF"/>
        </w:rPr>
      </w:pPr>
      <w:r>
        <w:rPr>
          <w:rFonts w:hint="eastAsia" w:ascii="Times New Roman" w:hAnsi="Times New Roman" w:eastAsia="仿宋_GB2312" w:cs="Times New Roman"/>
          <w:b w:val="0"/>
          <w:bCs w:val="0"/>
          <w:i w:val="0"/>
          <w:iCs w:val="0"/>
          <w:caps w:val="0"/>
          <w:color w:val="000000"/>
          <w:spacing w:val="0"/>
          <w:sz w:val="32"/>
          <w:szCs w:val="32"/>
          <w:shd w:val="clear" w:fill="FFFFFF"/>
        </w:rPr>
        <w:t>2023年，泗水县政府办公室未收到人大代表建议和政协委员提案。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3"/>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pPr>
    </w:p>
    <w:sectPr>
      <w:pgSz w:w="11906" w:h="16838"/>
      <w:pgMar w:top="2098"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方正黑体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5E4953"/>
    <w:multiLevelType w:val="singleLevel"/>
    <w:tmpl w:val="B75E4953"/>
    <w:lvl w:ilvl="0" w:tentative="0">
      <w:start w:val="1"/>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jYTAyMmZlMTM0MzZhN2MzNDhkODJmZjlmNDQ1OWMifQ=="/>
  </w:docVars>
  <w:rsids>
    <w:rsidRoot w:val="00000000"/>
    <w:rsid w:val="023A2E4D"/>
    <w:rsid w:val="02777BFD"/>
    <w:rsid w:val="03E77005"/>
    <w:rsid w:val="04877EA0"/>
    <w:rsid w:val="04BA6155"/>
    <w:rsid w:val="078D7EC3"/>
    <w:rsid w:val="08EE6740"/>
    <w:rsid w:val="092718AC"/>
    <w:rsid w:val="0AD54A49"/>
    <w:rsid w:val="0CBD0903"/>
    <w:rsid w:val="0E0A401C"/>
    <w:rsid w:val="0F024CF3"/>
    <w:rsid w:val="0F0928DE"/>
    <w:rsid w:val="0FFC7994"/>
    <w:rsid w:val="11643A43"/>
    <w:rsid w:val="118063A3"/>
    <w:rsid w:val="11FC011F"/>
    <w:rsid w:val="12D93FBD"/>
    <w:rsid w:val="131E5E73"/>
    <w:rsid w:val="144F2BF7"/>
    <w:rsid w:val="190B0C48"/>
    <w:rsid w:val="1AFC4CEC"/>
    <w:rsid w:val="1BA62EAA"/>
    <w:rsid w:val="1C662D65"/>
    <w:rsid w:val="1DA67191"/>
    <w:rsid w:val="1F7237CF"/>
    <w:rsid w:val="215956BB"/>
    <w:rsid w:val="22DE117B"/>
    <w:rsid w:val="241A5AD4"/>
    <w:rsid w:val="243F3E9B"/>
    <w:rsid w:val="250749B9"/>
    <w:rsid w:val="251F61A7"/>
    <w:rsid w:val="255A0F8D"/>
    <w:rsid w:val="26235823"/>
    <w:rsid w:val="26BD5C77"/>
    <w:rsid w:val="2A375D41"/>
    <w:rsid w:val="2BBD4024"/>
    <w:rsid w:val="2D306A77"/>
    <w:rsid w:val="2E731311"/>
    <w:rsid w:val="2E9A064C"/>
    <w:rsid w:val="30607673"/>
    <w:rsid w:val="30ED53AB"/>
    <w:rsid w:val="320A5AE9"/>
    <w:rsid w:val="32D06D32"/>
    <w:rsid w:val="344A2B14"/>
    <w:rsid w:val="35647C06"/>
    <w:rsid w:val="362F3D70"/>
    <w:rsid w:val="36F31241"/>
    <w:rsid w:val="377E4FAF"/>
    <w:rsid w:val="382F0057"/>
    <w:rsid w:val="387B329C"/>
    <w:rsid w:val="397D3044"/>
    <w:rsid w:val="39C96289"/>
    <w:rsid w:val="3ADD1FEC"/>
    <w:rsid w:val="3C131A3E"/>
    <w:rsid w:val="3C65673D"/>
    <w:rsid w:val="3FF878C8"/>
    <w:rsid w:val="41180544"/>
    <w:rsid w:val="42890CAC"/>
    <w:rsid w:val="434D7F2B"/>
    <w:rsid w:val="43D45F57"/>
    <w:rsid w:val="45835E86"/>
    <w:rsid w:val="46731A57"/>
    <w:rsid w:val="46E110B6"/>
    <w:rsid w:val="47451645"/>
    <w:rsid w:val="48BA396D"/>
    <w:rsid w:val="48D12A65"/>
    <w:rsid w:val="491017DF"/>
    <w:rsid w:val="49172B6D"/>
    <w:rsid w:val="4AAE12AF"/>
    <w:rsid w:val="4ADD7DE7"/>
    <w:rsid w:val="4C2757BD"/>
    <w:rsid w:val="4C7E2F03"/>
    <w:rsid w:val="4D021D86"/>
    <w:rsid w:val="4E922C96"/>
    <w:rsid w:val="4EA824BA"/>
    <w:rsid w:val="4FF5172F"/>
    <w:rsid w:val="509C7DFC"/>
    <w:rsid w:val="51763AD6"/>
    <w:rsid w:val="526B5CD8"/>
    <w:rsid w:val="538434F5"/>
    <w:rsid w:val="54CF07A0"/>
    <w:rsid w:val="550D12C8"/>
    <w:rsid w:val="552C79A0"/>
    <w:rsid w:val="55F54236"/>
    <w:rsid w:val="577E025B"/>
    <w:rsid w:val="582E077D"/>
    <w:rsid w:val="5AA4447D"/>
    <w:rsid w:val="5BE014E5"/>
    <w:rsid w:val="5C78171D"/>
    <w:rsid w:val="5DAD7BCA"/>
    <w:rsid w:val="5E9F11E3"/>
    <w:rsid w:val="5F702B80"/>
    <w:rsid w:val="5F9745B0"/>
    <w:rsid w:val="609B00D0"/>
    <w:rsid w:val="610712C2"/>
    <w:rsid w:val="658729D1"/>
    <w:rsid w:val="68016A6B"/>
    <w:rsid w:val="683055A2"/>
    <w:rsid w:val="6884144A"/>
    <w:rsid w:val="6AF26B3F"/>
    <w:rsid w:val="6B657311"/>
    <w:rsid w:val="6BAE515B"/>
    <w:rsid w:val="6BC95AF1"/>
    <w:rsid w:val="6DF332FA"/>
    <w:rsid w:val="6F743FC6"/>
    <w:rsid w:val="6FF869A5"/>
    <w:rsid w:val="714B6FA9"/>
    <w:rsid w:val="73090EC9"/>
    <w:rsid w:val="7352461E"/>
    <w:rsid w:val="743D707D"/>
    <w:rsid w:val="74713C5C"/>
    <w:rsid w:val="75263FB5"/>
    <w:rsid w:val="75B710B1"/>
    <w:rsid w:val="75CD4430"/>
    <w:rsid w:val="76960CC6"/>
    <w:rsid w:val="769D2054"/>
    <w:rsid w:val="76E71522"/>
    <w:rsid w:val="775A6197"/>
    <w:rsid w:val="77E85551"/>
    <w:rsid w:val="791800B8"/>
    <w:rsid w:val="79556C16"/>
    <w:rsid w:val="798219D5"/>
    <w:rsid w:val="7AB931D5"/>
    <w:rsid w:val="7B875081"/>
    <w:rsid w:val="7B95779E"/>
    <w:rsid w:val="7BC938EC"/>
    <w:rsid w:val="7BF87D2D"/>
    <w:rsid w:val="7C703D67"/>
    <w:rsid w:val="7F2D7C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2024-01-16T07:09:00Z</dcterms:created>
  <dc:creator>Administrator.SC-202209211406</dc:creator>
  <cp:lastModifiedBy>海冬沙</cp:lastModifiedBy>
  <dcterms:modified xsi:type="dcterms:W3CDTF">2024-02-04T08:27:40Z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C35B76E5C15F4670AE67CB9052E362A1_12</vt:lpwstr>
  </property>
</Properties>
</file>