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20" w:lineRule="exact"/>
        <w:ind w:left="0" w:right="0" w:firstLine="0"/>
        <w:jc w:val="center"/>
        <w:textAlignment w:val="auto"/>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pPr>
      <w:r>
        <w:rPr>
          <w:rFonts w:hint="default" w:ascii="Times New Roman" w:hAnsi="Times New Roman" w:eastAsia="方正小标宋简体" w:cs="Times New Roman"/>
          <w:b/>
          <w:bCs/>
          <w:i w:val="0"/>
          <w:iCs w:val="0"/>
          <w:caps w:val="0"/>
          <w:color w:val="000000" w:themeColor="text1"/>
          <w:spacing w:val="0"/>
          <w:sz w:val="44"/>
          <w:szCs w:val="44"/>
          <w:shd w:val="clear" w:fill="FFFFFF"/>
          <w:lang w:val="en-US" w:eastAsia="zh-CN"/>
          <w14:textFill>
            <w14:solidFill>
              <w14:schemeClr w14:val="tx1"/>
            </w14:solidFill>
          </w14:textFill>
        </w:rPr>
        <w:t>泉林镇人民政府</w:t>
      </w: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2023年政府信息公开工作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20" w:lineRule="exact"/>
        <w:ind w:left="0" w:right="0" w:firstLine="0"/>
        <w:jc w:val="center"/>
        <w:textAlignment w:val="auto"/>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年度报告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both"/>
        <w:textAlignment w:val="auto"/>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由泗水县泉林镇人民政府按照《中华人民共和国政府信息公开条例》（以下简称《条例》）和《中华人民共和国政府信息公开工作年度报告格式》（国办公开办函〔2021〕30号）要求编制。本报告内容包括总体情况、主动公开政府信息情况、收到和处理政府信息公开申请情况、政府信息公开行政复议和行政诉讼情况、存在的主要问题及改进情况、其他需要报告的事项等六部分内容。本报告所列数据的统计期限自2023年1月1日起至2023年12月31日止。本报告电子版可在泗水县政府门户网站（www.sishui.gov.cn）查阅或下载。如对本报告有疑问，请与泗水县泉林镇人民政府联系（地址：泗水县</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327国道与泉石线交叉路口西100米路北</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，联系电话：0537-4</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011203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both"/>
        <w:textAlignment w:val="auto"/>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一、总体情况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2023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度，泉林镇人民政府认真贯彻落实中央、省市县有关政府信息公开工作的决策部署，紧紧围绕经济社会发展各项工作，进一步规范公开内容、健全公开制度，拓展公开渠道，及时、准确地向社会公开政府信息，不断提升工作效率和服务水平，依法保障群众知情权、参与权和监督权。</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3"/>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主动公开方面。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常态化做好政府信息主动公开，</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2023年度</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发布政务信息</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共346</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条，其中微信公众号</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337条、</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乡镇工作动态</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6条</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、其他类信息</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条，公开政府机构职能、领导信息、政府文件、人事任免、重要决策、政府工作报告等信息。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right="0"/>
        <w:jc w:val="cente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drawing>
          <wp:inline distT="0" distB="0" distL="114300" distR="114300">
            <wp:extent cx="5085715" cy="2519680"/>
            <wp:effectExtent l="0" t="0" r="63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085715" cy="2519680"/>
                    </a:xfrm>
                    <a:prstGeom prst="rect">
                      <a:avLst/>
                    </a:prstGeom>
                    <a:noFill/>
                    <a:ln>
                      <a:noFill/>
                    </a:ln>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（二）依申请公开方面。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按照</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政府信息依申请公开答复文书</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，依法依规做好依申请公开答复。全年收到政府信息依申请公开申请</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件、结转办结上年度</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件、总体办结</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件、转到下年度办理数量</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件。其中，予以公开</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1</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件、部分公开</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件，无法提供</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1</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件（所申请公开项目不存在）、不予公开</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2023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年，我镇未发生因政府信息公开不规范产生行政复议、行政诉讼的案件。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（三）政府信息管理方面。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严格落实信息发布</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三审</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三校</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制度，不断提高信息发布的数量和质量。根据政府信息公开工作要求，对应信息发布渠道，通过分板块、详记录、建台账的方式做好政府信息管理，并按要求对现行有效的规章和规范性文件进行整理。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（四）政府信息公开平台建设方面。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及时强化网站政务信息公开员培训工作，杜绝表述错误、栏目空白、超期更新等问题。持续推进</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一网通办</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能力巩固提升，做实做细一体化平台事项梳理，办事指南更新发布等工作。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（五）监督保障方面。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优化举措，拓宽交流通道，</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12345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热线交办件</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2498</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件，办结</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2498</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件。公开各科室联系电话，设置党政办公室办公接访电话，接受社会监督。严格按照政府信息公开工作考核制度、社会评议制度和责任追究制度，定期参加政府信息公开工作考核、评议。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二、主动公开政府信息情况</w:t>
      </w:r>
    </w:p>
    <w:tbl>
      <w:tblPr>
        <w:tblStyle w:val="4"/>
        <w:tblW w:w="5000" w:type="pct"/>
        <w:tblInd w:w="0" w:type="dxa"/>
        <w:tblLayout w:type="autofit"/>
        <w:tblCellMar>
          <w:top w:w="0" w:type="dxa"/>
          <w:left w:w="108" w:type="dxa"/>
          <w:bottom w:w="0" w:type="dxa"/>
          <w:right w:w="108" w:type="dxa"/>
        </w:tblCellMar>
      </w:tblPr>
      <w:tblGrid>
        <w:gridCol w:w="2279"/>
        <w:gridCol w:w="2279"/>
        <w:gridCol w:w="2279"/>
        <w:gridCol w:w="2280"/>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方正黑体简体" w:cs="Times New Roman"/>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方正黑体简体" w:cs="Times New Roman"/>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2344</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方正黑体简体" w:cs="Times New Roman"/>
                <w:color w:val="000000"/>
                <w:kern w:val="0"/>
                <w:szCs w:val="21"/>
              </w:rPr>
              <w:t>第二十条第（六）项</w:t>
            </w:r>
          </w:p>
        </w:tc>
      </w:tr>
      <w:tr>
        <w:tblPrEx>
          <w:tblCellMar>
            <w:top w:w="0" w:type="dxa"/>
            <w:left w:w="108" w:type="dxa"/>
            <w:bottom w:w="0" w:type="dxa"/>
            <w:right w:w="108" w:type="dxa"/>
          </w:tblCellMar>
        </w:tblPrEx>
        <w:trPr>
          <w:trHeight w:val="583"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方正黑体简体" w:cs="Times New Roman"/>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641"/>
        <w:jc w:val="both"/>
        <w:textAlignment w:val="auto"/>
        <w:rPr>
          <w:rFonts w:hint="default" w:ascii="Times New Roman" w:hAnsi="Times New Roman" w:eastAsia="黑体" w:cs="Times New Roman"/>
          <w:b w:val="0"/>
          <w:bCs w:val="0"/>
          <w:i w:val="0"/>
          <w:iCs w:val="0"/>
          <w:caps w:val="0"/>
          <w:color w:val="000000"/>
          <w:spacing w:val="0"/>
          <w:kern w:val="0"/>
          <w:sz w:val="32"/>
          <w:szCs w:val="32"/>
          <w:shd w:val="clear" w:fill="FFFFFF"/>
          <w:lang w:val="en-US" w:eastAsia="zh-CN" w:bidi="ar"/>
        </w:rPr>
        <w:sectPr>
          <w:pgSz w:w="11906" w:h="16838"/>
          <w:pgMar w:top="2041" w:right="1474" w:bottom="1531" w:left="1531" w:header="851" w:footer="992" w:gutter="0"/>
          <w:cols w:space="425" w:num="1"/>
          <w:docGrid w:type="lines" w:linePitch="312" w:charSpace="0"/>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641"/>
        <w:jc w:val="both"/>
        <w:textAlignment w:val="auto"/>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三、收到和处理政府信息公开申请情况</w:t>
      </w:r>
    </w:p>
    <w:tbl>
      <w:tblPr>
        <w:tblStyle w:val="4"/>
        <w:tblpPr w:leftFromText="180" w:rightFromText="180" w:vertAnchor="text" w:horzAnchor="page" w:tblpX="1150" w:tblpY="5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shd w:val="clear" w:color="auto" w:fill="auto"/>
            <w:tcMar>
              <w:left w:w="108" w:type="dxa"/>
              <w:right w:w="108" w:type="dxa"/>
            </w:tcMar>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（本列数据的勾稽关系为：第一项加第二项之和，</w:t>
            </w:r>
          </w:p>
          <w:p>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shd w:val="clear" w:color="auto" w:fill="auto"/>
            <w:tcMar>
              <w:left w:w="108" w:type="dxa"/>
              <w:right w:w="108" w:type="dxa"/>
            </w:tcMar>
            <w:vAlign w:val="center"/>
          </w:tcPr>
          <w:p>
            <w:pPr>
              <w:jc w:val="center"/>
              <w:rPr>
                <w:rFonts w:hint="eastAsia" w:ascii="仿宋_GB2312" w:hAnsi="仿宋_GB2312" w:eastAsia="仿宋_GB2312" w:cs="仿宋_GB2312"/>
                <w:szCs w:val="21"/>
              </w:rPr>
            </w:pPr>
          </w:p>
        </w:tc>
        <w:tc>
          <w:tcPr>
            <w:tcW w:w="829" w:type="dxa"/>
            <w:vMerge w:val="restart"/>
            <w:shd w:val="clear" w:color="auto" w:fill="auto"/>
            <w:tcMar>
              <w:left w:w="108" w:type="dxa"/>
              <w:right w:w="108" w:type="dxa"/>
            </w:tcMar>
            <w:vAlign w:val="center"/>
          </w:tcPr>
          <w:p>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shd w:val="clear" w:color="auto" w:fill="auto"/>
            <w:tcMar>
              <w:left w:w="108" w:type="dxa"/>
              <w:right w:w="108" w:type="dxa"/>
            </w:tcMar>
            <w:vAlign w:val="center"/>
          </w:tcPr>
          <w:p>
            <w:pPr>
              <w:jc w:val="center"/>
              <w:rPr>
                <w:rFonts w:hint="eastAsia" w:ascii="仿宋_GB2312" w:hAnsi="仿宋_GB2312" w:eastAsia="仿宋_GB2312" w:cs="仿宋_GB2312"/>
                <w:szCs w:val="21"/>
              </w:rPr>
            </w:pPr>
          </w:p>
        </w:tc>
        <w:tc>
          <w:tcPr>
            <w:tcW w:w="829" w:type="dxa"/>
            <w:vMerge w:val="continue"/>
            <w:shd w:val="clear" w:color="auto" w:fill="auto"/>
            <w:tcMar>
              <w:left w:w="108" w:type="dxa"/>
              <w:right w:w="108" w:type="dxa"/>
            </w:tcMar>
            <w:vAlign w:val="center"/>
          </w:tcPr>
          <w:p>
            <w:pPr>
              <w:jc w:val="center"/>
              <w:rPr>
                <w:rFonts w:hint="eastAsia" w:ascii="仿宋_GB2312" w:hAnsi="仿宋_GB2312" w:eastAsia="仿宋_GB2312" w:cs="仿宋_GB2312"/>
                <w:szCs w:val="21"/>
              </w:rPr>
            </w:pP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51" w:right="-107" w:rightChars="-51" w:hanging="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商业企业</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7" w:leftChars="-51" w:right="-107" w:rightChars="-5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科研机构</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7" w:leftChars="-51" w:right="-107" w:rightChars="-5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社会公益组织</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51" w:right="-107" w:rightChars="-51" w:hanging="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其他</w:t>
            </w:r>
          </w:p>
        </w:tc>
        <w:tc>
          <w:tcPr>
            <w:tcW w:w="851" w:type="dxa"/>
            <w:vMerge w:val="continue"/>
            <w:shd w:val="clear" w:color="auto" w:fill="auto"/>
            <w:tcMar>
              <w:left w:w="108" w:type="dxa"/>
              <w:right w:w="108" w:type="dxa"/>
            </w:tcMar>
            <w:vAlign w:val="center"/>
          </w:tcPr>
          <w:p>
            <w:pPr>
              <w:jc w:val="center"/>
              <w:rPr>
                <w:rFonts w:hint="eastAsia" w:ascii="仿宋_GB2312" w:hAnsi="仿宋_GB2312" w:eastAsia="仿宋_GB2312" w:cs="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shd w:val="clear" w:color="auto" w:fill="auto"/>
            <w:tcMar>
              <w:left w:w="108" w:type="dxa"/>
              <w:right w:w="108" w:type="dxa"/>
            </w:tcMar>
            <w:vAlign w:val="center"/>
          </w:tcPr>
          <w:p>
            <w:pPr>
              <w:widowControl/>
              <w:rPr>
                <w:rFonts w:hint="eastAsia" w:ascii="仿宋_GB2312" w:hAnsi="仿宋_GB2312" w:eastAsia="仿宋_GB2312" w:cs="仿宋_GB2312"/>
                <w:szCs w:val="21"/>
              </w:rPr>
            </w:pPr>
            <w:r>
              <w:rPr>
                <w:rFonts w:hint="eastAsia" w:ascii="仿宋_GB2312" w:hAnsi="仿宋_GB2312" w:eastAsia="仿宋_GB2312" w:cs="仿宋_GB2312"/>
                <w:kern w:val="0"/>
                <w:szCs w:val="21"/>
              </w:rPr>
              <w:t>一、</w:t>
            </w:r>
            <w:bookmarkStart w:id="0" w:name="_Hlk66973412"/>
            <w:r>
              <w:rPr>
                <w:rFonts w:hint="eastAsia" w:ascii="仿宋_GB2312" w:hAnsi="仿宋_GB2312" w:eastAsia="仿宋_GB2312" w:cs="仿宋_GB2312"/>
                <w:kern w:val="0"/>
                <w:szCs w:val="21"/>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shd w:val="clear" w:color="auto" w:fill="auto"/>
            <w:tcMar>
              <w:left w:w="108" w:type="dxa"/>
              <w:right w:w="108" w:type="dxa"/>
            </w:tcMar>
            <w:vAlign w:val="center"/>
          </w:tcPr>
          <w:p>
            <w:pPr>
              <w:widowControl/>
              <w:rPr>
                <w:rFonts w:hint="eastAsia" w:ascii="仿宋_GB2312" w:hAnsi="仿宋_GB2312" w:eastAsia="仿宋_GB2312" w:cs="仿宋_GB2312"/>
                <w:szCs w:val="21"/>
              </w:rPr>
            </w:pPr>
            <w:r>
              <w:rPr>
                <w:rFonts w:hint="eastAsia" w:ascii="仿宋_GB2312" w:hAnsi="仿宋_GB2312" w:eastAsia="仿宋_GB2312" w:cs="仿宋_GB2312"/>
                <w:kern w:val="0"/>
                <w:szCs w:val="21"/>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shd w:val="clear" w:color="auto" w:fill="auto"/>
            <w:tcMar>
              <w:left w:w="108" w:type="dxa"/>
              <w:right w:w="108" w:type="dxa"/>
            </w:tcMar>
            <w:vAlign w:val="center"/>
          </w:tcPr>
          <w:p>
            <w:pPr>
              <w:widowControl/>
              <w:spacing w:after="180"/>
              <w:rPr>
                <w:rFonts w:hint="eastAsia" w:ascii="仿宋_GB2312" w:hAnsi="仿宋_GB2312" w:eastAsia="仿宋_GB2312" w:cs="仿宋_GB2312"/>
                <w:szCs w:val="21"/>
              </w:rPr>
            </w:pPr>
            <w:r>
              <w:rPr>
                <w:rFonts w:hint="eastAsia" w:ascii="仿宋_GB2312" w:hAnsi="仿宋_GB2312" w:eastAsia="仿宋_GB2312" w:cs="仿宋_GB2312"/>
                <w:kern w:val="0"/>
                <w:szCs w:val="21"/>
              </w:rPr>
              <w:t>三、本年度办理结果</w:t>
            </w:r>
          </w:p>
        </w:tc>
        <w:tc>
          <w:tcPr>
            <w:tcW w:w="4677" w:type="dxa"/>
            <w:gridSpan w:val="2"/>
            <w:shd w:val="clear" w:color="auto" w:fill="auto"/>
            <w:tcMar>
              <w:left w:w="108" w:type="dxa"/>
              <w:right w:w="108" w:type="dxa"/>
            </w:tcMar>
            <w:vAlign w:val="center"/>
          </w:tcPr>
          <w:p>
            <w:pPr>
              <w:widowControl/>
              <w:rPr>
                <w:rFonts w:hint="eastAsia" w:ascii="仿宋_GB2312" w:hAnsi="仿宋_GB2312" w:eastAsia="仿宋_GB2312" w:cs="仿宋_GB2312"/>
                <w:szCs w:val="21"/>
              </w:rPr>
            </w:pPr>
            <w:r>
              <w:rPr>
                <w:rFonts w:hint="eastAsia" w:ascii="仿宋_GB2312" w:hAnsi="仿宋_GB2312" w:eastAsia="仿宋_GB2312" w:cs="仿宋_GB2312"/>
                <w:kern w:val="0"/>
                <w:szCs w:val="21"/>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（二）部分公开（</w:t>
            </w:r>
            <w:bookmarkStart w:id="1" w:name="_Hlk66973981"/>
            <w:r>
              <w:rPr>
                <w:rFonts w:hint="eastAsia" w:ascii="仿宋_GB2312" w:hAnsi="仿宋_GB2312" w:eastAsia="仿宋_GB2312" w:cs="仿宋_GB2312"/>
                <w:kern w:val="0"/>
                <w:szCs w:val="21"/>
              </w:rPr>
              <w:t>区分处理的，只计这一情形，不计其他情形</w:t>
            </w:r>
            <w:bookmarkEnd w:id="1"/>
            <w:r>
              <w:rPr>
                <w:rFonts w:hint="eastAsia" w:ascii="仿宋_GB2312" w:hAnsi="仿宋_GB2312" w:eastAsia="仿宋_GB2312" w:cs="仿宋_GB2312"/>
                <w:kern w:val="0"/>
                <w:szCs w:val="21"/>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eastAsia" w:ascii="仿宋_GB2312" w:hAnsi="仿宋_GB2312" w:eastAsia="仿宋_GB2312" w:cs="仿宋_GB2312"/>
                <w:szCs w:val="21"/>
              </w:rPr>
            </w:pPr>
            <w:r>
              <w:rPr>
                <w:rFonts w:hint="eastAsia" w:ascii="仿宋_GB2312" w:hAnsi="仿宋_GB2312" w:eastAsia="仿宋_GB2312" w:cs="仿宋_GB2312"/>
                <w:kern w:val="0"/>
                <w:szCs w:val="21"/>
              </w:rPr>
              <w:t>（三）不予公开</w:t>
            </w: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bookmarkStart w:id="2" w:name="_Hlk66974104"/>
            <w:r>
              <w:rPr>
                <w:rFonts w:hint="eastAsia" w:ascii="仿宋_GB2312" w:hAnsi="仿宋_GB2312" w:eastAsia="仿宋_GB2312" w:cs="仿宋_GB2312"/>
                <w:kern w:val="0"/>
                <w:szCs w:val="21"/>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bookmarkStart w:id="3" w:name="_Hlk66974290"/>
            <w:r>
              <w:rPr>
                <w:rFonts w:hint="eastAsia" w:ascii="仿宋_GB2312" w:hAnsi="仿宋_GB2312" w:eastAsia="仿宋_GB2312" w:cs="仿宋_GB2312"/>
                <w:kern w:val="0"/>
                <w:szCs w:val="21"/>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bookmarkStart w:id="4" w:name="_Hlk66974555"/>
            <w:r>
              <w:rPr>
                <w:rFonts w:hint="eastAsia" w:ascii="仿宋_GB2312" w:hAnsi="仿宋_GB2312" w:eastAsia="仿宋_GB2312" w:cs="仿宋_GB2312"/>
                <w:kern w:val="0"/>
                <w:szCs w:val="21"/>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bookmarkStart w:id="5" w:name="_Hlk66975211"/>
            <w:r>
              <w:rPr>
                <w:rFonts w:hint="eastAsia" w:ascii="仿宋_GB2312" w:hAnsi="仿宋_GB2312" w:eastAsia="仿宋_GB2312" w:cs="仿宋_GB2312"/>
                <w:kern w:val="0"/>
                <w:szCs w:val="21"/>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eastAsia" w:ascii="仿宋_GB2312" w:hAnsi="仿宋_GB2312" w:eastAsia="仿宋_GB2312" w:cs="仿宋_GB2312"/>
                <w:szCs w:val="21"/>
              </w:rPr>
            </w:pPr>
            <w:r>
              <w:rPr>
                <w:rFonts w:hint="eastAsia" w:ascii="仿宋_GB2312" w:hAnsi="仿宋_GB2312" w:eastAsia="仿宋_GB2312" w:cs="仿宋_GB2312"/>
                <w:kern w:val="0"/>
                <w:szCs w:val="21"/>
              </w:rPr>
              <w:t>（四）无法提供</w:t>
            </w: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bookmarkStart w:id="6" w:name="_Hlk66975392"/>
            <w:r>
              <w:rPr>
                <w:rFonts w:hint="eastAsia" w:ascii="仿宋_GB2312" w:hAnsi="仿宋_GB2312" w:eastAsia="仿宋_GB2312" w:cs="仿宋_GB2312"/>
                <w:kern w:val="0"/>
                <w:szCs w:val="21"/>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bookmarkStart w:id="7" w:name="_Hlk66975466"/>
            <w:r>
              <w:rPr>
                <w:rFonts w:hint="eastAsia" w:ascii="仿宋_GB2312" w:hAnsi="仿宋_GB2312" w:eastAsia="仿宋_GB2312" w:cs="仿宋_GB2312"/>
                <w:kern w:val="0"/>
                <w:szCs w:val="21"/>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eastAsia" w:ascii="仿宋_GB2312" w:hAnsi="仿宋_GB2312" w:eastAsia="仿宋_GB2312" w:cs="仿宋_GB2312"/>
                <w:szCs w:val="21"/>
              </w:rPr>
            </w:pPr>
            <w:r>
              <w:rPr>
                <w:rFonts w:hint="eastAsia" w:ascii="仿宋_GB2312" w:hAnsi="仿宋_GB2312" w:eastAsia="仿宋_GB2312" w:cs="仿宋_GB2312"/>
                <w:kern w:val="0"/>
                <w:szCs w:val="21"/>
              </w:rPr>
              <w:t>（五）不予处理</w:t>
            </w: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bookmarkStart w:id="8" w:name="_Hlk66975537"/>
            <w:r>
              <w:rPr>
                <w:rFonts w:hint="eastAsia" w:ascii="仿宋_GB2312" w:hAnsi="仿宋_GB2312" w:eastAsia="仿宋_GB2312" w:cs="仿宋_GB2312"/>
                <w:kern w:val="0"/>
                <w:szCs w:val="21"/>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szCs w:val="21"/>
              </w:rPr>
            </w:pPr>
            <w:r>
              <w:rPr>
                <w:rFonts w:hint="eastAsia" w:ascii="仿宋_GB2312" w:hAnsi="仿宋_GB2312" w:eastAsia="仿宋_GB2312" w:cs="仿宋_GB2312"/>
                <w:kern w:val="0"/>
                <w:szCs w:val="21"/>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widowControl/>
              <w:spacing w:line="200" w:lineRule="exact"/>
              <w:rPr>
                <w:rFonts w:hint="eastAsia" w:ascii="仿宋_GB2312" w:hAnsi="仿宋_GB2312" w:eastAsia="仿宋_GB2312" w:cs="仿宋_GB2312"/>
                <w:szCs w:val="21"/>
              </w:rPr>
            </w:pPr>
            <w:r>
              <w:rPr>
                <w:rFonts w:hint="eastAsia" w:ascii="仿宋_GB2312" w:hAnsi="仿宋_GB2312" w:eastAsia="仿宋_GB2312" w:cs="仿宋_GB2312"/>
                <w:kern w:val="0"/>
                <w:szCs w:val="21"/>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240" w:lineRule="exact"/>
              <w:ind w:firstLine="210" w:firstLineChars="100"/>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（六）其他处理</w:t>
            </w: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rPr>
            </w:pPr>
            <w:r>
              <w:rPr>
                <w:rFonts w:hint="eastAsia" w:ascii="仿宋_GB2312" w:hAnsi="仿宋_GB2312" w:eastAsia="仿宋_GB2312" w:cs="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widowControl/>
              <w:spacing w:line="300" w:lineRule="exact"/>
              <w:rPr>
                <w:rFonts w:hint="eastAsia" w:ascii="仿宋_GB2312" w:hAnsi="仿宋_GB2312" w:eastAsia="仿宋_GB2312" w:cs="仿宋_GB2312"/>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pPr>
              <w:widowControl/>
              <w:spacing w:line="300" w:lineRule="exact"/>
              <w:rPr>
                <w:rFonts w:hint="eastAsia" w:ascii="仿宋_GB2312" w:hAnsi="仿宋_GB2312" w:eastAsia="仿宋_GB2312" w:cs="仿宋_GB2312"/>
                <w:kern w:val="0"/>
                <w:szCs w:val="21"/>
              </w:rPr>
            </w:pPr>
          </w:p>
        </w:tc>
        <w:tc>
          <w:tcPr>
            <w:tcW w:w="2976" w:type="dxa"/>
            <w:shd w:val="clear" w:color="auto" w:fill="auto"/>
            <w:vAlign w:val="center"/>
          </w:tcPr>
          <w:p>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pPr>
              <w:rPr>
                <w:rFonts w:hint="eastAsia" w:ascii="仿宋_GB2312" w:hAnsi="仿宋_GB2312" w:eastAsia="仿宋_GB2312" w:cs="仿宋_GB2312"/>
                <w:szCs w:val="21"/>
              </w:rPr>
            </w:pPr>
          </w:p>
        </w:tc>
        <w:tc>
          <w:tcPr>
            <w:tcW w:w="4677" w:type="dxa"/>
            <w:gridSpan w:val="2"/>
            <w:shd w:val="clear" w:color="auto" w:fill="auto"/>
            <w:tcMar>
              <w:left w:w="108" w:type="dxa"/>
              <w:right w:w="108" w:type="dxa"/>
            </w:tcMar>
            <w:vAlign w:val="center"/>
          </w:tcPr>
          <w:p>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shd w:val="clear" w:color="auto" w:fill="auto"/>
            <w:tcMar>
              <w:left w:w="108" w:type="dxa"/>
              <w:right w:w="108" w:type="dxa"/>
            </w:tcMar>
            <w:vAlign w:val="center"/>
          </w:tcPr>
          <w:p>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黑体" w:cs="Times New Roman"/>
          <w:b w:val="0"/>
          <w:bCs w:val="0"/>
          <w:i w:val="0"/>
          <w:iCs w:val="0"/>
          <w:caps w:val="0"/>
          <w:color w:val="000000"/>
          <w:spacing w:val="0"/>
          <w:kern w:val="0"/>
          <w:sz w:val="32"/>
          <w:szCs w:val="32"/>
          <w:shd w:val="clear" w:fill="FFFFFF"/>
          <w:lang w:val="en-US" w:eastAsia="zh-CN" w:bidi="ar"/>
        </w:rPr>
        <w:sectPr>
          <w:pgSz w:w="11906" w:h="16838"/>
          <w:pgMar w:top="1531" w:right="907" w:bottom="1531" w:left="1531" w:header="851" w:footer="992" w:gutter="0"/>
          <w:cols w:space="425" w:num="1"/>
          <w:docGrid w:type="lines" w:linePitch="312" w:charSpace="0"/>
        </w:sect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pPr>
              <w:widowControl/>
              <w:ind w:left="-149" w:leftChars="-71" w:right="-170" w:rightChars="-8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pPr>
              <w:widowControl/>
              <w:ind w:left="-118" w:leftChars="-56" w:right="-118" w:rightChars="-56"/>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w:t>
            </w:r>
          </w:p>
          <w:p>
            <w:pPr>
              <w:widowControl/>
              <w:spacing w:line="32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rPr>
            </w:pPr>
            <w:bookmarkStart w:id="9" w:name="_Hlk67039688"/>
            <w:r>
              <w:rPr>
                <w:rFonts w:hint="default" w:ascii="Times New Roman" w:hAnsi="Times New Roman" w:eastAsia="仿宋_GB2312"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_GB2312"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_GB2312"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_GB2312"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pPr>
              <w:widowControl/>
              <w:ind w:left="-126" w:leftChars="-60" w:right="-136" w:rightChars="-65"/>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pPr>
              <w:widowControl/>
              <w:ind w:left="-164" w:leftChars="-78" w:right="-153" w:rightChars="-73"/>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pPr>
              <w:widowControl/>
              <w:ind w:left="-136" w:leftChars="-65" w:right="-124" w:rightChars="-59"/>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pPr>
              <w:widowControl/>
              <w:ind w:left="-173" w:leftChars="-83" w:right="-134" w:rightChars="-64" w:hanging="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sz w:val="32"/>
          <w:szCs w:val="32"/>
          <w:shd w:val="clear" w:fill="FFFFFF"/>
        </w:rPr>
        <w:t>（一）主要问题。</w:t>
      </w:r>
      <w:r>
        <w:rPr>
          <w:rFonts w:hint="default" w:ascii="Times New Roman" w:hAnsi="Times New Roman" w:eastAsia="仿宋_GB2312" w:cs="Times New Roman"/>
          <w:b/>
          <w:bCs/>
          <w:i w:val="0"/>
          <w:iCs w:val="0"/>
          <w:caps w:val="0"/>
          <w:color w:val="000000"/>
          <w:spacing w:val="0"/>
          <w:sz w:val="32"/>
          <w:szCs w:val="32"/>
          <w:shd w:val="clear" w:fill="FFFFFF"/>
        </w:rPr>
        <w:t>一是</w:t>
      </w:r>
      <w:r>
        <w:rPr>
          <w:rFonts w:hint="default" w:ascii="Times New Roman" w:hAnsi="Times New Roman" w:eastAsia="仿宋_GB2312" w:cs="Times New Roman"/>
          <w:b w:val="0"/>
          <w:bCs w:val="0"/>
          <w:i w:val="0"/>
          <w:iCs w:val="0"/>
          <w:caps w:val="0"/>
          <w:color w:val="000000"/>
          <w:spacing w:val="0"/>
          <w:sz w:val="32"/>
          <w:szCs w:val="32"/>
          <w:shd w:val="clear" w:fill="FFFFFF"/>
        </w:rPr>
        <w:t>政策解读方面，解读形式仍需进一步丰富；</w:t>
      </w:r>
      <w:r>
        <w:rPr>
          <w:rFonts w:hint="default" w:ascii="Times New Roman" w:hAnsi="Times New Roman" w:eastAsia="仿宋_GB2312" w:cs="Times New Roman"/>
          <w:b/>
          <w:bCs/>
          <w:i w:val="0"/>
          <w:iCs w:val="0"/>
          <w:caps w:val="0"/>
          <w:color w:val="000000"/>
          <w:spacing w:val="0"/>
          <w:sz w:val="32"/>
          <w:szCs w:val="32"/>
          <w:shd w:val="clear" w:fill="FFFFFF"/>
        </w:rPr>
        <w:t>二是</w:t>
      </w:r>
      <w:r>
        <w:rPr>
          <w:rFonts w:hint="default" w:ascii="Times New Roman" w:hAnsi="Times New Roman" w:eastAsia="仿宋_GB2312" w:cs="Times New Roman"/>
          <w:b w:val="0"/>
          <w:bCs w:val="0"/>
          <w:i w:val="0"/>
          <w:iCs w:val="0"/>
          <w:caps w:val="0"/>
          <w:color w:val="000000"/>
          <w:spacing w:val="0"/>
          <w:sz w:val="32"/>
          <w:szCs w:val="32"/>
          <w:shd w:val="clear" w:fill="FFFFFF"/>
        </w:rPr>
        <w:t>业务本领方面，部分从事政府信息公开工作人员，主动意识和业务素质有待进一步提高。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sz w:val="32"/>
          <w:szCs w:val="32"/>
          <w:shd w:val="clear" w:fill="FFFFFF"/>
        </w:rPr>
        <w:t>（二）改进情况。</w:t>
      </w:r>
      <w:r>
        <w:rPr>
          <w:rFonts w:hint="default" w:ascii="Times New Roman" w:hAnsi="Times New Roman" w:eastAsia="仿宋_GB2312" w:cs="Times New Roman"/>
          <w:b/>
          <w:bCs/>
          <w:i w:val="0"/>
          <w:iCs w:val="0"/>
          <w:caps w:val="0"/>
          <w:color w:val="000000"/>
          <w:spacing w:val="0"/>
          <w:sz w:val="32"/>
          <w:szCs w:val="32"/>
          <w:shd w:val="clear" w:fill="FFFFFF"/>
        </w:rPr>
        <w:t>一是</w:t>
      </w:r>
      <w:r>
        <w:rPr>
          <w:rFonts w:hint="default" w:ascii="Times New Roman" w:hAnsi="Times New Roman" w:eastAsia="仿宋_GB2312" w:cs="Times New Roman"/>
          <w:b w:val="0"/>
          <w:bCs w:val="0"/>
          <w:i w:val="0"/>
          <w:iCs w:val="0"/>
          <w:caps w:val="0"/>
          <w:color w:val="000000"/>
          <w:spacing w:val="0"/>
          <w:sz w:val="32"/>
          <w:szCs w:val="32"/>
          <w:shd w:val="clear" w:fill="FFFFFF"/>
        </w:rPr>
        <w:t>进一步提升政策解读质量，提高漫画、短视频、小程序等形式在政策解读中的比例，加大宣传解读力度；</w:t>
      </w:r>
      <w:r>
        <w:rPr>
          <w:rFonts w:hint="default" w:ascii="Times New Roman" w:hAnsi="Times New Roman" w:eastAsia="仿宋_GB2312" w:cs="Times New Roman"/>
          <w:b/>
          <w:bCs/>
          <w:i w:val="0"/>
          <w:iCs w:val="0"/>
          <w:caps w:val="0"/>
          <w:color w:val="000000"/>
          <w:spacing w:val="0"/>
          <w:sz w:val="32"/>
          <w:szCs w:val="32"/>
          <w:shd w:val="clear" w:fill="FFFFFF"/>
        </w:rPr>
        <w:t>二是</w:t>
      </w:r>
      <w:r>
        <w:rPr>
          <w:rFonts w:hint="default" w:ascii="Times New Roman" w:hAnsi="Times New Roman" w:eastAsia="仿宋_GB2312" w:cs="Times New Roman"/>
          <w:b w:val="0"/>
          <w:bCs w:val="0"/>
          <w:i w:val="0"/>
          <w:iCs w:val="0"/>
          <w:caps w:val="0"/>
          <w:color w:val="000000"/>
          <w:spacing w:val="0"/>
          <w:sz w:val="32"/>
          <w:szCs w:val="32"/>
          <w:shd w:val="clear" w:fill="FFFFFF"/>
        </w:rPr>
        <w:t>加强对政府信息公开工作的培训力度，增强从事人员工作开展的专业性、精准性。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eastAsia" w:ascii="方正黑体简体" w:hAnsi="方正黑体简体" w:eastAsia="方正黑体简体" w:cs="方正黑体简体"/>
          <w:i w:val="0"/>
          <w:iCs w:val="0"/>
          <w:caps w:val="0"/>
          <w:color w:val="000000"/>
          <w:spacing w:val="0"/>
          <w:sz w:val="24"/>
          <w:szCs w:val="24"/>
        </w:rPr>
      </w:pPr>
      <w:r>
        <w:rPr>
          <w:rFonts w:hint="eastAsia" w:ascii="方正黑体简体" w:hAnsi="方正黑体简体" w:eastAsia="方正黑体简体" w:cs="方正黑体简体"/>
          <w:b w:val="0"/>
          <w:bCs w:val="0"/>
          <w:i w:val="0"/>
          <w:iCs w:val="0"/>
          <w:caps w:val="0"/>
          <w:color w:val="000000"/>
          <w:spacing w:val="0"/>
          <w:sz w:val="32"/>
          <w:szCs w:val="32"/>
          <w:shd w:val="clear" w:fill="FFFFFF"/>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（一）依据《政府信息公开信息处理费管理办法》收取信息处理费的情况：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2023年，泗水县</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泉林镇人民政府</w:t>
      </w:r>
      <w:r>
        <w:rPr>
          <w:rFonts w:hint="eastAsia" w:ascii="Times New Roman" w:hAnsi="Times New Roman" w:eastAsia="仿宋_GB2312" w:cs="Times New Roman"/>
          <w:b w:val="0"/>
          <w:bCs w:val="0"/>
          <w:i w:val="0"/>
          <w:iCs w:val="0"/>
          <w:caps w:val="0"/>
          <w:color w:val="000000"/>
          <w:spacing w:val="0"/>
          <w:sz w:val="32"/>
          <w:szCs w:val="32"/>
          <w:shd w:val="clear" w:fill="FFFFFF"/>
        </w:rPr>
        <w:t>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（二）本行政机关落实上级年度政务公开工作要点情况：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强化基础信息公开，全面公开机构职能、行政许可、行政处罚、行政强制等信息，准确公开行政事业性收费、政府采购等信息。重点领域信息公开进一步加强。公开财政信息、食品药品监管、社会救助、稳岗就业、义务</w:t>
      </w:r>
      <w:bookmarkStart w:id="10" w:name="_GoBack"/>
      <w:bookmarkEnd w:id="10"/>
      <w:r>
        <w:rPr>
          <w:rFonts w:hint="eastAsia" w:ascii="Times New Roman" w:hAnsi="Times New Roman" w:eastAsia="仿宋_GB2312" w:cs="Times New Roman"/>
          <w:b w:val="0"/>
          <w:bCs w:val="0"/>
          <w:i w:val="0"/>
          <w:iCs w:val="0"/>
          <w:caps w:val="0"/>
          <w:color w:val="000000"/>
          <w:spacing w:val="0"/>
          <w:sz w:val="32"/>
          <w:szCs w:val="32"/>
          <w:shd w:val="clear" w:fill="FFFFFF"/>
        </w:rPr>
        <w:t>教育、公共文化服务等信息。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（三）人大代表建议和政协提案办理结果公开情况：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2023年，泗水县政府办公室未收到人大代表建议和政协委员提案。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pP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E4953"/>
    <w:multiLevelType w:val="singleLevel"/>
    <w:tmpl w:val="B75E4953"/>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YTAyMmZlMTM0MzZhN2MzNDhkODJmZjlmNDQ1OWMifQ=="/>
  </w:docVars>
  <w:rsids>
    <w:rsidRoot w:val="00000000"/>
    <w:rsid w:val="023A2E4D"/>
    <w:rsid w:val="02777BFD"/>
    <w:rsid w:val="03E77005"/>
    <w:rsid w:val="04877EA0"/>
    <w:rsid w:val="04BA6155"/>
    <w:rsid w:val="078D7EC3"/>
    <w:rsid w:val="08EE6740"/>
    <w:rsid w:val="092718AC"/>
    <w:rsid w:val="0AD54A49"/>
    <w:rsid w:val="0CBD0903"/>
    <w:rsid w:val="0E0A401C"/>
    <w:rsid w:val="0F024CF3"/>
    <w:rsid w:val="0F0928DE"/>
    <w:rsid w:val="0FFC7994"/>
    <w:rsid w:val="11643A43"/>
    <w:rsid w:val="118063A3"/>
    <w:rsid w:val="11FC011F"/>
    <w:rsid w:val="12D93FBD"/>
    <w:rsid w:val="131E5E73"/>
    <w:rsid w:val="144F2BF7"/>
    <w:rsid w:val="190B0C48"/>
    <w:rsid w:val="1AFC4CEC"/>
    <w:rsid w:val="1BA62EAA"/>
    <w:rsid w:val="1C662D65"/>
    <w:rsid w:val="1DA67191"/>
    <w:rsid w:val="1F7237CF"/>
    <w:rsid w:val="215956BB"/>
    <w:rsid w:val="22DE117B"/>
    <w:rsid w:val="241A5AD4"/>
    <w:rsid w:val="243F3E9B"/>
    <w:rsid w:val="250749B9"/>
    <w:rsid w:val="251F61A7"/>
    <w:rsid w:val="255A0F8D"/>
    <w:rsid w:val="26235823"/>
    <w:rsid w:val="26BD5C77"/>
    <w:rsid w:val="2A375D41"/>
    <w:rsid w:val="2BBD4024"/>
    <w:rsid w:val="2D306A77"/>
    <w:rsid w:val="2E731311"/>
    <w:rsid w:val="2E9A064C"/>
    <w:rsid w:val="30607673"/>
    <w:rsid w:val="30ED53AB"/>
    <w:rsid w:val="320A5AE9"/>
    <w:rsid w:val="32D06D32"/>
    <w:rsid w:val="344A2B14"/>
    <w:rsid w:val="35647C06"/>
    <w:rsid w:val="362F3D70"/>
    <w:rsid w:val="36F31241"/>
    <w:rsid w:val="377E4FAF"/>
    <w:rsid w:val="382F0057"/>
    <w:rsid w:val="387B329C"/>
    <w:rsid w:val="397D3044"/>
    <w:rsid w:val="39C96289"/>
    <w:rsid w:val="3ADD1FEC"/>
    <w:rsid w:val="3C131A3E"/>
    <w:rsid w:val="3C65673D"/>
    <w:rsid w:val="3FF878C8"/>
    <w:rsid w:val="41180544"/>
    <w:rsid w:val="42890CAC"/>
    <w:rsid w:val="434D7F2B"/>
    <w:rsid w:val="43D45F57"/>
    <w:rsid w:val="45835E86"/>
    <w:rsid w:val="46731A57"/>
    <w:rsid w:val="46E110B6"/>
    <w:rsid w:val="47451645"/>
    <w:rsid w:val="48BA396D"/>
    <w:rsid w:val="48D12A65"/>
    <w:rsid w:val="491017DF"/>
    <w:rsid w:val="49172B6D"/>
    <w:rsid w:val="4AAE12AF"/>
    <w:rsid w:val="4ADD7DE7"/>
    <w:rsid w:val="4C2757BD"/>
    <w:rsid w:val="4C7E2F03"/>
    <w:rsid w:val="4D021D86"/>
    <w:rsid w:val="4E922C96"/>
    <w:rsid w:val="4EA824BA"/>
    <w:rsid w:val="4FF5172F"/>
    <w:rsid w:val="509C7DFC"/>
    <w:rsid w:val="51763AD6"/>
    <w:rsid w:val="526B5CD8"/>
    <w:rsid w:val="538434F5"/>
    <w:rsid w:val="54CF07A0"/>
    <w:rsid w:val="550D12C8"/>
    <w:rsid w:val="552C79A0"/>
    <w:rsid w:val="55F54236"/>
    <w:rsid w:val="577E025B"/>
    <w:rsid w:val="582E077D"/>
    <w:rsid w:val="5AA4447D"/>
    <w:rsid w:val="5BE014E5"/>
    <w:rsid w:val="5C78171D"/>
    <w:rsid w:val="5DAD7BCA"/>
    <w:rsid w:val="5E9F11E3"/>
    <w:rsid w:val="5F702B80"/>
    <w:rsid w:val="5F9745B0"/>
    <w:rsid w:val="609B00D0"/>
    <w:rsid w:val="610712C2"/>
    <w:rsid w:val="658729D1"/>
    <w:rsid w:val="68016A6B"/>
    <w:rsid w:val="683055A2"/>
    <w:rsid w:val="6884144A"/>
    <w:rsid w:val="6AF26B3F"/>
    <w:rsid w:val="6B657311"/>
    <w:rsid w:val="6BAE515B"/>
    <w:rsid w:val="6BC95AF1"/>
    <w:rsid w:val="6DF332FA"/>
    <w:rsid w:val="6F743FC6"/>
    <w:rsid w:val="6FF869A5"/>
    <w:rsid w:val="714B6FA9"/>
    <w:rsid w:val="73090EC9"/>
    <w:rsid w:val="7352461E"/>
    <w:rsid w:val="743D707D"/>
    <w:rsid w:val="74713C5C"/>
    <w:rsid w:val="75263FB5"/>
    <w:rsid w:val="75B710B1"/>
    <w:rsid w:val="75CD4430"/>
    <w:rsid w:val="76960CC6"/>
    <w:rsid w:val="769D2054"/>
    <w:rsid w:val="76E71522"/>
    <w:rsid w:val="775A6197"/>
    <w:rsid w:val="77E85551"/>
    <w:rsid w:val="791800B8"/>
    <w:rsid w:val="79556C16"/>
    <w:rsid w:val="798219D5"/>
    <w:rsid w:val="7AB931D5"/>
    <w:rsid w:val="7B875081"/>
    <w:rsid w:val="7B95779E"/>
    <w:rsid w:val="7BC938EC"/>
    <w:rsid w:val="7BF87D2D"/>
    <w:rsid w:val="7C703D67"/>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2024-01-16T07:09:00Z</dcterms:created>
  <dc:creator>Administrator.SC-202209211406</dc:creator>
  <cp:lastModifiedBy>海冬沙</cp:lastModifiedBy>
  <dcterms:modified xsi:type="dcterms:W3CDTF">2024-02-04T08:27:40Z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C35B76E5C15F4670AE67CB9052E362A1_12</vt:lpwstr>
  </property>
</Properties>
</file>