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sz w:val="44"/>
          <w:szCs w:val="44"/>
          <w:lang w:val="en-US" w:eastAsia="zh-CN"/>
        </w:rPr>
      </w:pPr>
      <w:r>
        <w:rPr>
          <w:rFonts w:hint="eastAsia" w:ascii="Times New Roman" w:hAnsi="Times New Roman" w:eastAsia="方正小标宋简体" w:cs="Times New Roman"/>
          <w:b/>
          <w:bCs/>
          <w:sz w:val="44"/>
          <w:szCs w:val="44"/>
          <w:lang w:val="en-US" w:eastAsia="zh-CN"/>
        </w:rPr>
        <w:t>泗水县</w:t>
      </w:r>
      <w:r>
        <w:rPr>
          <w:rFonts w:hint="default" w:ascii="Times New Roman" w:hAnsi="Times New Roman" w:eastAsia="方正小标宋简体" w:cs="Times New Roman"/>
          <w:b/>
          <w:bCs/>
          <w:sz w:val="44"/>
          <w:szCs w:val="44"/>
          <w:lang w:val="en-US" w:eastAsia="zh-CN"/>
        </w:rPr>
        <w:t>杨柳镇人民政府2023年政府信息公开工作年度报告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本报告由杨柳镇人民政府按照《中华人民共和国政府信息公开条例》（以下简称《条例》）和《中华人民共和国政府信息公开工作年度报告格式》（国办公开办函〔2021〕30号）要求编制。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所列数据的统计时限自2023年1月1日起至2023年12月31日止。本报告电子版可在“中国·泗水”政府门户网站（www.sishui.gov.cn）查阅或下载。如对本报告有任何疑问，请与杨柳镇人民政府联系（地址：府前大街6号，联系电话：0537-4211018）。</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黑体简体" w:cs="Times New Roman"/>
          <w:b/>
          <w:bCs/>
          <w:kern w:val="2"/>
          <w:sz w:val="32"/>
          <w:szCs w:val="32"/>
          <w:lang w:val="en-US" w:eastAsia="zh-CN" w:bidi="ar-SA"/>
        </w:rPr>
      </w:pPr>
      <w:r>
        <w:rPr>
          <w:rFonts w:hint="default" w:ascii="Times New Roman" w:hAnsi="Times New Roman" w:eastAsia="方正黑体简体" w:cs="Times New Roman"/>
          <w:b/>
          <w:bCs/>
          <w:kern w:val="2"/>
          <w:sz w:val="32"/>
          <w:szCs w:val="32"/>
          <w:lang w:val="en-US" w:eastAsia="zh-CN" w:bidi="ar-SA"/>
        </w:rPr>
        <w:t>一、总体情况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2023年，杨柳镇人民政府高度重视政务公开工作，在上级部门的坚强领导和业务指导下，认真贯彻落实《中华人民共和国政府信息公开条例》和国务院、省、市、县政府政务公开工作要点的要求，大力推进基层政务信息标准化规范化建设，有效保障了公众的知情权、参与权、表达权和监督权,各项工作有序推进。本报告主要报告本行政机关报告年度政府信息公开工作总体情况，包括主动公开、依申请公开、政府信息管理、平台建设、监督保障等方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2023年度杨柳镇人民政府及时更新本单位政府信息公开指南，并按照要求建立健全政府信息主动公开目录，积极发布政府信息工作动态，主动回应社会关切。本年度通过政府门户网站主动公开信息15条，其中镇街动态8条、政策文件2条、公示公告4条、公开年报1条。另外，通过爱泗水APP发布政务信息及资讯612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仿宋" w:cs="Times New Roman"/>
          <w:b w:val="0"/>
          <w:bCs w:val="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33655</wp:posOffset>
            </wp:positionH>
            <wp:positionV relativeFrom="paragraph">
              <wp:posOffset>184150</wp:posOffset>
            </wp:positionV>
            <wp:extent cx="5256530" cy="2988310"/>
            <wp:effectExtent l="5080" t="4445" r="15240"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eastAsia="方正楷体简体" w:cs="Times New Roman"/>
          <w:b/>
          <w:bCs/>
          <w:sz w:val="32"/>
          <w:szCs w:val="32"/>
          <w:lang w:val="en-US" w:eastAsia="zh-CN"/>
        </w:rPr>
        <w:t>（二）依申请公开情况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2023年1月1日起至2023年12月31日，未收到依申请公开事项。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（三）政府信息管理情况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32"/>
          <w:szCs w:val="32"/>
          <w:lang w:val="en-US" w:eastAsia="zh-CN"/>
        </w:rPr>
        <w:t>杨柳镇高度重视政府信息管理工作。一是按照省信息主动公开清单和信息公开目录，结合年度工作重点，及时进行动态更新调整。二是规范信息发布程序和渠道，切实做好信息属性源头认定，确保发布及时、准确、安全。二是严格落实政府信息发布审核制度，严把政治关、法律关、政策关、保密关、文字关，努力做到及时、准确地公开政府信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（四）政府信息公开平台建设情况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2023年，我镇结合自身实际情况，充分利用现有政务信息资源，推进政府信息公开信息化平台建设，不断完善政府信息公开制度，明确政府信息公开的职责、范围、方式和操作流程。将信息公开的内容和速率作为信息公开工作的核心，安排人员负责公开信息的编辑、审核与发布。同时，杨柳镇在爱泗水APP政务模块开设专栏，并及时更新政务信息，截止目前已发布政务信息及资讯690余条，增加满足大众对不同政务信息的需求，确保信息对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（五）监督保障情况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杨柳镇政府信息公开工作由党政办公室牵头，各办公室积极配合，主动推进公开各类事项、依申请公开的各项规定程序等。同时严格执行信息公开审查要求，对信息公开内容进行把关，专人督促整改落实，全面推进网站政府信息公开工作，2023年我镇未出现因信息公开不到位需要进行责任追究的情况。</w:t>
      </w:r>
    </w:p>
    <w:p>
      <w:pPr>
        <w:numPr>
          <w:ilvl w:val="0"/>
          <w:numId w:val="0"/>
        </w:numPr>
        <w:ind w:firstLine="643" w:firstLineChars="200"/>
        <w:jc w:val="both"/>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kern w:val="2"/>
          <w:sz w:val="32"/>
          <w:szCs w:val="32"/>
          <w:lang w:val="en-US" w:eastAsia="zh-CN" w:bidi="ar-SA"/>
        </w:rPr>
        <w:t>二、</w:t>
      </w:r>
      <w:r>
        <w:rPr>
          <w:rFonts w:hint="default" w:ascii="Times New Roman" w:hAnsi="Times New Roman" w:eastAsia="方正黑体简体" w:cs="Times New Roman"/>
          <w:b/>
          <w:bCs/>
          <w:sz w:val="32"/>
          <w:szCs w:val="32"/>
          <w:lang w:val="en-US" w:eastAsia="zh-CN"/>
        </w:rPr>
        <w:t>主动公开政府信息情况</w:t>
      </w:r>
    </w:p>
    <w:tbl>
      <w:tblPr>
        <w:tblStyle w:val="3"/>
        <w:tblW w:w="5000" w:type="pct"/>
        <w:tblInd w:w="0" w:type="dxa"/>
        <w:tblLayout w:type="autofit"/>
        <w:tblCellMar>
          <w:top w:w="0" w:type="dxa"/>
          <w:left w:w="108" w:type="dxa"/>
          <w:bottom w:w="0" w:type="dxa"/>
          <w:right w:w="108" w:type="dxa"/>
        </w:tblCellMar>
      </w:tblPr>
      <w:tblGrid>
        <w:gridCol w:w="2237"/>
        <w:gridCol w:w="2237"/>
        <w:gridCol w:w="2237"/>
        <w:gridCol w:w="2237"/>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both"/>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both"/>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both"/>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both"/>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both"/>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both"/>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三、收到和处理政府信息公开申请情况</w:t>
      </w:r>
    </w:p>
    <w:tbl>
      <w:tblPr>
        <w:tblStyle w:val="3"/>
        <w:tblW w:w="907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50"/>
        <w:gridCol w:w="1570"/>
        <w:gridCol w:w="2701"/>
        <w:gridCol w:w="714"/>
        <w:gridCol w:w="490"/>
        <w:gridCol w:w="490"/>
        <w:gridCol w:w="627"/>
        <w:gridCol w:w="608"/>
        <w:gridCol w:w="492"/>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0" w:hRule="atLeast"/>
          <w:tblCellSpacing w:w="0" w:type="dxa"/>
        </w:trPr>
        <w:tc>
          <w:tcPr>
            <w:tcW w:w="4921" w:type="dxa"/>
            <w:gridSpan w:val="3"/>
            <w:vMerge w:val="restart"/>
            <w:shd w:val="clear" w:color="auto" w:fill="auto"/>
            <w:tcMar>
              <w:top w:w="0" w:type="dxa"/>
              <w:left w:w="105" w:type="dxa"/>
              <w:bottom w:w="0" w:type="dxa"/>
              <w:right w:w="105" w:type="dxa"/>
            </w:tcMar>
            <w:vAlign w:val="center"/>
          </w:tcPr>
          <w:p>
            <w:pPr>
              <w:widowControl/>
              <w:jc w:val="both"/>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pPr>
              <w:widowControl/>
              <w:jc w:val="both"/>
              <w:rPr>
                <w:rFonts w:hint="default" w:ascii="Times New Roman" w:hAnsi="Times New Roman" w:cs="Times New Roman"/>
                <w:b w:val="0"/>
                <w:bCs w:val="0"/>
              </w:rPr>
            </w:pPr>
            <w:r>
              <w:rPr>
                <w:rFonts w:hint="default" w:ascii="Times New Roman" w:hAnsi="Times New Roman" w:eastAsia="楷体_GB2312" w:cs="Times New Roman"/>
                <w:kern w:val="0"/>
                <w:szCs w:val="21"/>
              </w:rPr>
              <w:t>等于第三项加第四项之和）</w:t>
            </w:r>
          </w:p>
        </w:tc>
        <w:tc>
          <w:tcPr>
            <w:tcW w:w="4154" w:type="dxa"/>
            <w:gridSpan w:val="7"/>
            <w:shd w:val="clear" w:color="auto" w:fill="auto"/>
            <w:tcMar>
              <w:top w:w="0" w:type="dxa"/>
              <w:left w:w="105" w:type="dxa"/>
              <w:bottom w:w="0" w:type="dxa"/>
              <w:right w:w="105" w:type="dxa"/>
            </w:tcMar>
            <w:vAlign w:val="center"/>
          </w:tcPr>
          <w:p>
            <w:pPr>
              <w:widowControl/>
              <w:spacing w:line="320" w:lineRule="exact"/>
              <w:jc w:val="both"/>
              <w:rPr>
                <w:rFonts w:hint="default" w:ascii="Times New Roman" w:hAnsi="Times New Roman" w:cs="Times New Roman"/>
                <w:b w:val="0"/>
                <w:bCs w:val="0"/>
              </w:rPr>
            </w:pPr>
            <w:r>
              <w:rPr>
                <w:rFonts w:hint="default" w:ascii="Times New Roman" w:hAnsi="Times New Roman" w:eastAsia="黑体" w:cs="Times New Roman"/>
                <w:kern w:val="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0" w:hRule="atLeast"/>
          <w:tblCellSpacing w:w="0" w:type="dxa"/>
        </w:trPr>
        <w:tc>
          <w:tcPr>
            <w:tcW w:w="4921" w:type="dxa"/>
            <w:gridSpan w:val="3"/>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714" w:type="dxa"/>
            <w:vMerge w:val="restart"/>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Cs w:val="21"/>
              </w:rPr>
              <w:t>自然人</w:t>
            </w:r>
          </w:p>
        </w:tc>
        <w:tc>
          <w:tcPr>
            <w:tcW w:w="2707" w:type="dxa"/>
            <w:gridSpan w:val="5"/>
            <w:shd w:val="clear" w:color="auto" w:fill="auto"/>
            <w:tcMar>
              <w:top w:w="0" w:type="dxa"/>
              <w:left w:w="105" w:type="dxa"/>
              <w:bottom w:w="0" w:type="dxa"/>
              <w:right w:w="105" w:type="dxa"/>
            </w:tcMar>
            <w:vAlign w:val="center"/>
          </w:tcPr>
          <w:p>
            <w:pPr>
              <w:widowControl/>
              <w:spacing w:line="320" w:lineRule="exact"/>
              <w:jc w:val="both"/>
              <w:rPr>
                <w:rFonts w:hint="default" w:ascii="Times New Roman" w:hAnsi="Times New Roman" w:cs="Times New Roman"/>
                <w:b w:val="0"/>
                <w:bCs w:val="0"/>
              </w:rPr>
            </w:pPr>
            <w:r>
              <w:rPr>
                <w:rFonts w:hint="default" w:ascii="Times New Roman" w:hAnsi="Times New Roman" w:eastAsia="黑体" w:cs="Times New Roman"/>
                <w:kern w:val="0"/>
                <w:szCs w:val="21"/>
              </w:rPr>
              <w:t>法人或其他组织</w:t>
            </w:r>
          </w:p>
        </w:tc>
        <w:tc>
          <w:tcPr>
            <w:tcW w:w="733" w:type="dxa"/>
            <w:vMerge w:val="restart"/>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5" w:hRule="atLeast"/>
          <w:tblCellSpacing w:w="0" w:type="dxa"/>
        </w:trPr>
        <w:tc>
          <w:tcPr>
            <w:tcW w:w="4921" w:type="dxa"/>
            <w:gridSpan w:val="3"/>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714"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490" w:type="dxa"/>
            <w:shd w:val="clear" w:color="auto" w:fill="auto"/>
            <w:tcMar>
              <w:top w:w="0" w:type="dxa"/>
              <w:left w:w="105" w:type="dxa"/>
              <w:bottom w:w="0" w:type="dxa"/>
              <w:right w:w="105" w:type="dxa"/>
            </w:tcMar>
            <w:vAlign w:val="center"/>
          </w:tcPr>
          <w:p>
            <w:pPr>
              <w:widowControl/>
              <w:spacing w:line="320" w:lineRule="exact"/>
              <w:ind w:left="-106" w:leftChars="-51" w:right="-107" w:rightChars="-51" w:hanging="1" w:firstLineChars="0"/>
              <w:jc w:val="both"/>
              <w:rPr>
                <w:rFonts w:hint="default" w:ascii="Times New Roman" w:hAnsi="Times New Roman" w:cs="Times New Roman"/>
                <w:b w:val="0"/>
                <w:bCs w:val="0"/>
              </w:rPr>
            </w:pPr>
            <w:r>
              <w:rPr>
                <w:rFonts w:hint="default" w:ascii="Times New Roman" w:hAnsi="Times New Roman" w:eastAsia="黑体" w:cs="Times New Roman"/>
                <w:kern w:val="0"/>
                <w:szCs w:val="21"/>
              </w:rPr>
              <w:t>商业企业</w:t>
            </w:r>
          </w:p>
        </w:tc>
        <w:tc>
          <w:tcPr>
            <w:tcW w:w="490" w:type="dxa"/>
            <w:shd w:val="clear" w:color="auto" w:fill="auto"/>
            <w:tcMar>
              <w:top w:w="0" w:type="dxa"/>
              <w:left w:w="105" w:type="dxa"/>
              <w:bottom w:w="0" w:type="dxa"/>
              <w:right w:w="105" w:type="dxa"/>
            </w:tcMar>
            <w:vAlign w:val="center"/>
          </w:tcPr>
          <w:p>
            <w:pPr>
              <w:widowControl/>
              <w:spacing w:line="320" w:lineRule="exact"/>
              <w:ind w:left="-107" w:leftChars="-51" w:right="-107" w:rightChars="-51"/>
              <w:jc w:val="both"/>
              <w:rPr>
                <w:rFonts w:hint="default" w:ascii="Times New Roman" w:hAnsi="Times New Roman" w:cs="Times New Roman"/>
                <w:b w:val="0"/>
                <w:bCs w:val="0"/>
              </w:rPr>
            </w:pPr>
            <w:r>
              <w:rPr>
                <w:rFonts w:hint="default" w:ascii="Times New Roman" w:hAnsi="Times New Roman" w:eastAsia="黑体" w:cs="Times New Roman"/>
                <w:kern w:val="0"/>
                <w:szCs w:val="21"/>
              </w:rPr>
              <w:t>科研机构</w:t>
            </w:r>
          </w:p>
        </w:tc>
        <w:tc>
          <w:tcPr>
            <w:tcW w:w="627" w:type="dxa"/>
            <w:shd w:val="clear" w:color="auto" w:fill="auto"/>
            <w:tcMar>
              <w:top w:w="0" w:type="dxa"/>
              <w:left w:w="105" w:type="dxa"/>
              <w:bottom w:w="0" w:type="dxa"/>
              <w:right w:w="105" w:type="dxa"/>
            </w:tcMar>
            <w:vAlign w:val="center"/>
          </w:tcPr>
          <w:p>
            <w:pPr>
              <w:widowControl/>
              <w:spacing w:line="320" w:lineRule="exact"/>
              <w:ind w:left="-107" w:leftChars="-51" w:right="-107" w:rightChars="-51"/>
              <w:jc w:val="both"/>
              <w:rPr>
                <w:rFonts w:hint="default" w:ascii="Times New Roman" w:hAnsi="Times New Roman" w:cs="Times New Roman"/>
                <w:b w:val="0"/>
                <w:bCs w:val="0"/>
              </w:rPr>
            </w:pPr>
            <w:r>
              <w:rPr>
                <w:rFonts w:hint="default" w:ascii="Times New Roman" w:hAnsi="Times New Roman" w:eastAsia="黑体" w:cs="Times New Roman"/>
                <w:kern w:val="0"/>
                <w:szCs w:val="21"/>
              </w:rPr>
              <w:t>社会公益组织</w:t>
            </w:r>
          </w:p>
        </w:tc>
        <w:tc>
          <w:tcPr>
            <w:tcW w:w="608" w:type="dxa"/>
            <w:shd w:val="clear" w:color="auto" w:fill="auto"/>
            <w:tcMar>
              <w:top w:w="0" w:type="dxa"/>
              <w:left w:w="105" w:type="dxa"/>
              <w:bottom w:w="0" w:type="dxa"/>
              <w:right w:w="105" w:type="dxa"/>
            </w:tcMar>
            <w:vAlign w:val="center"/>
          </w:tcPr>
          <w:p>
            <w:pPr>
              <w:widowControl/>
              <w:spacing w:line="320" w:lineRule="exact"/>
              <w:ind w:left="-106" w:leftChars="-51" w:right="-107" w:rightChars="-51" w:hanging="1" w:firstLineChars="0"/>
              <w:jc w:val="both"/>
              <w:rPr>
                <w:rFonts w:hint="default" w:ascii="Times New Roman" w:hAnsi="Times New Roman" w:cs="Times New Roman"/>
                <w:b w:val="0"/>
                <w:bCs w:val="0"/>
              </w:rPr>
            </w:pPr>
            <w:r>
              <w:rPr>
                <w:rFonts w:hint="default" w:ascii="Times New Roman" w:hAnsi="Times New Roman" w:eastAsia="黑体" w:cs="Times New Roman"/>
                <w:kern w:val="0"/>
                <w:szCs w:val="21"/>
              </w:rPr>
              <w:t>法律服务机构</w:t>
            </w:r>
          </w:p>
        </w:tc>
        <w:tc>
          <w:tcPr>
            <w:tcW w:w="492" w:type="dxa"/>
            <w:shd w:val="clear" w:color="auto" w:fill="auto"/>
            <w:tcMar>
              <w:top w:w="0" w:type="dxa"/>
              <w:left w:w="105" w:type="dxa"/>
              <w:bottom w:w="0" w:type="dxa"/>
              <w:right w:w="105" w:type="dxa"/>
            </w:tcMar>
            <w:vAlign w:val="center"/>
          </w:tcPr>
          <w:p>
            <w:pPr>
              <w:widowControl/>
              <w:spacing w:line="360" w:lineRule="exact"/>
              <w:ind w:left="-63" w:leftChars="-30" w:right="-134" w:rightChars="-64"/>
              <w:jc w:val="both"/>
              <w:rPr>
                <w:rFonts w:hint="default" w:ascii="Times New Roman" w:hAnsi="Times New Roman" w:cs="Times New Roman"/>
                <w:b w:val="0"/>
                <w:bCs w:val="0"/>
              </w:rPr>
            </w:pPr>
            <w:r>
              <w:rPr>
                <w:rFonts w:hint="default" w:ascii="Times New Roman" w:hAnsi="Times New Roman" w:eastAsia="黑体" w:cs="Times New Roman"/>
                <w:kern w:val="0"/>
                <w:szCs w:val="21"/>
              </w:rPr>
              <w:t>其他</w:t>
            </w:r>
          </w:p>
        </w:tc>
        <w:tc>
          <w:tcPr>
            <w:tcW w:w="733"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4921" w:type="dxa"/>
            <w:gridSpan w:val="3"/>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Cs w:val="21"/>
              </w:rPr>
              <w:t>一、本年新收政府信息公开申请数量</w:t>
            </w:r>
          </w:p>
        </w:tc>
        <w:tc>
          <w:tcPr>
            <w:tcW w:w="71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4921" w:type="dxa"/>
            <w:gridSpan w:val="3"/>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Cs w:val="21"/>
              </w:rPr>
              <w:t>二、上年结转政府信息公开申请数量</w:t>
            </w:r>
          </w:p>
        </w:tc>
        <w:tc>
          <w:tcPr>
            <w:tcW w:w="71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50" w:type="dxa"/>
            <w:vMerge w:val="restart"/>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eastAsia="黑体" w:cs="Times New Roman"/>
                <w:kern w:val="0"/>
                <w:szCs w:val="21"/>
              </w:rPr>
              <w:t>三、本年度办理结果</w:t>
            </w:r>
          </w:p>
        </w:tc>
        <w:tc>
          <w:tcPr>
            <w:tcW w:w="4271" w:type="dxa"/>
            <w:gridSpan w:val="2"/>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Cs w:val="21"/>
              </w:rPr>
              <w:t>（一）予以公开</w:t>
            </w:r>
          </w:p>
        </w:tc>
        <w:tc>
          <w:tcPr>
            <w:tcW w:w="71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4271" w:type="dxa"/>
            <w:gridSpan w:val="2"/>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Cs w:val="21"/>
              </w:rPr>
              <w:t>（二）部分公开（区分处理的，只计这一情形，不计其他情形）</w:t>
            </w:r>
          </w:p>
        </w:tc>
        <w:tc>
          <w:tcPr>
            <w:tcW w:w="71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restart"/>
            <w:shd w:val="clear" w:color="auto" w:fill="auto"/>
            <w:tcMar>
              <w:top w:w="0" w:type="dxa"/>
              <w:left w:w="105" w:type="dxa"/>
              <w:bottom w:w="0" w:type="dxa"/>
              <w:right w:w="105" w:type="dxa"/>
            </w:tcMar>
            <w:vAlign w:val="center"/>
          </w:tcPr>
          <w:p>
            <w:pPr>
              <w:widowControl/>
              <w:spacing w:line="200" w:lineRule="exact"/>
              <w:ind w:left="-107" w:leftChars="-51"/>
              <w:jc w:val="both"/>
              <w:rPr>
                <w:rFonts w:hint="default" w:ascii="Times New Roman" w:hAnsi="Times New Roman" w:cs="Times New Roman"/>
                <w:b w:val="0"/>
                <w:bCs w:val="0"/>
              </w:rPr>
            </w:pPr>
            <w:r>
              <w:rPr>
                <w:rFonts w:hint="default" w:ascii="Times New Roman" w:hAnsi="Times New Roman" w:eastAsia="黑体" w:cs="Times New Roman"/>
                <w:kern w:val="0"/>
                <w:szCs w:val="21"/>
              </w:rPr>
              <w:t>（三）不予公开</w:t>
            </w: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1.属于国家秘密</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2.其他法律行政法规禁止公开</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3.危及“三安全一稳定”</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4.保护第三方合法权益</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5.属于三类内部事务信息</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6.属于四类过程性信息</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7.属于行政执法案卷</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8.属于行政查询事项</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restart"/>
            <w:shd w:val="clear" w:color="auto" w:fill="auto"/>
            <w:tcMar>
              <w:top w:w="0" w:type="dxa"/>
              <w:left w:w="105" w:type="dxa"/>
              <w:bottom w:w="0" w:type="dxa"/>
              <w:right w:w="105" w:type="dxa"/>
            </w:tcMar>
            <w:vAlign w:val="center"/>
          </w:tcPr>
          <w:p>
            <w:pPr>
              <w:widowControl/>
              <w:spacing w:line="200" w:lineRule="exact"/>
              <w:ind w:left="-107" w:leftChars="-51"/>
              <w:jc w:val="both"/>
              <w:rPr>
                <w:rFonts w:hint="default" w:ascii="Times New Roman" w:hAnsi="Times New Roman" w:cs="Times New Roman"/>
                <w:b w:val="0"/>
                <w:bCs w:val="0"/>
              </w:rPr>
            </w:pPr>
            <w:r>
              <w:rPr>
                <w:rFonts w:hint="default" w:ascii="Times New Roman" w:hAnsi="Times New Roman" w:eastAsia="黑体" w:cs="Times New Roman"/>
                <w:kern w:val="0"/>
                <w:szCs w:val="21"/>
              </w:rPr>
              <w:t>（四）无法提供</w:t>
            </w: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1.本机关不掌握相关政府信息</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ind w:left="-107" w:leftChars="-51"/>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2.没有现成信息需要另行制作</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ind w:left="-107" w:leftChars="-51"/>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3.补正后申请内容仍不明确</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restart"/>
            <w:shd w:val="clear" w:color="auto" w:fill="auto"/>
            <w:tcMar>
              <w:top w:w="0" w:type="dxa"/>
              <w:left w:w="105" w:type="dxa"/>
              <w:bottom w:w="0" w:type="dxa"/>
              <w:right w:w="105" w:type="dxa"/>
            </w:tcMar>
            <w:vAlign w:val="center"/>
          </w:tcPr>
          <w:p>
            <w:pPr>
              <w:widowControl/>
              <w:spacing w:line="200" w:lineRule="exact"/>
              <w:ind w:left="-107" w:leftChars="-51"/>
              <w:jc w:val="both"/>
              <w:rPr>
                <w:rFonts w:hint="default" w:ascii="Times New Roman" w:hAnsi="Times New Roman" w:cs="Times New Roman"/>
                <w:b w:val="0"/>
                <w:bCs w:val="0"/>
              </w:rPr>
            </w:pPr>
            <w:r>
              <w:rPr>
                <w:rFonts w:hint="default" w:ascii="Times New Roman" w:hAnsi="Times New Roman" w:eastAsia="黑体" w:cs="Times New Roman"/>
                <w:kern w:val="0"/>
                <w:szCs w:val="21"/>
              </w:rPr>
              <w:t>（五）不予处理</w:t>
            </w: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1.信访举报投诉类申请</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2.重复申请</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3.要求提供公开出版物</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200" w:lineRule="exact"/>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4.无正当理由大量反复申请</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continue"/>
            <w:shd w:val="clear" w:color="auto" w:fill="auto"/>
            <w:tcMar>
              <w:top w:w="0" w:type="dxa"/>
              <w:left w:w="105" w:type="dxa"/>
              <w:bottom w:w="0" w:type="dxa"/>
              <w:right w:w="105" w:type="dxa"/>
            </w:tcMar>
            <w:vAlign w:val="center"/>
          </w:tcPr>
          <w:p>
            <w:pPr>
              <w:spacing w:line="200" w:lineRule="exact"/>
              <w:jc w:val="both"/>
              <w:rPr>
                <w:rFonts w:hint="default" w:ascii="Times New Roman" w:hAnsi="Times New Roman" w:cs="Times New Roman"/>
                <w:b w:val="0"/>
                <w:bCs w:val="0"/>
                <w:sz w:val="24"/>
                <w:szCs w:val="24"/>
              </w:rPr>
            </w:pPr>
          </w:p>
        </w:tc>
        <w:tc>
          <w:tcPr>
            <w:tcW w:w="2701" w:type="dxa"/>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pPr>
              <w:widowControl/>
              <w:spacing w:line="300" w:lineRule="exact"/>
              <w:ind w:firstLine="210" w:firstLineChars="100"/>
              <w:jc w:val="both"/>
              <w:rPr>
                <w:rFonts w:hint="default" w:ascii="Times New Roman" w:hAnsi="Times New Roman" w:cs="Times New Roman"/>
                <w:b w:val="0"/>
                <w:bCs w:val="0"/>
              </w:rPr>
            </w:pPr>
            <w:r>
              <w:rPr>
                <w:rFonts w:hint="default" w:ascii="Times New Roman" w:hAnsi="Times New Roman" w:eastAsia="仿宋_GB2312" w:cs="Times New Roman"/>
                <w:kern w:val="0"/>
                <w:szCs w:val="21"/>
              </w:rPr>
              <w:t>出具已获取信息</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3"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1570" w:type="dxa"/>
            <w:vMerge w:val="restart"/>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b w:val="0"/>
                <w:bCs w:val="0"/>
              </w:rPr>
            </w:pPr>
            <w:r>
              <w:rPr>
                <w:rFonts w:hint="default" w:ascii="Times New Roman" w:hAnsi="Times New Roman" w:eastAsia="黑体" w:cs="Times New Roman"/>
                <w:kern w:val="0"/>
                <w:szCs w:val="21"/>
              </w:rPr>
              <w:t>（六）其他处理</w:t>
            </w:r>
          </w:p>
        </w:tc>
        <w:tc>
          <w:tcPr>
            <w:tcW w:w="2701" w:type="dxa"/>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eastAsia="仿宋_GB2312" w:cs="Times New Roman"/>
              </w:rPr>
              <w:t>1.申请人无正当理由逾期不补正、行政机关不再处理其政府信息公开申请</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3"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rPr>
            </w:pPr>
          </w:p>
        </w:tc>
        <w:tc>
          <w:tcPr>
            <w:tcW w:w="1570" w:type="dxa"/>
            <w:vMerge w:val="continue"/>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b w:val="0"/>
                <w:bCs w:val="0"/>
              </w:rPr>
            </w:pPr>
          </w:p>
        </w:tc>
        <w:tc>
          <w:tcPr>
            <w:tcW w:w="2701" w:type="dxa"/>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eastAsia="仿宋_GB2312" w:cs="Times New Roman"/>
              </w:rPr>
              <w:t>2.申请人逾期未按收费通知要求缴纳费用、行政机关不再处理其政府信息公开申请</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3"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rPr>
            </w:pPr>
          </w:p>
        </w:tc>
        <w:tc>
          <w:tcPr>
            <w:tcW w:w="1570" w:type="dxa"/>
            <w:vMerge w:val="continue"/>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b w:val="0"/>
                <w:bCs w:val="0"/>
              </w:rPr>
            </w:pPr>
          </w:p>
        </w:tc>
        <w:tc>
          <w:tcPr>
            <w:tcW w:w="2701" w:type="dxa"/>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eastAsia="仿宋_GB2312" w:cs="Times New Roman"/>
              </w:rPr>
              <w:t>3.其他</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0" w:hRule="atLeast"/>
          <w:tblCellSpacing w:w="0" w:type="dxa"/>
        </w:trPr>
        <w:tc>
          <w:tcPr>
            <w:tcW w:w="650"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4271" w:type="dxa"/>
            <w:gridSpan w:val="2"/>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b w:val="0"/>
                <w:bCs w:val="0"/>
              </w:rPr>
            </w:pPr>
            <w:r>
              <w:rPr>
                <w:rFonts w:hint="default" w:ascii="Times New Roman" w:hAnsi="Times New Roman" w:eastAsia="黑体" w:cs="Times New Roman"/>
                <w:kern w:val="0"/>
                <w:szCs w:val="21"/>
              </w:rPr>
              <w:t>（七）总计</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4921" w:type="dxa"/>
            <w:gridSpan w:val="3"/>
            <w:shd w:val="clear" w:color="auto" w:fill="auto"/>
            <w:tcMar>
              <w:top w:w="0" w:type="dxa"/>
              <w:left w:w="105" w:type="dxa"/>
              <w:bottom w:w="0" w:type="dxa"/>
              <w:right w:w="105" w:type="dxa"/>
            </w:tcMar>
            <w:vAlign w:val="center"/>
          </w:tcPr>
          <w:p>
            <w:pPr>
              <w:widowControl/>
              <w:spacing w:line="300" w:lineRule="exact"/>
              <w:jc w:val="both"/>
              <w:rPr>
                <w:rFonts w:hint="default" w:ascii="Times New Roman" w:hAnsi="Times New Roman" w:cs="Times New Roman"/>
                <w:b w:val="0"/>
                <w:bCs w:val="0"/>
              </w:rPr>
            </w:pPr>
            <w:r>
              <w:rPr>
                <w:rFonts w:hint="default" w:ascii="Times New Roman" w:hAnsi="Times New Roman" w:eastAsia="黑体" w:cs="Times New Roman"/>
                <w:kern w:val="0"/>
                <w:szCs w:val="21"/>
              </w:rPr>
              <w:t>四、结转下年度继续办理</w:t>
            </w:r>
          </w:p>
        </w:tc>
        <w:tc>
          <w:tcPr>
            <w:tcW w:w="714"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line="200" w:lineRule="exact"/>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49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2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608"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492"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c>
          <w:tcPr>
            <w:tcW w:w="733"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b w:val="0"/>
                <w:bCs w:val="0"/>
              </w:rPr>
            </w:pPr>
            <w:r>
              <w:rPr>
                <w:rFonts w:hint="default" w:ascii="Times New Roman" w:hAnsi="Times New Roman" w:cs="Times New Roman"/>
                <w:b w:val="0"/>
                <w:bCs w:val="0"/>
                <w:lang w:val="en-US" w:eastAsia="zh-CN"/>
              </w:rPr>
              <w:t>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四、政府信息公开行政复议、行政诉讼情况</w:t>
      </w:r>
    </w:p>
    <w:tbl>
      <w:tblPr>
        <w:tblStyle w:val="3"/>
        <w:tblW w:w="9075"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04"/>
        <w:gridCol w:w="604"/>
        <w:gridCol w:w="604"/>
        <w:gridCol w:w="604"/>
        <w:gridCol w:w="659"/>
        <w:gridCol w:w="550"/>
        <w:gridCol w:w="605"/>
        <w:gridCol w:w="605"/>
        <w:gridCol w:w="605"/>
        <w:gridCol w:w="606"/>
        <w:gridCol w:w="605"/>
        <w:gridCol w:w="605"/>
        <w:gridCol w:w="605"/>
        <w:gridCol w:w="607"/>
        <w:gridCol w:w="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95" w:hRule="atLeast"/>
          <w:tblCellSpacing w:w="0" w:type="dxa"/>
        </w:trPr>
        <w:tc>
          <w:tcPr>
            <w:tcW w:w="3075" w:type="dxa"/>
            <w:gridSpan w:val="5"/>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行政复议</w:t>
            </w:r>
          </w:p>
        </w:tc>
        <w:tc>
          <w:tcPr>
            <w:tcW w:w="6000" w:type="dxa"/>
            <w:gridSpan w:val="10"/>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0" w:type="dxa"/>
        </w:trPr>
        <w:tc>
          <w:tcPr>
            <w:tcW w:w="604" w:type="dxa"/>
            <w:vMerge w:val="restart"/>
            <w:shd w:val="clear" w:color="auto" w:fill="auto"/>
            <w:tcMar>
              <w:top w:w="0" w:type="dxa"/>
              <w:left w:w="105" w:type="dxa"/>
              <w:bottom w:w="0" w:type="dxa"/>
              <w:right w:w="105" w:type="dxa"/>
            </w:tcMar>
            <w:vAlign w:val="center"/>
          </w:tcPr>
          <w:p>
            <w:pPr>
              <w:widowControl/>
              <w:ind w:left="-149" w:leftChars="-71" w:right="-170" w:rightChars="-81"/>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49" w:leftChars="-71" w:right="-170" w:rightChars="-81"/>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维持</w:t>
            </w:r>
          </w:p>
        </w:tc>
        <w:tc>
          <w:tcPr>
            <w:tcW w:w="604" w:type="dxa"/>
            <w:vMerge w:val="restart"/>
            <w:shd w:val="clear" w:color="auto" w:fill="auto"/>
            <w:tcMar>
              <w:top w:w="0" w:type="dxa"/>
              <w:left w:w="105" w:type="dxa"/>
              <w:bottom w:w="0" w:type="dxa"/>
              <w:right w:w="105" w:type="dxa"/>
            </w:tcMar>
            <w:vAlign w:val="center"/>
          </w:tcPr>
          <w:p>
            <w:pPr>
              <w:widowControl/>
              <w:ind w:left="-43" w:leftChars="-21" w:right="-132" w:rightChars="-63" w:hanging="1" w:firstLineChars="0"/>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结果纠正</w:t>
            </w:r>
          </w:p>
        </w:tc>
        <w:tc>
          <w:tcPr>
            <w:tcW w:w="604" w:type="dxa"/>
            <w:vMerge w:val="restart"/>
            <w:shd w:val="clear" w:color="auto" w:fill="auto"/>
            <w:tcMar>
              <w:top w:w="0" w:type="dxa"/>
              <w:left w:w="105" w:type="dxa"/>
              <w:bottom w:w="0" w:type="dxa"/>
              <w:right w:w="105" w:type="dxa"/>
            </w:tcMar>
            <w:vAlign w:val="center"/>
          </w:tcPr>
          <w:p>
            <w:pPr>
              <w:widowControl/>
              <w:ind w:left="-82" w:leftChars="-39" w:right="-97" w:rightChars="-46"/>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其他结果</w:t>
            </w:r>
          </w:p>
        </w:tc>
        <w:tc>
          <w:tcPr>
            <w:tcW w:w="604" w:type="dxa"/>
            <w:vMerge w:val="restart"/>
            <w:shd w:val="clear" w:color="auto" w:fill="auto"/>
            <w:tcMar>
              <w:top w:w="0" w:type="dxa"/>
              <w:left w:w="105" w:type="dxa"/>
              <w:bottom w:w="0" w:type="dxa"/>
              <w:right w:w="105" w:type="dxa"/>
            </w:tcMar>
            <w:vAlign w:val="center"/>
          </w:tcPr>
          <w:p>
            <w:pPr>
              <w:widowControl/>
              <w:ind w:left="-118" w:leftChars="-56" w:right="-118" w:rightChars="-56"/>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18" w:leftChars="-56" w:right="-118" w:rightChars="-56"/>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审结</w:t>
            </w:r>
          </w:p>
        </w:tc>
        <w:tc>
          <w:tcPr>
            <w:tcW w:w="659" w:type="dxa"/>
            <w:vMerge w:val="restart"/>
            <w:shd w:val="clear" w:color="auto" w:fill="auto"/>
            <w:tcMar>
              <w:top w:w="0" w:type="dxa"/>
              <w:left w:w="105" w:type="dxa"/>
              <w:bottom w:w="0" w:type="dxa"/>
              <w:right w:w="105" w:type="dxa"/>
            </w:tcMar>
            <w:vAlign w:val="center"/>
          </w:tcPr>
          <w:p>
            <w:pPr>
              <w:widowControl/>
              <w:spacing w:line="320" w:lineRule="exact"/>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pPr>
              <w:widowControl/>
              <w:spacing w:line="320" w:lineRule="exact"/>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计</w:t>
            </w:r>
          </w:p>
        </w:tc>
        <w:tc>
          <w:tcPr>
            <w:tcW w:w="2971" w:type="dxa"/>
            <w:gridSpan w:val="5"/>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未经复议直接起诉</w:t>
            </w:r>
          </w:p>
        </w:tc>
        <w:tc>
          <w:tcPr>
            <w:tcW w:w="3029" w:type="dxa"/>
            <w:gridSpan w:val="5"/>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tblCellSpacing w:w="0" w:type="dxa"/>
        </w:trPr>
        <w:tc>
          <w:tcPr>
            <w:tcW w:w="604"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604"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604"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604"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659" w:type="dxa"/>
            <w:vMerge w:val="continue"/>
            <w:shd w:val="clear" w:color="auto" w:fill="auto"/>
            <w:tcMar>
              <w:top w:w="0" w:type="dxa"/>
              <w:left w:w="105" w:type="dxa"/>
              <w:bottom w:w="0" w:type="dxa"/>
              <w:right w:w="105" w:type="dxa"/>
            </w:tcMar>
            <w:vAlign w:val="center"/>
          </w:tcPr>
          <w:p>
            <w:pPr>
              <w:jc w:val="both"/>
              <w:rPr>
                <w:rFonts w:hint="default" w:ascii="Times New Roman" w:hAnsi="Times New Roman" w:cs="Times New Roman"/>
                <w:b w:val="0"/>
                <w:bCs w:val="0"/>
                <w:sz w:val="24"/>
                <w:szCs w:val="24"/>
              </w:rPr>
            </w:pPr>
          </w:p>
        </w:tc>
        <w:tc>
          <w:tcPr>
            <w:tcW w:w="550" w:type="dxa"/>
            <w:shd w:val="clear" w:color="auto" w:fill="auto"/>
            <w:tcMar>
              <w:top w:w="0" w:type="dxa"/>
              <w:left w:w="105" w:type="dxa"/>
              <w:bottom w:w="0" w:type="dxa"/>
              <w:right w:w="105" w:type="dxa"/>
            </w:tcMar>
            <w:vAlign w:val="center"/>
          </w:tcPr>
          <w:p>
            <w:pPr>
              <w:widowControl/>
              <w:ind w:left="-105" w:leftChars="-50" w:right="-126" w:rightChars="-60"/>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结果维持</w:t>
            </w:r>
          </w:p>
        </w:tc>
        <w:tc>
          <w:tcPr>
            <w:tcW w:w="605" w:type="dxa"/>
            <w:shd w:val="clear" w:color="auto" w:fill="auto"/>
            <w:tcMar>
              <w:top w:w="0" w:type="dxa"/>
              <w:left w:w="105" w:type="dxa"/>
              <w:bottom w:w="0" w:type="dxa"/>
              <w:right w:w="105" w:type="dxa"/>
            </w:tcMar>
            <w:vAlign w:val="center"/>
          </w:tcPr>
          <w:p>
            <w:pPr>
              <w:widowControl/>
              <w:ind w:left="-86" w:leftChars="-41" w:right="-88" w:rightChars="-42"/>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结果纠正</w:t>
            </w:r>
          </w:p>
        </w:tc>
        <w:tc>
          <w:tcPr>
            <w:tcW w:w="605" w:type="dxa"/>
            <w:shd w:val="clear" w:color="auto" w:fill="auto"/>
            <w:tcMar>
              <w:top w:w="0" w:type="dxa"/>
              <w:left w:w="105" w:type="dxa"/>
              <w:bottom w:w="0" w:type="dxa"/>
              <w:right w:w="105" w:type="dxa"/>
            </w:tcMar>
            <w:vAlign w:val="center"/>
          </w:tcPr>
          <w:p>
            <w:pPr>
              <w:widowControl/>
              <w:ind w:left="-126" w:leftChars="-60" w:right="-136" w:rightChars="-65"/>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26" w:leftChars="-60" w:right="-136" w:rightChars="-65"/>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结果</w:t>
            </w:r>
          </w:p>
        </w:tc>
        <w:tc>
          <w:tcPr>
            <w:tcW w:w="605" w:type="dxa"/>
            <w:shd w:val="clear" w:color="auto" w:fill="auto"/>
            <w:tcMar>
              <w:top w:w="0" w:type="dxa"/>
              <w:left w:w="105" w:type="dxa"/>
              <w:bottom w:w="0" w:type="dxa"/>
              <w:right w:w="105" w:type="dxa"/>
            </w:tcMar>
            <w:vAlign w:val="center"/>
          </w:tcPr>
          <w:p>
            <w:pPr>
              <w:widowControl/>
              <w:ind w:left="-164" w:leftChars="-78" w:right="-153" w:rightChars="-73"/>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64" w:leftChars="-78" w:right="-153" w:rightChars="-73"/>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审结</w:t>
            </w:r>
          </w:p>
        </w:tc>
        <w:tc>
          <w:tcPr>
            <w:tcW w:w="606" w:type="dxa"/>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总计</w:t>
            </w:r>
          </w:p>
        </w:tc>
        <w:tc>
          <w:tcPr>
            <w:tcW w:w="605" w:type="dxa"/>
            <w:shd w:val="clear" w:color="auto" w:fill="auto"/>
            <w:tcMar>
              <w:top w:w="0" w:type="dxa"/>
              <w:left w:w="105" w:type="dxa"/>
              <w:bottom w:w="0" w:type="dxa"/>
              <w:right w:w="105" w:type="dxa"/>
            </w:tcMar>
            <w:vAlign w:val="center"/>
          </w:tcPr>
          <w:p>
            <w:pPr>
              <w:widowControl/>
              <w:ind w:left="-99" w:leftChars="-47" w:right="-78" w:rightChars="-37"/>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结果维持</w:t>
            </w:r>
          </w:p>
        </w:tc>
        <w:tc>
          <w:tcPr>
            <w:tcW w:w="605" w:type="dxa"/>
            <w:shd w:val="clear" w:color="auto" w:fill="auto"/>
            <w:tcMar>
              <w:top w:w="0" w:type="dxa"/>
              <w:left w:w="105" w:type="dxa"/>
              <w:bottom w:w="0" w:type="dxa"/>
              <w:right w:w="105" w:type="dxa"/>
            </w:tcMar>
            <w:vAlign w:val="center"/>
          </w:tcPr>
          <w:p>
            <w:pPr>
              <w:widowControl/>
              <w:ind w:left="-136" w:leftChars="-65" w:right="-124" w:rightChars="-59"/>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36" w:leftChars="-65" w:right="-124" w:rightChars="-59"/>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纠正</w:t>
            </w:r>
          </w:p>
        </w:tc>
        <w:tc>
          <w:tcPr>
            <w:tcW w:w="605" w:type="dxa"/>
            <w:shd w:val="clear" w:color="auto" w:fill="auto"/>
            <w:tcMar>
              <w:top w:w="0" w:type="dxa"/>
              <w:left w:w="105" w:type="dxa"/>
              <w:bottom w:w="0" w:type="dxa"/>
              <w:right w:w="105" w:type="dxa"/>
            </w:tcMar>
            <w:vAlign w:val="center"/>
          </w:tcPr>
          <w:p>
            <w:pPr>
              <w:widowControl/>
              <w:ind w:left="-173" w:leftChars="-83" w:right="-134" w:rightChars="-64" w:hanging="1"/>
              <w:jc w:val="both"/>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73" w:leftChars="-83" w:right="-134" w:rightChars="-64" w:hanging="1" w:firstLineChars="0"/>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结果</w:t>
            </w:r>
          </w:p>
        </w:tc>
        <w:tc>
          <w:tcPr>
            <w:tcW w:w="607" w:type="dxa"/>
            <w:shd w:val="clear" w:color="auto" w:fill="auto"/>
            <w:tcMar>
              <w:top w:w="0" w:type="dxa"/>
              <w:left w:w="105" w:type="dxa"/>
              <w:bottom w:w="0" w:type="dxa"/>
              <w:right w:w="105" w:type="dxa"/>
            </w:tcMar>
            <w:vAlign w:val="center"/>
          </w:tcPr>
          <w:p>
            <w:pPr>
              <w:widowControl/>
              <w:ind w:left="-67" w:leftChars="-33" w:right="-105" w:rightChars="-50" w:hanging="2" w:hangingChars="1"/>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尚未审结</w:t>
            </w:r>
          </w:p>
        </w:tc>
        <w:tc>
          <w:tcPr>
            <w:tcW w:w="607" w:type="dxa"/>
            <w:shd w:val="clear" w:color="auto" w:fill="auto"/>
            <w:tcMar>
              <w:top w:w="0" w:type="dxa"/>
              <w:left w:w="105" w:type="dxa"/>
              <w:bottom w:w="0" w:type="dxa"/>
              <w:right w:w="105" w:type="dxa"/>
            </w:tcMar>
            <w:vAlign w:val="center"/>
          </w:tcPr>
          <w:p>
            <w:pPr>
              <w:widowControl/>
              <w:jc w:val="both"/>
              <w:rPr>
                <w:rFonts w:hint="default" w:ascii="Times New Roman" w:hAnsi="Times New Roman" w:cs="Times New Roman"/>
                <w:b w:val="0"/>
                <w:bCs w:val="0"/>
              </w:rPr>
            </w:pPr>
            <w:r>
              <w:rPr>
                <w:rFonts w:hint="default" w:ascii="Times New Roman" w:hAnsi="Times New Roman" w:eastAsia="黑体" w:cs="Times New Roman"/>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0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4"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59"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550"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5"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5"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5"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6"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5"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5"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5"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c>
          <w:tcPr>
            <w:tcW w:w="607" w:type="dxa"/>
            <w:shd w:val="clear" w:color="auto" w:fill="auto"/>
            <w:tcMar>
              <w:top w:w="0" w:type="dxa"/>
              <w:left w:w="105" w:type="dxa"/>
              <w:bottom w:w="0" w:type="dxa"/>
              <w:right w:w="105" w:type="dxa"/>
            </w:tcMar>
            <w:vAlign w:val="center"/>
          </w:tcPr>
          <w:p>
            <w:pPr>
              <w:widowControl/>
              <w:spacing w:after="180"/>
              <w:jc w:val="both"/>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0</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五、存在的主要问题及改进情况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楷体简体" w:cs="Times New Roman"/>
          <w:b/>
          <w:bCs/>
          <w:sz w:val="32"/>
          <w:szCs w:val="32"/>
          <w:lang w:val="en-US" w:eastAsia="zh-CN"/>
        </w:rPr>
        <w:t>（一）存在的不足：</w:t>
      </w:r>
      <w:r>
        <w:rPr>
          <w:rFonts w:hint="default" w:ascii="Times New Roman" w:hAnsi="Times New Roman" w:eastAsia="方正仿宋简体" w:cs="Times New Roman"/>
          <w:b/>
          <w:bCs/>
          <w:kern w:val="2"/>
          <w:sz w:val="32"/>
          <w:szCs w:val="32"/>
          <w:lang w:val="en-US" w:eastAsia="zh-CN" w:bidi="ar-SA"/>
        </w:rPr>
        <w:t>一是对照县政府政府信息公开工作的新要求，还存在一定的差距，有些工作抓的不够全面;二是督查工作力度有待于进一步加强，监督制约机制有待进一步健全完善；三是时效需进一步提高，个别涉及上报审批原因，信息更新不够及时；四是信息公开的格式需要进一步规范。</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楷体简体" w:cs="Times New Roman"/>
          <w:b/>
          <w:bCs/>
          <w:sz w:val="32"/>
          <w:szCs w:val="32"/>
          <w:lang w:val="en-US" w:eastAsia="zh-CN"/>
        </w:rPr>
        <w:t>（二）下一步工作打算：</w:t>
      </w:r>
      <w:r>
        <w:rPr>
          <w:rFonts w:hint="default" w:ascii="Times New Roman" w:hAnsi="Times New Roman" w:eastAsia="方正仿宋简体" w:cs="Times New Roman"/>
          <w:b/>
          <w:bCs/>
          <w:kern w:val="2"/>
          <w:sz w:val="32"/>
          <w:szCs w:val="32"/>
          <w:lang w:val="en-US" w:eastAsia="zh-CN" w:bidi="ar-SA"/>
        </w:rPr>
        <w:t>一是进一步结合工作的实际，领会政府信息公开工作新的内涵。二是认真学习加强队伍建设，加强管理教育力度；强化督查，加强检查指导工作的力度，保证政府信息公开工作的有效开展。三是按照新要求，严格标准，进一步完善相关的工作制度，建立健全政府信息公开工作的长效机制，四是丰富公开内容，做到真实、具体、全面。并在工作质量、态度、时效等方面进一步作出承诺，不断增强工作透明度。通过规范和完善，扎扎实实推进我办政府信息公开工作的开展，开创政府信息公开工作的新局面。</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(一)依据《政府信息公开信息处理费管理办法》收取信息处理费的情况: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2023年，杨柳镇</w:t>
      </w:r>
      <w:r>
        <w:rPr>
          <w:rFonts w:hint="default" w:ascii="Times New Roman" w:hAnsi="Times New Roman" w:eastAsia="方正仿宋简体" w:cs="Times New Roman"/>
          <w:b/>
          <w:bCs/>
          <w:kern w:val="2"/>
          <w:sz w:val="32"/>
          <w:szCs w:val="32"/>
          <w:lang w:val="en-US" w:eastAsia="zh-CN" w:bidi="ar-SA"/>
        </w:rPr>
        <w:t>严格落实《国务院办公厅关于印发&lt;政府信息公开信息处理费管理办法&gt;的通知》(国办函〔2020〕109号)和《山</w:t>
      </w:r>
      <w:bookmarkStart w:id="0" w:name="_GoBack"/>
      <w:bookmarkEnd w:id="0"/>
      <w:r>
        <w:rPr>
          <w:rFonts w:hint="default" w:ascii="Times New Roman" w:hAnsi="Times New Roman" w:eastAsia="方正仿宋简体" w:cs="Times New Roman"/>
          <w:b/>
          <w:bCs/>
          <w:kern w:val="2"/>
          <w:sz w:val="32"/>
          <w:szCs w:val="32"/>
          <w:lang w:val="en-US" w:eastAsia="zh-CN" w:bidi="ar-SA"/>
        </w:rPr>
        <w:t>东省人民政府办公厅关于做好政府信息公开信息处理费管理工作有关事项的通知》(鲁政办字〔2020〕179号)规定，政府信息公开申请未向申请人收取任何费用。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(二)本行政机关落实上级年度政务公开工作要点情况: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杨柳镇</w:t>
      </w:r>
      <w:r>
        <w:rPr>
          <w:rFonts w:hint="default" w:ascii="Times New Roman" w:hAnsi="Times New Roman" w:eastAsia="方正仿宋简体" w:cs="Times New Roman"/>
          <w:b/>
          <w:bCs/>
          <w:kern w:val="2"/>
          <w:sz w:val="32"/>
          <w:szCs w:val="32"/>
          <w:lang w:val="en-US" w:eastAsia="zh-CN" w:bidi="ar-SA"/>
        </w:rPr>
        <w:t>认真落实上级部署，结合本年度政务公开工作要点，主动分解重点任务，制定信息主动公开基本目录，细化责任分工。深化公开工作，做到第一时间、更多方面推送政务公开信息，完善政务公开体制建设，较好的完成2023年度政务公开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(三)人大代表建议和政协提案办理结果公开情况: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2023年，杨柳镇</w:t>
      </w:r>
      <w:r>
        <w:rPr>
          <w:rFonts w:hint="default" w:ascii="Times New Roman" w:hAnsi="Times New Roman" w:eastAsia="方正仿宋简体" w:cs="Times New Roman"/>
          <w:b/>
          <w:bCs/>
          <w:kern w:val="2"/>
          <w:sz w:val="32"/>
          <w:szCs w:val="32"/>
          <w:lang w:val="en-US" w:eastAsia="zh-CN" w:bidi="ar-SA"/>
        </w:rPr>
        <w:t>未收到人大代表建议和政协委员提案。</w:t>
      </w:r>
    </w:p>
    <w:sectPr>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3NWRmM2M0ZjcwMmM1ODIyMjQwZDI1OTc2NDRlNDMifQ=="/>
  </w:docVars>
  <w:rsids>
    <w:rsidRoot w:val="00000000"/>
    <w:rsid w:val="044D5115"/>
    <w:rsid w:val="07BE5A87"/>
    <w:rsid w:val="08BB2D0A"/>
    <w:rsid w:val="09437A2E"/>
    <w:rsid w:val="0D2C2AA3"/>
    <w:rsid w:val="1536200C"/>
    <w:rsid w:val="1AAE7048"/>
    <w:rsid w:val="21B345CC"/>
    <w:rsid w:val="275D396D"/>
    <w:rsid w:val="28DD3674"/>
    <w:rsid w:val="2AEE666C"/>
    <w:rsid w:val="2B3344DD"/>
    <w:rsid w:val="2B8D223A"/>
    <w:rsid w:val="309524BC"/>
    <w:rsid w:val="30C043CD"/>
    <w:rsid w:val="375F09A8"/>
    <w:rsid w:val="3BD43931"/>
    <w:rsid w:val="3D9E0910"/>
    <w:rsid w:val="3E392D72"/>
    <w:rsid w:val="403E56D1"/>
    <w:rsid w:val="41AA7055"/>
    <w:rsid w:val="4606472A"/>
    <w:rsid w:val="48A870DA"/>
    <w:rsid w:val="497F6DDC"/>
    <w:rsid w:val="4983423B"/>
    <w:rsid w:val="499806F8"/>
    <w:rsid w:val="4F3328F5"/>
    <w:rsid w:val="504A53E1"/>
    <w:rsid w:val="56506748"/>
    <w:rsid w:val="59165AA0"/>
    <w:rsid w:val="5D5B7373"/>
    <w:rsid w:val="683B0FEF"/>
    <w:rsid w:val="6C04083B"/>
    <w:rsid w:val="6D241989"/>
    <w:rsid w:val="6D7C1782"/>
    <w:rsid w:val="6E137010"/>
    <w:rsid w:val="71202D85"/>
    <w:rsid w:val="754034BD"/>
    <w:rsid w:val="7E8F19CE"/>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2023年度杨柳镇政务信息公开发布情况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镇街动态</c:v>
                </c:pt>
                <c:pt idx="1">
                  <c:v>公示公告</c:v>
                </c:pt>
                <c:pt idx="2">
                  <c:v>政策文件</c:v>
                </c:pt>
                <c:pt idx="3">
                  <c:v>公开年报</c:v>
                </c:pt>
              </c:strCache>
            </c:strRef>
          </c:cat>
          <c:val>
            <c:numRef>
              <c:f>Sheet1!$B$2:$B$5</c:f>
              <c:numCache>
                <c:formatCode>General</c:formatCode>
                <c:ptCount val="4"/>
                <c:pt idx="0">
                  <c:v>8</c:v>
                </c:pt>
                <c:pt idx="1">
                  <c:v>4</c:v>
                </c:pt>
                <c:pt idx="2">
                  <c:v>2</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2346</Words>
  <Characters>2423</Characters>
  <Lines>0</Lines>
  <Paragraphs>0</Paragraphs>
  <TotalTime>9</TotalTime>
  <ScaleCrop>false</ScaleCrop>
  <LinksUpToDate>false</LinksUpToDate>
  <CharactersWithSpaces>2423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2022-01-15T03:33:00Z</dcterms:created>
  <dc:creator>Administrator</dc:creator>
  <cp:lastModifiedBy>Administrator</cp:lastModifiedBy>
  <dcterms:modified xsi:type="dcterms:W3CDTF">2024-02-05T02:02:56Z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3325BBCE29BE4E98940CCC4E981751CF</vt:lpwstr>
  </property>
</Properties>
</file>