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ms-word.document.macroEnabled.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泗水县科学技术局</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5</w:t>
      </w:r>
      <w:r>
        <w:rPr>
          <w:rFonts w:hint="default" w:ascii="Times New Roman" w:hAnsi="Times New Roman" w:eastAsia="方正小标宋简体" w:cs="Times New Roman"/>
          <w:b/>
          <w:color w:val="000000"/>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rPr>
          <w:rFonts w:hint="default" w:ascii="Times New Roman" w:hAnsi="Times New Roman" w:eastAsia="方正小标宋简体" w:cs="Times New Roman"/>
          <w:b/>
          <w:color w:val="000000"/>
          <w:sz w:val="44"/>
          <w:szCs w:val="44"/>
        </w:rPr>
      </w:pPr>
    </w:p>
    <w:p>
      <w:pPr>
        <w:spacing w:line="590" w:lineRule="exact"/>
        <w:ind w:right="-105" w:rightChars="-50" w:firstLine="643" w:firstLineChars="200"/>
        <w:rPr>
          <w:rFonts w:hint="default" w:ascii="仿宋" w:hAnsi="仿宋" w:eastAsia="仿宋" w:cs="仿宋"/>
          <w:b/>
          <w:color w:val="auto"/>
          <w:sz w:val="32"/>
          <w:szCs w:val="32"/>
          <w:lang w:eastAsia="zh-CN"/>
        </w:rPr>
      </w:pPr>
      <w:r>
        <w:rPr>
          <w:rFonts w:hint="default" w:ascii="仿宋" w:hAnsi="仿宋" w:eastAsia="仿宋" w:cs="仿宋"/>
          <w:b/>
          <w:color w:val="auto"/>
          <w:sz w:val="32"/>
          <w:szCs w:val="32"/>
          <w:lang w:eastAsia="zh-CN"/>
        </w:rPr>
        <w:t>本报告由泗水县科学技术局按照《中华人民共和国政府信息公开条例》（以下简称《条例》）和《中华人民共和国政府信息公开工作年度报告格式》（国办公开办函〔2021〕30号）要求编制。</w:t>
      </w:r>
    </w:p>
    <w:p>
      <w:pPr>
        <w:spacing w:line="590" w:lineRule="exact"/>
        <w:ind w:right="-105" w:rightChars="-50" w:firstLine="643" w:firstLineChars="200"/>
        <w:rPr>
          <w:rFonts w:hint="default" w:ascii="仿宋" w:hAnsi="仿宋" w:eastAsia="仿宋" w:cs="仿宋"/>
          <w:b/>
          <w:color w:val="auto"/>
          <w:sz w:val="32"/>
          <w:szCs w:val="32"/>
          <w:lang w:eastAsia="zh-CN"/>
        </w:rPr>
      </w:pPr>
      <w:r>
        <w:rPr>
          <w:rFonts w:hint="default" w:ascii="仿宋" w:hAnsi="仿宋" w:eastAsia="仿宋" w:cs="仿宋"/>
          <w:b/>
          <w:color w:val="auto"/>
          <w:sz w:val="32"/>
          <w:szCs w:val="32"/>
          <w:lang w:eastAsia="zh-CN"/>
        </w:rPr>
        <w:t>本报告内容包括总体情况、主动公开政府信息情况、收到和处理政府信息公开申请情况、政府信息公开行政复议</w:t>
      </w:r>
      <w:r>
        <w:rPr>
          <w:rFonts w:hint="eastAsia" w:ascii="仿宋" w:hAnsi="仿宋" w:eastAsia="仿宋" w:cs="仿宋"/>
          <w:b/>
          <w:color w:val="auto"/>
          <w:sz w:val="32"/>
          <w:szCs w:val="32"/>
          <w:lang w:eastAsia="zh-CN"/>
        </w:rPr>
        <w:t>和</w:t>
      </w:r>
      <w:r>
        <w:rPr>
          <w:rFonts w:hint="default" w:ascii="仿宋" w:hAnsi="仿宋" w:eastAsia="仿宋" w:cs="仿宋"/>
          <w:b/>
          <w:color w:val="auto"/>
          <w:sz w:val="32"/>
          <w:szCs w:val="32"/>
          <w:lang w:eastAsia="zh-CN"/>
        </w:rPr>
        <w:t>行政诉讼情况、存在的主要问题及改进情况、其他需要报告的事项等六部分内容。</w:t>
      </w:r>
    </w:p>
    <w:p>
      <w:pPr>
        <w:spacing w:line="590" w:lineRule="exact"/>
        <w:ind w:right="-105" w:rightChars="-50" w:firstLine="643" w:firstLineChars="200"/>
        <w:rPr>
          <w:rFonts w:hint="default" w:ascii="仿宋" w:hAnsi="仿宋" w:eastAsia="仿宋" w:cs="仿宋"/>
          <w:b/>
          <w:color w:val="auto"/>
          <w:sz w:val="32"/>
          <w:szCs w:val="32"/>
          <w:lang w:eastAsia="zh-CN"/>
        </w:rPr>
      </w:pPr>
      <w:r>
        <w:rPr>
          <w:rFonts w:hint="default" w:ascii="仿宋" w:hAnsi="仿宋" w:eastAsia="仿宋" w:cs="仿宋"/>
          <w:b/>
          <w:color w:val="auto"/>
          <w:sz w:val="32"/>
          <w:szCs w:val="32"/>
          <w:lang w:eastAsia="zh-CN"/>
        </w:rPr>
        <w:t>本报告所列数据的统计期限自202</w:t>
      </w:r>
      <w:r>
        <w:rPr>
          <w:rFonts w:hint="eastAsia" w:ascii="仿宋" w:hAnsi="仿宋" w:eastAsia="仿宋" w:cs="仿宋"/>
          <w:b/>
          <w:color w:val="auto"/>
          <w:sz w:val="32"/>
          <w:szCs w:val="32"/>
          <w:lang w:val="en-US" w:eastAsia="zh-CN"/>
        </w:rPr>
        <w:t>5</w:t>
      </w:r>
      <w:r>
        <w:rPr>
          <w:rFonts w:hint="default" w:ascii="仿宋" w:hAnsi="仿宋" w:eastAsia="仿宋" w:cs="仿宋"/>
          <w:b/>
          <w:color w:val="auto"/>
          <w:sz w:val="32"/>
          <w:szCs w:val="32"/>
          <w:lang w:eastAsia="zh-CN"/>
        </w:rPr>
        <w:t>年1月1日起至202</w:t>
      </w:r>
      <w:r>
        <w:rPr>
          <w:rFonts w:hint="eastAsia" w:ascii="仿宋" w:hAnsi="仿宋" w:eastAsia="仿宋" w:cs="仿宋"/>
          <w:b/>
          <w:color w:val="auto"/>
          <w:sz w:val="32"/>
          <w:szCs w:val="32"/>
          <w:lang w:val="en-US" w:eastAsia="zh-CN"/>
        </w:rPr>
        <w:t>5</w:t>
      </w:r>
      <w:r>
        <w:rPr>
          <w:rFonts w:hint="default" w:ascii="仿宋" w:hAnsi="仿宋" w:eastAsia="仿宋" w:cs="仿宋"/>
          <w:b/>
          <w:color w:val="auto"/>
          <w:sz w:val="32"/>
          <w:szCs w:val="32"/>
          <w:lang w:eastAsia="zh-CN"/>
        </w:rPr>
        <w:t>年12月31日止。本报告电子版可在“中国·泗水”政府门户网站（www.sishui.gov.cn/）查阅或下载。如对本报告有疑问，请与泗水县科学技术局联系（地址：泗水县泉兴路7号行政中心3楼，联系电话：0537-4236607）。</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一、总体情况</w:t>
      </w:r>
    </w:p>
    <w:p>
      <w:pPr>
        <w:spacing w:line="590" w:lineRule="exact"/>
        <w:ind w:right="-105" w:rightChars="-50"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2025年，泗水县科学技术局认真贯彻落实《中华人民共和国政府信息公开条例》等相关文件，规范政府信息公开内容，扎实开展政府信息公开工作，以政府信息公开工作为抓手，推进全县科技工作高质量发展。</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w:t>
      </w:r>
      <w:r>
        <w:rPr>
          <w:rFonts w:hint="default" w:ascii="方正楷体简体" w:hAnsi="方正楷体简体" w:eastAsia="方正楷体简体" w:cs="方正楷体简体"/>
          <w:b/>
          <w:color w:val="auto"/>
          <w:sz w:val="32"/>
          <w:szCs w:val="32"/>
          <w:lang w:val="en-US" w:eastAsia="zh-CN"/>
        </w:rPr>
        <w:t>主动公开</w:t>
      </w:r>
      <w:r>
        <w:rPr>
          <w:rFonts w:hint="eastAsia" w:ascii="方正楷体简体" w:hAnsi="方正楷体简体" w:eastAsia="方正楷体简体" w:cs="方正楷体简体"/>
          <w:b/>
          <w:color w:val="auto"/>
          <w:sz w:val="32"/>
          <w:szCs w:val="32"/>
          <w:lang w:val="en-US" w:eastAsia="zh-CN"/>
        </w:rPr>
        <w:t>情况</w:t>
      </w:r>
      <w:r>
        <w:rPr>
          <w:rFonts w:hint="default" w:ascii="方正楷体简体" w:hAnsi="方正楷体简体" w:eastAsia="方正楷体简体" w:cs="方正楷体简体"/>
          <w:b/>
          <w:color w:val="auto"/>
          <w:sz w:val="32"/>
          <w:szCs w:val="32"/>
          <w:lang w:val="en-US" w:eastAsia="zh-CN"/>
        </w:rPr>
        <w:t>。</w:t>
      </w:r>
    </w:p>
    <w:p>
      <w:pPr>
        <w:spacing w:line="590" w:lineRule="exact"/>
        <w:ind w:right="-105" w:rightChars="-50" w:firstLine="643" w:firstLineChars="200"/>
      </w:pPr>
      <w:r>
        <w:rPr>
          <w:rFonts w:hint="default" w:ascii="仿宋" w:hAnsi="仿宋" w:eastAsia="仿宋" w:cs="仿宋"/>
          <w:b/>
          <w:color w:val="auto"/>
          <w:sz w:val="32"/>
          <w:szCs w:val="32"/>
          <w:lang w:val="en-US" w:eastAsia="zh-CN"/>
        </w:rPr>
        <w:t>2025年通过政府门户网站公开信息81条</w:t>
      </w:r>
      <w:r>
        <w:rPr>
          <w:rFonts w:hint="eastAsia" w:ascii="仿宋" w:hAnsi="仿宋" w:eastAsia="仿宋" w:cs="仿宋"/>
          <w:b/>
          <w:color w:val="auto"/>
          <w:sz w:val="32"/>
          <w:szCs w:val="32"/>
          <w:lang w:val="en-US" w:eastAsia="zh-CN"/>
        </w:rPr>
        <w:t>，其中</w:t>
      </w:r>
      <w:r>
        <w:rPr>
          <w:rFonts w:hint="default" w:ascii="仿宋" w:hAnsi="仿宋" w:eastAsia="仿宋" w:cs="仿宋"/>
          <w:b/>
          <w:color w:val="auto"/>
          <w:sz w:val="32"/>
          <w:szCs w:val="32"/>
          <w:lang w:val="en-US" w:eastAsia="zh-CN"/>
        </w:rPr>
        <w:t>要闻资讯-部门动态1条，法规文件-图文解读1条，机构职能1条，财政预算决算-部门预算2条，财政预算决算-部门决算1条，建议提案-人大代表建议办理情况1条，建议提案-政协委员提案办理情况2条，建议提案-建议提案办理总体情况1条，政府信息公开指南1条，政府信息公开年报1条，专题专栏-创新创业-国家、省政策文件69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rPr>
          <w:rFonts w:hint="default"/>
          <w:lang w:val="en-US" w:eastAsia="zh-CN"/>
        </w:rPr>
      </w:pPr>
      <w:r>
        <w:drawing>
          <wp:inline distT="0" distB="0" distL="114300" distR="114300">
            <wp:extent cx="4810760" cy="2743200"/>
            <wp:effectExtent l="4445" t="4445" r="13970" b="508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w:t>
      </w:r>
      <w:r>
        <w:rPr>
          <w:rFonts w:hint="default" w:ascii="方正楷体简体" w:hAnsi="方正楷体简体" w:eastAsia="方正楷体简体" w:cs="方正楷体简体"/>
          <w:b/>
          <w:color w:val="auto"/>
          <w:sz w:val="32"/>
          <w:szCs w:val="32"/>
          <w:lang w:val="en-US" w:eastAsia="zh-CN"/>
        </w:rPr>
        <w:t>依申请公开</w:t>
      </w:r>
      <w:r>
        <w:rPr>
          <w:rFonts w:hint="eastAsia" w:ascii="方正楷体简体" w:hAnsi="方正楷体简体" w:eastAsia="方正楷体简体" w:cs="方正楷体简体"/>
          <w:b/>
          <w:color w:val="auto"/>
          <w:sz w:val="32"/>
          <w:szCs w:val="32"/>
          <w:lang w:val="en-US" w:eastAsia="zh-CN"/>
        </w:rPr>
        <w:t>情况</w:t>
      </w:r>
      <w:r>
        <w:rPr>
          <w:rFonts w:hint="default" w:ascii="方正楷体简体" w:hAnsi="方正楷体简体" w:eastAsia="方正楷体简体" w:cs="方正楷体简体"/>
          <w:b/>
          <w:color w:val="auto"/>
          <w:sz w:val="32"/>
          <w:szCs w:val="32"/>
          <w:lang w:val="en-US" w:eastAsia="zh-CN"/>
        </w:rPr>
        <w:t>。</w:t>
      </w:r>
    </w:p>
    <w:p>
      <w:p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202</w:t>
      </w:r>
      <w:r>
        <w:rPr>
          <w:rFonts w:hint="eastAsia" w:ascii="仿宋" w:hAnsi="仿宋" w:eastAsia="仿宋" w:cs="仿宋"/>
          <w:b/>
          <w:color w:val="auto"/>
          <w:sz w:val="32"/>
          <w:szCs w:val="32"/>
          <w:lang w:val="en-US" w:eastAsia="zh-CN"/>
        </w:rPr>
        <w:t>5</w:t>
      </w:r>
      <w:r>
        <w:rPr>
          <w:rFonts w:hint="default" w:ascii="仿宋" w:hAnsi="仿宋" w:eastAsia="仿宋" w:cs="仿宋"/>
          <w:b/>
          <w:color w:val="auto"/>
          <w:sz w:val="32"/>
          <w:szCs w:val="32"/>
          <w:lang w:val="en-US" w:eastAsia="zh-CN"/>
        </w:rPr>
        <w:t>年，</w:t>
      </w:r>
      <w:r>
        <w:rPr>
          <w:rFonts w:hint="eastAsia" w:ascii="仿宋" w:hAnsi="仿宋" w:eastAsia="仿宋" w:cs="仿宋"/>
          <w:b/>
          <w:color w:val="auto"/>
          <w:sz w:val="32"/>
          <w:szCs w:val="32"/>
          <w:lang w:val="en-US" w:eastAsia="zh-CN"/>
        </w:rPr>
        <w:t>泗水</w:t>
      </w:r>
      <w:bookmarkStart w:id="0" w:name="_GoBack"/>
      <w:bookmarkEnd w:id="0"/>
      <w:r>
        <w:rPr>
          <w:rFonts w:hint="default" w:ascii="仿宋" w:hAnsi="仿宋" w:eastAsia="仿宋" w:cs="仿宋"/>
          <w:b/>
          <w:color w:val="auto"/>
          <w:sz w:val="32"/>
          <w:szCs w:val="32"/>
          <w:lang w:val="en-US" w:eastAsia="zh-CN"/>
        </w:rPr>
        <w:t>县科学技术局未收到依申请公开政府信息、无政府信息公开行政复议、行政诉讼案件。</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（三）</w:t>
      </w:r>
      <w:r>
        <w:rPr>
          <w:rFonts w:hint="default" w:ascii="方正楷体简体" w:hAnsi="方正楷体简体" w:eastAsia="方正楷体简体" w:cs="方正楷体简体"/>
          <w:b/>
          <w:color w:val="auto"/>
          <w:sz w:val="32"/>
          <w:szCs w:val="32"/>
          <w:lang w:val="en-US" w:eastAsia="zh-CN"/>
        </w:rPr>
        <w:t>政府信息管理</w:t>
      </w:r>
      <w:r>
        <w:rPr>
          <w:rFonts w:hint="eastAsia" w:ascii="方正楷体简体" w:hAnsi="方正楷体简体" w:eastAsia="方正楷体简体" w:cs="方正楷体简体"/>
          <w:b/>
          <w:color w:val="auto"/>
          <w:sz w:val="32"/>
          <w:szCs w:val="32"/>
          <w:lang w:val="en-US" w:eastAsia="zh-CN"/>
        </w:rPr>
        <w:t>情况</w:t>
      </w:r>
      <w:r>
        <w:rPr>
          <w:rFonts w:hint="default" w:ascii="方正楷体简体" w:hAnsi="方正楷体简体" w:eastAsia="方正楷体简体" w:cs="方正楷体简体"/>
          <w:b/>
          <w:color w:val="auto"/>
          <w:sz w:val="32"/>
          <w:szCs w:val="32"/>
          <w:lang w:val="en-US" w:eastAsia="zh-CN"/>
        </w:rPr>
        <w:t>。</w:t>
      </w:r>
    </w:p>
    <w:p>
      <w:pPr>
        <w:spacing w:line="590" w:lineRule="exact"/>
        <w:ind w:right="-105" w:rightChars="-50"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泗水县科学技术局及时更新政府信息，定期开展政府信息公开检查工作，及时发现并妥善解决存在的问题，进一步提高政府信息公开工作规范化程度，确保政府信息公开工作规范有序开展，保证政府信息公开内容的时效性、准确性。</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（四）</w:t>
      </w:r>
      <w:r>
        <w:rPr>
          <w:rFonts w:hint="default" w:ascii="方正楷体简体" w:hAnsi="方正楷体简体" w:eastAsia="方正楷体简体" w:cs="方正楷体简体"/>
          <w:b/>
          <w:color w:val="auto"/>
          <w:sz w:val="32"/>
          <w:szCs w:val="32"/>
          <w:lang w:val="en-US" w:eastAsia="zh-CN"/>
        </w:rPr>
        <w:t>政府信息公开平台建设</w:t>
      </w:r>
      <w:r>
        <w:rPr>
          <w:rFonts w:hint="eastAsia" w:ascii="方正楷体简体" w:hAnsi="方正楷体简体" w:eastAsia="方正楷体简体" w:cs="方正楷体简体"/>
          <w:b/>
          <w:color w:val="auto"/>
          <w:sz w:val="32"/>
          <w:szCs w:val="32"/>
          <w:lang w:val="en-US" w:eastAsia="zh-CN"/>
        </w:rPr>
        <w:t>情况</w:t>
      </w:r>
      <w:r>
        <w:rPr>
          <w:rFonts w:hint="default" w:ascii="方正楷体简体" w:hAnsi="方正楷体简体" w:eastAsia="方正楷体简体" w:cs="方正楷体简体"/>
          <w:b/>
          <w:color w:val="auto"/>
          <w:sz w:val="32"/>
          <w:szCs w:val="32"/>
          <w:lang w:val="en-US" w:eastAsia="zh-CN"/>
        </w:rPr>
        <w:t>。</w:t>
      </w:r>
    </w:p>
    <w:p>
      <w:pPr>
        <w:numPr>
          <w:ilvl w:val="0"/>
          <w:numId w:val="0"/>
        </w:numPr>
        <w:spacing w:line="590" w:lineRule="exact"/>
        <w:ind w:right="-105" w:rightChars="-50" w:firstLine="643" w:firstLineChars="200"/>
        <w:rPr>
          <w:rFonts w:hint="eastAsia" w:ascii="Times New Roman" w:hAnsi="Times New Roman" w:eastAsia="方正仿宋简体" w:cs="Times New Roman"/>
          <w:i w:val="0"/>
          <w:iCs w:val="0"/>
          <w:caps w:val="0"/>
          <w:color w:val="000000"/>
          <w:spacing w:val="0"/>
          <w:kern w:val="0"/>
          <w:sz w:val="32"/>
          <w:szCs w:val="32"/>
          <w:lang w:val="en-US" w:eastAsia="zh-CN" w:bidi="ar"/>
        </w:rPr>
      </w:pPr>
      <w:r>
        <w:rPr>
          <w:rFonts w:hint="eastAsia" w:ascii="仿宋" w:hAnsi="仿宋" w:eastAsia="仿宋" w:cs="仿宋"/>
          <w:b/>
          <w:color w:val="auto"/>
          <w:sz w:val="32"/>
          <w:szCs w:val="32"/>
          <w:lang w:val="en-US" w:eastAsia="zh-CN"/>
        </w:rPr>
        <w:t>泗水县科学技术局依托泗水县人民政府网站政务公开专栏开展政府信息公开工作，根据政府信息公开工作的相关规定及时公开政府信息，积极回应群众关切。</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 xml:space="preserve"> （五）</w:t>
      </w:r>
      <w:r>
        <w:rPr>
          <w:rFonts w:hint="default" w:ascii="方正楷体简体" w:hAnsi="方正楷体简体" w:eastAsia="方正楷体简体" w:cs="方正楷体简体"/>
          <w:b/>
          <w:color w:val="auto"/>
          <w:sz w:val="32"/>
          <w:szCs w:val="32"/>
          <w:lang w:val="en-US" w:eastAsia="zh-CN"/>
        </w:rPr>
        <w:t>监督保障</w:t>
      </w:r>
      <w:r>
        <w:rPr>
          <w:rFonts w:hint="eastAsia" w:ascii="方正楷体简体" w:hAnsi="方正楷体简体" w:eastAsia="方正楷体简体" w:cs="方正楷体简体"/>
          <w:b/>
          <w:color w:val="auto"/>
          <w:sz w:val="32"/>
          <w:szCs w:val="32"/>
          <w:lang w:val="en-US" w:eastAsia="zh-CN"/>
        </w:rPr>
        <w:t>情况</w:t>
      </w:r>
      <w:r>
        <w:rPr>
          <w:rFonts w:hint="default" w:ascii="方正楷体简体" w:hAnsi="方正楷体简体" w:eastAsia="方正楷体简体" w:cs="方正楷体简体"/>
          <w:b/>
          <w:color w:val="auto"/>
          <w:sz w:val="32"/>
          <w:szCs w:val="32"/>
          <w:lang w:val="en-US" w:eastAsia="zh-CN"/>
        </w:rPr>
        <w:t>。</w:t>
      </w:r>
    </w:p>
    <w:p>
      <w:pPr>
        <w:numPr>
          <w:ilvl w:val="0"/>
          <w:numId w:val="0"/>
        </w:num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加强监督检查，定期对政府信息公开工作进行检查，及时发现和解决存在的问题，确保政府信息公开内容的准确性；加强政务公开队伍建设，成立政务公开领导小组，安排专人负责政府信息公开工作，及时更新政府信息，确保政府信息公开内容的时效性。</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color w:val="000000"/>
          <w:sz w:val="32"/>
          <w:szCs w:val="32"/>
        </w:rPr>
      </w:pPr>
      <w:r>
        <w:rPr>
          <w:rFonts w:hint="default" w:ascii="Times New Roman" w:hAnsi="Times New Roman" w:eastAsia="黑体" w:cs="Times New Roman"/>
          <w:b/>
          <w:color w:val="000000"/>
          <w:sz w:val="32"/>
          <w:szCs w:val="32"/>
        </w:rPr>
        <w:t>二、主动公开政府信息情况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黑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三、收到和处理政府信息公开申请情况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黑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商业</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科研</w:t>
            </w:r>
          </w:p>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tabs>
                <w:tab w:val="center" w:pos="301"/>
                <w:tab w:val="left" w:pos="464"/>
              </w:tabs>
              <w:spacing w:line="300" w:lineRule="exact"/>
              <w:ind w:firstLine="210" w:firstLineChars="100"/>
              <w:jc w:val="left"/>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bl>
    <w:p>
      <w:pPr>
        <w:spacing w:line="590" w:lineRule="exact"/>
        <w:ind w:right="-105" w:rightChars="-50" w:firstLine="643" w:firstLineChars="200"/>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四、政府信息公开</w:t>
      </w:r>
      <w:r>
        <w:rPr>
          <w:rFonts w:hint="eastAsia" w:eastAsia="黑体" w:cs="Times New Roman"/>
          <w:b/>
          <w:sz w:val="32"/>
          <w:szCs w:val="32"/>
          <w:lang w:eastAsia="zh-CN"/>
        </w:rPr>
        <w:t>工作</w:t>
      </w:r>
      <w:r>
        <w:rPr>
          <w:rFonts w:hint="default" w:ascii="Times New Roman" w:hAnsi="Times New Roman" w:eastAsia="黑体" w:cs="Times New Roman"/>
          <w:b/>
          <w:sz w:val="32"/>
          <w:szCs w:val="32"/>
        </w:rPr>
        <w:t>行政复议、行政诉讼情况</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lang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结果</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其他</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eastAsia" w:ascii="Times New Roman" w:hAnsi="Times New Roman" w:eastAsia="黑体" w:cs="Times New Roman"/>
                <w:b/>
                <w:sz w:val="21"/>
                <w:szCs w:val="21"/>
                <w:lang w:eastAsia="zh-CN" w:bidi="ar"/>
              </w:rPr>
            </w:pPr>
            <w:r>
              <w:rPr>
                <w:rFonts w:hint="default" w:ascii="Times New Roman" w:hAnsi="Times New Roman" w:eastAsia="黑体" w:cs="Times New Roman"/>
                <w:b/>
                <w:sz w:val="21"/>
                <w:szCs w:val="21"/>
                <w:lang w:bidi="ar"/>
              </w:rPr>
              <w:t>尚未</w:t>
            </w:r>
          </w:p>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黑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2" w:leftChars="-20" w:right="-42" w:rightChars="-20"/>
              <w:jc w:val="center"/>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2" w:leftChars="-20" w:right="-42" w:rightChars="-20"/>
              <w:rPr>
                <w:rFonts w:hint="default" w:ascii="Times New Roman" w:hAnsi="Times New Roman" w:eastAsia="黑体" w:cs="Times New Roman"/>
                <w:b/>
                <w:sz w:val="21"/>
                <w:szCs w:val="21"/>
              </w:rPr>
            </w:pPr>
            <w:r>
              <w:rPr>
                <w:rFonts w:hint="default" w:ascii="Times New Roman" w:hAnsi="Times New Roman" w:eastAsia="方正仿宋简体" w:cs="Times New Roman"/>
                <w:b/>
                <w:sz w:val="21"/>
                <w:szCs w:val="21"/>
                <w:lang w:val="en-US" w:eastAsia="zh-CN" w:bidi="ar"/>
              </w:rPr>
              <w:t>0</w:t>
            </w:r>
          </w:p>
        </w:tc>
      </w:tr>
    </w:tbl>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五、存在的主要问题及改进情况</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（一）工作中存在的主要问题。</w:t>
      </w:r>
    </w:p>
    <w:p>
      <w:pPr>
        <w:numPr>
          <w:ilvl w:val="0"/>
          <w:numId w:val="0"/>
        </w:numPr>
        <w:spacing w:line="590" w:lineRule="exact"/>
        <w:ind w:right="-105" w:rightChars="-50" w:firstLine="643" w:firstLineChars="200"/>
        <w:rPr>
          <w:rFonts w:hint="eastAsia" w:ascii="仿宋" w:hAnsi="仿宋" w:eastAsia="仿宋" w:cs="仿宋"/>
          <w:b/>
          <w:color w:val="auto"/>
          <w:sz w:val="32"/>
          <w:szCs w:val="32"/>
          <w:lang w:val="en-US" w:eastAsia="zh-CN"/>
        </w:rPr>
      </w:pPr>
      <w:r>
        <w:rPr>
          <w:rFonts w:hint="eastAsia" w:ascii="仿宋" w:hAnsi="仿宋" w:eastAsia="仿宋" w:cs="仿宋"/>
          <w:b/>
          <w:color w:val="auto"/>
          <w:sz w:val="32"/>
          <w:szCs w:val="32"/>
          <w:lang w:val="en-US" w:eastAsia="zh-CN"/>
        </w:rPr>
        <w:t>2025年，泗水县科学技术局政府信息公开工作虽取得了一定成效，但仍然存在一些不足。一是政府信息公开形式以文字形式为主，公开形式较为单一；二是政府信息公开的相关业务科室参与度和积极性有待提升。</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（二）改进措施。</w:t>
      </w:r>
    </w:p>
    <w:p>
      <w:pPr>
        <w:numPr>
          <w:ilvl w:val="0"/>
          <w:numId w:val="0"/>
        </w:num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一是丰富政府信息公开形式。通过增加图片、图表等元素提升政府信息直观性，</w:t>
      </w:r>
      <w:r>
        <w:rPr>
          <w:rFonts w:hint="eastAsia" w:ascii="仿宋" w:hAnsi="仿宋" w:eastAsia="仿宋" w:cs="仿宋"/>
          <w:b/>
          <w:color w:val="auto"/>
          <w:sz w:val="32"/>
          <w:szCs w:val="32"/>
          <w:lang w:val="en-US" w:eastAsia="zh-CN"/>
        </w:rPr>
        <w:t>方便</w:t>
      </w:r>
      <w:r>
        <w:rPr>
          <w:rFonts w:hint="default" w:ascii="仿宋" w:hAnsi="仿宋" w:eastAsia="仿宋" w:cs="仿宋"/>
          <w:b/>
          <w:color w:val="auto"/>
          <w:sz w:val="32"/>
          <w:szCs w:val="32"/>
          <w:lang w:val="en-US" w:eastAsia="zh-CN"/>
        </w:rPr>
        <w:t>群众</w:t>
      </w:r>
      <w:r>
        <w:rPr>
          <w:rFonts w:hint="eastAsia" w:ascii="仿宋" w:hAnsi="仿宋" w:eastAsia="仿宋" w:cs="仿宋"/>
          <w:b/>
          <w:color w:val="auto"/>
          <w:sz w:val="32"/>
          <w:szCs w:val="32"/>
          <w:lang w:val="en-US" w:eastAsia="zh-CN"/>
        </w:rPr>
        <w:t>了解</w:t>
      </w:r>
      <w:r>
        <w:rPr>
          <w:rFonts w:hint="default" w:ascii="仿宋" w:hAnsi="仿宋" w:eastAsia="仿宋" w:cs="仿宋"/>
          <w:b/>
          <w:color w:val="auto"/>
          <w:sz w:val="32"/>
          <w:szCs w:val="32"/>
          <w:lang w:val="en-US" w:eastAsia="zh-CN"/>
        </w:rPr>
        <w:t>政府信息</w:t>
      </w:r>
      <w:r>
        <w:rPr>
          <w:rFonts w:hint="eastAsia" w:ascii="仿宋" w:hAnsi="仿宋" w:eastAsia="仿宋" w:cs="仿宋"/>
          <w:b/>
          <w:color w:val="auto"/>
          <w:sz w:val="32"/>
          <w:szCs w:val="32"/>
          <w:lang w:val="en-US" w:eastAsia="zh-CN"/>
        </w:rPr>
        <w:t>。</w:t>
      </w:r>
      <w:r>
        <w:rPr>
          <w:rFonts w:hint="default" w:ascii="仿宋" w:hAnsi="仿宋" w:eastAsia="仿宋" w:cs="仿宋"/>
          <w:b/>
          <w:color w:val="auto"/>
          <w:sz w:val="32"/>
          <w:szCs w:val="32"/>
          <w:lang w:val="en-US" w:eastAsia="zh-CN"/>
        </w:rPr>
        <w:t>二是加强思想宣传。提</w:t>
      </w:r>
      <w:r>
        <w:rPr>
          <w:rFonts w:hint="eastAsia" w:ascii="仿宋" w:hAnsi="仿宋" w:eastAsia="仿宋" w:cs="仿宋"/>
          <w:b/>
          <w:color w:val="auto"/>
          <w:sz w:val="32"/>
          <w:szCs w:val="32"/>
          <w:lang w:val="en-US" w:eastAsia="zh-CN"/>
        </w:rPr>
        <w:t>高</w:t>
      </w:r>
      <w:r>
        <w:rPr>
          <w:rFonts w:hint="default" w:ascii="仿宋" w:hAnsi="仿宋" w:eastAsia="仿宋" w:cs="仿宋"/>
          <w:b/>
          <w:color w:val="auto"/>
          <w:sz w:val="32"/>
          <w:szCs w:val="32"/>
          <w:lang w:val="en-US" w:eastAsia="zh-CN"/>
        </w:rPr>
        <w:t>相关业务科室对政府信息公开工作的重视程度，提升相关业务科室的政府信息公开工作参与度和积极性。</w:t>
      </w:r>
    </w:p>
    <w:p>
      <w:pPr>
        <w:keepNext w:val="0"/>
        <w:keepLines w:val="0"/>
        <w:pageBreakBefore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黑体" w:cs="Times New Roman"/>
          <w:b/>
          <w:sz w:val="32"/>
          <w:szCs w:val="32"/>
        </w:rPr>
      </w:pPr>
      <w:r>
        <w:rPr>
          <w:rFonts w:hint="default" w:ascii="Times New Roman" w:hAnsi="Times New Roman" w:eastAsia="黑体" w:cs="Times New Roman"/>
          <w:b/>
          <w:sz w:val="32"/>
          <w:szCs w:val="32"/>
        </w:rPr>
        <w:t>六、其他需要报告的事项</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default" w:ascii="方正楷体简体" w:hAnsi="方正楷体简体" w:eastAsia="方正楷体简体" w:cs="方正楷体简体"/>
          <w:b/>
          <w:color w:val="auto"/>
          <w:sz w:val="32"/>
          <w:szCs w:val="32"/>
          <w:lang w:val="en-US" w:eastAsia="zh-CN"/>
        </w:rPr>
        <w:t>（一）依据《政府信息公开信息处理费管理办法》收取信息处理费的情况。</w:t>
      </w:r>
    </w:p>
    <w:p>
      <w:pPr>
        <w:numPr>
          <w:ilvl w:val="0"/>
          <w:numId w:val="0"/>
        </w:num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202</w:t>
      </w:r>
      <w:r>
        <w:rPr>
          <w:rFonts w:hint="eastAsia" w:ascii="仿宋" w:hAnsi="仿宋" w:eastAsia="仿宋" w:cs="仿宋"/>
          <w:b/>
          <w:color w:val="auto"/>
          <w:sz w:val="32"/>
          <w:szCs w:val="32"/>
          <w:lang w:val="en-US" w:eastAsia="zh-CN"/>
        </w:rPr>
        <w:t>5</w:t>
      </w:r>
      <w:r>
        <w:rPr>
          <w:rFonts w:hint="default" w:ascii="仿宋" w:hAnsi="仿宋" w:eastAsia="仿宋" w:cs="仿宋"/>
          <w:b/>
          <w:color w:val="auto"/>
          <w:sz w:val="32"/>
          <w:szCs w:val="32"/>
          <w:lang w:val="en-US" w:eastAsia="zh-CN"/>
        </w:rPr>
        <w:t>年，县</w:t>
      </w:r>
      <w:r>
        <w:rPr>
          <w:rFonts w:hint="eastAsia" w:ascii="仿宋" w:hAnsi="仿宋" w:eastAsia="仿宋" w:cs="仿宋"/>
          <w:b/>
          <w:color w:val="auto"/>
          <w:sz w:val="32"/>
          <w:szCs w:val="32"/>
          <w:lang w:val="en-US" w:eastAsia="zh-CN"/>
        </w:rPr>
        <w:t>科技局</w:t>
      </w:r>
      <w:r>
        <w:rPr>
          <w:rFonts w:hint="default" w:ascii="仿宋" w:hAnsi="仿宋" w:eastAsia="仿宋" w:cs="仿宋"/>
          <w:b/>
          <w:color w:val="auto"/>
          <w:sz w:val="32"/>
          <w:szCs w:val="32"/>
          <w:lang w:val="en-US" w:eastAsia="zh-CN"/>
        </w:rPr>
        <w:t>严格落实《国务院办公厅关于印发&lt;政府信息公开信息处理费管理办法&gt;的通知》（国办函〔2020〕109号）和《山东省人民政府办公厅关于做好政府信息公开信息处理费管理工作有关事项的通知》（鲁政办字〔2020〕179号）规定，未向申请人收取任何费用。</w:t>
      </w:r>
    </w:p>
    <w:p>
      <w:pPr>
        <w:numPr>
          <w:ilvl w:val="0"/>
          <w:numId w:val="0"/>
        </w:numPr>
        <w:spacing w:line="590" w:lineRule="exact"/>
        <w:ind w:right="-105" w:rightChars="-50" w:firstLine="643" w:firstLineChars="200"/>
        <w:rPr>
          <w:rFonts w:hint="eastAsia" w:ascii="方正楷体简体" w:hAnsi="方正楷体简体" w:eastAsia="方正楷体简体" w:cs="方正楷体简体"/>
          <w:b/>
          <w:color w:val="auto"/>
          <w:sz w:val="32"/>
          <w:szCs w:val="32"/>
          <w:lang w:val="en-US" w:eastAsia="zh-CN"/>
        </w:rPr>
      </w:pPr>
      <w:r>
        <w:rPr>
          <w:rFonts w:hint="eastAsia" w:ascii="方正楷体简体" w:hAnsi="方正楷体简体" w:eastAsia="方正楷体简体" w:cs="方正楷体简体"/>
          <w:b/>
          <w:color w:val="auto"/>
          <w:sz w:val="32"/>
          <w:szCs w:val="32"/>
          <w:lang w:val="en-US" w:eastAsia="zh-CN"/>
        </w:rPr>
        <w:t>（二）本行政机关落实上级年度政务公开工作要点情况。</w:t>
      </w:r>
    </w:p>
    <w:p>
      <w:pPr>
        <w:numPr>
          <w:ilvl w:val="0"/>
          <w:numId w:val="0"/>
        </w:num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县科技局切实把政务公开工作当成一项重要任务来抓。工作中，及时公开政府信息，规范政府信息公开内容，圆满完成工作任务。</w:t>
      </w:r>
    </w:p>
    <w:p>
      <w:pPr>
        <w:numPr>
          <w:ilvl w:val="0"/>
          <w:numId w:val="0"/>
        </w:numPr>
        <w:spacing w:line="590" w:lineRule="exact"/>
        <w:ind w:right="-105" w:rightChars="-50" w:firstLine="643" w:firstLineChars="200"/>
        <w:rPr>
          <w:rFonts w:hint="default" w:ascii="方正楷体简体" w:hAnsi="方正楷体简体" w:eastAsia="方正楷体简体" w:cs="方正楷体简体"/>
          <w:b/>
          <w:color w:val="auto"/>
          <w:sz w:val="32"/>
          <w:szCs w:val="32"/>
          <w:lang w:val="en-US" w:eastAsia="zh-CN"/>
        </w:rPr>
      </w:pPr>
      <w:r>
        <w:rPr>
          <w:rFonts w:hint="default" w:ascii="方正楷体简体" w:hAnsi="方正楷体简体" w:eastAsia="方正楷体简体" w:cs="方正楷体简体"/>
          <w:b/>
          <w:color w:val="auto"/>
          <w:sz w:val="32"/>
          <w:szCs w:val="32"/>
          <w:lang w:val="en-US" w:eastAsia="zh-CN"/>
        </w:rPr>
        <w:t>（</w:t>
      </w:r>
      <w:r>
        <w:rPr>
          <w:rFonts w:hint="eastAsia" w:ascii="方正楷体简体" w:hAnsi="方正楷体简体" w:eastAsia="方正楷体简体" w:cs="方正楷体简体"/>
          <w:b/>
          <w:color w:val="auto"/>
          <w:sz w:val="32"/>
          <w:szCs w:val="32"/>
          <w:lang w:val="en-US" w:eastAsia="zh-CN"/>
        </w:rPr>
        <w:t>三</w:t>
      </w:r>
      <w:r>
        <w:rPr>
          <w:rFonts w:hint="default" w:ascii="方正楷体简体" w:hAnsi="方正楷体简体" w:eastAsia="方正楷体简体" w:cs="方正楷体简体"/>
          <w:b/>
          <w:color w:val="auto"/>
          <w:sz w:val="32"/>
          <w:szCs w:val="32"/>
          <w:lang w:val="en-US" w:eastAsia="zh-CN"/>
        </w:rPr>
        <w:t>）</w:t>
      </w:r>
      <w:r>
        <w:rPr>
          <w:rFonts w:hint="eastAsia" w:ascii="方正楷体简体" w:hAnsi="方正楷体简体" w:eastAsia="方正楷体简体" w:cs="方正楷体简体"/>
          <w:b/>
          <w:color w:val="auto"/>
          <w:sz w:val="32"/>
          <w:szCs w:val="32"/>
          <w:lang w:val="en-US" w:eastAsia="zh-CN"/>
        </w:rPr>
        <w:t>本行政机关</w:t>
      </w:r>
      <w:r>
        <w:rPr>
          <w:rFonts w:hint="default" w:ascii="方正楷体简体" w:hAnsi="方正楷体简体" w:eastAsia="方正楷体简体" w:cs="方正楷体简体"/>
          <w:b/>
          <w:color w:val="auto"/>
          <w:sz w:val="32"/>
          <w:szCs w:val="32"/>
          <w:lang w:val="en-US" w:eastAsia="zh-CN"/>
        </w:rPr>
        <w:t>人大代表建议</w:t>
      </w:r>
      <w:r>
        <w:rPr>
          <w:rFonts w:hint="eastAsia" w:ascii="方正楷体简体" w:hAnsi="方正楷体简体" w:eastAsia="方正楷体简体" w:cs="方正楷体简体"/>
          <w:b/>
          <w:color w:val="auto"/>
          <w:sz w:val="32"/>
          <w:szCs w:val="32"/>
          <w:lang w:val="en-US" w:eastAsia="zh-CN"/>
        </w:rPr>
        <w:t>和</w:t>
      </w:r>
      <w:r>
        <w:rPr>
          <w:rFonts w:hint="default" w:ascii="方正楷体简体" w:hAnsi="方正楷体简体" w:eastAsia="方正楷体简体" w:cs="方正楷体简体"/>
          <w:b/>
          <w:color w:val="auto"/>
          <w:sz w:val="32"/>
          <w:szCs w:val="32"/>
          <w:lang w:val="en-US" w:eastAsia="zh-CN"/>
        </w:rPr>
        <w:t>政协提案办理</w:t>
      </w:r>
      <w:r>
        <w:rPr>
          <w:rFonts w:hint="eastAsia" w:ascii="方正楷体简体" w:hAnsi="方正楷体简体" w:eastAsia="方正楷体简体" w:cs="方正楷体简体"/>
          <w:b/>
          <w:color w:val="auto"/>
          <w:sz w:val="32"/>
          <w:szCs w:val="32"/>
          <w:lang w:val="en-US" w:eastAsia="zh-CN"/>
        </w:rPr>
        <w:t>结果公开</w:t>
      </w:r>
      <w:r>
        <w:rPr>
          <w:rFonts w:hint="default" w:ascii="方正楷体简体" w:hAnsi="方正楷体简体" w:eastAsia="方正楷体简体" w:cs="方正楷体简体"/>
          <w:b/>
          <w:color w:val="auto"/>
          <w:sz w:val="32"/>
          <w:szCs w:val="32"/>
          <w:lang w:val="en-US" w:eastAsia="zh-CN"/>
        </w:rPr>
        <w:t>情况</w:t>
      </w:r>
    </w:p>
    <w:p>
      <w:pPr>
        <w:numPr>
          <w:ilvl w:val="0"/>
          <w:numId w:val="0"/>
        </w:numPr>
        <w:spacing w:line="590" w:lineRule="exact"/>
        <w:ind w:right="-105" w:rightChars="-50" w:firstLine="643" w:firstLineChars="200"/>
        <w:rPr>
          <w:rFonts w:hint="default" w:ascii="仿宋" w:hAnsi="仿宋" w:eastAsia="仿宋" w:cs="仿宋"/>
          <w:b/>
          <w:color w:val="auto"/>
          <w:sz w:val="32"/>
          <w:szCs w:val="32"/>
          <w:lang w:val="en-US" w:eastAsia="zh-CN"/>
        </w:rPr>
      </w:pPr>
      <w:r>
        <w:rPr>
          <w:rFonts w:hint="default" w:ascii="仿宋" w:hAnsi="仿宋" w:eastAsia="仿宋" w:cs="仿宋"/>
          <w:b/>
          <w:color w:val="auto"/>
          <w:sz w:val="32"/>
          <w:szCs w:val="32"/>
          <w:lang w:val="en-US" w:eastAsia="zh-CN"/>
        </w:rPr>
        <w:t>2025年，县科技局收到人大代表建议1件，共收到政协提案2件。办结或答复各位委员，答复率100%，满意率100%。</w:t>
      </w:r>
    </w:p>
    <w:p>
      <w:pPr>
        <w:pStyle w:val="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rPr>
          <w:rFonts w:hint="default" w:eastAsia="方正仿宋简体" w:cs="Times New Roman"/>
          <w:b/>
          <w:color w:val="000000"/>
          <w:kern w:val="2"/>
          <w:sz w:val="32"/>
          <w:szCs w:val="32"/>
          <w:lang w:val="en-US" w:eastAsia="zh-CN" w:bidi="ar-SA"/>
        </w:rPr>
      </w:pPr>
    </w:p>
    <w:sectPr>
      <w:footerReference r:id="rId3" w:type="default"/>
      <w:pgSz w:w="11906" w:h="16838"/>
      <w:pgMar w:top="1417" w:right="1531" w:bottom="1417" w:left="1587" w:header="851" w:footer="124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C64263-A397-485D-B359-6904E495DF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D12C52E5-D797-4667-830D-8A30211D14D3}"/>
  </w:font>
  <w:font w:name="仿宋">
    <w:panose1 w:val="02010609060101010101"/>
    <w:charset w:val="86"/>
    <w:family w:val="auto"/>
    <w:pitch w:val="default"/>
    <w:sig w:usb0="800002BF" w:usb1="38CF7CFA" w:usb2="00000016" w:usb3="00000000" w:csb0="00040001" w:csb1="00000000"/>
    <w:embedRegular r:id="rId3" w:fontKey="{CE531E81-262A-4485-A7F8-EFFE0A5CBFE1}"/>
  </w:font>
  <w:font w:name="方正楷体简体">
    <w:altName w:val="宋体"/>
    <w:panose1 w:val="02010601030101010101"/>
    <w:charset w:val="86"/>
    <w:family w:val="auto"/>
    <w:pitch w:val="default"/>
    <w:sig w:usb0="00000000" w:usb1="00000000" w:usb2="00000000" w:usb3="00000000" w:csb0="00040000" w:csb1="00000000"/>
    <w:embedRegular r:id="rId4" w:fontKey="{4BBCF87F-5359-42E3-ACFE-30B8723C6F90}"/>
  </w:font>
  <w:font w:name="方正仿宋简体">
    <w:altName w:val="微软雅黑"/>
    <w:panose1 w:val="02010601030101010101"/>
    <w:charset w:val="86"/>
    <w:family w:val="script"/>
    <w:pitch w:val="default"/>
    <w:sig w:usb0="00000000" w:usb1="00000000" w:usb2="00000000" w:usb3="00000000" w:csb0="00040000" w:csb1="00000000"/>
    <w:embedRegular r:id="rId5" w:fontKey="{E7A7F0EE-B155-467D-9CB3-AA233D15E84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1262A78"/>
    <w:rsid w:val="01F64B27"/>
    <w:rsid w:val="02077948"/>
    <w:rsid w:val="05B2497E"/>
    <w:rsid w:val="06793C53"/>
    <w:rsid w:val="06F2194A"/>
    <w:rsid w:val="0BFE240F"/>
    <w:rsid w:val="0CBD2B90"/>
    <w:rsid w:val="0CD117CE"/>
    <w:rsid w:val="0EB30ED2"/>
    <w:rsid w:val="0F534702"/>
    <w:rsid w:val="10240EBF"/>
    <w:rsid w:val="105E48EF"/>
    <w:rsid w:val="130D3D72"/>
    <w:rsid w:val="15BB5765"/>
    <w:rsid w:val="15FA3D6F"/>
    <w:rsid w:val="160A6D0D"/>
    <w:rsid w:val="17005F8D"/>
    <w:rsid w:val="185B15E3"/>
    <w:rsid w:val="188D6F2B"/>
    <w:rsid w:val="192004F7"/>
    <w:rsid w:val="19A85310"/>
    <w:rsid w:val="19FF13D6"/>
    <w:rsid w:val="1A3F5A4D"/>
    <w:rsid w:val="1AB94FCD"/>
    <w:rsid w:val="1BAC1FB0"/>
    <w:rsid w:val="1CCB1443"/>
    <w:rsid w:val="1DFC5003"/>
    <w:rsid w:val="1E5B3E0B"/>
    <w:rsid w:val="1EDA3E15"/>
    <w:rsid w:val="20F63C50"/>
    <w:rsid w:val="230F288D"/>
    <w:rsid w:val="23DB6D68"/>
    <w:rsid w:val="24DA134E"/>
    <w:rsid w:val="24EA7967"/>
    <w:rsid w:val="25051BCA"/>
    <w:rsid w:val="26143CE5"/>
    <w:rsid w:val="27F97D1B"/>
    <w:rsid w:val="28AB3157"/>
    <w:rsid w:val="28CF7B4D"/>
    <w:rsid w:val="2B1C3171"/>
    <w:rsid w:val="2B550CEA"/>
    <w:rsid w:val="2B9B22FF"/>
    <w:rsid w:val="2BC05A41"/>
    <w:rsid w:val="2BC7405A"/>
    <w:rsid w:val="2C3603EB"/>
    <w:rsid w:val="2CD61E64"/>
    <w:rsid w:val="2CEE43F5"/>
    <w:rsid w:val="2D5746BC"/>
    <w:rsid w:val="2E8F11A0"/>
    <w:rsid w:val="2EFA1AFA"/>
    <w:rsid w:val="2F206321"/>
    <w:rsid w:val="2F4B793B"/>
    <w:rsid w:val="303F3D9F"/>
    <w:rsid w:val="30525803"/>
    <w:rsid w:val="31337725"/>
    <w:rsid w:val="31392D76"/>
    <w:rsid w:val="31CC61D1"/>
    <w:rsid w:val="31D91DB3"/>
    <w:rsid w:val="320A0C27"/>
    <w:rsid w:val="335753BB"/>
    <w:rsid w:val="33FC3BE9"/>
    <w:rsid w:val="372635B8"/>
    <w:rsid w:val="373F768E"/>
    <w:rsid w:val="376D5FE7"/>
    <w:rsid w:val="37A23D39"/>
    <w:rsid w:val="37AB0789"/>
    <w:rsid w:val="37AB5091"/>
    <w:rsid w:val="38A645FD"/>
    <w:rsid w:val="391E6D8B"/>
    <w:rsid w:val="3941648E"/>
    <w:rsid w:val="3D362CB9"/>
    <w:rsid w:val="3D865B68"/>
    <w:rsid w:val="3EC342F1"/>
    <w:rsid w:val="3ED537E6"/>
    <w:rsid w:val="3F2351FF"/>
    <w:rsid w:val="3FE72B27"/>
    <w:rsid w:val="4005423E"/>
    <w:rsid w:val="41671B82"/>
    <w:rsid w:val="422C4C99"/>
    <w:rsid w:val="425C0408"/>
    <w:rsid w:val="427C5B7A"/>
    <w:rsid w:val="428B77C7"/>
    <w:rsid w:val="431D7124"/>
    <w:rsid w:val="444064F6"/>
    <w:rsid w:val="456F07C6"/>
    <w:rsid w:val="461F53CB"/>
    <w:rsid w:val="46532C86"/>
    <w:rsid w:val="47EF98BD"/>
    <w:rsid w:val="4A015EAB"/>
    <w:rsid w:val="4A050C16"/>
    <w:rsid w:val="4A786AA9"/>
    <w:rsid w:val="4A8A6AA9"/>
    <w:rsid w:val="4AB0684E"/>
    <w:rsid w:val="4C257525"/>
    <w:rsid w:val="4C8B30E4"/>
    <w:rsid w:val="4CD10867"/>
    <w:rsid w:val="4DA91544"/>
    <w:rsid w:val="4DF47E08"/>
    <w:rsid w:val="4F315F45"/>
    <w:rsid w:val="4FFBE8D4"/>
    <w:rsid w:val="504F1A56"/>
    <w:rsid w:val="51731F2F"/>
    <w:rsid w:val="51947270"/>
    <w:rsid w:val="51DF066C"/>
    <w:rsid w:val="51E53E23"/>
    <w:rsid w:val="51F5A182"/>
    <w:rsid w:val="52172F42"/>
    <w:rsid w:val="52176C9A"/>
    <w:rsid w:val="52B350AB"/>
    <w:rsid w:val="531F6E57"/>
    <w:rsid w:val="538A6632"/>
    <w:rsid w:val="547949D5"/>
    <w:rsid w:val="54933222"/>
    <w:rsid w:val="58D9739A"/>
    <w:rsid w:val="5AE40C45"/>
    <w:rsid w:val="5B613E2B"/>
    <w:rsid w:val="5B7D02E6"/>
    <w:rsid w:val="5BC64FCB"/>
    <w:rsid w:val="5D894655"/>
    <w:rsid w:val="5E6EFCB4"/>
    <w:rsid w:val="5EAA5DE9"/>
    <w:rsid w:val="5EE311BD"/>
    <w:rsid w:val="5EF86689"/>
    <w:rsid w:val="5EFFF7B4"/>
    <w:rsid w:val="5F422AE7"/>
    <w:rsid w:val="5F8370F2"/>
    <w:rsid w:val="60A175CC"/>
    <w:rsid w:val="64FC4A8C"/>
    <w:rsid w:val="65B80307"/>
    <w:rsid w:val="669A59EA"/>
    <w:rsid w:val="68AE2AFE"/>
    <w:rsid w:val="6B6A2B79"/>
    <w:rsid w:val="6BED9F10"/>
    <w:rsid w:val="6C3C1DC1"/>
    <w:rsid w:val="6D3D3D1A"/>
    <w:rsid w:val="6F8C02F8"/>
    <w:rsid w:val="703F6B04"/>
    <w:rsid w:val="7471581C"/>
    <w:rsid w:val="74FD0CD6"/>
    <w:rsid w:val="752A266C"/>
    <w:rsid w:val="75E63676"/>
    <w:rsid w:val="7610148F"/>
    <w:rsid w:val="7669622F"/>
    <w:rsid w:val="77DBC994"/>
    <w:rsid w:val="783756F7"/>
    <w:rsid w:val="783E2B3E"/>
    <w:rsid w:val="79931677"/>
    <w:rsid w:val="79FB01C3"/>
    <w:rsid w:val="7A2A7F52"/>
    <w:rsid w:val="7B9F3BA5"/>
    <w:rsid w:val="7C3AF9EA"/>
    <w:rsid w:val="7CC76083"/>
    <w:rsid w:val="7D1C45AB"/>
    <w:rsid w:val="7ECE7530"/>
    <w:rsid w:val="7EDE1C5D"/>
    <w:rsid w:val="7F4FCCD1"/>
    <w:rsid w:val="7FE79A0C"/>
    <w:rsid w:val="7FEE50E5"/>
    <w:rsid w:val="7FFE06A4"/>
    <w:rsid w:val="ADFB1792"/>
    <w:rsid w:val="B63F43C9"/>
    <w:rsid w:val="B6FD3C19"/>
    <w:rsid w:val="BEEFF38E"/>
    <w:rsid w:val="BFFD2ED6"/>
    <w:rsid w:val="C9FE2347"/>
    <w:rsid w:val="CFFBBF7C"/>
    <w:rsid w:val="CFFF5AA6"/>
    <w:rsid w:val="D6EE2214"/>
    <w:rsid w:val="DF511DAA"/>
    <w:rsid w:val="E17A495C"/>
    <w:rsid w:val="E625D656"/>
    <w:rsid w:val="EF8F6A35"/>
    <w:rsid w:val="EFAE7723"/>
    <w:rsid w:val="F37F0271"/>
    <w:rsid w:val="F7F9A48E"/>
    <w:rsid w:val="FDF7A9F5"/>
    <w:rsid w:val="FEFA3B1A"/>
    <w:rsid w:val="FFDFB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3">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wangtong\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defTabSz="914400">
              <a:defRPr lang="zh-CN" sz="1400" b="1" i="0" u="none" strike="noStrike" kern="1200" baseline="0">
                <a:solidFill>
                  <a:sysClr val="windowText" lastClr="000000">
                    <a:lumMod val="75000"/>
                    <a:lumOff val="25000"/>
                  </a:sysClr>
                </a:solidFill>
                <a:latin typeface="+mn-lt"/>
                <a:ea typeface="+mn-ea"/>
                <a:cs typeface="+mn-cs"/>
              </a:defRPr>
            </a:pPr>
            <a:r>
              <a:t>主动公开各类信息</a:t>
            </a:r>
          </a:p>
        </c:rich>
      </c:tx>
      <c:layout/>
      <c:overlay val="0"/>
      <c:spPr>
        <a:noFill/>
        <a:ln>
          <a:noFill/>
        </a:ln>
        <a:effectLst/>
      </c:spPr>
    </c:title>
    <c:autoTitleDeleted val="0"/>
    <c:plotArea>
      <c:layout/>
      <c:pieChart>
        <c:varyColors val="1"/>
        <c:ser>
          <c:idx val="0"/>
          <c:order val="0"/>
          <c:spPr/>
          <c:explosion val="0"/>
          <c:dPt>
            <c:idx val="0"/>
            <c:bubble3D val="0"/>
            <c:spPr>
              <a:solidFill>
                <a:srgbClr val="4874CB"/>
              </a:solidFill>
              <a:ln>
                <a:solidFill>
                  <a:sysClr val="window" lastClr="FFFFFF"/>
                </a:solidFill>
              </a:ln>
              <a:effectLst/>
            </c:spPr>
          </c:dPt>
          <c:dPt>
            <c:idx val="1"/>
            <c:bubble3D val="0"/>
            <c:spPr>
              <a:solidFill>
                <a:srgbClr val="EE822F"/>
              </a:solidFill>
              <a:ln>
                <a:solidFill>
                  <a:sysClr val="window" lastClr="FFFFFF"/>
                </a:solidFill>
              </a:ln>
              <a:effectLst/>
            </c:spPr>
          </c:dPt>
          <c:dPt>
            <c:idx val="2"/>
            <c:bubble3D val="0"/>
            <c:spPr>
              <a:solidFill>
                <a:srgbClr val="F2BA02"/>
              </a:solidFill>
              <a:ln>
                <a:solidFill>
                  <a:sysClr val="window" lastClr="FFFFFF"/>
                </a:solidFill>
              </a:ln>
              <a:effectLst/>
            </c:spPr>
          </c:dPt>
          <c:dPt>
            <c:idx val="3"/>
            <c:bubble3D val="0"/>
            <c:spPr>
              <a:solidFill>
                <a:srgbClr val="75BD42"/>
              </a:solidFill>
              <a:ln>
                <a:solidFill>
                  <a:sysClr val="window" lastClr="FFFFFF"/>
                </a:solidFill>
              </a:ln>
              <a:effectLst/>
            </c:spPr>
          </c:dPt>
          <c:dPt>
            <c:idx val="4"/>
            <c:bubble3D val="0"/>
            <c:spPr>
              <a:solidFill>
                <a:srgbClr val="30C0B4"/>
              </a:solidFill>
              <a:ln>
                <a:solidFill>
                  <a:sysClr val="window" lastClr="FFFFFF"/>
                </a:solidFill>
              </a:ln>
              <a:effectLst/>
            </c:spPr>
          </c:dPt>
          <c:dPt>
            <c:idx val="5"/>
            <c:bubble3D val="0"/>
            <c:spPr>
              <a:solidFill>
                <a:srgbClr val="E54C5E"/>
              </a:solidFill>
              <a:ln>
                <a:solidFill>
                  <a:sysClr val="window" lastClr="FFFFFF"/>
                </a:solidFill>
              </a:ln>
              <a:effectLst/>
            </c:spPr>
          </c:dPt>
          <c:dPt>
            <c:idx val="6"/>
            <c:bubble3D val="0"/>
            <c:spPr>
              <a:solidFill>
                <a:srgbClr val="4874CB">
                  <a:lumMod val="60000"/>
                </a:srgbClr>
              </a:solidFill>
              <a:ln>
                <a:solidFill>
                  <a:sysClr val="window" lastClr="FFFFFF"/>
                </a:solidFill>
              </a:ln>
              <a:effectLst/>
            </c:spPr>
          </c:dPt>
          <c:dPt>
            <c:idx val="7"/>
            <c:bubble3D val="0"/>
            <c:spPr>
              <a:solidFill>
                <a:srgbClr val="EE822F">
                  <a:lumMod val="60000"/>
                </a:srgbClr>
              </a:solidFill>
              <a:ln>
                <a:solidFill>
                  <a:sysClr val="window" lastClr="FFFFFF"/>
                </a:solidFill>
              </a:ln>
              <a:effectLst/>
            </c:spPr>
          </c:dPt>
          <c:dPt>
            <c:idx val="8"/>
            <c:bubble3D val="0"/>
            <c:spPr>
              <a:solidFill>
                <a:srgbClr val="F2BA02">
                  <a:lumMod val="60000"/>
                </a:srgbClr>
              </a:solidFill>
              <a:ln>
                <a:solidFill>
                  <a:sysClr val="window" lastClr="FFFFFF"/>
                </a:solidFill>
              </a:ln>
              <a:effectLst/>
            </c:spPr>
          </c:dPt>
          <c:dPt>
            <c:idx val="9"/>
            <c:bubble3D val="0"/>
            <c:spPr>
              <a:solidFill>
                <a:srgbClr val="75BD42">
                  <a:lumMod val="60000"/>
                </a:srgbClr>
              </a:solidFill>
              <a:ln>
                <a:solidFill>
                  <a:sysClr val="window" lastClr="FFFFFF"/>
                </a:solidFill>
              </a:ln>
              <a:effectLst/>
            </c:spPr>
          </c:dPt>
          <c:dPt>
            <c:idx val="10"/>
            <c:bubble3D val="0"/>
            <c:spPr>
              <a:solidFill>
                <a:srgbClr val="30C0B4">
                  <a:lumMod val="60000"/>
                </a:srgbClr>
              </a:solidFill>
              <a:ln>
                <a:solidFill>
                  <a:sysClr val="window" lastClr="FFFFFF"/>
                </a:solidFill>
              </a:ln>
              <a:effectLst/>
            </c:spPr>
          </c:dPt>
          <c:dLbls>
            <c:delete val="1"/>
          </c:dLbls>
          <c:cat>
            <c:strRef>
              <c:f>'[新建 XLSX 工作表.xlsx]Sheet1'!$A$1:$A$11</c:f>
              <c:strCache>
                <c:ptCount val="11"/>
                <c:pt idx="0">
                  <c:v>要闻资讯-部门动态</c:v>
                </c:pt>
                <c:pt idx="1">
                  <c:v>法规文件-图文解读</c:v>
                </c:pt>
                <c:pt idx="2">
                  <c:v>机构职能</c:v>
                </c:pt>
                <c:pt idx="3">
                  <c:v>财政预算决算-部门预算</c:v>
                </c:pt>
                <c:pt idx="4">
                  <c:v>财政预算决算-部门决算</c:v>
                </c:pt>
                <c:pt idx="5">
                  <c:v>建议提案-人大代表建议办理情况</c:v>
                </c:pt>
                <c:pt idx="6">
                  <c:v>建议提案-政协委员提案办理情况</c:v>
                </c:pt>
                <c:pt idx="7">
                  <c:v>建议提案-建议提案办理总体情况</c:v>
                </c:pt>
                <c:pt idx="8">
                  <c:v>政府信息公开指南</c:v>
                </c:pt>
                <c:pt idx="9">
                  <c:v>政府信息公开年报</c:v>
                </c:pt>
                <c:pt idx="10">
                  <c:v>专题专栏-创新创业-国家、省政策文件</c:v>
                </c:pt>
              </c:strCache>
            </c:strRef>
          </c:cat>
          <c:val>
            <c:numRef>
              <c:f>'[新建 XLSX 工作表.xlsx]Sheet1'!$B$1:$B$11</c:f>
              <c:numCache>
                <c:formatCode>General</c:formatCode>
                <c:ptCount val="11"/>
                <c:pt idx="0">
                  <c:v>1</c:v>
                </c:pt>
                <c:pt idx="1">
                  <c:v>1</c:v>
                </c:pt>
                <c:pt idx="2">
                  <c:v>1</c:v>
                </c:pt>
                <c:pt idx="3">
                  <c:v>2</c:v>
                </c:pt>
                <c:pt idx="4">
                  <c:v>1</c:v>
                </c:pt>
                <c:pt idx="5">
                  <c:v>1</c:v>
                </c:pt>
                <c:pt idx="6">
                  <c:v>2</c:v>
                </c:pt>
                <c:pt idx="7">
                  <c:v>1</c:v>
                </c:pt>
                <c:pt idx="8">
                  <c:v>1</c:v>
                </c:pt>
                <c:pt idx="9">
                  <c:v>1</c:v>
                </c:pt>
                <c:pt idx="10">
                  <c:v>69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6</Pages>
  <Words>2629</Words>
  <Characters>2761</Characters>
  <Lines>0</Lines>
  <Paragraphs>0</Paragraphs>
  <TotalTime>59</TotalTime>
  <ScaleCrop>false</ScaleCrop>
  <LinksUpToDate>false</LinksUpToDate>
  <CharactersWithSpaces>2761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2014-11-02T12:08:00Z</dcterms:created>
  <dc:creator>Administrator</dc:creator>
  <cp:lastModifiedBy>wangtong</cp:lastModifiedBy>
  <dcterms:modified xsi:type="dcterms:W3CDTF">2026-01-21T14:15:06Z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SaveFontToCloudKey">
    <vt:lpwstr>0_btnclosed</vt:lpwstr>
  </property>
  <property fmtid="{D5CDD505-2E9C-101B-9397-08002B2CF9AE}" pid="4" name="ICV">
    <vt:lpwstr>A4A2F9FF12574C25A76E1DA9699F6DBD</vt:lpwstr>
  </property>
</Properties>
</file>