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BCF64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720" w:lineRule="exact"/>
        <w:ind w:left="0" w:right="0" w:firstLine="0"/>
        <w:jc w:val="center"/>
        <w:textAlignment w:val="auto"/>
        <w:rPr>
          <w:rFonts w:hint="default" w:ascii="Times New Roman" w:hAnsi="Times New Roman" w:eastAsia="方正小标宋简体" w:cs="Times New Roman"/>
          <w:b/>
          <w:bCs/>
          <w:i w:val="0"/>
          <w:iCs w:val="0"/>
          <w:caps w:val="0"/>
          <w:color w:val="000000" w:themeColor="text1"/>
          <w:spacing w:val="0"/>
          <w:sz w:val="44"/>
          <w:szCs w:val="44"/>
          <w:shd w:val="clear" w:fill="FFFFFF"/>
          <w14:textFill>
            <w14:solidFill>
              <w14:schemeClr w14:val="tx1"/>
            </w14:solidFill>
          </w14:textFill>
        </w:rPr>
      </w:pPr>
      <w:r>
        <w:rPr>
          <w:rFonts w:hint="eastAsia" w:ascii="Times New Roman" w:hAnsi="Times New Roman" w:eastAsia="方正小标宋简体" w:cs="Times New Roman"/>
          <w:b/>
          <w:bCs/>
          <w:i w:val="0"/>
          <w:iCs w:val="0"/>
          <w:caps w:val="0"/>
          <w:color w:val="000000" w:themeColor="text1"/>
          <w:spacing w:val="0"/>
          <w:sz w:val="44"/>
          <w:szCs w:val="44"/>
          <w:shd w:val="clear" w:fill="FFFFFF"/>
          <w:lang w:val="en-US" w:eastAsia="zh-CN"/>
          <w14:textFill>
            <w14:solidFill>
              <w14:schemeClr w14:val="tx1"/>
            </w14:solidFill>
          </w14:textFill>
        </w:rPr>
        <w:t>泗水县</w:t>
      </w:r>
      <w:r>
        <w:rPr>
          <w:rFonts w:hint="default" w:ascii="Times New Roman" w:hAnsi="Times New Roman" w:eastAsia="方正小标宋简体" w:cs="Times New Roman"/>
          <w:b/>
          <w:bCs/>
          <w:i w:val="0"/>
          <w:iCs w:val="0"/>
          <w:caps w:val="0"/>
          <w:color w:val="000000" w:themeColor="text1"/>
          <w:spacing w:val="0"/>
          <w:sz w:val="44"/>
          <w:szCs w:val="44"/>
          <w:shd w:val="clear" w:fill="FFFFFF"/>
          <w:lang w:val="en-US" w:eastAsia="zh-CN"/>
          <w14:textFill>
            <w14:solidFill>
              <w14:schemeClr w14:val="tx1"/>
            </w14:solidFill>
          </w14:textFill>
        </w:rPr>
        <w:t>泉林镇人民政府</w:t>
      </w:r>
      <w:r>
        <w:rPr>
          <w:rFonts w:hint="default" w:ascii="Times New Roman" w:hAnsi="Times New Roman" w:eastAsia="方正小标宋简体" w:cs="Times New Roman"/>
          <w:b/>
          <w:bCs/>
          <w:i w:val="0"/>
          <w:iCs w:val="0"/>
          <w:caps w:val="0"/>
          <w:color w:val="000000" w:themeColor="text1"/>
          <w:spacing w:val="0"/>
          <w:sz w:val="44"/>
          <w:szCs w:val="44"/>
          <w:shd w:val="clear" w:fill="FFFFFF"/>
          <w14:textFill>
            <w14:solidFill>
              <w14:schemeClr w14:val="tx1"/>
            </w14:solidFill>
          </w14:textFill>
        </w:rPr>
        <w:t>202</w:t>
      </w:r>
      <w:r>
        <w:rPr>
          <w:rFonts w:hint="eastAsia" w:ascii="Times New Roman" w:hAnsi="Times New Roman" w:eastAsia="方正小标宋简体" w:cs="Times New Roman"/>
          <w:b/>
          <w:bCs/>
          <w:i w:val="0"/>
          <w:iCs w:val="0"/>
          <w:caps w:val="0"/>
          <w:color w:val="000000" w:themeColor="text1"/>
          <w:spacing w:val="0"/>
          <w:sz w:val="44"/>
          <w:szCs w:val="44"/>
          <w:shd w:val="clear" w:fill="FFFFFF"/>
          <w:lang w:val="en-US" w:eastAsia="zh-CN"/>
          <w14:textFill>
            <w14:solidFill>
              <w14:schemeClr w14:val="tx1"/>
            </w14:solidFill>
          </w14:textFill>
        </w:rPr>
        <w:t>5</w:t>
      </w:r>
      <w:r>
        <w:rPr>
          <w:rFonts w:hint="default" w:ascii="Times New Roman" w:hAnsi="Times New Roman" w:eastAsia="方正小标宋简体" w:cs="Times New Roman"/>
          <w:b/>
          <w:bCs/>
          <w:i w:val="0"/>
          <w:iCs w:val="0"/>
          <w:caps w:val="0"/>
          <w:color w:val="000000" w:themeColor="text1"/>
          <w:spacing w:val="0"/>
          <w:sz w:val="44"/>
          <w:szCs w:val="44"/>
          <w:shd w:val="clear" w:fill="FFFFFF"/>
          <w14:textFill>
            <w14:solidFill>
              <w14:schemeClr w14:val="tx1"/>
            </w14:solidFill>
          </w14:textFill>
        </w:rPr>
        <w:t>年政府</w:t>
      </w:r>
    </w:p>
    <w:p w14:paraId="43AF60B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720" w:lineRule="exact"/>
        <w:ind w:left="0" w:right="0" w:firstLine="0"/>
        <w:jc w:val="center"/>
        <w:textAlignment w:val="auto"/>
        <w:rPr>
          <w:rFonts w:hint="default" w:ascii="Times New Roman" w:hAnsi="Times New Roman" w:eastAsia="方正小标宋简体" w:cs="Times New Roman"/>
          <w:b/>
          <w:bCs/>
          <w:i w:val="0"/>
          <w:iCs w:val="0"/>
          <w:caps w:val="0"/>
          <w:color w:val="000000" w:themeColor="text1"/>
          <w:spacing w:val="0"/>
          <w:sz w:val="44"/>
          <w:szCs w:val="44"/>
          <w14:textFill>
            <w14:solidFill>
              <w14:schemeClr w14:val="tx1"/>
            </w14:solidFill>
          </w14:textFill>
        </w:rPr>
      </w:pPr>
      <w:r>
        <w:rPr>
          <w:rFonts w:hint="default" w:ascii="Times New Roman" w:hAnsi="Times New Roman" w:eastAsia="方正小标宋简体" w:cs="Times New Roman"/>
          <w:b/>
          <w:bCs/>
          <w:i w:val="0"/>
          <w:iCs w:val="0"/>
          <w:caps w:val="0"/>
          <w:color w:val="000000" w:themeColor="text1"/>
          <w:spacing w:val="0"/>
          <w:sz w:val="44"/>
          <w:szCs w:val="44"/>
          <w:shd w:val="clear" w:fill="FFFFFF"/>
          <w14:textFill>
            <w14:solidFill>
              <w14:schemeClr w14:val="tx1"/>
            </w14:solidFill>
          </w14:textFill>
        </w:rPr>
        <w:t>信息公开工作</w:t>
      </w:r>
      <w:bookmarkStart w:id="10" w:name="_GoBack"/>
      <w:bookmarkEnd w:id="10"/>
      <w:r>
        <w:rPr>
          <w:rFonts w:hint="default" w:ascii="Times New Roman" w:hAnsi="Times New Roman" w:eastAsia="方正小标宋简体" w:cs="Times New Roman"/>
          <w:b/>
          <w:bCs/>
          <w:i w:val="0"/>
          <w:iCs w:val="0"/>
          <w:caps w:val="0"/>
          <w:color w:val="000000" w:themeColor="text1"/>
          <w:spacing w:val="0"/>
          <w:sz w:val="44"/>
          <w:szCs w:val="44"/>
          <w:shd w:val="clear" w:fill="FFFFFF"/>
          <w14:textFill>
            <w14:solidFill>
              <w14:schemeClr w14:val="tx1"/>
            </w14:solidFill>
          </w14:textFill>
        </w:rPr>
        <w:t>年度报告</w:t>
      </w:r>
    </w:p>
    <w:p w14:paraId="725BAA2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right="0" w:firstLine="640"/>
        <w:jc w:val="both"/>
        <w:textAlignment w:val="auto"/>
        <w:rPr>
          <w:rFonts w:hint="default" w:ascii="Times New Roman" w:hAnsi="Times New Roman" w:eastAsia="仿宋_GB2312" w:cs="Times New Roman"/>
          <w:b w:val="0"/>
          <w:bCs w:val="0"/>
          <w:i w:val="0"/>
          <w:iCs w:val="0"/>
          <w:caps w:val="0"/>
          <w:color w:val="000000"/>
          <w:spacing w:val="0"/>
          <w:kern w:val="0"/>
          <w:sz w:val="32"/>
          <w:szCs w:val="32"/>
          <w:shd w:val="clear" w:fill="FFFFFF"/>
          <w:lang w:val="en-US" w:eastAsia="zh-CN" w:bidi="ar"/>
        </w:rPr>
      </w:pPr>
      <w:r>
        <w:rPr>
          <w:rFonts w:hint="default" w:ascii="Times New Roman" w:hAnsi="Times New Roman" w:eastAsia="仿宋_GB2312" w:cs="Times New Roman"/>
          <w:b w:val="0"/>
          <w:bCs w:val="0"/>
          <w:i w:val="0"/>
          <w:iCs w:val="0"/>
          <w:caps w:val="0"/>
          <w:color w:val="000000"/>
          <w:spacing w:val="0"/>
          <w:kern w:val="0"/>
          <w:sz w:val="32"/>
          <w:szCs w:val="32"/>
          <w:shd w:val="clear" w:fill="FFFFFF"/>
          <w:lang w:val="en-US" w:eastAsia="zh-CN" w:bidi="ar"/>
        </w:rPr>
        <w:t>本报告由泗水县泉林镇人民政府按照《中华人民共和国政府信息公开条例》（以下简称《条例》）和《中华人民共和国政府信息公开工作年度报告格式》（国办公开办函〔2021〕30号）要求编制。</w:t>
      </w:r>
    </w:p>
    <w:p w14:paraId="543F6E8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right="0" w:firstLine="640"/>
        <w:jc w:val="both"/>
        <w:textAlignment w:val="auto"/>
        <w:rPr>
          <w:rFonts w:hint="default" w:ascii="Times New Roman" w:hAnsi="Times New Roman" w:eastAsia="仿宋_GB2312" w:cs="Times New Roman"/>
          <w:b w:val="0"/>
          <w:bCs w:val="0"/>
          <w:i w:val="0"/>
          <w:iCs w:val="0"/>
          <w:caps w:val="0"/>
          <w:color w:val="000000"/>
          <w:spacing w:val="0"/>
          <w:kern w:val="0"/>
          <w:sz w:val="32"/>
          <w:szCs w:val="32"/>
          <w:shd w:val="clear" w:fill="FFFFFF"/>
          <w:lang w:val="en-US" w:eastAsia="zh-CN" w:bidi="ar"/>
        </w:rPr>
      </w:pPr>
      <w:r>
        <w:rPr>
          <w:rFonts w:hint="default" w:ascii="Times New Roman" w:hAnsi="Times New Roman" w:eastAsia="仿宋_GB2312" w:cs="Times New Roman"/>
          <w:b w:val="0"/>
          <w:bCs w:val="0"/>
          <w:i w:val="0"/>
          <w:iCs w:val="0"/>
          <w:caps w:val="0"/>
          <w:color w:val="000000"/>
          <w:spacing w:val="0"/>
          <w:kern w:val="0"/>
          <w:sz w:val="32"/>
          <w:szCs w:val="32"/>
          <w:shd w:val="clear" w:fill="FFFFFF"/>
          <w:lang w:val="en-US" w:eastAsia="zh-CN" w:bidi="ar"/>
        </w:rPr>
        <w:t>本报告内容包括总体情况、主动公开政府信息情况、收到和处理政府信息公开申请情况、政府信息公开行政复议和行政诉讼情况、存在的主要问题及改进情况、其他需要报告的事项等六部分内容。</w:t>
      </w:r>
    </w:p>
    <w:p w14:paraId="5DB557E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right="0" w:firstLine="640"/>
        <w:jc w:val="both"/>
        <w:textAlignment w:val="auto"/>
        <w:rPr>
          <w:rFonts w:hint="default" w:ascii="Times New Roman" w:hAnsi="Times New Roman" w:eastAsia="方正黑体简体" w:cs="Times New Roman"/>
          <w:i w:val="0"/>
          <w:iCs w:val="0"/>
          <w:caps w:val="0"/>
          <w:color w:val="000000"/>
          <w:spacing w:val="0"/>
          <w:sz w:val="24"/>
          <w:szCs w:val="24"/>
        </w:rPr>
      </w:pPr>
      <w:r>
        <w:rPr>
          <w:rFonts w:hint="default" w:ascii="Times New Roman" w:hAnsi="Times New Roman" w:eastAsia="仿宋_GB2312" w:cs="Times New Roman"/>
          <w:b w:val="0"/>
          <w:bCs w:val="0"/>
          <w:i w:val="0"/>
          <w:iCs w:val="0"/>
          <w:caps w:val="0"/>
          <w:color w:val="000000"/>
          <w:spacing w:val="0"/>
          <w:kern w:val="0"/>
          <w:sz w:val="32"/>
          <w:szCs w:val="32"/>
          <w:shd w:val="clear" w:fill="FFFFFF"/>
          <w:lang w:val="en-US" w:eastAsia="zh-CN" w:bidi="ar"/>
        </w:rPr>
        <w:t>本报告所列数据的统计期限自202</w:t>
      </w:r>
      <w:r>
        <w:rPr>
          <w:rFonts w:hint="eastAsia" w:ascii="Times New Roman" w:hAnsi="Times New Roman" w:eastAsia="仿宋_GB2312" w:cs="Times New Roman"/>
          <w:b w:val="0"/>
          <w:bCs w:val="0"/>
          <w:i w:val="0"/>
          <w:iCs w:val="0"/>
          <w:caps w:val="0"/>
          <w:color w:val="000000"/>
          <w:spacing w:val="0"/>
          <w:kern w:val="0"/>
          <w:sz w:val="32"/>
          <w:szCs w:val="32"/>
          <w:shd w:val="clear" w:fill="FFFFFF"/>
          <w:lang w:val="en-US" w:eastAsia="zh-CN" w:bidi="ar"/>
        </w:rPr>
        <w:t>5</w:t>
      </w:r>
      <w:r>
        <w:rPr>
          <w:rFonts w:hint="default" w:ascii="Times New Roman" w:hAnsi="Times New Roman" w:eastAsia="仿宋_GB2312" w:cs="Times New Roman"/>
          <w:b w:val="0"/>
          <w:bCs w:val="0"/>
          <w:i w:val="0"/>
          <w:iCs w:val="0"/>
          <w:caps w:val="0"/>
          <w:color w:val="000000"/>
          <w:spacing w:val="0"/>
          <w:kern w:val="0"/>
          <w:sz w:val="32"/>
          <w:szCs w:val="32"/>
          <w:shd w:val="clear" w:fill="FFFFFF"/>
          <w:lang w:val="en-US" w:eastAsia="zh-CN" w:bidi="ar"/>
        </w:rPr>
        <w:t>年1月1日起至202</w:t>
      </w:r>
      <w:r>
        <w:rPr>
          <w:rFonts w:hint="eastAsia" w:ascii="Times New Roman" w:hAnsi="Times New Roman" w:eastAsia="仿宋_GB2312" w:cs="Times New Roman"/>
          <w:b w:val="0"/>
          <w:bCs w:val="0"/>
          <w:i w:val="0"/>
          <w:iCs w:val="0"/>
          <w:caps w:val="0"/>
          <w:color w:val="000000"/>
          <w:spacing w:val="0"/>
          <w:kern w:val="0"/>
          <w:sz w:val="32"/>
          <w:szCs w:val="32"/>
          <w:shd w:val="clear" w:fill="FFFFFF"/>
          <w:lang w:val="en-US" w:eastAsia="zh-CN" w:bidi="ar"/>
        </w:rPr>
        <w:t>5</w:t>
      </w:r>
      <w:r>
        <w:rPr>
          <w:rFonts w:hint="default" w:ascii="Times New Roman" w:hAnsi="Times New Roman" w:eastAsia="仿宋_GB2312" w:cs="Times New Roman"/>
          <w:b w:val="0"/>
          <w:bCs w:val="0"/>
          <w:i w:val="0"/>
          <w:iCs w:val="0"/>
          <w:caps w:val="0"/>
          <w:color w:val="000000"/>
          <w:spacing w:val="0"/>
          <w:kern w:val="0"/>
          <w:sz w:val="32"/>
          <w:szCs w:val="32"/>
          <w:shd w:val="clear" w:fill="FFFFFF"/>
          <w:lang w:val="en-US" w:eastAsia="zh-CN" w:bidi="ar"/>
        </w:rPr>
        <w:t>年12月31日止。本报告电子版可在泗水县政府门户网站（www.sishui.gov.cn）查阅或下载。如对本报告有疑问，请与泗水县泉林镇人民政府联系（地址：泗水县</w:t>
      </w:r>
      <w:r>
        <w:rPr>
          <w:rFonts w:hint="eastAsia" w:ascii="Times New Roman" w:hAnsi="Times New Roman" w:eastAsia="仿宋_GB2312" w:cs="Times New Roman"/>
          <w:b w:val="0"/>
          <w:bCs w:val="0"/>
          <w:i w:val="0"/>
          <w:iCs w:val="0"/>
          <w:caps w:val="0"/>
          <w:color w:val="000000"/>
          <w:spacing w:val="0"/>
          <w:kern w:val="0"/>
          <w:sz w:val="32"/>
          <w:szCs w:val="32"/>
          <w:shd w:val="clear" w:fill="FFFFFF"/>
          <w:lang w:val="en-US" w:eastAsia="zh-CN" w:bidi="ar"/>
        </w:rPr>
        <w:t>327国道与泉石线交叉路口西100米路北</w:t>
      </w:r>
      <w:r>
        <w:rPr>
          <w:rFonts w:hint="default" w:ascii="Times New Roman" w:hAnsi="Times New Roman" w:eastAsia="仿宋_GB2312" w:cs="Times New Roman"/>
          <w:b w:val="0"/>
          <w:bCs w:val="0"/>
          <w:i w:val="0"/>
          <w:iCs w:val="0"/>
          <w:caps w:val="0"/>
          <w:color w:val="000000"/>
          <w:spacing w:val="0"/>
          <w:kern w:val="0"/>
          <w:sz w:val="32"/>
          <w:szCs w:val="32"/>
          <w:shd w:val="clear" w:fill="FFFFFF"/>
          <w:lang w:val="en-US" w:eastAsia="zh-CN" w:bidi="ar"/>
        </w:rPr>
        <w:t>，联系电话：0537-4</w:t>
      </w:r>
      <w:r>
        <w:rPr>
          <w:rFonts w:hint="eastAsia" w:ascii="Times New Roman" w:hAnsi="Times New Roman" w:eastAsia="仿宋_GB2312" w:cs="Times New Roman"/>
          <w:b w:val="0"/>
          <w:bCs w:val="0"/>
          <w:i w:val="0"/>
          <w:iCs w:val="0"/>
          <w:caps w:val="0"/>
          <w:color w:val="000000"/>
          <w:spacing w:val="0"/>
          <w:kern w:val="0"/>
          <w:sz w:val="32"/>
          <w:szCs w:val="32"/>
          <w:shd w:val="clear" w:fill="FFFFFF"/>
          <w:lang w:val="en-US" w:eastAsia="zh-CN" w:bidi="ar"/>
        </w:rPr>
        <w:t>011203</w:t>
      </w:r>
      <w:r>
        <w:rPr>
          <w:rFonts w:hint="default" w:ascii="Times New Roman" w:hAnsi="Times New Roman" w:eastAsia="仿宋_GB2312" w:cs="Times New Roman"/>
          <w:b w:val="0"/>
          <w:bCs w:val="0"/>
          <w:i w:val="0"/>
          <w:iCs w:val="0"/>
          <w:caps w:val="0"/>
          <w:color w:val="000000"/>
          <w:spacing w:val="0"/>
          <w:kern w:val="0"/>
          <w:sz w:val="32"/>
          <w:szCs w:val="32"/>
          <w:shd w:val="clear" w:fill="FFFFFF"/>
          <w:lang w:val="en-US" w:eastAsia="zh-CN" w:bidi="ar"/>
        </w:rPr>
        <w:t>）。</w:t>
      </w:r>
    </w:p>
    <w:p w14:paraId="034FAF5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right="0" w:firstLine="640"/>
        <w:jc w:val="both"/>
        <w:textAlignment w:val="auto"/>
        <w:rPr>
          <w:rFonts w:hint="default" w:ascii="Times New Roman" w:hAnsi="Times New Roman" w:eastAsia="方正黑体简体" w:cs="Times New Roman"/>
          <w:i w:val="0"/>
          <w:iCs w:val="0"/>
          <w:caps w:val="0"/>
          <w:color w:val="000000"/>
          <w:spacing w:val="0"/>
          <w:sz w:val="24"/>
          <w:szCs w:val="24"/>
        </w:rPr>
      </w:pPr>
      <w:r>
        <w:rPr>
          <w:rFonts w:hint="default" w:ascii="Times New Roman" w:hAnsi="Times New Roman" w:eastAsia="方正黑体简体" w:cs="Times New Roman"/>
          <w:b w:val="0"/>
          <w:bCs w:val="0"/>
          <w:i w:val="0"/>
          <w:iCs w:val="0"/>
          <w:caps w:val="0"/>
          <w:color w:val="000000"/>
          <w:spacing w:val="0"/>
          <w:kern w:val="0"/>
          <w:sz w:val="32"/>
          <w:szCs w:val="32"/>
          <w:shd w:val="clear" w:fill="FFFFFF"/>
          <w:lang w:val="en-US" w:eastAsia="zh-CN" w:bidi="ar"/>
        </w:rPr>
        <w:t>一、总体情况</w:t>
      </w:r>
    </w:p>
    <w:p w14:paraId="1D39C4D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right="0" w:firstLine="640"/>
        <w:jc w:val="both"/>
        <w:textAlignment w:val="auto"/>
        <w:rPr>
          <w:rFonts w:hint="default" w:ascii="Times New Roman" w:hAnsi="Times New Roman" w:eastAsia="微软雅黑" w:cs="Times New Roman"/>
          <w:i w:val="0"/>
          <w:iCs w:val="0"/>
          <w:caps w:val="0"/>
          <w:color w:val="000000"/>
          <w:spacing w:val="0"/>
          <w:sz w:val="24"/>
          <w:szCs w:val="24"/>
        </w:rPr>
      </w:pPr>
      <w:r>
        <w:rPr>
          <w:rFonts w:hint="default" w:ascii="Times New Roman" w:hAnsi="Times New Roman" w:eastAsia="微软雅黑" w:cs="Times New Roman"/>
          <w:b w:val="0"/>
          <w:bCs w:val="0"/>
          <w:i w:val="0"/>
          <w:iCs w:val="0"/>
          <w:caps w:val="0"/>
          <w:color w:val="000000"/>
          <w:spacing w:val="0"/>
          <w:kern w:val="0"/>
          <w:sz w:val="32"/>
          <w:szCs w:val="32"/>
          <w:shd w:val="clear" w:fill="FFFFFF"/>
          <w:lang w:val="en-US" w:eastAsia="zh-CN" w:bidi="ar"/>
        </w:rPr>
        <w:t>202</w:t>
      </w:r>
      <w:r>
        <w:rPr>
          <w:rFonts w:hint="eastAsia" w:ascii="Times New Roman" w:hAnsi="Times New Roman" w:eastAsia="微软雅黑" w:cs="Times New Roman"/>
          <w:b w:val="0"/>
          <w:bCs w:val="0"/>
          <w:i w:val="0"/>
          <w:iCs w:val="0"/>
          <w:caps w:val="0"/>
          <w:color w:val="000000"/>
          <w:spacing w:val="0"/>
          <w:kern w:val="0"/>
          <w:sz w:val="32"/>
          <w:szCs w:val="32"/>
          <w:shd w:val="clear" w:fill="FFFFFF"/>
          <w:lang w:val="en-US" w:eastAsia="zh-CN" w:bidi="ar"/>
        </w:rPr>
        <w:t>5</w:t>
      </w:r>
      <w:r>
        <w:rPr>
          <w:rFonts w:hint="default" w:ascii="Times New Roman" w:hAnsi="Times New Roman" w:eastAsia="仿宋_GB2312" w:cs="Times New Roman"/>
          <w:b w:val="0"/>
          <w:bCs w:val="0"/>
          <w:i w:val="0"/>
          <w:iCs w:val="0"/>
          <w:caps w:val="0"/>
          <w:color w:val="000000"/>
          <w:spacing w:val="0"/>
          <w:kern w:val="0"/>
          <w:sz w:val="32"/>
          <w:szCs w:val="32"/>
          <w:shd w:val="clear" w:fill="FFFFFF"/>
          <w:lang w:val="en-US" w:eastAsia="zh-CN" w:bidi="ar"/>
        </w:rPr>
        <w:t>年度，泉林镇人民政府认真贯彻落实中央、省市县有关政府信息公开工作的决策部署，紧紧围绕经济社会发展各项工作，进一步规范公开内容、健全公开制度，拓展公开渠道，及时、准确地向社会公开政府信息，不断提升工作效率和服务水平，依法保障群众知情权、参与权和监督权。</w:t>
      </w:r>
    </w:p>
    <w:p w14:paraId="2781EF7B">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right="0" w:firstLine="643"/>
        <w:jc w:val="both"/>
        <w:textAlignment w:val="auto"/>
        <w:rPr>
          <w:rFonts w:hint="default" w:ascii="Times New Roman" w:hAnsi="Times New Roman" w:eastAsia="仿宋_GB2312" w:cs="Times New Roman"/>
          <w:b w:val="0"/>
          <w:bCs w:val="0"/>
          <w:i w:val="0"/>
          <w:iCs w:val="0"/>
          <w:caps w:val="0"/>
          <w:color w:val="000000"/>
          <w:spacing w:val="0"/>
          <w:kern w:val="0"/>
          <w:sz w:val="32"/>
          <w:szCs w:val="32"/>
          <w:shd w:val="clear" w:fill="FFFFFF"/>
          <w:lang w:val="en-US" w:eastAsia="zh-CN" w:bidi="ar"/>
        </w:rPr>
      </w:pPr>
      <w:r>
        <w:rPr>
          <w:rFonts w:hint="default" w:ascii="Times New Roman" w:hAnsi="Times New Roman" w:eastAsia="楷体_GB2312" w:cs="Times New Roman"/>
          <w:b/>
          <w:bCs/>
          <w:i w:val="0"/>
          <w:iCs w:val="0"/>
          <w:caps w:val="0"/>
          <w:color w:val="000000"/>
          <w:spacing w:val="0"/>
          <w:kern w:val="0"/>
          <w:sz w:val="32"/>
          <w:szCs w:val="32"/>
          <w:shd w:val="clear" w:fill="FFFFFF"/>
          <w:lang w:val="en-US" w:eastAsia="zh-CN" w:bidi="ar"/>
        </w:rPr>
        <w:t>主动公开方面。</w:t>
      </w:r>
      <w:r>
        <w:rPr>
          <w:rFonts w:hint="default" w:ascii="Times New Roman" w:hAnsi="Times New Roman" w:eastAsia="仿宋_GB2312" w:cs="Times New Roman"/>
          <w:b w:val="0"/>
          <w:bCs w:val="0"/>
          <w:i w:val="0"/>
          <w:iCs w:val="0"/>
          <w:caps w:val="0"/>
          <w:color w:val="000000"/>
          <w:spacing w:val="0"/>
          <w:kern w:val="0"/>
          <w:sz w:val="32"/>
          <w:szCs w:val="32"/>
          <w:shd w:val="clear" w:fill="FFFFFF"/>
          <w:lang w:val="en-US" w:eastAsia="zh-CN" w:bidi="ar"/>
        </w:rPr>
        <w:t>常态化做好政府信息主动公开，</w:t>
      </w:r>
      <w:r>
        <w:rPr>
          <w:rFonts w:hint="eastAsia" w:ascii="Times New Roman" w:hAnsi="Times New Roman" w:eastAsia="仿宋_GB2312" w:cs="Times New Roman"/>
          <w:b w:val="0"/>
          <w:bCs w:val="0"/>
          <w:i w:val="0"/>
          <w:iCs w:val="0"/>
          <w:caps w:val="0"/>
          <w:color w:val="000000"/>
          <w:spacing w:val="0"/>
          <w:kern w:val="0"/>
          <w:sz w:val="32"/>
          <w:szCs w:val="32"/>
          <w:shd w:val="clear" w:fill="FFFFFF"/>
          <w:lang w:val="en-US" w:eastAsia="zh-CN" w:bidi="ar"/>
        </w:rPr>
        <w:t>2025年度</w:t>
      </w:r>
      <w:r>
        <w:rPr>
          <w:rFonts w:hint="default" w:ascii="Times New Roman" w:hAnsi="Times New Roman" w:eastAsia="仿宋_GB2312" w:cs="Times New Roman"/>
          <w:b w:val="0"/>
          <w:bCs w:val="0"/>
          <w:i w:val="0"/>
          <w:iCs w:val="0"/>
          <w:caps w:val="0"/>
          <w:color w:val="000000"/>
          <w:spacing w:val="0"/>
          <w:kern w:val="0"/>
          <w:sz w:val="32"/>
          <w:szCs w:val="32"/>
          <w:shd w:val="clear" w:fill="FFFFFF"/>
          <w:lang w:val="en-US" w:eastAsia="zh-CN" w:bidi="ar"/>
        </w:rPr>
        <w:t>发布政务信息</w:t>
      </w:r>
      <w:r>
        <w:rPr>
          <w:rFonts w:hint="eastAsia" w:ascii="Times New Roman" w:hAnsi="Times New Roman" w:eastAsia="仿宋_GB2312" w:cs="Times New Roman"/>
          <w:b w:val="0"/>
          <w:bCs w:val="0"/>
          <w:i w:val="0"/>
          <w:iCs w:val="0"/>
          <w:caps w:val="0"/>
          <w:color w:val="000000"/>
          <w:spacing w:val="0"/>
          <w:kern w:val="0"/>
          <w:sz w:val="32"/>
          <w:szCs w:val="32"/>
          <w:shd w:val="clear" w:fill="FFFFFF"/>
          <w:lang w:val="en-US" w:eastAsia="zh-CN" w:bidi="ar"/>
        </w:rPr>
        <w:t>共17</w:t>
      </w:r>
      <w:r>
        <w:rPr>
          <w:rFonts w:hint="default" w:ascii="Times New Roman" w:hAnsi="Times New Roman" w:eastAsia="仿宋_GB2312" w:cs="Times New Roman"/>
          <w:b w:val="0"/>
          <w:bCs w:val="0"/>
          <w:i w:val="0"/>
          <w:iCs w:val="0"/>
          <w:caps w:val="0"/>
          <w:color w:val="000000"/>
          <w:spacing w:val="0"/>
          <w:kern w:val="0"/>
          <w:sz w:val="32"/>
          <w:szCs w:val="32"/>
          <w:shd w:val="clear" w:fill="FFFFFF"/>
          <w:lang w:val="en-US" w:eastAsia="zh-CN" w:bidi="ar"/>
        </w:rPr>
        <w:t>条，其中</w:t>
      </w:r>
      <w:r>
        <w:rPr>
          <w:rFonts w:hint="eastAsia" w:ascii="Times New Roman" w:hAnsi="Times New Roman" w:eastAsia="仿宋_GB2312" w:cs="Times New Roman"/>
          <w:b w:val="0"/>
          <w:bCs w:val="0"/>
          <w:i w:val="0"/>
          <w:iCs w:val="0"/>
          <w:caps w:val="0"/>
          <w:color w:val="000000"/>
          <w:spacing w:val="0"/>
          <w:kern w:val="0"/>
          <w:sz w:val="32"/>
          <w:szCs w:val="32"/>
          <w:shd w:val="clear" w:fill="FFFFFF"/>
          <w:lang w:val="en-US" w:eastAsia="zh-CN" w:bidi="ar"/>
        </w:rPr>
        <w:t>通知公告12条</w:t>
      </w:r>
      <w:r>
        <w:rPr>
          <w:rFonts w:hint="default" w:ascii="Times New Roman" w:hAnsi="Times New Roman" w:eastAsia="仿宋_GB2312" w:cs="Times New Roman"/>
          <w:b w:val="0"/>
          <w:bCs w:val="0"/>
          <w:i w:val="0"/>
          <w:iCs w:val="0"/>
          <w:caps w:val="0"/>
          <w:color w:val="000000"/>
          <w:spacing w:val="0"/>
          <w:kern w:val="0"/>
          <w:sz w:val="32"/>
          <w:szCs w:val="32"/>
          <w:shd w:val="clear" w:fill="FFFFFF"/>
          <w:lang w:val="en-US" w:eastAsia="zh-CN" w:bidi="ar"/>
        </w:rPr>
        <w:t>、其他类信息</w:t>
      </w:r>
      <w:r>
        <w:rPr>
          <w:rFonts w:hint="eastAsia" w:ascii="Times New Roman" w:hAnsi="Times New Roman" w:eastAsia="仿宋_GB2312" w:cs="Times New Roman"/>
          <w:b w:val="0"/>
          <w:bCs w:val="0"/>
          <w:i w:val="0"/>
          <w:iCs w:val="0"/>
          <w:caps w:val="0"/>
          <w:color w:val="000000"/>
          <w:spacing w:val="0"/>
          <w:kern w:val="0"/>
          <w:sz w:val="32"/>
          <w:szCs w:val="32"/>
          <w:shd w:val="clear" w:fill="FFFFFF"/>
          <w:lang w:val="en-US" w:eastAsia="zh-CN" w:bidi="ar"/>
        </w:rPr>
        <w:t>5</w:t>
      </w:r>
      <w:r>
        <w:rPr>
          <w:rFonts w:hint="default" w:ascii="Times New Roman" w:hAnsi="Times New Roman" w:eastAsia="仿宋_GB2312" w:cs="Times New Roman"/>
          <w:b w:val="0"/>
          <w:bCs w:val="0"/>
          <w:i w:val="0"/>
          <w:iCs w:val="0"/>
          <w:caps w:val="0"/>
          <w:color w:val="000000"/>
          <w:spacing w:val="0"/>
          <w:kern w:val="0"/>
          <w:sz w:val="32"/>
          <w:szCs w:val="32"/>
          <w:shd w:val="clear" w:fill="FFFFFF"/>
          <w:lang w:val="en-US" w:eastAsia="zh-CN" w:bidi="ar"/>
        </w:rPr>
        <w:t>条，公开政府机构职能、领导信息、政府文件、人事任免、重要决策、政府工作报告等信息。</w:t>
      </w:r>
    </w:p>
    <w:p w14:paraId="077C30C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right="0"/>
        <w:jc w:val="center"/>
      </w:pPr>
      <w:r>
        <w:drawing>
          <wp:inline distT="0" distB="0" distL="114300" distR="114300">
            <wp:extent cx="5652135" cy="3616325"/>
            <wp:effectExtent l="0" t="0" r="5715"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652135" cy="3616325"/>
                    </a:xfrm>
                    <a:prstGeom prst="rect">
                      <a:avLst/>
                    </a:prstGeom>
                    <a:noFill/>
                    <a:ln>
                      <a:noFill/>
                    </a:ln>
                  </pic:spPr>
                </pic:pic>
              </a:graphicData>
            </a:graphic>
          </wp:inline>
        </w:drawing>
      </w:r>
    </w:p>
    <w:p w14:paraId="787C321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right="0"/>
        <w:jc w:val="center"/>
        <w:rPr>
          <w:rFonts w:hint="default" w:eastAsiaTheme="minorEastAsia"/>
          <w:b/>
          <w:bCs/>
          <w:sz w:val="32"/>
          <w:szCs w:val="40"/>
          <w:lang w:val="en-US" w:eastAsia="zh-CN"/>
        </w:rPr>
      </w:pPr>
      <w:r>
        <w:rPr>
          <w:rFonts w:hint="eastAsia"/>
          <w:b/>
          <w:bCs/>
          <w:sz w:val="32"/>
          <w:szCs w:val="40"/>
          <w:lang w:val="en-US" w:eastAsia="zh-CN"/>
        </w:rPr>
        <w:t>2025年政务信息主动公开图示</w:t>
      </w:r>
    </w:p>
    <w:p w14:paraId="5DE2929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right="0"/>
        <w:jc w:val="center"/>
        <w:rPr>
          <w:rFonts w:hint="default" w:ascii="Times New Roman" w:hAnsi="Times New Roman" w:eastAsia="仿宋_GB2312" w:cs="Times New Roman"/>
          <w:b w:val="0"/>
          <w:bCs w:val="0"/>
          <w:i w:val="0"/>
          <w:iCs w:val="0"/>
          <w:caps w:val="0"/>
          <w:color w:val="000000"/>
          <w:spacing w:val="0"/>
          <w:kern w:val="0"/>
          <w:sz w:val="32"/>
          <w:szCs w:val="32"/>
          <w:shd w:val="clear" w:fill="FFFFFF"/>
          <w:lang w:val="en-US" w:eastAsia="zh-CN" w:bidi="ar"/>
        </w:rPr>
      </w:pPr>
    </w:p>
    <w:p w14:paraId="0B76C31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520" w:lineRule="atLeast"/>
        <w:ind w:left="0" w:right="0" w:firstLine="641"/>
        <w:jc w:val="both"/>
        <w:textAlignment w:val="auto"/>
        <w:rPr>
          <w:rFonts w:hint="default" w:ascii="Times New Roman" w:hAnsi="Times New Roman" w:eastAsia="微软雅黑" w:cs="Times New Roman"/>
          <w:i w:val="0"/>
          <w:iCs w:val="0"/>
          <w:caps w:val="0"/>
          <w:color w:val="000000"/>
          <w:spacing w:val="0"/>
          <w:sz w:val="24"/>
          <w:szCs w:val="24"/>
        </w:rPr>
      </w:pPr>
      <w:r>
        <w:rPr>
          <w:rFonts w:hint="default" w:ascii="Times New Roman" w:hAnsi="Times New Roman" w:eastAsia="楷体_GB2312" w:cs="Times New Roman"/>
          <w:b/>
          <w:bCs/>
          <w:i w:val="0"/>
          <w:iCs w:val="0"/>
          <w:caps w:val="0"/>
          <w:color w:val="000000"/>
          <w:spacing w:val="0"/>
          <w:kern w:val="0"/>
          <w:sz w:val="32"/>
          <w:szCs w:val="32"/>
          <w:shd w:val="clear" w:fill="FFFFFF"/>
          <w:lang w:val="en-US" w:eastAsia="zh-CN" w:bidi="ar"/>
        </w:rPr>
        <w:t>（二）依申请公开方面。</w:t>
      </w:r>
      <w:r>
        <w:rPr>
          <w:rFonts w:hint="default" w:ascii="Times New Roman" w:hAnsi="Times New Roman" w:eastAsia="仿宋_GB2312" w:cs="Times New Roman"/>
          <w:b w:val="0"/>
          <w:bCs w:val="0"/>
          <w:i w:val="0"/>
          <w:iCs w:val="0"/>
          <w:caps w:val="0"/>
          <w:color w:val="000000"/>
          <w:spacing w:val="0"/>
          <w:kern w:val="0"/>
          <w:sz w:val="32"/>
          <w:szCs w:val="32"/>
          <w:shd w:val="clear" w:fill="FFFFFF"/>
          <w:lang w:val="en-US" w:eastAsia="zh-CN" w:bidi="ar"/>
        </w:rPr>
        <w:t>按照</w:t>
      </w:r>
      <w:r>
        <w:rPr>
          <w:rFonts w:hint="default" w:ascii="Times New Roman" w:hAnsi="Times New Roman" w:eastAsia="微软雅黑" w:cs="Times New Roman"/>
          <w:b w:val="0"/>
          <w:bCs w:val="0"/>
          <w:i w:val="0"/>
          <w:iCs w:val="0"/>
          <w:caps w:val="0"/>
          <w:color w:val="000000"/>
          <w:spacing w:val="0"/>
          <w:kern w:val="0"/>
          <w:sz w:val="32"/>
          <w:szCs w:val="32"/>
          <w:shd w:val="clear" w:fill="FFFFFF"/>
          <w:lang w:val="en-US" w:eastAsia="zh-CN" w:bidi="ar"/>
        </w:rPr>
        <w:t>“</w:t>
      </w:r>
      <w:r>
        <w:rPr>
          <w:rFonts w:hint="default" w:ascii="Times New Roman" w:hAnsi="Times New Roman" w:eastAsia="仿宋_GB2312" w:cs="Times New Roman"/>
          <w:b w:val="0"/>
          <w:bCs w:val="0"/>
          <w:i w:val="0"/>
          <w:iCs w:val="0"/>
          <w:caps w:val="0"/>
          <w:color w:val="000000"/>
          <w:spacing w:val="0"/>
          <w:kern w:val="0"/>
          <w:sz w:val="32"/>
          <w:szCs w:val="32"/>
          <w:shd w:val="clear" w:fill="FFFFFF"/>
          <w:lang w:val="en-US" w:eastAsia="zh-CN" w:bidi="ar"/>
        </w:rPr>
        <w:t>政府信息依申请公开答复文书</w:t>
      </w:r>
      <w:r>
        <w:rPr>
          <w:rFonts w:hint="default" w:ascii="Times New Roman" w:hAnsi="Times New Roman" w:eastAsia="微软雅黑" w:cs="Times New Roman"/>
          <w:b w:val="0"/>
          <w:bCs w:val="0"/>
          <w:i w:val="0"/>
          <w:iCs w:val="0"/>
          <w:caps w:val="0"/>
          <w:color w:val="000000"/>
          <w:spacing w:val="0"/>
          <w:kern w:val="0"/>
          <w:sz w:val="32"/>
          <w:szCs w:val="32"/>
          <w:shd w:val="clear" w:fill="FFFFFF"/>
          <w:lang w:val="en-US" w:eastAsia="zh-CN" w:bidi="ar"/>
        </w:rPr>
        <w:t>”</w:t>
      </w:r>
      <w:r>
        <w:rPr>
          <w:rFonts w:hint="default" w:ascii="Times New Roman" w:hAnsi="Times New Roman" w:eastAsia="仿宋_GB2312" w:cs="Times New Roman"/>
          <w:b w:val="0"/>
          <w:bCs w:val="0"/>
          <w:i w:val="0"/>
          <w:iCs w:val="0"/>
          <w:caps w:val="0"/>
          <w:color w:val="000000"/>
          <w:spacing w:val="0"/>
          <w:kern w:val="0"/>
          <w:sz w:val="32"/>
          <w:szCs w:val="32"/>
          <w:shd w:val="clear" w:fill="FFFFFF"/>
          <w:lang w:val="en-US" w:eastAsia="zh-CN" w:bidi="ar"/>
        </w:rPr>
        <w:t>，依法依规做好依申请公开答复。全年收到政府信息依申请公开申请</w:t>
      </w:r>
      <w:r>
        <w:rPr>
          <w:rFonts w:hint="eastAsia" w:ascii="Times New Roman" w:hAnsi="Times New Roman" w:eastAsia="微软雅黑" w:cs="Times New Roman"/>
          <w:b w:val="0"/>
          <w:bCs w:val="0"/>
          <w:i w:val="0"/>
          <w:iCs w:val="0"/>
          <w:caps w:val="0"/>
          <w:color w:val="000000"/>
          <w:spacing w:val="0"/>
          <w:kern w:val="0"/>
          <w:sz w:val="32"/>
          <w:szCs w:val="32"/>
          <w:shd w:val="clear" w:fill="FFFFFF"/>
          <w:lang w:val="en-US" w:eastAsia="zh-CN" w:bidi="ar"/>
        </w:rPr>
        <w:t>0</w:t>
      </w:r>
      <w:r>
        <w:rPr>
          <w:rFonts w:hint="default" w:ascii="Times New Roman" w:hAnsi="Times New Roman" w:eastAsia="仿宋_GB2312" w:cs="Times New Roman"/>
          <w:b w:val="0"/>
          <w:bCs w:val="0"/>
          <w:i w:val="0"/>
          <w:iCs w:val="0"/>
          <w:caps w:val="0"/>
          <w:color w:val="000000"/>
          <w:spacing w:val="0"/>
          <w:kern w:val="0"/>
          <w:sz w:val="32"/>
          <w:szCs w:val="32"/>
          <w:shd w:val="clear" w:fill="FFFFFF"/>
          <w:lang w:val="en-US" w:eastAsia="zh-CN" w:bidi="ar"/>
        </w:rPr>
        <w:t>件、结转办结上年度</w:t>
      </w:r>
      <w:r>
        <w:rPr>
          <w:rFonts w:hint="default" w:ascii="Times New Roman" w:hAnsi="Times New Roman" w:eastAsia="微软雅黑" w:cs="Times New Roman"/>
          <w:b w:val="0"/>
          <w:bCs w:val="0"/>
          <w:i w:val="0"/>
          <w:iCs w:val="0"/>
          <w:caps w:val="0"/>
          <w:color w:val="000000"/>
          <w:spacing w:val="0"/>
          <w:kern w:val="0"/>
          <w:sz w:val="32"/>
          <w:szCs w:val="32"/>
          <w:shd w:val="clear" w:fill="FFFFFF"/>
          <w:lang w:val="en-US" w:eastAsia="zh-CN" w:bidi="ar"/>
        </w:rPr>
        <w:t>0</w:t>
      </w:r>
      <w:r>
        <w:rPr>
          <w:rFonts w:hint="default" w:ascii="Times New Roman" w:hAnsi="Times New Roman" w:eastAsia="仿宋_GB2312" w:cs="Times New Roman"/>
          <w:b w:val="0"/>
          <w:bCs w:val="0"/>
          <w:i w:val="0"/>
          <w:iCs w:val="0"/>
          <w:caps w:val="0"/>
          <w:color w:val="000000"/>
          <w:spacing w:val="0"/>
          <w:kern w:val="0"/>
          <w:sz w:val="32"/>
          <w:szCs w:val="32"/>
          <w:shd w:val="clear" w:fill="FFFFFF"/>
          <w:lang w:val="en-US" w:eastAsia="zh-CN" w:bidi="ar"/>
        </w:rPr>
        <w:t>件。</w:t>
      </w:r>
      <w:r>
        <w:rPr>
          <w:rFonts w:hint="default" w:ascii="Times New Roman" w:hAnsi="Times New Roman" w:eastAsia="微软雅黑" w:cs="Times New Roman"/>
          <w:b w:val="0"/>
          <w:bCs w:val="0"/>
          <w:i w:val="0"/>
          <w:iCs w:val="0"/>
          <w:caps w:val="0"/>
          <w:color w:val="000000"/>
          <w:spacing w:val="0"/>
          <w:kern w:val="0"/>
          <w:sz w:val="32"/>
          <w:szCs w:val="32"/>
          <w:shd w:val="clear" w:fill="FFFFFF"/>
          <w:lang w:val="en-US" w:eastAsia="zh-CN" w:bidi="ar"/>
        </w:rPr>
        <w:t>202</w:t>
      </w:r>
      <w:r>
        <w:rPr>
          <w:rFonts w:hint="eastAsia" w:ascii="Times New Roman" w:hAnsi="Times New Roman" w:eastAsia="微软雅黑" w:cs="Times New Roman"/>
          <w:b w:val="0"/>
          <w:bCs w:val="0"/>
          <w:i w:val="0"/>
          <w:iCs w:val="0"/>
          <w:caps w:val="0"/>
          <w:color w:val="000000"/>
          <w:spacing w:val="0"/>
          <w:kern w:val="0"/>
          <w:sz w:val="32"/>
          <w:szCs w:val="32"/>
          <w:shd w:val="clear" w:fill="FFFFFF"/>
          <w:lang w:val="en-US" w:eastAsia="zh-CN" w:bidi="ar"/>
        </w:rPr>
        <w:t>5</w:t>
      </w:r>
      <w:r>
        <w:rPr>
          <w:rFonts w:hint="default" w:ascii="Times New Roman" w:hAnsi="Times New Roman" w:eastAsia="仿宋_GB2312" w:cs="Times New Roman"/>
          <w:b w:val="0"/>
          <w:bCs w:val="0"/>
          <w:i w:val="0"/>
          <w:iCs w:val="0"/>
          <w:caps w:val="0"/>
          <w:color w:val="000000"/>
          <w:spacing w:val="0"/>
          <w:kern w:val="0"/>
          <w:sz w:val="32"/>
          <w:szCs w:val="32"/>
          <w:shd w:val="clear" w:fill="FFFFFF"/>
          <w:lang w:val="en-US" w:eastAsia="zh-CN" w:bidi="ar"/>
        </w:rPr>
        <w:t>年，我镇未发生因政府信息公开不规范产生行政复议、行政诉讼的案件。</w:t>
      </w:r>
    </w:p>
    <w:p w14:paraId="07F9CC2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520" w:lineRule="atLeast"/>
        <w:ind w:left="0" w:right="0" w:firstLine="641"/>
        <w:jc w:val="both"/>
        <w:textAlignment w:val="auto"/>
        <w:rPr>
          <w:rFonts w:hint="default" w:ascii="Times New Roman" w:hAnsi="Times New Roman" w:eastAsia="仿宋_GB2312" w:cs="Times New Roman"/>
          <w:b w:val="0"/>
          <w:bCs w:val="0"/>
          <w:i w:val="0"/>
          <w:iCs w:val="0"/>
          <w:caps w:val="0"/>
          <w:color w:val="000000"/>
          <w:spacing w:val="0"/>
          <w:kern w:val="0"/>
          <w:sz w:val="32"/>
          <w:szCs w:val="32"/>
          <w:shd w:val="clear" w:fill="FFFFFF"/>
          <w:lang w:val="en-US" w:eastAsia="zh-CN" w:bidi="ar"/>
        </w:rPr>
      </w:pPr>
      <w:r>
        <w:rPr>
          <w:rFonts w:hint="default" w:ascii="Times New Roman" w:hAnsi="Times New Roman" w:eastAsia="楷体_GB2312" w:cs="Times New Roman"/>
          <w:b/>
          <w:bCs/>
          <w:i w:val="0"/>
          <w:iCs w:val="0"/>
          <w:caps w:val="0"/>
          <w:color w:val="000000"/>
          <w:spacing w:val="0"/>
          <w:kern w:val="0"/>
          <w:sz w:val="32"/>
          <w:szCs w:val="32"/>
          <w:shd w:val="clear" w:fill="FFFFFF"/>
          <w:lang w:val="en-US" w:eastAsia="zh-CN" w:bidi="ar"/>
        </w:rPr>
        <w:t>（三）政府信息管理方面。</w:t>
      </w:r>
      <w:r>
        <w:rPr>
          <w:rFonts w:hint="default" w:ascii="Times New Roman" w:hAnsi="Times New Roman" w:eastAsia="仿宋_GB2312" w:cs="Times New Roman"/>
          <w:b w:val="0"/>
          <w:bCs w:val="0"/>
          <w:i w:val="0"/>
          <w:iCs w:val="0"/>
          <w:caps w:val="0"/>
          <w:color w:val="000000"/>
          <w:spacing w:val="0"/>
          <w:kern w:val="0"/>
          <w:sz w:val="32"/>
          <w:szCs w:val="32"/>
          <w:shd w:val="clear" w:fill="FFFFFF"/>
          <w:lang w:val="en-US" w:eastAsia="zh-CN" w:bidi="ar"/>
        </w:rPr>
        <w:t>围绕202</w:t>
      </w:r>
      <w:r>
        <w:rPr>
          <w:rFonts w:hint="eastAsia" w:ascii="Times New Roman" w:hAnsi="Times New Roman" w:eastAsia="仿宋_GB2312" w:cs="Times New Roman"/>
          <w:b w:val="0"/>
          <w:bCs w:val="0"/>
          <w:i w:val="0"/>
          <w:iCs w:val="0"/>
          <w:caps w:val="0"/>
          <w:color w:val="000000"/>
          <w:spacing w:val="0"/>
          <w:kern w:val="0"/>
          <w:sz w:val="32"/>
          <w:szCs w:val="32"/>
          <w:shd w:val="clear" w:fill="FFFFFF"/>
          <w:lang w:val="en-US" w:eastAsia="zh-CN" w:bidi="ar"/>
        </w:rPr>
        <w:t>5</w:t>
      </w:r>
      <w:r>
        <w:rPr>
          <w:rFonts w:hint="default" w:ascii="Times New Roman" w:hAnsi="Times New Roman" w:eastAsia="仿宋_GB2312" w:cs="Times New Roman"/>
          <w:b w:val="0"/>
          <w:bCs w:val="0"/>
          <w:i w:val="0"/>
          <w:iCs w:val="0"/>
          <w:caps w:val="0"/>
          <w:color w:val="000000"/>
          <w:spacing w:val="0"/>
          <w:kern w:val="0"/>
          <w:sz w:val="32"/>
          <w:szCs w:val="32"/>
          <w:shd w:val="clear" w:fill="FFFFFF"/>
          <w:lang w:val="en-US" w:eastAsia="zh-CN" w:bidi="ar"/>
        </w:rPr>
        <w:t>年政务公开工作要点，深化公开内容，完善制度建设，坚持把关系群众切身利益的事项公开作为政务公开的重点</w:t>
      </w:r>
      <w:r>
        <w:rPr>
          <w:rFonts w:hint="eastAsia" w:ascii="Times New Roman" w:hAnsi="Times New Roman" w:eastAsia="仿宋_GB2312" w:cs="Times New Roman"/>
          <w:b w:val="0"/>
          <w:bCs w:val="0"/>
          <w:i w:val="0"/>
          <w:iCs w:val="0"/>
          <w:caps w:val="0"/>
          <w:color w:val="000000"/>
          <w:spacing w:val="0"/>
          <w:kern w:val="0"/>
          <w:sz w:val="32"/>
          <w:szCs w:val="32"/>
          <w:shd w:val="clear" w:fill="FFFFFF"/>
          <w:lang w:val="en-US" w:eastAsia="zh-CN" w:bidi="ar"/>
        </w:rPr>
        <w:t>；进一步强化</w:t>
      </w:r>
      <w:r>
        <w:rPr>
          <w:rFonts w:hint="default" w:ascii="Times New Roman" w:hAnsi="Times New Roman" w:eastAsia="仿宋_GB2312" w:cs="Times New Roman"/>
          <w:b w:val="0"/>
          <w:bCs w:val="0"/>
          <w:i w:val="0"/>
          <w:iCs w:val="0"/>
          <w:caps w:val="0"/>
          <w:color w:val="000000"/>
          <w:spacing w:val="0"/>
          <w:kern w:val="0"/>
          <w:sz w:val="32"/>
          <w:szCs w:val="32"/>
          <w:shd w:val="clear" w:fill="FFFFFF"/>
          <w:lang w:val="en-US" w:eastAsia="zh-CN" w:bidi="ar"/>
        </w:rPr>
        <w:t>组织领导，分管领导具体负责推进、指导、协调、监督全镇政府信息公开工作，</w:t>
      </w:r>
      <w:r>
        <w:rPr>
          <w:rFonts w:hint="eastAsia" w:ascii="Times New Roman" w:hAnsi="Times New Roman" w:eastAsia="仿宋_GB2312" w:cs="Times New Roman"/>
          <w:b w:val="0"/>
          <w:bCs w:val="0"/>
          <w:i w:val="0"/>
          <w:iCs w:val="0"/>
          <w:caps w:val="0"/>
          <w:color w:val="000000"/>
          <w:spacing w:val="0"/>
          <w:kern w:val="0"/>
          <w:sz w:val="32"/>
          <w:szCs w:val="32"/>
          <w:shd w:val="clear" w:fill="FFFFFF"/>
          <w:lang w:val="en-US" w:eastAsia="zh-CN" w:bidi="ar"/>
        </w:rPr>
        <w:t>对</w:t>
      </w:r>
      <w:r>
        <w:rPr>
          <w:rFonts w:hint="default" w:ascii="Times New Roman" w:hAnsi="Times New Roman" w:eastAsia="仿宋_GB2312" w:cs="Times New Roman"/>
          <w:b w:val="0"/>
          <w:bCs w:val="0"/>
          <w:i w:val="0"/>
          <w:iCs w:val="0"/>
          <w:caps w:val="0"/>
          <w:color w:val="000000"/>
          <w:spacing w:val="0"/>
          <w:kern w:val="0"/>
          <w:sz w:val="32"/>
          <w:szCs w:val="32"/>
          <w:shd w:val="clear" w:fill="FFFFFF"/>
          <w:lang w:val="en-US" w:eastAsia="zh-CN" w:bidi="ar"/>
        </w:rPr>
        <w:t>公开流程</w:t>
      </w:r>
      <w:r>
        <w:rPr>
          <w:rFonts w:hint="eastAsia" w:ascii="Times New Roman" w:hAnsi="Times New Roman" w:eastAsia="仿宋_GB2312" w:cs="Times New Roman"/>
          <w:b w:val="0"/>
          <w:bCs w:val="0"/>
          <w:i w:val="0"/>
          <w:iCs w:val="0"/>
          <w:caps w:val="0"/>
          <w:color w:val="000000"/>
          <w:spacing w:val="0"/>
          <w:kern w:val="0"/>
          <w:sz w:val="32"/>
          <w:szCs w:val="32"/>
          <w:shd w:val="clear" w:fill="FFFFFF"/>
          <w:lang w:val="en-US" w:eastAsia="zh-CN" w:bidi="ar"/>
        </w:rPr>
        <w:t>进一步</w:t>
      </w:r>
      <w:r>
        <w:rPr>
          <w:rFonts w:hint="default" w:ascii="Times New Roman" w:hAnsi="Times New Roman" w:eastAsia="仿宋_GB2312" w:cs="Times New Roman"/>
          <w:b w:val="0"/>
          <w:bCs w:val="0"/>
          <w:i w:val="0"/>
          <w:iCs w:val="0"/>
          <w:caps w:val="0"/>
          <w:color w:val="000000"/>
          <w:spacing w:val="0"/>
          <w:kern w:val="0"/>
          <w:sz w:val="32"/>
          <w:szCs w:val="32"/>
          <w:shd w:val="clear" w:fill="FFFFFF"/>
          <w:lang w:val="en-US" w:eastAsia="zh-CN" w:bidi="ar"/>
        </w:rPr>
        <w:t>规范，按照“一事一审”及“预先审查”原则，严格依法审查公开信息内容。</w:t>
      </w:r>
    </w:p>
    <w:p w14:paraId="6D1E4B4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520" w:lineRule="atLeast"/>
        <w:ind w:left="0" w:right="0" w:firstLine="641"/>
        <w:jc w:val="both"/>
        <w:textAlignment w:val="auto"/>
        <w:rPr>
          <w:rFonts w:hint="default" w:ascii="Times New Roman" w:hAnsi="Times New Roman" w:eastAsia="微软雅黑" w:cs="Times New Roman"/>
          <w:i w:val="0"/>
          <w:iCs w:val="0"/>
          <w:caps w:val="0"/>
          <w:color w:val="000000"/>
          <w:spacing w:val="0"/>
          <w:sz w:val="24"/>
          <w:szCs w:val="24"/>
        </w:rPr>
      </w:pPr>
      <w:r>
        <w:rPr>
          <w:rFonts w:hint="default" w:ascii="Times New Roman" w:hAnsi="Times New Roman" w:eastAsia="楷体_GB2312" w:cs="Times New Roman"/>
          <w:b/>
          <w:bCs/>
          <w:i w:val="0"/>
          <w:iCs w:val="0"/>
          <w:caps w:val="0"/>
          <w:color w:val="000000"/>
          <w:spacing w:val="0"/>
          <w:kern w:val="0"/>
          <w:sz w:val="32"/>
          <w:szCs w:val="32"/>
          <w:shd w:val="clear" w:fill="FFFFFF"/>
          <w:lang w:val="en-US" w:eastAsia="zh-CN" w:bidi="ar"/>
        </w:rPr>
        <w:t>（四）政府信息公开平台建设方面。</w:t>
      </w:r>
      <w:r>
        <w:rPr>
          <w:rFonts w:hint="default" w:ascii="Times New Roman" w:hAnsi="Times New Roman" w:eastAsia="仿宋_GB2312" w:cs="Times New Roman"/>
          <w:b w:val="0"/>
          <w:bCs w:val="0"/>
          <w:i w:val="0"/>
          <w:iCs w:val="0"/>
          <w:caps w:val="0"/>
          <w:color w:val="000000"/>
          <w:spacing w:val="0"/>
          <w:kern w:val="0"/>
          <w:sz w:val="32"/>
          <w:szCs w:val="32"/>
          <w:shd w:val="clear" w:fill="FFFFFF"/>
          <w:lang w:val="en-US" w:eastAsia="zh-CN" w:bidi="ar"/>
        </w:rPr>
        <w:t>不断创新公开方式</w:t>
      </w:r>
      <w:r>
        <w:rPr>
          <w:rFonts w:hint="eastAsia" w:ascii="Times New Roman" w:hAnsi="Times New Roman" w:eastAsia="仿宋_GB2312" w:cs="Times New Roman"/>
          <w:b w:val="0"/>
          <w:bCs w:val="0"/>
          <w:i w:val="0"/>
          <w:iCs w:val="0"/>
          <w:caps w:val="0"/>
          <w:color w:val="000000"/>
          <w:spacing w:val="0"/>
          <w:kern w:val="0"/>
          <w:sz w:val="32"/>
          <w:szCs w:val="32"/>
          <w:shd w:val="clear" w:fill="FFFFFF"/>
          <w:lang w:val="en-US" w:eastAsia="zh-CN" w:bidi="ar"/>
        </w:rPr>
        <w:t>、</w:t>
      </w:r>
      <w:r>
        <w:rPr>
          <w:rFonts w:hint="default" w:ascii="Times New Roman" w:hAnsi="Times New Roman" w:eastAsia="仿宋_GB2312" w:cs="Times New Roman"/>
          <w:b w:val="0"/>
          <w:bCs w:val="0"/>
          <w:i w:val="0"/>
          <w:iCs w:val="0"/>
          <w:caps w:val="0"/>
          <w:color w:val="000000"/>
          <w:spacing w:val="0"/>
          <w:kern w:val="0"/>
          <w:sz w:val="32"/>
          <w:szCs w:val="32"/>
          <w:shd w:val="clear" w:fill="FFFFFF"/>
          <w:lang w:val="en-US" w:eastAsia="zh-CN" w:bidi="ar"/>
        </w:rPr>
        <w:t>丰富公开载体，打磨公开信息内容，着力打造内容丰富、功能完善、运行稳定的政府信息公开平台。将政府信息公开网站作为主动公开政府信息的主要载体，并结合我镇实际工作需要，发挥公开阵地作用，让群众更全面、更及时、更精准了解政府信息。</w:t>
      </w:r>
    </w:p>
    <w:p w14:paraId="0A3CFC7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520" w:lineRule="atLeast"/>
        <w:ind w:left="0" w:right="0" w:firstLine="641"/>
        <w:jc w:val="both"/>
        <w:textAlignment w:val="auto"/>
        <w:rPr>
          <w:rFonts w:hint="default" w:ascii="Times New Roman" w:hAnsi="Times New Roman" w:eastAsia="仿宋_GB2312" w:cs="Times New Roman"/>
          <w:b w:val="0"/>
          <w:bCs w:val="0"/>
          <w:i w:val="0"/>
          <w:iCs w:val="0"/>
          <w:caps w:val="0"/>
          <w:color w:val="000000"/>
          <w:spacing w:val="0"/>
          <w:kern w:val="0"/>
          <w:sz w:val="32"/>
          <w:szCs w:val="32"/>
          <w:shd w:val="clear" w:fill="FFFFFF"/>
          <w:lang w:val="en-US" w:eastAsia="zh-CN" w:bidi="ar"/>
        </w:rPr>
      </w:pPr>
      <w:r>
        <w:rPr>
          <w:rFonts w:hint="default" w:ascii="Times New Roman" w:hAnsi="Times New Roman" w:eastAsia="楷体_GB2312" w:cs="Times New Roman"/>
          <w:b/>
          <w:bCs/>
          <w:i w:val="0"/>
          <w:iCs w:val="0"/>
          <w:caps w:val="0"/>
          <w:color w:val="000000"/>
          <w:spacing w:val="0"/>
          <w:kern w:val="0"/>
          <w:sz w:val="32"/>
          <w:szCs w:val="32"/>
          <w:shd w:val="clear" w:fill="FFFFFF"/>
          <w:lang w:val="en-US" w:eastAsia="zh-CN" w:bidi="ar"/>
        </w:rPr>
        <w:t>（五）监督保障方面。</w:t>
      </w:r>
      <w:r>
        <w:rPr>
          <w:rFonts w:hint="default" w:ascii="Times New Roman" w:hAnsi="Times New Roman" w:eastAsia="仿宋_GB2312" w:cs="Times New Roman"/>
          <w:b w:val="0"/>
          <w:bCs w:val="0"/>
          <w:i w:val="0"/>
          <w:iCs w:val="0"/>
          <w:caps w:val="0"/>
          <w:color w:val="000000"/>
          <w:spacing w:val="0"/>
          <w:kern w:val="0"/>
          <w:sz w:val="32"/>
          <w:szCs w:val="32"/>
          <w:shd w:val="clear" w:fill="FFFFFF"/>
          <w:lang w:val="en-US" w:eastAsia="zh-CN" w:bidi="ar"/>
        </w:rPr>
        <w:t>持续建立健全相关机制，不断推进政府信息公开工作制度化和规范化，压实责任，保证政府信息公开工作的连续性；严格把握公开程序，广泛接受服务对象的监督，切实做好政府信息公开工作</w:t>
      </w:r>
      <w:r>
        <w:rPr>
          <w:rFonts w:hint="eastAsia" w:ascii="Times New Roman" w:hAnsi="Times New Roman" w:eastAsia="仿宋_GB2312" w:cs="Times New Roman"/>
          <w:b w:val="0"/>
          <w:bCs w:val="0"/>
          <w:i w:val="0"/>
          <w:iCs w:val="0"/>
          <w:caps w:val="0"/>
          <w:color w:val="000000"/>
          <w:spacing w:val="0"/>
          <w:kern w:val="0"/>
          <w:sz w:val="32"/>
          <w:szCs w:val="32"/>
          <w:shd w:val="clear" w:fill="FFFFFF"/>
          <w:lang w:val="en-US" w:eastAsia="zh-CN" w:bidi="ar"/>
        </w:rPr>
        <w:t>，同时</w:t>
      </w:r>
      <w:r>
        <w:rPr>
          <w:rFonts w:hint="default" w:ascii="Times New Roman" w:hAnsi="Times New Roman" w:eastAsia="仿宋_GB2312" w:cs="Times New Roman"/>
          <w:b w:val="0"/>
          <w:bCs w:val="0"/>
          <w:i w:val="0"/>
          <w:iCs w:val="0"/>
          <w:caps w:val="0"/>
          <w:color w:val="000000"/>
          <w:spacing w:val="0"/>
          <w:kern w:val="0"/>
          <w:sz w:val="32"/>
          <w:szCs w:val="32"/>
          <w:shd w:val="clear" w:fill="FFFFFF"/>
          <w:lang w:val="en-US" w:eastAsia="zh-CN" w:bidi="ar"/>
        </w:rPr>
        <w:t>优化举措，拓宽交流通道，截至目前，</w:t>
      </w:r>
      <w:r>
        <w:rPr>
          <w:rFonts w:hint="default" w:ascii="Times New Roman" w:hAnsi="Times New Roman" w:eastAsia="微软雅黑" w:cs="Times New Roman"/>
          <w:b w:val="0"/>
          <w:bCs w:val="0"/>
          <w:i w:val="0"/>
          <w:iCs w:val="0"/>
          <w:caps w:val="0"/>
          <w:color w:val="000000"/>
          <w:spacing w:val="0"/>
          <w:kern w:val="0"/>
          <w:sz w:val="32"/>
          <w:szCs w:val="32"/>
          <w:shd w:val="clear" w:fill="FFFFFF"/>
          <w:lang w:val="en-US" w:eastAsia="zh-CN" w:bidi="ar"/>
        </w:rPr>
        <w:t>12345</w:t>
      </w:r>
      <w:r>
        <w:rPr>
          <w:rFonts w:hint="default" w:ascii="Times New Roman" w:hAnsi="Times New Roman" w:eastAsia="仿宋_GB2312" w:cs="Times New Roman"/>
          <w:b w:val="0"/>
          <w:bCs w:val="0"/>
          <w:i w:val="0"/>
          <w:iCs w:val="0"/>
          <w:caps w:val="0"/>
          <w:color w:val="000000"/>
          <w:spacing w:val="0"/>
          <w:kern w:val="0"/>
          <w:sz w:val="32"/>
          <w:szCs w:val="32"/>
          <w:shd w:val="clear" w:fill="FFFFFF"/>
          <w:lang w:val="en-US" w:eastAsia="zh-CN" w:bidi="ar"/>
        </w:rPr>
        <w:t>热线交办件</w:t>
      </w:r>
      <w:r>
        <w:rPr>
          <w:rFonts w:hint="eastAsia" w:ascii="Times New Roman" w:hAnsi="Times New Roman" w:eastAsia="微软雅黑" w:cs="Times New Roman"/>
          <w:b w:val="0"/>
          <w:bCs w:val="0"/>
          <w:i w:val="0"/>
          <w:iCs w:val="0"/>
          <w:caps w:val="0"/>
          <w:color w:val="000000"/>
          <w:spacing w:val="0"/>
          <w:kern w:val="0"/>
          <w:sz w:val="32"/>
          <w:szCs w:val="32"/>
          <w:shd w:val="clear" w:fill="FFFFFF"/>
          <w:lang w:val="en-US" w:eastAsia="zh-CN" w:bidi="ar"/>
        </w:rPr>
        <w:t>1310</w:t>
      </w:r>
      <w:r>
        <w:rPr>
          <w:rFonts w:hint="default" w:ascii="Times New Roman" w:hAnsi="Times New Roman" w:eastAsia="仿宋_GB2312" w:cs="Times New Roman"/>
          <w:b w:val="0"/>
          <w:bCs w:val="0"/>
          <w:i w:val="0"/>
          <w:iCs w:val="0"/>
          <w:caps w:val="0"/>
          <w:color w:val="000000"/>
          <w:spacing w:val="0"/>
          <w:kern w:val="0"/>
          <w:sz w:val="32"/>
          <w:szCs w:val="32"/>
          <w:shd w:val="clear" w:fill="FFFFFF"/>
          <w:lang w:val="en-US" w:eastAsia="zh-CN" w:bidi="ar"/>
        </w:rPr>
        <w:t>件，</w:t>
      </w:r>
      <w:r>
        <w:rPr>
          <w:rFonts w:hint="eastAsia" w:ascii="Times New Roman" w:hAnsi="Times New Roman" w:eastAsia="仿宋_GB2312" w:cs="Times New Roman"/>
          <w:b w:val="0"/>
          <w:bCs w:val="0"/>
          <w:i w:val="0"/>
          <w:iCs w:val="0"/>
          <w:caps w:val="0"/>
          <w:color w:val="000000"/>
          <w:spacing w:val="0"/>
          <w:kern w:val="0"/>
          <w:sz w:val="32"/>
          <w:szCs w:val="32"/>
          <w:shd w:val="clear" w:fill="FFFFFF"/>
          <w:lang w:val="en-US" w:eastAsia="zh-CN" w:bidi="ar"/>
        </w:rPr>
        <w:t>全部完成办理；泉林镇2025年未</w:t>
      </w:r>
      <w:r>
        <w:rPr>
          <w:rFonts w:hint="default" w:ascii="Times New Roman" w:hAnsi="Times New Roman" w:eastAsia="仿宋_GB2312" w:cs="Times New Roman"/>
          <w:b w:val="0"/>
          <w:bCs w:val="0"/>
          <w:i w:val="0"/>
          <w:iCs w:val="0"/>
          <w:caps w:val="0"/>
          <w:color w:val="000000"/>
          <w:spacing w:val="0"/>
          <w:kern w:val="0"/>
          <w:sz w:val="32"/>
          <w:szCs w:val="32"/>
          <w:shd w:val="clear" w:fill="FFFFFF"/>
          <w:lang w:val="en-US" w:eastAsia="zh-CN" w:bidi="ar"/>
        </w:rPr>
        <w:t>发生政府信息公开失泄密事件，未接到举报、投诉、行政复议或行政诉讼等事件。</w:t>
      </w:r>
    </w:p>
    <w:p w14:paraId="7A6D788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76" w:lineRule="atLeast"/>
        <w:ind w:left="0" w:right="0" w:firstLine="640"/>
        <w:jc w:val="both"/>
        <w:rPr>
          <w:rFonts w:hint="default" w:ascii="Times New Roman" w:hAnsi="Times New Roman" w:eastAsia="方正黑体简体" w:cs="Times New Roman"/>
          <w:i w:val="0"/>
          <w:iCs w:val="0"/>
          <w:caps w:val="0"/>
          <w:color w:val="000000"/>
          <w:spacing w:val="0"/>
          <w:sz w:val="24"/>
          <w:szCs w:val="24"/>
        </w:rPr>
      </w:pPr>
      <w:r>
        <w:rPr>
          <w:rFonts w:hint="default" w:ascii="Times New Roman" w:hAnsi="Times New Roman" w:eastAsia="方正黑体简体" w:cs="Times New Roman"/>
          <w:b w:val="0"/>
          <w:bCs w:val="0"/>
          <w:i w:val="0"/>
          <w:iCs w:val="0"/>
          <w:caps w:val="0"/>
          <w:color w:val="000000"/>
          <w:spacing w:val="0"/>
          <w:kern w:val="0"/>
          <w:sz w:val="32"/>
          <w:szCs w:val="32"/>
          <w:shd w:val="clear" w:fill="FFFFFF"/>
          <w:lang w:val="en-US" w:eastAsia="zh-CN" w:bidi="ar"/>
        </w:rPr>
        <w:t>二、主动公开政府信息情况</w:t>
      </w:r>
    </w:p>
    <w:tbl>
      <w:tblPr>
        <w:tblStyle w:val="4"/>
        <w:tblW w:w="5000" w:type="pct"/>
        <w:tblInd w:w="0" w:type="dxa"/>
        <w:tblLayout w:type="autofit"/>
        <w:tblCellMar>
          <w:top w:w="0" w:type="dxa"/>
          <w:left w:w="108" w:type="dxa"/>
          <w:bottom w:w="0" w:type="dxa"/>
          <w:right w:w="108" w:type="dxa"/>
        </w:tblCellMar>
      </w:tblPr>
      <w:tblGrid>
        <w:gridCol w:w="2279"/>
        <w:gridCol w:w="2279"/>
        <w:gridCol w:w="2279"/>
        <w:gridCol w:w="2280"/>
      </w:tblGrid>
      <w:tr w14:paraId="04358656">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10D89BC8">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方正黑体简体" w:cs="Times New Roman"/>
                <w:color w:val="000000"/>
                <w:kern w:val="0"/>
                <w:szCs w:val="21"/>
              </w:rPr>
              <w:t>第二十条第（一）项</w:t>
            </w:r>
          </w:p>
        </w:tc>
      </w:tr>
      <w:tr w14:paraId="2F04D8A3">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14:paraId="67F6D7DA">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1250" w:type="pct"/>
            <w:tcBorders>
              <w:top w:val="nil"/>
              <w:left w:val="nil"/>
              <w:bottom w:val="single" w:color="auto" w:sz="8" w:space="0"/>
              <w:right w:val="single" w:color="auto" w:sz="8" w:space="0"/>
            </w:tcBorders>
            <w:shd w:val="clear" w:color="auto" w:fill="auto"/>
            <w:vAlign w:val="center"/>
          </w:tcPr>
          <w:p w14:paraId="1EDAD2BE">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本年制发件数</w:t>
            </w:r>
          </w:p>
        </w:tc>
        <w:tc>
          <w:tcPr>
            <w:tcW w:w="1250" w:type="pct"/>
            <w:tcBorders>
              <w:top w:val="nil"/>
              <w:left w:val="nil"/>
              <w:bottom w:val="single" w:color="auto" w:sz="8" w:space="0"/>
              <w:right w:val="single" w:color="auto" w:sz="8" w:space="0"/>
            </w:tcBorders>
            <w:shd w:val="clear" w:color="auto" w:fill="auto"/>
            <w:vAlign w:val="center"/>
          </w:tcPr>
          <w:p w14:paraId="0980AD5B">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本年废止件数</w:t>
            </w:r>
          </w:p>
        </w:tc>
        <w:tc>
          <w:tcPr>
            <w:tcW w:w="1250" w:type="pct"/>
            <w:tcBorders>
              <w:top w:val="nil"/>
              <w:left w:val="nil"/>
              <w:bottom w:val="single" w:color="auto" w:sz="8" w:space="0"/>
              <w:right w:val="single" w:color="auto" w:sz="8" w:space="0"/>
            </w:tcBorders>
            <w:shd w:val="clear" w:color="auto" w:fill="auto"/>
            <w:vAlign w:val="center"/>
          </w:tcPr>
          <w:p w14:paraId="79C2DE1F">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现行有效件数</w:t>
            </w:r>
          </w:p>
        </w:tc>
      </w:tr>
      <w:tr w14:paraId="741BAB50">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14:paraId="1C6C630A">
            <w:pPr>
              <w:widowControl/>
              <w:jc w:val="left"/>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规章</w:t>
            </w:r>
          </w:p>
        </w:tc>
        <w:tc>
          <w:tcPr>
            <w:tcW w:w="1250" w:type="pct"/>
            <w:tcBorders>
              <w:top w:val="nil"/>
              <w:left w:val="nil"/>
              <w:bottom w:val="single" w:color="auto" w:sz="8" w:space="0"/>
              <w:right w:val="single" w:color="auto" w:sz="8" w:space="0"/>
            </w:tcBorders>
            <w:shd w:val="clear" w:color="auto" w:fill="auto"/>
            <w:vAlign w:val="center"/>
          </w:tcPr>
          <w:p w14:paraId="474FEE43">
            <w:pPr>
              <w:widowControl/>
              <w:jc w:val="center"/>
              <w:rPr>
                <w:rFonts w:hint="default" w:ascii="Times New Roman" w:hAnsi="Times New Roman" w:eastAsia="仿宋_GB2312" w:cs="Times New Roman"/>
                <w:color w:val="000000" w:themeColor="text1"/>
                <w:kern w:val="0"/>
                <w:szCs w:val="21"/>
                <w:lang w:eastAsia="zh-CN"/>
                <w14:textFill>
                  <w14:solidFill>
                    <w14:schemeClr w14:val="tx1"/>
                  </w14:solidFill>
                </w14:textFill>
              </w:rPr>
            </w:pPr>
            <w:r>
              <w:rPr>
                <w:rFonts w:hint="default" w:ascii="Times New Roman" w:hAnsi="Times New Roman" w:eastAsia="仿宋_GB2312" w:cs="Times New Roman"/>
                <w:color w:val="000000" w:themeColor="text1"/>
                <w:kern w:val="0"/>
                <w:szCs w:val="21"/>
                <w:lang w:val="en-US" w:eastAsia="zh-CN"/>
                <w14:textFill>
                  <w14:solidFill>
                    <w14:schemeClr w14:val="tx1"/>
                  </w14:solidFill>
                </w14:textFill>
              </w:rPr>
              <w:t>0</w:t>
            </w:r>
          </w:p>
        </w:tc>
        <w:tc>
          <w:tcPr>
            <w:tcW w:w="1250" w:type="pct"/>
            <w:tcBorders>
              <w:top w:val="nil"/>
              <w:left w:val="nil"/>
              <w:bottom w:val="single" w:color="auto" w:sz="8" w:space="0"/>
              <w:right w:val="single" w:color="auto" w:sz="8" w:space="0"/>
            </w:tcBorders>
            <w:shd w:val="clear" w:color="auto" w:fill="auto"/>
            <w:vAlign w:val="center"/>
          </w:tcPr>
          <w:p w14:paraId="6F2D2E4F">
            <w:pPr>
              <w:widowControl/>
              <w:jc w:val="center"/>
              <w:rPr>
                <w:rFonts w:hint="default" w:ascii="Times New Roman" w:hAnsi="Times New Roman" w:eastAsia="仿宋_GB2312" w:cs="Times New Roman"/>
                <w:color w:val="000000" w:themeColor="text1"/>
                <w:kern w:val="0"/>
                <w:szCs w:val="21"/>
                <w:lang w:eastAsia="zh-CN"/>
                <w14:textFill>
                  <w14:solidFill>
                    <w14:schemeClr w14:val="tx1"/>
                  </w14:solidFill>
                </w14:textFill>
              </w:rPr>
            </w:pPr>
            <w:r>
              <w:rPr>
                <w:rFonts w:hint="default" w:ascii="Times New Roman" w:hAnsi="Times New Roman" w:eastAsia="仿宋_GB2312" w:cs="Times New Roman"/>
                <w:color w:val="000000" w:themeColor="text1"/>
                <w:kern w:val="0"/>
                <w:szCs w:val="21"/>
                <w:lang w:val="en-US" w:eastAsia="zh-CN"/>
                <w14:textFill>
                  <w14:solidFill>
                    <w14:schemeClr w14:val="tx1"/>
                  </w14:solidFill>
                </w14:textFill>
              </w:rPr>
              <w:t>0</w:t>
            </w:r>
          </w:p>
        </w:tc>
        <w:tc>
          <w:tcPr>
            <w:tcW w:w="1250" w:type="pct"/>
            <w:tcBorders>
              <w:top w:val="nil"/>
              <w:left w:val="nil"/>
              <w:bottom w:val="single" w:color="auto" w:sz="8" w:space="0"/>
              <w:right w:val="single" w:color="auto" w:sz="8" w:space="0"/>
            </w:tcBorders>
            <w:shd w:val="clear" w:color="auto" w:fill="auto"/>
            <w:vAlign w:val="center"/>
          </w:tcPr>
          <w:p w14:paraId="73AB0D98">
            <w:pPr>
              <w:widowControl/>
              <w:jc w:val="center"/>
              <w:rPr>
                <w:rFonts w:hint="default" w:ascii="Times New Roman" w:hAnsi="Times New Roman" w:eastAsia="仿宋_GB2312" w:cs="Times New Roman"/>
                <w:color w:val="000000" w:themeColor="text1"/>
                <w:kern w:val="0"/>
                <w:szCs w:val="21"/>
                <w:lang w:eastAsia="zh-CN"/>
                <w14:textFill>
                  <w14:solidFill>
                    <w14:schemeClr w14:val="tx1"/>
                  </w14:solidFill>
                </w14:textFill>
              </w:rPr>
            </w:pPr>
            <w:r>
              <w:rPr>
                <w:rFonts w:hint="default" w:ascii="Times New Roman" w:hAnsi="Times New Roman" w:eastAsia="仿宋_GB2312" w:cs="Times New Roman"/>
                <w:color w:val="000000" w:themeColor="text1"/>
                <w:kern w:val="0"/>
                <w:szCs w:val="21"/>
                <w:lang w:val="en-US" w:eastAsia="zh-CN"/>
                <w14:textFill>
                  <w14:solidFill>
                    <w14:schemeClr w14:val="tx1"/>
                  </w14:solidFill>
                </w14:textFill>
              </w:rPr>
              <w:t>0</w:t>
            </w:r>
          </w:p>
        </w:tc>
      </w:tr>
      <w:tr w14:paraId="4F3445A4">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14:paraId="592EEFBE">
            <w:pPr>
              <w:widowControl/>
              <w:jc w:val="left"/>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行政规范性文件</w:t>
            </w:r>
          </w:p>
        </w:tc>
        <w:tc>
          <w:tcPr>
            <w:tcW w:w="1250" w:type="pct"/>
            <w:tcBorders>
              <w:top w:val="nil"/>
              <w:left w:val="nil"/>
              <w:bottom w:val="single" w:color="auto" w:sz="8" w:space="0"/>
              <w:right w:val="single" w:color="auto" w:sz="8" w:space="0"/>
            </w:tcBorders>
            <w:shd w:val="clear" w:color="auto" w:fill="auto"/>
            <w:vAlign w:val="center"/>
          </w:tcPr>
          <w:p w14:paraId="4E5A2ED4">
            <w:pPr>
              <w:widowControl/>
              <w:jc w:val="center"/>
              <w:rPr>
                <w:rFonts w:hint="default" w:ascii="Times New Roman" w:hAnsi="Times New Roman" w:eastAsia="仿宋_GB2312" w:cs="Times New Roman"/>
                <w:color w:val="000000" w:themeColor="text1"/>
                <w:kern w:val="0"/>
                <w:szCs w:val="21"/>
                <w:lang w:eastAsia="zh-CN"/>
                <w14:textFill>
                  <w14:solidFill>
                    <w14:schemeClr w14:val="tx1"/>
                  </w14:solidFill>
                </w14:textFill>
              </w:rPr>
            </w:pPr>
            <w:r>
              <w:rPr>
                <w:rFonts w:hint="default" w:ascii="Times New Roman" w:hAnsi="Times New Roman" w:eastAsia="仿宋_GB2312" w:cs="Times New Roman"/>
                <w:color w:val="000000" w:themeColor="text1"/>
                <w:kern w:val="0"/>
                <w:szCs w:val="21"/>
                <w:lang w:val="en-US" w:eastAsia="zh-CN"/>
                <w14:textFill>
                  <w14:solidFill>
                    <w14:schemeClr w14:val="tx1"/>
                  </w14:solidFill>
                </w14:textFill>
              </w:rPr>
              <w:t>0</w:t>
            </w:r>
          </w:p>
        </w:tc>
        <w:tc>
          <w:tcPr>
            <w:tcW w:w="1250" w:type="pct"/>
            <w:tcBorders>
              <w:top w:val="nil"/>
              <w:left w:val="nil"/>
              <w:bottom w:val="single" w:color="auto" w:sz="8" w:space="0"/>
              <w:right w:val="single" w:color="auto" w:sz="8" w:space="0"/>
            </w:tcBorders>
            <w:shd w:val="clear" w:color="auto" w:fill="auto"/>
            <w:vAlign w:val="center"/>
          </w:tcPr>
          <w:p w14:paraId="3ADF6E4F">
            <w:pPr>
              <w:widowControl/>
              <w:jc w:val="center"/>
              <w:rPr>
                <w:rFonts w:hint="default" w:ascii="Times New Roman" w:hAnsi="Times New Roman" w:eastAsia="仿宋_GB2312" w:cs="Times New Roman"/>
                <w:color w:val="000000" w:themeColor="text1"/>
                <w:kern w:val="0"/>
                <w:szCs w:val="21"/>
                <w:lang w:eastAsia="zh-CN"/>
                <w14:textFill>
                  <w14:solidFill>
                    <w14:schemeClr w14:val="tx1"/>
                  </w14:solidFill>
                </w14:textFill>
              </w:rPr>
            </w:pPr>
            <w:r>
              <w:rPr>
                <w:rFonts w:hint="default" w:ascii="Times New Roman" w:hAnsi="Times New Roman" w:eastAsia="仿宋_GB2312" w:cs="Times New Roman"/>
                <w:color w:val="000000" w:themeColor="text1"/>
                <w:kern w:val="0"/>
                <w:szCs w:val="21"/>
                <w:lang w:val="en-US" w:eastAsia="zh-CN"/>
                <w14:textFill>
                  <w14:solidFill>
                    <w14:schemeClr w14:val="tx1"/>
                  </w14:solidFill>
                </w14:textFill>
              </w:rPr>
              <w:t>0</w:t>
            </w:r>
          </w:p>
        </w:tc>
        <w:tc>
          <w:tcPr>
            <w:tcW w:w="1250" w:type="pct"/>
            <w:tcBorders>
              <w:top w:val="nil"/>
              <w:left w:val="nil"/>
              <w:bottom w:val="single" w:color="auto" w:sz="8" w:space="0"/>
              <w:right w:val="single" w:color="auto" w:sz="8" w:space="0"/>
            </w:tcBorders>
            <w:shd w:val="clear" w:color="auto" w:fill="auto"/>
            <w:vAlign w:val="center"/>
          </w:tcPr>
          <w:p w14:paraId="7673FEDA">
            <w:pPr>
              <w:widowControl/>
              <w:jc w:val="center"/>
              <w:rPr>
                <w:rFonts w:hint="default" w:ascii="Times New Roman" w:hAnsi="Times New Roman" w:eastAsia="仿宋_GB2312" w:cs="Times New Roman"/>
                <w:color w:val="000000" w:themeColor="text1"/>
                <w:kern w:val="0"/>
                <w:szCs w:val="21"/>
                <w:lang w:eastAsia="zh-CN"/>
                <w14:textFill>
                  <w14:solidFill>
                    <w14:schemeClr w14:val="tx1"/>
                  </w14:solidFill>
                </w14:textFill>
              </w:rPr>
            </w:pPr>
            <w:r>
              <w:rPr>
                <w:rFonts w:hint="default" w:ascii="Times New Roman" w:hAnsi="Times New Roman" w:eastAsia="仿宋_GB2312" w:cs="Times New Roman"/>
                <w:color w:val="000000" w:themeColor="text1"/>
                <w:kern w:val="0"/>
                <w:szCs w:val="21"/>
                <w:lang w:val="en-US" w:eastAsia="zh-CN"/>
                <w14:textFill>
                  <w14:solidFill>
                    <w14:schemeClr w14:val="tx1"/>
                  </w14:solidFill>
                </w14:textFill>
              </w:rPr>
              <w:t>0</w:t>
            </w:r>
          </w:p>
        </w:tc>
      </w:tr>
      <w:tr w14:paraId="3BC29B4B">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57BCBB48">
            <w:pPr>
              <w:widowControl/>
              <w:jc w:val="center"/>
              <w:rPr>
                <w:rFonts w:hint="default" w:ascii="Times New Roman" w:hAnsi="Times New Roman" w:eastAsia="仿宋_GB2312" w:cs="Times New Roman"/>
                <w:color w:val="000000" w:themeColor="text1"/>
                <w:kern w:val="0"/>
                <w:szCs w:val="21"/>
                <w14:textFill>
                  <w14:solidFill>
                    <w14:schemeClr w14:val="tx1"/>
                  </w14:solidFill>
                </w14:textFill>
              </w:rPr>
            </w:pPr>
            <w:r>
              <w:rPr>
                <w:rFonts w:hint="default" w:ascii="Times New Roman" w:hAnsi="Times New Roman" w:eastAsia="方正黑体简体" w:cs="Times New Roman"/>
                <w:color w:val="000000"/>
                <w:kern w:val="0"/>
                <w:szCs w:val="21"/>
              </w:rPr>
              <w:t>第二十条第（五）项</w:t>
            </w:r>
          </w:p>
        </w:tc>
      </w:tr>
      <w:tr w14:paraId="09CEDAA1">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14:paraId="482A0803">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14:paraId="4F0488A8">
            <w:pPr>
              <w:widowControl/>
              <w:jc w:val="center"/>
              <w:rPr>
                <w:rFonts w:hint="default" w:ascii="Times New Roman" w:hAnsi="Times New Roman" w:eastAsia="仿宋_GB2312" w:cs="Times New Roman"/>
                <w:color w:val="000000" w:themeColor="text1"/>
                <w:kern w:val="0"/>
                <w:szCs w:val="21"/>
                <w14:textFill>
                  <w14:solidFill>
                    <w14:schemeClr w14:val="tx1"/>
                  </w14:solidFill>
                </w14:textFill>
              </w:rPr>
            </w:pPr>
            <w:r>
              <w:rPr>
                <w:rFonts w:hint="default" w:ascii="Times New Roman" w:hAnsi="Times New Roman" w:eastAsia="仿宋_GB2312" w:cs="Times New Roman"/>
                <w:color w:val="000000" w:themeColor="text1"/>
                <w:kern w:val="0"/>
                <w:szCs w:val="21"/>
                <w14:textFill>
                  <w14:solidFill>
                    <w14:schemeClr w14:val="tx1"/>
                  </w14:solidFill>
                </w14:textFill>
              </w:rPr>
              <w:t>本年处理决定数量</w:t>
            </w:r>
          </w:p>
        </w:tc>
      </w:tr>
      <w:tr w14:paraId="03026A6F">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14:paraId="22832E66">
            <w:pPr>
              <w:widowControl/>
              <w:jc w:val="left"/>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行政许可</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14:paraId="73C8984F">
            <w:pPr>
              <w:widowControl/>
              <w:jc w:val="center"/>
              <w:rPr>
                <w:rFonts w:hint="default" w:ascii="Times New Roman" w:hAnsi="Times New Roman" w:eastAsia="仿宋_GB2312" w:cs="Times New Roman"/>
                <w:color w:val="000000" w:themeColor="text1"/>
                <w:kern w:val="0"/>
                <w:szCs w:val="21"/>
                <w:lang w:val="en-US" w:eastAsia="zh-CN"/>
                <w14:textFill>
                  <w14:solidFill>
                    <w14:schemeClr w14:val="tx1"/>
                  </w14:solidFill>
                </w14:textFill>
              </w:rPr>
            </w:pPr>
            <w:r>
              <w:rPr>
                <w:rFonts w:hint="eastAsia" w:ascii="Times New Roman" w:hAnsi="Times New Roman" w:eastAsia="仿宋_GB2312" w:cs="Times New Roman"/>
                <w:color w:val="000000" w:themeColor="text1"/>
                <w:kern w:val="0"/>
                <w:szCs w:val="21"/>
                <w:lang w:val="en-US" w:eastAsia="zh-CN"/>
                <w14:textFill>
                  <w14:solidFill>
                    <w14:schemeClr w14:val="tx1"/>
                  </w14:solidFill>
                </w14:textFill>
              </w:rPr>
              <w:t>98</w:t>
            </w:r>
          </w:p>
        </w:tc>
      </w:tr>
      <w:tr w14:paraId="7B28A68F">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50A59EE1">
            <w:pPr>
              <w:widowControl/>
              <w:jc w:val="center"/>
              <w:rPr>
                <w:rFonts w:hint="default" w:ascii="Times New Roman" w:hAnsi="Times New Roman" w:eastAsia="仿宋_GB2312" w:cs="Times New Roman"/>
                <w:color w:val="000000" w:themeColor="text1"/>
                <w:kern w:val="0"/>
                <w:szCs w:val="21"/>
                <w14:textFill>
                  <w14:solidFill>
                    <w14:schemeClr w14:val="tx1"/>
                  </w14:solidFill>
                </w14:textFill>
              </w:rPr>
            </w:pPr>
            <w:r>
              <w:rPr>
                <w:rFonts w:hint="default" w:ascii="Times New Roman" w:hAnsi="Times New Roman" w:eastAsia="方正黑体简体" w:cs="Times New Roman"/>
                <w:color w:val="000000"/>
                <w:kern w:val="0"/>
                <w:szCs w:val="21"/>
              </w:rPr>
              <w:t>第二十条第（六）项</w:t>
            </w:r>
          </w:p>
        </w:tc>
      </w:tr>
      <w:tr w14:paraId="09BBF17A">
        <w:tblPrEx>
          <w:tblCellMar>
            <w:top w:w="0" w:type="dxa"/>
            <w:left w:w="108" w:type="dxa"/>
            <w:bottom w:w="0" w:type="dxa"/>
            <w:right w:w="108" w:type="dxa"/>
          </w:tblCellMar>
        </w:tblPrEx>
        <w:trPr>
          <w:trHeight w:val="583" w:hRule="atLeast"/>
        </w:trPr>
        <w:tc>
          <w:tcPr>
            <w:tcW w:w="1250" w:type="pct"/>
            <w:tcBorders>
              <w:top w:val="nil"/>
              <w:left w:val="single" w:color="auto" w:sz="8" w:space="0"/>
              <w:bottom w:val="single" w:color="auto" w:sz="8" w:space="0"/>
              <w:right w:val="single" w:color="auto" w:sz="8" w:space="0"/>
            </w:tcBorders>
            <w:shd w:val="clear" w:color="auto" w:fill="auto"/>
            <w:vAlign w:val="center"/>
          </w:tcPr>
          <w:p w14:paraId="315362AA">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14:paraId="23DC8821">
            <w:pPr>
              <w:widowControl/>
              <w:jc w:val="center"/>
              <w:rPr>
                <w:rFonts w:hint="default" w:ascii="Times New Roman" w:hAnsi="Times New Roman" w:eastAsia="仿宋_GB2312" w:cs="Times New Roman"/>
                <w:color w:val="000000" w:themeColor="text1"/>
                <w:kern w:val="0"/>
                <w:szCs w:val="21"/>
                <w14:textFill>
                  <w14:solidFill>
                    <w14:schemeClr w14:val="tx1"/>
                  </w14:solidFill>
                </w14:textFill>
              </w:rPr>
            </w:pPr>
            <w:r>
              <w:rPr>
                <w:rFonts w:hint="default" w:ascii="Times New Roman" w:hAnsi="Times New Roman" w:eastAsia="仿宋_GB2312" w:cs="Times New Roman"/>
                <w:color w:val="000000" w:themeColor="text1"/>
                <w:kern w:val="0"/>
                <w:szCs w:val="21"/>
                <w14:textFill>
                  <w14:solidFill>
                    <w14:schemeClr w14:val="tx1"/>
                  </w14:solidFill>
                </w14:textFill>
              </w:rPr>
              <w:t>本年处理决定数量</w:t>
            </w:r>
          </w:p>
        </w:tc>
      </w:tr>
      <w:tr w14:paraId="281C481B">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14:paraId="63C8AF7C">
            <w:pPr>
              <w:widowControl/>
              <w:jc w:val="left"/>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行政处罚</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14:paraId="7CF5127B">
            <w:pPr>
              <w:widowControl/>
              <w:jc w:val="center"/>
              <w:rPr>
                <w:rFonts w:hint="default" w:ascii="Times New Roman" w:hAnsi="Times New Roman" w:eastAsia="仿宋_GB2312" w:cs="Times New Roman"/>
                <w:color w:val="000000" w:themeColor="text1"/>
                <w:kern w:val="0"/>
                <w:szCs w:val="21"/>
                <w:lang w:eastAsia="zh-CN"/>
                <w14:textFill>
                  <w14:solidFill>
                    <w14:schemeClr w14:val="tx1"/>
                  </w14:solidFill>
                </w14:textFill>
              </w:rPr>
            </w:pPr>
            <w:r>
              <w:rPr>
                <w:rFonts w:hint="default" w:ascii="Times New Roman" w:hAnsi="Times New Roman" w:eastAsia="仿宋_GB2312" w:cs="Times New Roman"/>
                <w:color w:val="000000" w:themeColor="text1"/>
                <w:kern w:val="0"/>
                <w:szCs w:val="21"/>
                <w:lang w:val="en-US" w:eastAsia="zh-CN"/>
                <w14:textFill>
                  <w14:solidFill>
                    <w14:schemeClr w14:val="tx1"/>
                  </w14:solidFill>
                </w14:textFill>
              </w:rPr>
              <w:t>0</w:t>
            </w:r>
          </w:p>
        </w:tc>
      </w:tr>
      <w:tr w14:paraId="010D397D">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14:paraId="5BF11643">
            <w:pPr>
              <w:widowControl/>
              <w:jc w:val="left"/>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行政强制</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14:paraId="559BC330">
            <w:pPr>
              <w:widowControl/>
              <w:jc w:val="center"/>
              <w:rPr>
                <w:rFonts w:hint="default" w:ascii="Times New Roman" w:hAnsi="Times New Roman" w:eastAsia="仿宋_GB2312" w:cs="Times New Roman"/>
                <w:color w:val="000000" w:themeColor="text1"/>
                <w:kern w:val="0"/>
                <w:szCs w:val="21"/>
                <w:lang w:val="en-US" w:eastAsia="zh-CN"/>
                <w14:textFill>
                  <w14:solidFill>
                    <w14:schemeClr w14:val="tx1"/>
                  </w14:solidFill>
                </w14:textFill>
              </w:rPr>
            </w:pPr>
            <w:r>
              <w:rPr>
                <w:rFonts w:hint="default" w:ascii="Times New Roman" w:hAnsi="Times New Roman" w:eastAsia="仿宋_GB2312" w:cs="Times New Roman"/>
                <w:color w:val="000000" w:themeColor="text1"/>
                <w:kern w:val="0"/>
                <w:szCs w:val="21"/>
                <w:lang w:val="en-US" w:eastAsia="zh-CN"/>
                <w14:textFill>
                  <w14:solidFill>
                    <w14:schemeClr w14:val="tx1"/>
                  </w14:solidFill>
                </w14:textFill>
              </w:rPr>
              <w:t>0</w:t>
            </w:r>
          </w:p>
        </w:tc>
      </w:tr>
      <w:tr w14:paraId="095E3AD6">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6EBC69A8">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方正黑体简体" w:cs="Times New Roman"/>
                <w:color w:val="000000"/>
                <w:kern w:val="0"/>
                <w:szCs w:val="21"/>
              </w:rPr>
              <w:t>第二十条第（八）项</w:t>
            </w:r>
          </w:p>
        </w:tc>
      </w:tr>
      <w:tr w14:paraId="26CD4844">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14:paraId="1D168B8F">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14:paraId="4331AAFB">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本年收费金额（单位：万元）</w:t>
            </w:r>
          </w:p>
        </w:tc>
      </w:tr>
      <w:tr w14:paraId="7625C370">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14:paraId="20804874">
            <w:pPr>
              <w:widowControl/>
              <w:jc w:val="left"/>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行政事业性收费</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14:paraId="2E1ECAF5">
            <w:pPr>
              <w:widowControl/>
              <w:jc w:val="center"/>
              <w:rPr>
                <w:rFonts w:hint="default" w:ascii="Times New Roman" w:hAnsi="Times New Roman" w:eastAsia="仿宋_GB2312" w:cs="Times New Roman"/>
                <w:color w:val="000000"/>
                <w:kern w:val="0"/>
                <w:szCs w:val="21"/>
                <w:lang w:eastAsia="zh-CN"/>
              </w:rPr>
            </w:pPr>
            <w:r>
              <w:rPr>
                <w:rFonts w:hint="default" w:ascii="Times New Roman" w:hAnsi="Times New Roman" w:eastAsia="仿宋_GB2312" w:cs="Times New Roman"/>
                <w:color w:val="000000"/>
                <w:kern w:val="0"/>
                <w:szCs w:val="21"/>
                <w:lang w:val="en-US" w:eastAsia="zh-CN"/>
              </w:rPr>
              <w:t>0</w:t>
            </w:r>
          </w:p>
        </w:tc>
      </w:tr>
    </w:tbl>
    <w:p w14:paraId="144F0FB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240" w:lineRule="auto"/>
        <w:ind w:left="0" w:right="0" w:firstLine="641"/>
        <w:jc w:val="both"/>
        <w:textAlignment w:val="auto"/>
        <w:rPr>
          <w:rFonts w:hint="default" w:ascii="Times New Roman" w:hAnsi="Times New Roman" w:eastAsia="黑体" w:cs="Times New Roman"/>
          <w:b w:val="0"/>
          <w:bCs w:val="0"/>
          <w:i w:val="0"/>
          <w:iCs w:val="0"/>
          <w:caps w:val="0"/>
          <w:color w:val="000000"/>
          <w:spacing w:val="0"/>
          <w:kern w:val="0"/>
          <w:sz w:val="32"/>
          <w:szCs w:val="32"/>
          <w:shd w:val="clear" w:fill="FFFFFF"/>
          <w:lang w:val="en-US" w:eastAsia="zh-CN" w:bidi="ar"/>
        </w:rPr>
        <w:sectPr>
          <w:pgSz w:w="11906" w:h="16838"/>
          <w:pgMar w:top="2041" w:right="1474" w:bottom="1531" w:left="1531" w:header="851" w:footer="992" w:gutter="0"/>
          <w:cols w:space="425" w:num="1"/>
          <w:docGrid w:type="lines" w:linePitch="312" w:charSpace="0"/>
        </w:sectPr>
      </w:pPr>
    </w:p>
    <w:p w14:paraId="45342EB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240" w:lineRule="auto"/>
        <w:ind w:left="0" w:right="0" w:firstLine="641"/>
        <w:jc w:val="both"/>
        <w:textAlignment w:val="auto"/>
        <w:rPr>
          <w:rFonts w:hint="default" w:ascii="Times New Roman" w:hAnsi="Times New Roman" w:eastAsia="方正黑体简体" w:cs="Times New Roman"/>
          <w:b w:val="0"/>
          <w:bCs w:val="0"/>
          <w:i w:val="0"/>
          <w:iCs w:val="0"/>
          <w:caps w:val="0"/>
          <w:color w:val="000000"/>
          <w:spacing w:val="0"/>
          <w:kern w:val="0"/>
          <w:sz w:val="32"/>
          <w:szCs w:val="32"/>
          <w:shd w:val="clear" w:fill="FFFFFF"/>
          <w:lang w:val="en-US" w:eastAsia="zh-CN" w:bidi="ar"/>
        </w:rPr>
      </w:pPr>
      <w:r>
        <w:rPr>
          <w:rFonts w:hint="default" w:ascii="Times New Roman" w:hAnsi="Times New Roman" w:eastAsia="方正黑体简体" w:cs="Times New Roman"/>
          <w:b w:val="0"/>
          <w:bCs w:val="0"/>
          <w:i w:val="0"/>
          <w:iCs w:val="0"/>
          <w:caps w:val="0"/>
          <w:color w:val="000000"/>
          <w:spacing w:val="0"/>
          <w:kern w:val="0"/>
          <w:sz w:val="32"/>
          <w:szCs w:val="32"/>
          <w:shd w:val="clear" w:fill="FFFFFF"/>
          <w:lang w:val="en-US" w:eastAsia="zh-CN" w:bidi="ar"/>
        </w:rPr>
        <w:t>三、收到和处理政府信息公开申请情况</w:t>
      </w:r>
    </w:p>
    <w:tbl>
      <w:tblPr>
        <w:tblStyle w:val="4"/>
        <w:tblpPr w:leftFromText="180" w:rightFromText="180" w:vertAnchor="text" w:horzAnchor="page" w:tblpX="1150" w:tblpY="596"/>
        <w:tblOverlap w:val="never"/>
        <w:tblW w:w="9913"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829"/>
        <w:gridCol w:w="567"/>
        <w:gridCol w:w="567"/>
        <w:gridCol w:w="731"/>
        <w:gridCol w:w="708"/>
        <w:gridCol w:w="567"/>
        <w:gridCol w:w="851"/>
      </w:tblGrid>
      <w:tr w14:paraId="4797AD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trPr>
        <w:tc>
          <w:tcPr>
            <w:tcW w:w="5093" w:type="dxa"/>
            <w:gridSpan w:val="3"/>
            <w:vMerge w:val="restart"/>
            <w:shd w:val="clear" w:color="auto" w:fill="auto"/>
            <w:tcMar>
              <w:left w:w="108" w:type="dxa"/>
              <w:right w:w="108" w:type="dxa"/>
            </w:tcMar>
            <w:vAlign w:val="center"/>
          </w:tcPr>
          <w:p w14:paraId="7337C7B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（本列数据的勾稽关系为：第一项加第二项之和，</w:t>
            </w:r>
          </w:p>
          <w:p w14:paraId="2381D66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kern w:val="0"/>
                <w:szCs w:val="21"/>
              </w:rPr>
              <w:t>等于第三项加第四项之和）</w:t>
            </w:r>
          </w:p>
        </w:tc>
        <w:tc>
          <w:tcPr>
            <w:tcW w:w="4820" w:type="dxa"/>
            <w:gridSpan w:val="7"/>
            <w:shd w:val="clear" w:color="auto" w:fill="auto"/>
            <w:tcMar>
              <w:left w:w="108" w:type="dxa"/>
              <w:right w:w="108" w:type="dxa"/>
            </w:tcMar>
            <w:vAlign w:val="center"/>
          </w:tcPr>
          <w:p w14:paraId="64EF3FF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kern w:val="0"/>
                <w:szCs w:val="21"/>
              </w:rPr>
              <w:t>申请人情况</w:t>
            </w:r>
          </w:p>
        </w:tc>
      </w:tr>
      <w:tr w14:paraId="09081F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trPr>
        <w:tc>
          <w:tcPr>
            <w:tcW w:w="5093" w:type="dxa"/>
            <w:gridSpan w:val="3"/>
            <w:vMerge w:val="continue"/>
            <w:shd w:val="clear" w:color="auto" w:fill="auto"/>
            <w:tcMar>
              <w:left w:w="108" w:type="dxa"/>
              <w:right w:w="108" w:type="dxa"/>
            </w:tcMar>
            <w:vAlign w:val="center"/>
          </w:tcPr>
          <w:p w14:paraId="03A2599C">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p>
        </w:tc>
        <w:tc>
          <w:tcPr>
            <w:tcW w:w="829" w:type="dxa"/>
            <w:vMerge w:val="restart"/>
            <w:shd w:val="clear" w:color="auto" w:fill="auto"/>
            <w:tcMar>
              <w:left w:w="108" w:type="dxa"/>
              <w:right w:w="108" w:type="dxa"/>
            </w:tcMar>
            <w:vAlign w:val="center"/>
          </w:tcPr>
          <w:p w14:paraId="1DFC3A1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kern w:val="0"/>
                <w:szCs w:val="21"/>
              </w:rPr>
              <w:t>自然人</w:t>
            </w:r>
          </w:p>
        </w:tc>
        <w:tc>
          <w:tcPr>
            <w:tcW w:w="3140" w:type="dxa"/>
            <w:gridSpan w:val="5"/>
            <w:shd w:val="clear" w:color="auto" w:fill="auto"/>
            <w:tcMar>
              <w:left w:w="108" w:type="dxa"/>
              <w:right w:w="108" w:type="dxa"/>
            </w:tcMar>
            <w:vAlign w:val="center"/>
          </w:tcPr>
          <w:p w14:paraId="24D7AFA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kern w:val="0"/>
                <w:szCs w:val="21"/>
              </w:rPr>
              <w:t>法人或其他组织</w:t>
            </w:r>
          </w:p>
        </w:tc>
        <w:tc>
          <w:tcPr>
            <w:tcW w:w="851" w:type="dxa"/>
            <w:vMerge w:val="restart"/>
            <w:shd w:val="clear" w:color="auto" w:fill="auto"/>
            <w:tcMar>
              <w:left w:w="108" w:type="dxa"/>
              <w:right w:w="108" w:type="dxa"/>
            </w:tcMar>
            <w:vAlign w:val="center"/>
          </w:tcPr>
          <w:p w14:paraId="33E8193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kern w:val="0"/>
                <w:szCs w:val="21"/>
              </w:rPr>
              <w:t>总计</w:t>
            </w:r>
          </w:p>
        </w:tc>
      </w:tr>
      <w:tr w14:paraId="104B15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trPr>
        <w:tc>
          <w:tcPr>
            <w:tcW w:w="5093" w:type="dxa"/>
            <w:gridSpan w:val="3"/>
            <w:vMerge w:val="continue"/>
            <w:shd w:val="clear" w:color="auto" w:fill="auto"/>
            <w:tcMar>
              <w:left w:w="108" w:type="dxa"/>
              <w:right w:w="108" w:type="dxa"/>
            </w:tcMar>
            <w:vAlign w:val="center"/>
          </w:tcPr>
          <w:p w14:paraId="54B23E04">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p>
        </w:tc>
        <w:tc>
          <w:tcPr>
            <w:tcW w:w="829" w:type="dxa"/>
            <w:vMerge w:val="continue"/>
            <w:shd w:val="clear" w:color="auto" w:fill="auto"/>
            <w:tcMar>
              <w:left w:w="108" w:type="dxa"/>
              <w:right w:w="108" w:type="dxa"/>
            </w:tcMar>
            <w:vAlign w:val="center"/>
          </w:tcPr>
          <w:p w14:paraId="4829BB1D">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p>
        </w:tc>
        <w:tc>
          <w:tcPr>
            <w:tcW w:w="567" w:type="dxa"/>
            <w:shd w:val="clear" w:color="auto" w:fill="auto"/>
            <w:tcMar>
              <w:left w:w="108" w:type="dxa"/>
              <w:right w:w="108" w:type="dxa"/>
            </w:tcMar>
            <w:vAlign w:val="center"/>
          </w:tcPr>
          <w:p w14:paraId="135B72F2">
            <w:pPr>
              <w:keepNext w:val="0"/>
              <w:keepLines w:val="0"/>
              <w:pageBreakBefore w:val="0"/>
              <w:widowControl/>
              <w:kinsoku/>
              <w:wordWrap/>
              <w:overflowPunct/>
              <w:topLinePunct w:val="0"/>
              <w:autoSpaceDE/>
              <w:autoSpaceDN/>
              <w:bidi w:val="0"/>
              <w:adjustRightInd/>
              <w:snapToGrid/>
              <w:spacing w:line="260" w:lineRule="exact"/>
              <w:ind w:left="-106" w:leftChars="-51" w:right="-107" w:rightChars="-51" w:hanging="1"/>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kern w:val="0"/>
                <w:szCs w:val="21"/>
              </w:rPr>
              <w:t>商业企业</w:t>
            </w:r>
          </w:p>
        </w:tc>
        <w:tc>
          <w:tcPr>
            <w:tcW w:w="567" w:type="dxa"/>
            <w:shd w:val="clear" w:color="auto" w:fill="auto"/>
            <w:tcMar>
              <w:left w:w="108" w:type="dxa"/>
              <w:right w:w="108" w:type="dxa"/>
            </w:tcMar>
            <w:vAlign w:val="center"/>
          </w:tcPr>
          <w:p w14:paraId="2BF32892">
            <w:pPr>
              <w:keepNext w:val="0"/>
              <w:keepLines w:val="0"/>
              <w:pageBreakBefore w:val="0"/>
              <w:widowControl/>
              <w:kinsoku/>
              <w:wordWrap/>
              <w:overflowPunct/>
              <w:topLinePunct w:val="0"/>
              <w:autoSpaceDE/>
              <w:autoSpaceDN/>
              <w:bidi w:val="0"/>
              <w:adjustRightInd/>
              <w:snapToGrid/>
              <w:spacing w:line="260" w:lineRule="exact"/>
              <w:ind w:left="-107" w:leftChars="-51" w:right="-107" w:rightChars="-51"/>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kern w:val="0"/>
                <w:szCs w:val="21"/>
              </w:rPr>
              <w:t>科研机构</w:t>
            </w:r>
          </w:p>
        </w:tc>
        <w:tc>
          <w:tcPr>
            <w:tcW w:w="731" w:type="dxa"/>
            <w:shd w:val="clear" w:color="auto" w:fill="auto"/>
            <w:tcMar>
              <w:left w:w="108" w:type="dxa"/>
              <w:right w:w="108" w:type="dxa"/>
            </w:tcMar>
            <w:vAlign w:val="center"/>
          </w:tcPr>
          <w:p w14:paraId="048208F5">
            <w:pPr>
              <w:keepNext w:val="0"/>
              <w:keepLines w:val="0"/>
              <w:pageBreakBefore w:val="0"/>
              <w:widowControl/>
              <w:kinsoku/>
              <w:wordWrap/>
              <w:overflowPunct/>
              <w:topLinePunct w:val="0"/>
              <w:autoSpaceDE/>
              <w:autoSpaceDN/>
              <w:bidi w:val="0"/>
              <w:adjustRightInd/>
              <w:snapToGrid/>
              <w:spacing w:line="260" w:lineRule="exact"/>
              <w:ind w:left="-107" w:leftChars="-51" w:right="-107" w:rightChars="-51"/>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kern w:val="0"/>
                <w:szCs w:val="21"/>
              </w:rPr>
              <w:t>社会公益组织</w:t>
            </w:r>
          </w:p>
        </w:tc>
        <w:tc>
          <w:tcPr>
            <w:tcW w:w="708" w:type="dxa"/>
            <w:shd w:val="clear" w:color="auto" w:fill="auto"/>
            <w:tcMar>
              <w:left w:w="108" w:type="dxa"/>
              <w:right w:w="108" w:type="dxa"/>
            </w:tcMar>
            <w:vAlign w:val="center"/>
          </w:tcPr>
          <w:p w14:paraId="62D8867F">
            <w:pPr>
              <w:keepNext w:val="0"/>
              <w:keepLines w:val="0"/>
              <w:pageBreakBefore w:val="0"/>
              <w:widowControl/>
              <w:kinsoku/>
              <w:wordWrap/>
              <w:overflowPunct/>
              <w:topLinePunct w:val="0"/>
              <w:autoSpaceDE/>
              <w:autoSpaceDN/>
              <w:bidi w:val="0"/>
              <w:adjustRightInd/>
              <w:snapToGrid/>
              <w:spacing w:line="260" w:lineRule="exact"/>
              <w:ind w:left="-106" w:leftChars="-51" w:right="-107" w:rightChars="-51" w:hanging="1"/>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kern w:val="0"/>
                <w:szCs w:val="21"/>
              </w:rPr>
              <w:t>法律服务机构</w:t>
            </w:r>
          </w:p>
        </w:tc>
        <w:tc>
          <w:tcPr>
            <w:tcW w:w="567" w:type="dxa"/>
            <w:shd w:val="clear" w:color="auto" w:fill="auto"/>
            <w:tcMar>
              <w:left w:w="108" w:type="dxa"/>
              <w:right w:w="108" w:type="dxa"/>
            </w:tcMar>
            <w:vAlign w:val="center"/>
          </w:tcPr>
          <w:p w14:paraId="0A915902">
            <w:pPr>
              <w:keepNext w:val="0"/>
              <w:keepLines w:val="0"/>
              <w:pageBreakBefore w:val="0"/>
              <w:widowControl/>
              <w:kinsoku/>
              <w:wordWrap/>
              <w:overflowPunct/>
              <w:topLinePunct w:val="0"/>
              <w:autoSpaceDE/>
              <w:autoSpaceDN/>
              <w:bidi w:val="0"/>
              <w:adjustRightInd/>
              <w:snapToGrid/>
              <w:spacing w:line="260" w:lineRule="exact"/>
              <w:ind w:left="-63" w:leftChars="-30" w:right="-134" w:rightChars="-64"/>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kern w:val="0"/>
                <w:szCs w:val="21"/>
              </w:rPr>
              <w:t>其他</w:t>
            </w:r>
          </w:p>
        </w:tc>
        <w:tc>
          <w:tcPr>
            <w:tcW w:w="851" w:type="dxa"/>
            <w:vMerge w:val="continue"/>
            <w:shd w:val="clear" w:color="auto" w:fill="auto"/>
            <w:tcMar>
              <w:left w:w="108" w:type="dxa"/>
              <w:right w:w="108" w:type="dxa"/>
            </w:tcMar>
            <w:vAlign w:val="center"/>
          </w:tcPr>
          <w:p w14:paraId="7C0CBA26">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p>
        </w:tc>
      </w:tr>
      <w:tr w14:paraId="7A5048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5093" w:type="dxa"/>
            <w:gridSpan w:val="3"/>
            <w:shd w:val="clear" w:color="auto" w:fill="auto"/>
            <w:tcMar>
              <w:left w:w="108" w:type="dxa"/>
              <w:right w:w="108" w:type="dxa"/>
            </w:tcMar>
            <w:vAlign w:val="center"/>
          </w:tcPr>
          <w:p w14:paraId="62F0E12E">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szCs w:val="21"/>
              </w:rPr>
            </w:pPr>
            <w:r>
              <w:rPr>
                <w:rFonts w:hint="eastAsia" w:ascii="仿宋_GB2312" w:hAnsi="仿宋_GB2312" w:eastAsia="仿宋_GB2312" w:cs="仿宋_GB2312"/>
                <w:kern w:val="0"/>
                <w:szCs w:val="21"/>
              </w:rPr>
              <w:t>一、</w:t>
            </w:r>
            <w:bookmarkStart w:id="0" w:name="_Hlk66973412"/>
            <w:r>
              <w:rPr>
                <w:rFonts w:hint="eastAsia" w:ascii="仿宋_GB2312" w:hAnsi="仿宋_GB2312" w:eastAsia="仿宋_GB2312" w:cs="仿宋_GB2312"/>
                <w:kern w:val="0"/>
                <w:szCs w:val="21"/>
              </w:rPr>
              <w:t>本年新收政府信息公开申请数量</w:t>
            </w:r>
            <w:bookmarkEnd w:id="0"/>
          </w:p>
        </w:tc>
        <w:tc>
          <w:tcPr>
            <w:tcW w:w="829" w:type="dxa"/>
            <w:shd w:val="clear" w:color="auto" w:fill="auto"/>
            <w:tcMar>
              <w:left w:w="108" w:type="dxa"/>
              <w:right w:w="108" w:type="dxa"/>
            </w:tcMar>
            <w:vAlign w:val="center"/>
          </w:tcPr>
          <w:p w14:paraId="3245F87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64A9430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43B62BD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0</w:t>
            </w:r>
          </w:p>
        </w:tc>
        <w:tc>
          <w:tcPr>
            <w:tcW w:w="731" w:type="dxa"/>
            <w:shd w:val="clear" w:color="auto" w:fill="auto"/>
            <w:tcMar>
              <w:left w:w="108" w:type="dxa"/>
              <w:right w:w="108" w:type="dxa"/>
            </w:tcMar>
            <w:vAlign w:val="center"/>
          </w:tcPr>
          <w:p w14:paraId="7883420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0</w:t>
            </w:r>
          </w:p>
        </w:tc>
        <w:tc>
          <w:tcPr>
            <w:tcW w:w="708" w:type="dxa"/>
            <w:shd w:val="clear" w:color="auto" w:fill="auto"/>
            <w:tcMar>
              <w:left w:w="108" w:type="dxa"/>
              <w:right w:w="108" w:type="dxa"/>
            </w:tcMar>
            <w:vAlign w:val="center"/>
          </w:tcPr>
          <w:p w14:paraId="72FB61E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1081A3F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0</w:t>
            </w:r>
          </w:p>
        </w:tc>
        <w:tc>
          <w:tcPr>
            <w:tcW w:w="851" w:type="dxa"/>
            <w:shd w:val="clear" w:color="auto" w:fill="auto"/>
            <w:tcMar>
              <w:left w:w="108" w:type="dxa"/>
              <w:right w:w="108" w:type="dxa"/>
            </w:tcMar>
            <w:vAlign w:val="center"/>
          </w:tcPr>
          <w:p w14:paraId="54C202B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0</w:t>
            </w:r>
          </w:p>
        </w:tc>
      </w:tr>
      <w:tr w14:paraId="5E49B7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5093" w:type="dxa"/>
            <w:gridSpan w:val="3"/>
            <w:shd w:val="clear" w:color="auto" w:fill="auto"/>
            <w:tcMar>
              <w:left w:w="108" w:type="dxa"/>
              <w:right w:w="108" w:type="dxa"/>
            </w:tcMar>
            <w:vAlign w:val="center"/>
          </w:tcPr>
          <w:p w14:paraId="38D74B28">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szCs w:val="21"/>
              </w:rPr>
            </w:pPr>
            <w:r>
              <w:rPr>
                <w:rFonts w:hint="eastAsia" w:ascii="仿宋_GB2312" w:hAnsi="仿宋_GB2312" w:eastAsia="仿宋_GB2312" w:cs="仿宋_GB2312"/>
                <w:kern w:val="0"/>
                <w:szCs w:val="21"/>
              </w:rPr>
              <w:t>二、上年结转政府信息公开申请数量</w:t>
            </w:r>
          </w:p>
        </w:tc>
        <w:tc>
          <w:tcPr>
            <w:tcW w:w="829" w:type="dxa"/>
            <w:shd w:val="clear" w:color="auto" w:fill="auto"/>
            <w:tcMar>
              <w:left w:w="108" w:type="dxa"/>
              <w:right w:w="108" w:type="dxa"/>
            </w:tcMar>
            <w:vAlign w:val="center"/>
          </w:tcPr>
          <w:p w14:paraId="258F345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2093595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29C4F97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31" w:type="dxa"/>
            <w:shd w:val="clear" w:color="auto" w:fill="auto"/>
            <w:tcMar>
              <w:left w:w="108" w:type="dxa"/>
              <w:right w:w="108" w:type="dxa"/>
            </w:tcMar>
            <w:vAlign w:val="center"/>
          </w:tcPr>
          <w:p w14:paraId="7FE4734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08" w:type="dxa"/>
            <w:shd w:val="clear" w:color="auto" w:fill="auto"/>
            <w:tcMar>
              <w:left w:w="108" w:type="dxa"/>
              <w:right w:w="108" w:type="dxa"/>
            </w:tcMar>
            <w:vAlign w:val="center"/>
          </w:tcPr>
          <w:p w14:paraId="5040488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5C55410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851" w:type="dxa"/>
            <w:shd w:val="clear" w:color="auto" w:fill="auto"/>
            <w:tcMar>
              <w:left w:w="108" w:type="dxa"/>
              <w:right w:w="108" w:type="dxa"/>
            </w:tcMar>
            <w:vAlign w:val="center"/>
          </w:tcPr>
          <w:p w14:paraId="1282B5F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r>
      <w:tr w14:paraId="03D5764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416" w:type="dxa"/>
            <w:vMerge w:val="restart"/>
            <w:shd w:val="clear" w:color="auto" w:fill="auto"/>
            <w:tcMar>
              <w:left w:w="108" w:type="dxa"/>
              <w:right w:w="108" w:type="dxa"/>
            </w:tcMar>
            <w:vAlign w:val="center"/>
          </w:tcPr>
          <w:p w14:paraId="72867087">
            <w:pPr>
              <w:keepNext w:val="0"/>
              <w:keepLines w:val="0"/>
              <w:pageBreakBefore w:val="0"/>
              <w:widowControl/>
              <w:kinsoku/>
              <w:wordWrap/>
              <w:overflowPunct/>
              <w:topLinePunct w:val="0"/>
              <w:autoSpaceDE/>
              <w:autoSpaceDN/>
              <w:bidi w:val="0"/>
              <w:adjustRightInd/>
              <w:snapToGrid/>
              <w:spacing w:after="180" w:line="260" w:lineRule="exact"/>
              <w:textAlignment w:val="auto"/>
              <w:rPr>
                <w:rFonts w:hint="eastAsia" w:ascii="仿宋_GB2312" w:hAnsi="仿宋_GB2312" w:eastAsia="仿宋_GB2312" w:cs="仿宋_GB2312"/>
                <w:szCs w:val="21"/>
              </w:rPr>
            </w:pPr>
            <w:r>
              <w:rPr>
                <w:rFonts w:hint="eastAsia" w:ascii="仿宋_GB2312" w:hAnsi="仿宋_GB2312" w:eastAsia="仿宋_GB2312" w:cs="仿宋_GB2312"/>
                <w:kern w:val="0"/>
                <w:szCs w:val="21"/>
              </w:rPr>
              <w:t>三、本年度办理结果</w:t>
            </w:r>
          </w:p>
        </w:tc>
        <w:tc>
          <w:tcPr>
            <w:tcW w:w="4677" w:type="dxa"/>
            <w:gridSpan w:val="2"/>
            <w:shd w:val="clear" w:color="auto" w:fill="auto"/>
            <w:tcMar>
              <w:left w:w="108" w:type="dxa"/>
              <w:right w:w="108" w:type="dxa"/>
            </w:tcMar>
            <w:vAlign w:val="center"/>
          </w:tcPr>
          <w:p w14:paraId="64CBE2DB">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szCs w:val="21"/>
              </w:rPr>
            </w:pPr>
            <w:r>
              <w:rPr>
                <w:rFonts w:hint="eastAsia" w:ascii="仿宋_GB2312" w:hAnsi="仿宋_GB2312" w:eastAsia="仿宋_GB2312" w:cs="仿宋_GB2312"/>
                <w:kern w:val="0"/>
                <w:szCs w:val="21"/>
              </w:rPr>
              <w:t>（一）予以公开</w:t>
            </w:r>
          </w:p>
        </w:tc>
        <w:tc>
          <w:tcPr>
            <w:tcW w:w="829" w:type="dxa"/>
            <w:shd w:val="clear" w:color="auto" w:fill="auto"/>
            <w:tcMar>
              <w:left w:w="108" w:type="dxa"/>
              <w:right w:w="108" w:type="dxa"/>
            </w:tcMar>
            <w:vAlign w:val="center"/>
          </w:tcPr>
          <w:p w14:paraId="2B92D0A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6146DB5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22CBD26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31" w:type="dxa"/>
            <w:shd w:val="clear" w:color="auto" w:fill="auto"/>
            <w:tcMar>
              <w:left w:w="108" w:type="dxa"/>
              <w:right w:w="108" w:type="dxa"/>
            </w:tcMar>
            <w:vAlign w:val="center"/>
          </w:tcPr>
          <w:p w14:paraId="084F86A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08" w:type="dxa"/>
            <w:shd w:val="clear" w:color="auto" w:fill="auto"/>
            <w:tcMar>
              <w:left w:w="108" w:type="dxa"/>
              <w:right w:w="108" w:type="dxa"/>
            </w:tcMar>
            <w:vAlign w:val="center"/>
          </w:tcPr>
          <w:p w14:paraId="4098322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237635A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851" w:type="dxa"/>
            <w:shd w:val="clear" w:color="auto" w:fill="auto"/>
            <w:tcMar>
              <w:left w:w="108" w:type="dxa"/>
              <w:right w:w="108" w:type="dxa"/>
            </w:tcMar>
            <w:vAlign w:val="center"/>
          </w:tcPr>
          <w:p w14:paraId="3AF91C4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r>
      <w:tr w14:paraId="7D4C6E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416" w:type="dxa"/>
            <w:vMerge w:val="continue"/>
            <w:shd w:val="clear" w:color="auto" w:fill="auto"/>
            <w:tcMar>
              <w:left w:w="108" w:type="dxa"/>
              <w:right w:w="108" w:type="dxa"/>
            </w:tcMar>
            <w:vAlign w:val="center"/>
          </w:tcPr>
          <w:p w14:paraId="3A17E189">
            <w:pPr>
              <w:keepNext w:val="0"/>
              <w:keepLines w:val="0"/>
              <w:pageBreakBefore w:val="0"/>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szCs w:val="21"/>
              </w:rPr>
            </w:pPr>
          </w:p>
        </w:tc>
        <w:tc>
          <w:tcPr>
            <w:tcW w:w="4677" w:type="dxa"/>
            <w:gridSpan w:val="2"/>
            <w:shd w:val="clear" w:color="auto" w:fill="auto"/>
            <w:tcMar>
              <w:left w:w="108" w:type="dxa"/>
              <w:right w:w="108" w:type="dxa"/>
            </w:tcMar>
            <w:vAlign w:val="center"/>
          </w:tcPr>
          <w:p w14:paraId="4841004D">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szCs w:val="21"/>
              </w:rPr>
            </w:pPr>
            <w:r>
              <w:rPr>
                <w:rFonts w:hint="eastAsia" w:ascii="仿宋_GB2312" w:hAnsi="仿宋_GB2312" w:eastAsia="仿宋_GB2312" w:cs="仿宋_GB2312"/>
                <w:kern w:val="0"/>
                <w:szCs w:val="21"/>
              </w:rPr>
              <w:t>（二）部分公开（</w:t>
            </w:r>
            <w:bookmarkStart w:id="1" w:name="_Hlk66973981"/>
            <w:r>
              <w:rPr>
                <w:rFonts w:hint="eastAsia" w:ascii="仿宋_GB2312" w:hAnsi="仿宋_GB2312" w:eastAsia="仿宋_GB2312" w:cs="仿宋_GB2312"/>
                <w:kern w:val="0"/>
                <w:szCs w:val="21"/>
              </w:rPr>
              <w:t>区分处理的，只计这一情形，不计其他情形</w:t>
            </w:r>
            <w:bookmarkEnd w:id="1"/>
            <w:r>
              <w:rPr>
                <w:rFonts w:hint="eastAsia" w:ascii="仿宋_GB2312" w:hAnsi="仿宋_GB2312" w:eastAsia="仿宋_GB2312" w:cs="仿宋_GB2312"/>
                <w:kern w:val="0"/>
                <w:szCs w:val="21"/>
              </w:rPr>
              <w:t>）</w:t>
            </w:r>
          </w:p>
        </w:tc>
        <w:tc>
          <w:tcPr>
            <w:tcW w:w="829" w:type="dxa"/>
            <w:shd w:val="clear" w:color="auto" w:fill="auto"/>
            <w:tcMar>
              <w:left w:w="108" w:type="dxa"/>
              <w:right w:w="108" w:type="dxa"/>
            </w:tcMar>
            <w:vAlign w:val="center"/>
          </w:tcPr>
          <w:p w14:paraId="313B9F4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1ABB74E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3391971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31" w:type="dxa"/>
            <w:shd w:val="clear" w:color="auto" w:fill="auto"/>
            <w:tcMar>
              <w:left w:w="108" w:type="dxa"/>
              <w:right w:w="108" w:type="dxa"/>
            </w:tcMar>
            <w:vAlign w:val="center"/>
          </w:tcPr>
          <w:p w14:paraId="375EC88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08" w:type="dxa"/>
            <w:shd w:val="clear" w:color="auto" w:fill="auto"/>
            <w:tcMar>
              <w:left w:w="108" w:type="dxa"/>
              <w:right w:w="108" w:type="dxa"/>
            </w:tcMar>
            <w:vAlign w:val="center"/>
          </w:tcPr>
          <w:p w14:paraId="384845F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7D766EF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851" w:type="dxa"/>
            <w:shd w:val="clear" w:color="auto" w:fill="auto"/>
            <w:tcMar>
              <w:left w:w="108" w:type="dxa"/>
              <w:right w:w="108" w:type="dxa"/>
            </w:tcMar>
            <w:vAlign w:val="center"/>
          </w:tcPr>
          <w:p w14:paraId="457026C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r>
      <w:tr w14:paraId="5CD780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shd w:val="clear" w:color="auto" w:fill="auto"/>
            <w:tcMar>
              <w:left w:w="108" w:type="dxa"/>
              <w:right w:w="108" w:type="dxa"/>
            </w:tcMar>
            <w:vAlign w:val="center"/>
          </w:tcPr>
          <w:p w14:paraId="60E096EE">
            <w:pPr>
              <w:keepNext w:val="0"/>
              <w:keepLines w:val="0"/>
              <w:pageBreakBefore w:val="0"/>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szCs w:val="21"/>
              </w:rPr>
            </w:pPr>
          </w:p>
        </w:tc>
        <w:tc>
          <w:tcPr>
            <w:tcW w:w="1701" w:type="dxa"/>
            <w:vMerge w:val="restart"/>
            <w:shd w:val="clear" w:color="auto" w:fill="auto"/>
            <w:tcMar>
              <w:left w:w="108" w:type="dxa"/>
              <w:right w:w="108" w:type="dxa"/>
            </w:tcMar>
            <w:vAlign w:val="center"/>
          </w:tcPr>
          <w:p w14:paraId="3329D864">
            <w:pPr>
              <w:keepNext w:val="0"/>
              <w:keepLines w:val="0"/>
              <w:pageBreakBefore w:val="0"/>
              <w:widowControl/>
              <w:kinsoku/>
              <w:wordWrap/>
              <w:overflowPunct/>
              <w:topLinePunct w:val="0"/>
              <w:autoSpaceDE/>
              <w:autoSpaceDN/>
              <w:bidi w:val="0"/>
              <w:adjustRightInd/>
              <w:snapToGrid/>
              <w:spacing w:line="260" w:lineRule="exact"/>
              <w:ind w:left="-107" w:leftChars="-51"/>
              <w:textAlignment w:val="auto"/>
              <w:rPr>
                <w:rFonts w:hint="eastAsia" w:ascii="仿宋_GB2312" w:hAnsi="仿宋_GB2312" w:eastAsia="仿宋_GB2312" w:cs="仿宋_GB2312"/>
                <w:szCs w:val="21"/>
              </w:rPr>
            </w:pPr>
            <w:r>
              <w:rPr>
                <w:rFonts w:hint="eastAsia" w:ascii="仿宋_GB2312" w:hAnsi="仿宋_GB2312" w:eastAsia="仿宋_GB2312" w:cs="仿宋_GB2312"/>
                <w:kern w:val="0"/>
                <w:szCs w:val="21"/>
              </w:rPr>
              <w:t>（三）不予公开</w:t>
            </w:r>
          </w:p>
        </w:tc>
        <w:tc>
          <w:tcPr>
            <w:tcW w:w="2976" w:type="dxa"/>
            <w:shd w:val="clear" w:color="auto" w:fill="auto"/>
            <w:tcMar>
              <w:left w:w="108" w:type="dxa"/>
              <w:right w:w="108" w:type="dxa"/>
            </w:tcMar>
            <w:vAlign w:val="center"/>
          </w:tcPr>
          <w:p w14:paraId="0C9645E8">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1.属于国家秘密</w:t>
            </w:r>
          </w:p>
        </w:tc>
        <w:tc>
          <w:tcPr>
            <w:tcW w:w="829" w:type="dxa"/>
            <w:shd w:val="clear" w:color="auto" w:fill="auto"/>
            <w:tcMar>
              <w:left w:w="108" w:type="dxa"/>
              <w:right w:w="108" w:type="dxa"/>
            </w:tcMar>
            <w:vAlign w:val="center"/>
          </w:tcPr>
          <w:p w14:paraId="5DA2E2D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27BBA91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55FF169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31" w:type="dxa"/>
            <w:shd w:val="clear" w:color="auto" w:fill="auto"/>
            <w:tcMar>
              <w:left w:w="108" w:type="dxa"/>
              <w:right w:w="108" w:type="dxa"/>
            </w:tcMar>
            <w:vAlign w:val="center"/>
          </w:tcPr>
          <w:p w14:paraId="49DDDC9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08" w:type="dxa"/>
            <w:shd w:val="clear" w:color="auto" w:fill="auto"/>
            <w:tcMar>
              <w:left w:w="108" w:type="dxa"/>
              <w:right w:w="108" w:type="dxa"/>
            </w:tcMar>
            <w:vAlign w:val="center"/>
          </w:tcPr>
          <w:p w14:paraId="17BD42A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1CE6FDE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851" w:type="dxa"/>
            <w:shd w:val="clear" w:color="auto" w:fill="auto"/>
            <w:tcMar>
              <w:left w:w="108" w:type="dxa"/>
              <w:right w:w="108" w:type="dxa"/>
            </w:tcMar>
            <w:vAlign w:val="center"/>
          </w:tcPr>
          <w:p w14:paraId="0E2E1CF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r>
      <w:tr w14:paraId="634F3B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shd w:val="clear" w:color="auto" w:fill="auto"/>
            <w:tcMar>
              <w:left w:w="108" w:type="dxa"/>
              <w:right w:w="108" w:type="dxa"/>
            </w:tcMar>
            <w:vAlign w:val="center"/>
          </w:tcPr>
          <w:p w14:paraId="56C1374C">
            <w:pPr>
              <w:keepNext w:val="0"/>
              <w:keepLines w:val="0"/>
              <w:pageBreakBefore w:val="0"/>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szCs w:val="21"/>
              </w:rPr>
            </w:pPr>
          </w:p>
        </w:tc>
        <w:tc>
          <w:tcPr>
            <w:tcW w:w="1701" w:type="dxa"/>
            <w:vMerge w:val="continue"/>
            <w:shd w:val="clear" w:color="auto" w:fill="auto"/>
            <w:tcMar>
              <w:left w:w="108" w:type="dxa"/>
              <w:right w:w="108" w:type="dxa"/>
            </w:tcMar>
            <w:vAlign w:val="center"/>
          </w:tcPr>
          <w:p w14:paraId="22808EA9">
            <w:pPr>
              <w:keepNext w:val="0"/>
              <w:keepLines w:val="0"/>
              <w:pageBreakBefore w:val="0"/>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szCs w:val="21"/>
              </w:rPr>
            </w:pPr>
          </w:p>
        </w:tc>
        <w:tc>
          <w:tcPr>
            <w:tcW w:w="2976" w:type="dxa"/>
            <w:shd w:val="clear" w:color="auto" w:fill="auto"/>
            <w:tcMar>
              <w:left w:w="108" w:type="dxa"/>
              <w:right w:w="108" w:type="dxa"/>
            </w:tcMar>
            <w:vAlign w:val="center"/>
          </w:tcPr>
          <w:p w14:paraId="2E5286F8">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2.</w:t>
            </w:r>
            <w:bookmarkStart w:id="2" w:name="_Hlk66974104"/>
            <w:r>
              <w:rPr>
                <w:rFonts w:hint="eastAsia" w:ascii="仿宋_GB2312" w:hAnsi="仿宋_GB2312" w:eastAsia="仿宋_GB2312" w:cs="仿宋_GB2312"/>
                <w:kern w:val="0"/>
                <w:szCs w:val="21"/>
              </w:rPr>
              <w:t>其他法律行政法规禁止公开</w:t>
            </w:r>
            <w:bookmarkEnd w:id="2"/>
          </w:p>
        </w:tc>
        <w:tc>
          <w:tcPr>
            <w:tcW w:w="829" w:type="dxa"/>
            <w:shd w:val="clear" w:color="auto" w:fill="auto"/>
            <w:tcMar>
              <w:left w:w="108" w:type="dxa"/>
              <w:right w:w="108" w:type="dxa"/>
            </w:tcMar>
            <w:vAlign w:val="center"/>
          </w:tcPr>
          <w:p w14:paraId="7CF4740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58E5750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25C404A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31" w:type="dxa"/>
            <w:shd w:val="clear" w:color="auto" w:fill="auto"/>
            <w:tcMar>
              <w:left w:w="108" w:type="dxa"/>
              <w:right w:w="108" w:type="dxa"/>
            </w:tcMar>
            <w:vAlign w:val="center"/>
          </w:tcPr>
          <w:p w14:paraId="24FFF86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08" w:type="dxa"/>
            <w:shd w:val="clear" w:color="auto" w:fill="auto"/>
            <w:tcMar>
              <w:left w:w="108" w:type="dxa"/>
              <w:right w:w="108" w:type="dxa"/>
            </w:tcMar>
            <w:vAlign w:val="center"/>
          </w:tcPr>
          <w:p w14:paraId="5B2AD0E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222A32C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851" w:type="dxa"/>
            <w:shd w:val="clear" w:color="auto" w:fill="auto"/>
            <w:tcMar>
              <w:left w:w="108" w:type="dxa"/>
              <w:right w:w="108" w:type="dxa"/>
            </w:tcMar>
            <w:vAlign w:val="center"/>
          </w:tcPr>
          <w:p w14:paraId="584952B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r>
      <w:tr w14:paraId="1E8074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shd w:val="clear" w:color="auto" w:fill="auto"/>
            <w:tcMar>
              <w:left w:w="108" w:type="dxa"/>
              <w:right w:w="108" w:type="dxa"/>
            </w:tcMar>
            <w:vAlign w:val="center"/>
          </w:tcPr>
          <w:p w14:paraId="79FD7F86">
            <w:pPr>
              <w:keepNext w:val="0"/>
              <w:keepLines w:val="0"/>
              <w:pageBreakBefore w:val="0"/>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szCs w:val="21"/>
              </w:rPr>
            </w:pPr>
          </w:p>
        </w:tc>
        <w:tc>
          <w:tcPr>
            <w:tcW w:w="1701" w:type="dxa"/>
            <w:vMerge w:val="continue"/>
            <w:shd w:val="clear" w:color="auto" w:fill="auto"/>
            <w:tcMar>
              <w:left w:w="108" w:type="dxa"/>
              <w:right w:w="108" w:type="dxa"/>
            </w:tcMar>
            <w:vAlign w:val="center"/>
          </w:tcPr>
          <w:p w14:paraId="03F67F58">
            <w:pPr>
              <w:keepNext w:val="0"/>
              <w:keepLines w:val="0"/>
              <w:pageBreakBefore w:val="0"/>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szCs w:val="21"/>
              </w:rPr>
            </w:pPr>
          </w:p>
        </w:tc>
        <w:tc>
          <w:tcPr>
            <w:tcW w:w="2976" w:type="dxa"/>
            <w:shd w:val="clear" w:color="auto" w:fill="auto"/>
            <w:tcMar>
              <w:left w:w="108" w:type="dxa"/>
              <w:right w:w="108" w:type="dxa"/>
            </w:tcMar>
            <w:vAlign w:val="center"/>
          </w:tcPr>
          <w:p w14:paraId="7BF91EEC">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3.危及“三安全一稳定”</w:t>
            </w:r>
          </w:p>
        </w:tc>
        <w:tc>
          <w:tcPr>
            <w:tcW w:w="829" w:type="dxa"/>
            <w:shd w:val="clear" w:color="auto" w:fill="auto"/>
            <w:tcMar>
              <w:left w:w="108" w:type="dxa"/>
              <w:right w:w="108" w:type="dxa"/>
            </w:tcMar>
            <w:vAlign w:val="center"/>
          </w:tcPr>
          <w:p w14:paraId="69EBB99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289D394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0CDA655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31" w:type="dxa"/>
            <w:shd w:val="clear" w:color="auto" w:fill="auto"/>
            <w:tcMar>
              <w:left w:w="108" w:type="dxa"/>
              <w:right w:w="108" w:type="dxa"/>
            </w:tcMar>
            <w:vAlign w:val="center"/>
          </w:tcPr>
          <w:p w14:paraId="5FBB8ED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08" w:type="dxa"/>
            <w:shd w:val="clear" w:color="auto" w:fill="auto"/>
            <w:tcMar>
              <w:left w:w="108" w:type="dxa"/>
              <w:right w:w="108" w:type="dxa"/>
            </w:tcMar>
            <w:vAlign w:val="center"/>
          </w:tcPr>
          <w:p w14:paraId="47FDD7A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7CB68D6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851" w:type="dxa"/>
            <w:shd w:val="clear" w:color="auto" w:fill="auto"/>
            <w:tcMar>
              <w:left w:w="108" w:type="dxa"/>
              <w:right w:w="108" w:type="dxa"/>
            </w:tcMar>
            <w:vAlign w:val="center"/>
          </w:tcPr>
          <w:p w14:paraId="64A9CC7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r>
      <w:tr w14:paraId="4254F1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shd w:val="clear" w:color="auto" w:fill="auto"/>
            <w:tcMar>
              <w:left w:w="108" w:type="dxa"/>
              <w:right w:w="108" w:type="dxa"/>
            </w:tcMar>
            <w:vAlign w:val="center"/>
          </w:tcPr>
          <w:p w14:paraId="1B902F5C">
            <w:pPr>
              <w:keepNext w:val="0"/>
              <w:keepLines w:val="0"/>
              <w:pageBreakBefore w:val="0"/>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szCs w:val="21"/>
              </w:rPr>
            </w:pPr>
          </w:p>
        </w:tc>
        <w:tc>
          <w:tcPr>
            <w:tcW w:w="1701" w:type="dxa"/>
            <w:vMerge w:val="continue"/>
            <w:shd w:val="clear" w:color="auto" w:fill="auto"/>
            <w:tcMar>
              <w:left w:w="108" w:type="dxa"/>
              <w:right w:w="108" w:type="dxa"/>
            </w:tcMar>
            <w:vAlign w:val="center"/>
          </w:tcPr>
          <w:p w14:paraId="67E190E4">
            <w:pPr>
              <w:keepNext w:val="0"/>
              <w:keepLines w:val="0"/>
              <w:pageBreakBefore w:val="0"/>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szCs w:val="21"/>
              </w:rPr>
            </w:pPr>
          </w:p>
        </w:tc>
        <w:tc>
          <w:tcPr>
            <w:tcW w:w="2976" w:type="dxa"/>
            <w:shd w:val="clear" w:color="auto" w:fill="auto"/>
            <w:tcMar>
              <w:left w:w="108" w:type="dxa"/>
              <w:right w:w="108" w:type="dxa"/>
            </w:tcMar>
            <w:vAlign w:val="center"/>
          </w:tcPr>
          <w:p w14:paraId="0097987F">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4.</w:t>
            </w:r>
            <w:bookmarkStart w:id="3" w:name="_Hlk66974290"/>
            <w:r>
              <w:rPr>
                <w:rFonts w:hint="eastAsia" w:ascii="仿宋_GB2312" w:hAnsi="仿宋_GB2312" w:eastAsia="仿宋_GB2312" w:cs="仿宋_GB2312"/>
                <w:kern w:val="0"/>
                <w:szCs w:val="21"/>
              </w:rPr>
              <w:t>保护第三方合法权益</w:t>
            </w:r>
            <w:bookmarkEnd w:id="3"/>
          </w:p>
        </w:tc>
        <w:tc>
          <w:tcPr>
            <w:tcW w:w="829" w:type="dxa"/>
            <w:shd w:val="clear" w:color="auto" w:fill="auto"/>
            <w:tcMar>
              <w:left w:w="108" w:type="dxa"/>
              <w:right w:w="108" w:type="dxa"/>
            </w:tcMar>
            <w:vAlign w:val="center"/>
          </w:tcPr>
          <w:p w14:paraId="120759F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7AFC374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7600452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31" w:type="dxa"/>
            <w:shd w:val="clear" w:color="auto" w:fill="auto"/>
            <w:tcMar>
              <w:left w:w="108" w:type="dxa"/>
              <w:right w:w="108" w:type="dxa"/>
            </w:tcMar>
            <w:vAlign w:val="center"/>
          </w:tcPr>
          <w:p w14:paraId="031D5B1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08" w:type="dxa"/>
            <w:shd w:val="clear" w:color="auto" w:fill="auto"/>
            <w:tcMar>
              <w:left w:w="108" w:type="dxa"/>
              <w:right w:w="108" w:type="dxa"/>
            </w:tcMar>
            <w:vAlign w:val="center"/>
          </w:tcPr>
          <w:p w14:paraId="121A3A7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262EB27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851" w:type="dxa"/>
            <w:shd w:val="clear" w:color="auto" w:fill="auto"/>
            <w:tcMar>
              <w:left w:w="108" w:type="dxa"/>
              <w:right w:w="108" w:type="dxa"/>
            </w:tcMar>
            <w:vAlign w:val="center"/>
          </w:tcPr>
          <w:p w14:paraId="288CC61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r>
      <w:tr w14:paraId="5A2403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shd w:val="clear" w:color="auto" w:fill="auto"/>
            <w:tcMar>
              <w:left w:w="108" w:type="dxa"/>
              <w:right w:w="108" w:type="dxa"/>
            </w:tcMar>
            <w:vAlign w:val="center"/>
          </w:tcPr>
          <w:p w14:paraId="1831AE47">
            <w:pPr>
              <w:keepNext w:val="0"/>
              <w:keepLines w:val="0"/>
              <w:pageBreakBefore w:val="0"/>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szCs w:val="21"/>
              </w:rPr>
            </w:pPr>
          </w:p>
        </w:tc>
        <w:tc>
          <w:tcPr>
            <w:tcW w:w="1701" w:type="dxa"/>
            <w:vMerge w:val="continue"/>
            <w:shd w:val="clear" w:color="auto" w:fill="auto"/>
            <w:tcMar>
              <w:left w:w="108" w:type="dxa"/>
              <w:right w:w="108" w:type="dxa"/>
            </w:tcMar>
            <w:vAlign w:val="center"/>
          </w:tcPr>
          <w:p w14:paraId="01878AAE">
            <w:pPr>
              <w:keepNext w:val="0"/>
              <w:keepLines w:val="0"/>
              <w:pageBreakBefore w:val="0"/>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szCs w:val="21"/>
              </w:rPr>
            </w:pPr>
          </w:p>
        </w:tc>
        <w:tc>
          <w:tcPr>
            <w:tcW w:w="2976" w:type="dxa"/>
            <w:shd w:val="clear" w:color="auto" w:fill="auto"/>
            <w:tcMar>
              <w:left w:w="108" w:type="dxa"/>
              <w:right w:w="108" w:type="dxa"/>
            </w:tcMar>
            <w:vAlign w:val="center"/>
          </w:tcPr>
          <w:p w14:paraId="1359A826">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5.属于三类内部事务信息</w:t>
            </w:r>
          </w:p>
        </w:tc>
        <w:tc>
          <w:tcPr>
            <w:tcW w:w="829" w:type="dxa"/>
            <w:shd w:val="clear" w:color="auto" w:fill="auto"/>
            <w:tcMar>
              <w:left w:w="108" w:type="dxa"/>
              <w:right w:w="108" w:type="dxa"/>
            </w:tcMar>
            <w:vAlign w:val="center"/>
          </w:tcPr>
          <w:p w14:paraId="4F7189C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454C4D9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7E1496C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31" w:type="dxa"/>
            <w:shd w:val="clear" w:color="auto" w:fill="auto"/>
            <w:tcMar>
              <w:left w:w="108" w:type="dxa"/>
              <w:right w:w="108" w:type="dxa"/>
            </w:tcMar>
            <w:vAlign w:val="center"/>
          </w:tcPr>
          <w:p w14:paraId="6F2CEFD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08" w:type="dxa"/>
            <w:shd w:val="clear" w:color="auto" w:fill="auto"/>
            <w:tcMar>
              <w:left w:w="108" w:type="dxa"/>
              <w:right w:w="108" w:type="dxa"/>
            </w:tcMar>
            <w:vAlign w:val="center"/>
          </w:tcPr>
          <w:p w14:paraId="13A3708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69CB8F9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851" w:type="dxa"/>
            <w:shd w:val="clear" w:color="auto" w:fill="auto"/>
            <w:tcMar>
              <w:left w:w="108" w:type="dxa"/>
              <w:right w:w="108" w:type="dxa"/>
            </w:tcMar>
            <w:vAlign w:val="center"/>
          </w:tcPr>
          <w:p w14:paraId="70E4118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r>
      <w:tr w14:paraId="5F645E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shd w:val="clear" w:color="auto" w:fill="auto"/>
            <w:tcMar>
              <w:left w:w="108" w:type="dxa"/>
              <w:right w:w="108" w:type="dxa"/>
            </w:tcMar>
            <w:vAlign w:val="center"/>
          </w:tcPr>
          <w:p w14:paraId="21EE0949">
            <w:pPr>
              <w:keepNext w:val="0"/>
              <w:keepLines w:val="0"/>
              <w:pageBreakBefore w:val="0"/>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szCs w:val="21"/>
              </w:rPr>
            </w:pPr>
          </w:p>
        </w:tc>
        <w:tc>
          <w:tcPr>
            <w:tcW w:w="1701" w:type="dxa"/>
            <w:vMerge w:val="continue"/>
            <w:shd w:val="clear" w:color="auto" w:fill="auto"/>
            <w:tcMar>
              <w:left w:w="108" w:type="dxa"/>
              <w:right w:w="108" w:type="dxa"/>
            </w:tcMar>
            <w:vAlign w:val="center"/>
          </w:tcPr>
          <w:p w14:paraId="41AFC7E6">
            <w:pPr>
              <w:keepNext w:val="0"/>
              <w:keepLines w:val="0"/>
              <w:pageBreakBefore w:val="0"/>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szCs w:val="21"/>
              </w:rPr>
            </w:pPr>
          </w:p>
        </w:tc>
        <w:tc>
          <w:tcPr>
            <w:tcW w:w="2976" w:type="dxa"/>
            <w:shd w:val="clear" w:color="auto" w:fill="auto"/>
            <w:tcMar>
              <w:left w:w="108" w:type="dxa"/>
              <w:right w:w="108" w:type="dxa"/>
            </w:tcMar>
            <w:vAlign w:val="center"/>
          </w:tcPr>
          <w:p w14:paraId="789BF86E">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6.</w:t>
            </w:r>
            <w:bookmarkStart w:id="4" w:name="_Hlk66974555"/>
            <w:r>
              <w:rPr>
                <w:rFonts w:hint="eastAsia" w:ascii="仿宋_GB2312" w:hAnsi="仿宋_GB2312" w:eastAsia="仿宋_GB2312" w:cs="仿宋_GB2312"/>
                <w:kern w:val="0"/>
                <w:szCs w:val="21"/>
              </w:rPr>
              <w:t>属于四类过程性信息</w:t>
            </w:r>
            <w:bookmarkEnd w:id="4"/>
          </w:p>
        </w:tc>
        <w:tc>
          <w:tcPr>
            <w:tcW w:w="829" w:type="dxa"/>
            <w:shd w:val="clear" w:color="auto" w:fill="auto"/>
            <w:tcMar>
              <w:left w:w="108" w:type="dxa"/>
              <w:right w:w="108" w:type="dxa"/>
            </w:tcMar>
            <w:vAlign w:val="center"/>
          </w:tcPr>
          <w:p w14:paraId="6EB1056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3D554A6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0F5DD71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31" w:type="dxa"/>
            <w:shd w:val="clear" w:color="auto" w:fill="auto"/>
            <w:tcMar>
              <w:left w:w="108" w:type="dxa"/>
              <w:right w:w="108" w:type="dxa"/>
            </w:tcMar>
            <w:vAlign w:val="center"/>
          </w:tcPr>
          <w:p w14:paraId="15B72CD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08" w:type="dxa"/>
            <w:shd w:val="clear" w:color="auto" w:fill="auto"/>
            <w:tcMar>
              <w:left w:w="108" w:type="dxa"/>
              <w:right w:w="108" w:type="dxa"/>
            </w:tcMar>
            <w:vAlign w:val="center"/>
          </w:tcPr>
          <w:p w14:paraId="7E47440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3AB7148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851" w:type="dxa"/>
            <w:shd w:val="clear" w:color="auto" w:fill="auto"/>
            <w:tcMar>
              <w:left w:w="108" w:type="dxa"/>
              <w:right w:w="108" w:type="dxa"/>
            </w:tcMar>
            <w:vAlign w:val="center"/>
          </w:tcPr>
          <w:p w14:paraId="4CA1787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r>
      <w:tr w14:paraId="50976A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shd w:val="clear" w:color="auto" w:fill="auto"/>
            <w:tcMar>
              <w:left w:w="108" w:type="dxa"/>
              <w:right w:w="108" w:type="dxa"/>
            </w:tcMar>
            <w:vAlign w:val="center"/>
          </w:tcPr>
          <w:p w14:paraId="46D540B8">
            <w:pPr>
              <w:keepNext w:val="0"/>
              <w:keepLines w:val="0"/>
              <w:pageBreakBefore w:val="0"/>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szCs w:val="21"/>
              </w:rPr>
            </w:pPr>
          </w:p>
        </w:tc>
        <w:tc>
          <w:tcPr>
            <w:tcW w:w="1701" w:type="dxa"/>
            <w:vMerge w:val="continue"/>
            <w:shd w:val="clear" w:color="auto" w:fill="auto"/>
            <w:tcMar>
              <w:left w:w="108" w:type="dxa"/>
              <w:right w:w="108" w:type="dxa"/>
            </w:tcMar>
            <w:vAlign w:val="center"/>
          </w:tcPr>
          <w:p w14:paraId="056DB534">
            <w:pPr>
              <w:keepNext w:val="0"/>
              <w:keepLines w:val="0"/>
              <w:pageBreakBefore w:val="0"/>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szCs w:val="21"/>
              </w:rPr>
            </w:pPr>
          </w:p>
        </w:tc>
        <w:tc>
          <w:tcPr>
            <w:tcW w:w="2976" w:type="dxa"/>
            <w:shd w:val="clear" w:color="auto" w:fill="auto"/>
            <w:tcMar>
              <w:left w:w="108" w:type="dxa"/>
              <w:right w:w="108" w:type="dxa"/>
            </w:tcMar>
            <w:vAlign w:val="center"/>
          </w:tcPr>
          <w:p w14:paraId="7E1DB12A">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7.属于行政执法案卷</w:t>
            </w:r>
          </w:p>
        </w:tc>
        <w:tc>
          <w:tcPr>
            <w:tcW w:w="829" w:type="dxa"/>
            <w:shd w:val="clear" w:color="auto" w:fill="auto"/>
            <w:tcMar>
              <w:left w:w="108" w:type="dxa"/>
              <w:right w:w="108" w:type="dxa"/>
            </w:tcMar>
            <w:vAlign w:val="center"/>
          </w:tcPr>
          <w:p w14:paraId="43ACF95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7867FA1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39A0E05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31" w:type="dxa"/>
            <w:shd w:val="clear" w:color="auto" w:fill="auto"/>
            <w:tcMar>
              <w:left w:w="108" w:type="dxa"/>
              <w:right w:w="108" w:type="dxa"/>
            </w:tcMar>
            <w:vAlign w:val="center"/>
          </w:tcPr>
          <w:p w14:paraId="25044BC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08" w:type="dxa"/>
            <w:shd w:val="clear" w:color="auto" w:fill="auto"/>
            <w:tcMar>
              <w:left w:w="108" w:type="dxa"/>
              <w:right w:w="108" w:type="dxa"/>
            </w:tcMar>
            <w:vAlign w:val="center"/>
          </w:tcPr>
          <w:p w14:paraId="67E0424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7AB61B8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851" w:type="dxa"/>
            <w:shd w:val="clear" w:color="auto" w:fill="auto"/>
            <w:tcMar>
              <w:left w:w="108" w:type="dxa"/>
              <w:right w:w="108" w:type="dxa"/>
            </w:tcMar>
            <w:vAlign w:val="center"/>
          </w:tcPr>
          <w:p w14:paraId="64D5D7D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r>
      <w:tr w14:paraId="180E5A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shd w:val="clear" w:color="auto" w:fill="auto"/>
            <w:tcMar>
              <w:left w:w="108" w:type="dxa"/>
              <w:right w:w="108" w:type="dxa"/>
            </w:tcMar>
            <w:vAlign w:val="center"/>
          </w:tcPr>
          <w:p w14:paraId="54033A02">
            <w:pPr>
              <w:keepNext w:val="0"/>
              <w:keepLines w:val="0"/>
              <w:pageBreakBefore w:val="0"/>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szCs w:val="21"/>
              </w:rPr>
            </w:pPr>
          </w:p>
        </w:tc>
        <w:tc>
          <w:tcPr>
            <w:tcW w:w="1701" w:type="dxa"/>
            <w:vMerge w:val="continue"/>
            <w:shd w:val="clear" w:color="auto" w:fill="auto"/>
            <w:tcMar>
              <w:left w:w="108" w:type="dxa"/>
              <w:right w:w="108" w:type="dxa"/>
            </w:tcMar>
            <w:vAlign w:val="center"/>
          </w:tcPr>
          <w:p w14:paraId="7F4D251F">
            <w:pPr>
              <w:keepNext w:val="0"/>
              <w:keepLines w:val="0"/>
              <w:pageBreakBefore w:val="0"/>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szCs w:val="21"/>
              </w:rPr>
            </w:pPr>
          </w:p>
        </w:tc>
        <w:tc>
          <w:tcPr>
            <w:tcW w:w="2976" w:type="dxa"/>
            <w:shd w:val="clear" w:color="auto" w:fill="auto"/>
            <w:tcMar>
              <w:left w:w="108" w:type="dxa"/>
              <w:right w:w="108" w:type="dxa"/>
            </w:tcMar>
            <w:vAlign w:val="center"/>
          </w:tcPr>
          <w:p w14:paraId="2EB0DE0B">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8.</w:t>
            </w:r>
            <w:bookmarkStart w:id="5" w:name="_Hlk66975211"/>
            <w:r>
              <w:rPr>
                <w:rFonts w:hint="eastAsia" w:ascii="仿宋_GB2312" w:hAnsi="仿宋_GB2312" w:eastAsia="仿宋_GB2312" w:cs="仿宋_GB2312"/>
                <w:kern w:val="0"/>
                <w:szCs w:val="21"/>
              </w:rPr>
              <w:t>属于行政查询事项</w:t>
            </w:r>
            <w:bookmarkEnd w:id="5"/>
          </w:p>
        </w:tc>
        <w:tc>
          <w:tcPr>
            <w:tcW w:w="829" w:type="dxa"/>
            <w:shd w:val="clear" w:color="auto" w:fill="auto"/>
            <w:tcMar>
              <w:left w:w="108" w:type="dxa"/>
              <w:right w:w="108" w:type="dxa"/>
            </w:tcMar>
            <w:vAlign w:val="center"/>
          </w:tcPr>
          <w:p w14:paraId="6AB4AD2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501F619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27D66ED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31" w:type="dxa"/>
            <w:shd w:val="clear" w:color="auto" w:fill="auto"/>
            <w:tcMar>
              <w:left w:w="108" w:type="dxa"/>
              <w:right w:w="108" w:type="dxa"/>
            </w:tcMar>
            <w:vAlign w:val="center"/>
          </w:tcPr>
          <w:p w14:paraId="3E0FF10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08" w:type="dxa"/>
            <w:shd w:val="clear" w:color="auto" w:fill="auto"/>
            <w:tcMar>
              <w:left w:w="108" w:type="dxa"/>
              <w:right w:w="108" w:type="dxa"/>
            </w:tcMar>
            <w:vAlign w:val="center"/>
          </w:tcPr>
          <w:p w14:paraId="16BDD47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06B2CBB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851" w:type="dxa"/>
            <w:shd w:val="clear" w:color="auto" w:fill="auto"/>
            <w:tcMar>
              <w:left w:w="108" w:type="dxa"/>
              <w:right w:w="108" w:type="dxa"/>
            </w:tcMar>
            <w:vAlign w:val="center"/>
          </w:tcPr>
          <w:p w14:paraId="67E45BE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r>
      <w:tr w14:paraId="329193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shd w:val="clear" w:color="auto" w:fill="auto"/>
            <w:tcMar>
              <w:left w:w="108" w:type="dxa"/>
              <w:right w:w="108" w:type="dxa"/>
            </w:tcMar>
            <w:vAlign w:val="center"/>
          </w:tcPr>
          <w:p w14:paraId="6349143C">
            <w:pPr>
              <w:keepNext w:val="0"/>
              <w:keepLines w:val="0"/>
              <w:pageBreakBefore w:val="0"/>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szCs w:val="21"/>
              </w:rPr>
            </w:pPr>
          </w:p>
        </w:tc>
        <w:tc>
          <w:tcPr>
            <w:tcW w:w="1701" w:type="dxa"/>
            <w:vMerge w:val="restart"/>
            <w:shd w:val="clear" w:color="auto" w:fill="auto"/>
            <w:tcMar>
              <w:left w:w="108" w:type="dxa"/>
              <w:right w:w="108" w:type="dxa"/>
            </w:tcMar>
            <w:vAlign w:val="center"/>
          </w:tcPr>
          <w:p w14:paraId="28C6AC32">
            <w:pPr>
              <w:keepNext w:val="0"/>
              <w:keepLines w:val="0"/>
              <w:pageBreakBefore w:val="0"/>
              <w:widowControl/>
              <w:kinsoku/>
              <w:wordWrap/>
              <w:overflowPunct/>
              <w:topLinePunct w:val="0"/>
              <w:autoSpaceDE/>
              <w:autoSpaceDN/>
              <w:bidi w:val="0"/>
              <w:adjustRightInd/>
              <w:snapToGrid/>
              <w:spacing w:line="260" w:lineRule="exact"/>
              <w:ind w:left="-107" w:leftChars="-51"/>
              <w:textAlignment w:val="auto"/>
              <w:rPr>
                <w:rFonts w:hint="eastAsia" w:ascii="仿宋_GB2312" w:hAnsi="仿宋_GB2312" w:eastAsia="仿宋_GB2312" w:cs="仿宋_GB2312"/>
                <w:szCs w:val="21"/>
              </w:rPr>
            </w:pPr>
            <w:r>
              <w:rPr>
                <w:rFonts w:hint="eastAsia" w:ascii="仿宋_GB2312" w:hAnsi="仿宋_GB2312" w:eastAsia="仿宋_GB2312" w:cs="仿宋_GB2312"/>
                <w:kern w:val="0"/>
                <w:szCs w:val="21"/>
              </w:rPr>
              <w:t>（四）无法提供</w:t>
            </w:r>
          </w:p>
        </w:tc>
        <w:tc>
          <w:tcPr>
            <w:tcW w:w="2976" w:type="dxa"/>
            <w:shd w:val="clear" w:color="auto" w:fill="auto"/>
            <w:tcMar>
              <w:left w:w="108" w:type="dxa"/>
              <w:right w:w="108" w:type="dxa"/>
            </w:tcMar>
            <w:vAlign w:val="center"/>
          </w:tcPr>
          <w:p w14:paraId="6AC1BF7F">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1.本机关不掌握相关政府信息</w:t>
            </w:r>
          </w:p>
        </w:tc>
        <w:tc>
          <w:tcPr>
            <w:tcW w:w="829" w:type="dxa"/>
            <w:shd w:val="clear" w:color="auto" w:fill="auto"/>
            <w:tcMar>
              <w:left w:w="108" w:type="dxa"/>
              <w:right w:w="108" w:type="dxa"/>
            </w:tcMar>
            <w:vAlign w:val="center"/>
          </w:tcPr>
          <w:p w14:paraId="6B8AA8D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61F36B4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13F32D6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31" w:type="dxa"/>
            <w:shd w:val="clear" w:color="auto" w:fill="auto"/>
            <w:tcMar>
              <w:left w:w="108" w:type="dxa"/>
              <w:right w:w="108" w:type="dxa"/>
            </w:tcMar>
            <w:vAlign w:val="center"/>
          </w:tcPr>
          <w:p w14:paraId="5B111B8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08" w:type="dxa"/>
            <w:shd w:val="clear" w:color="auto" w:fill="auto"/>
            <w:tcMar>
              <w:left w:w="108" w:type="dxa"/>
              <w:right w:w="108" w:type="dxa"/>
            </w:tcMar>
            <w:vAlign w:val="center"/>
          </w:tcPr>
          <w:p w14:paraId="7523E00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3D659B8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851" w:type="dxa"/>
            <w:shd w:val="clear" w:color="auto" w:fill="auto"/>
            <w:tcMar>
              <w:left w:w="108" w:type="dxa"/>
              <w:right w:w="108" w:type="dxa"/>
            </w:tcMar>
            <w:vAlign w:val="center"/>
          </w:tcPr>
          <w:p w14:paraId="6EE09DE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r>
      <w:tr w14:paraId="313A3E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shd w:val="clear" w:color="auto" w:fill="auto"/>
            <w:tcMar>
              <w:left w:w="108" w:type="dxa"/>
              <w:right w:w="108" w:type="dxa"/>
            </w:tcMar>
            <w:vAlign w:val="center"/>
          </w:tcPr>
          <w:p w14:paraId="288FC974">
            <w:pPr>
              <w:keepNext w:val="0"/>
              <w:keepLines w:val="0"/>
              <w:pageBreakBefore w:val="0"/>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szCs w:val="21"/>
              </w:rPr>
            </w:pPr>
          </w:p>
        </w:tc>
        <w:tc>
          <w:tcPr>
            <w:tcW w:w="1701" w:type="dxa"/>
            <w:vMerge w:val="continue"/>
            <w:shd w:val="clear" w:color="auto" w:fill="auto"/>
            <w:tcMar>
              <w:left w:w="108" w:type="dxa"/>
              <w:right w:w="108" w:type="dxa"/>
            </w:tcMar>
            <w:vAlign w:val="center"/>
          </w:tcPr>
          <w:p w14:paraId="211EF074">
            <w:pPr>
              <w:keepNext w:val="0"/>
              <w:keepLines w:val="0"/>
              <w:pageBreakBefore w:val="0"/>
              <w:kinsoku/>
              <w:wordWrap/>
              <w:overflowPunct/>
              <w:topLinePunct w:val="0"/>
              <w:autoSpaceDE/>
              <w:autoSpaceDN/>
              <w:bidi w:val="0"/>
              <w:adjustRightInd/>
              <w:snapToGrid/>
              <w:spacing w:line="260" w:lineRule="exact"/>
              <w:ind w:left="-107" w:leftChars="-51"/>
              <w:textAlignment w:val="auto"/>
              <w:rPr>
                <w:rFonts w:hint="eastAsia" w:ascii="仿宋_GB2312" w:hAnsi="仿宋_GB2312" w:eastAsia="仿宋_GB2312" w:cs="仿宋_GB2312"/>
                <w:szCs w:val="21"/>
              </w:rPr>
            </w:pPr>
          </w:p>
        </w:tc>
        <w:tc>
          <w:tcPr>
            <w:tcW w:w="2976" w:type="dxa"/>
            <w:shd w:val="clear" w:color="auto" w:fill="auto"/>
            <w:tcMar>
              <w:left w:w="108" w:type="dxa"/>
              <w:right w:w="108" w:type="dxa"/>
            </w:tcMar>
            <w:vAlign w:val="center"/>
          </w:tcPr>
          <w:p w14:paraId="5AE3FA09">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2.</w:t>
            </w:r>
            <w:bookmarkStart w:id="6" w:name="_Hlk66975392"/>
            <w:r>
              <w:rPr>
                <w:rFonts w:hint="eastAsia" w:ascii="仿宋_GB2312" w:hAnsi="仿宋_GB2312" w:eastAsia="仿宋_GB2312" w:cs="仿宋_GB2312"/>
                <w:kern w:val="0"/>
                <w:szCs w:val="21"/>
              </w:rPr>
              <w:t>没有现成信息需要另行制作</w:t>
            </w:r>
            <w:bookmarkEnd w:id="6"/>
          </w:p>
        </w:tc>
        <w:tc>
          <w:tcPr>
            <w:tcW w:w="829" w:type="dxa"/>
            <w:shd w:val="clear" w:color="auto" w:fill="auto"/>
            <w:tcMar>
              <w:left w:w="108" w:type="dxa"/>
              <w:right w:w="108" w:type="dxa"/>
            </w:tcMar>
            <w:vAlign w:val="center"/>
          </w:tcPr>
          <w:p w14:paraId="0FE54E2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5BA4EC1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66A2A5C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31" w:type="dxa"/>
            <w:shd w:val="clear" w:color="auto" w:fill="auto"/>
            <w:tcMar>
              <w:left w:w="108" w:type="dxa"/>
              <w:right w:w="108" w:type="dxa"/>
            </w:tcMar>
            <w:vAlign w:val="center"/>
          </w:tcPr>
          <w:p w14:paraId="04DF071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08" w:type="dxa"/>
            <w:shd w:val="clear" w:color="auto" w:fill="auto"/>
            <w:tcMar>
              <w:left w:w="108" w:type="dxa"/>
              <w:right w:w="108" w:type="dxa"/>
            </w:tcMar>
            <w:vAlign w:val="center"/>
          </w:tcPr>
          <w:p w14:paraId="0E1E05F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288AE63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851" w:type="dxa"/>
            <w:shd w:val="clear" w:color="auto" w:fill="auto"/>
            <w:tcMar>
              <w:left w:w="108" w:type="dxa"/>
              <w:right w:w="108" w:type="dxa"/>
            </w:tcMar>
            <w:vAlign w:val="center"/>
          </w:tcPr>
          <w:p w14:paraId="649D280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r>
      <w:tr w14:paraId="3E8A418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shd w:val="clear" w:color="auto" w:fill="auto"/>
            <w:tcMar>
              <w:left w:w="108" w:type="dxa"/>
              <w:right w:w="108" w:type="dxa"/>
            </w:tcMar>
            <w:vAlign w:val="center"/>
          </w:tcPr>
          <w:p w14:paraId="2DDFEE6A">
            <w:pPr>
              <w:keepNext w:val="0"/>
              <w:keepLines w:val="0"/>
              <w:pageBreakBefore w:val="0"/>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szCs w:val="21"/>
              </w:rPr>
            </w:pPr>
          </w:p>
        </w:tc>
        <w:tc>
          <w:tcPr>
            <w:tcW w:w="1701" w:type="dxa"/>
            <w:vMerge w:val="continue"/>
            <w:shd w:val="clear" w:color="auto" w:fill="auto"/>
            <w:tcMar>
              <w:left w:w="108" w:type="dxa"/>
              <w:right w:w="108" w:type="dxa"/>
            </w:tcMar>
            <w:vAlign w:val="center"/>
          </w:tcPr>
          <w:p w14:paraId="182D757E">
            <w:pPr>
              <w:keepNext w:val="0"/>
              <w:keepLines w:val="0"/>
              <w:pageBreakBefore w:val="0"/>
              <w:kinsoku/>
              <w:wordWrap/>
              <w:overflowPunct/>
              <w:topLinePunct w:val="0"/>
              <w:autoSpaceDE/>
              <w:autoSpaceDN/>
              <w:bidi w:val="0"/>
              <w:adjustRightInd/>
              <w:snapToGrid/>
              <w:spacing w:line="260" w:lineRule="exact"/>
              <w:ind w:left="-107" w:leftChars="-51"/>
              <w:textAlignment w:val="auto"/>
              <w:rPr>
                <w:rFonts w:hint="eastAsia" w:ascii="仿宋_GB2312" w:hAnsi="仿宋_GB2312" w:eastAsia="仿宋_GB2312" w:cs="仿宋_GB2312"/>
                <w:szCs w:val="21"/>
              </w:rPr>
            </w:pPr>
          </w:p>
        </w:tc>
        <w:tc>
          <w:tcPr>
            <w:tcW w:w="2976" w:type="dxa"/>
            <w:shd w:val="clear" w:color="auto" w:fill="auto"/>
            <w:tcMar>
              <w:left w:w="108" w:type="dxa"/>
              <w:right w:w="108" w:type="dxa"/>
            </w:tcMar>
            <w:vAlign w:val="center"/>
          </w:tcPr>
          <w:p w14:paraId="143F7D57">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3.</w:t>
            </w:r>
            <w:bookmarkStart w:id="7" w:name="_Hlk66975466"/>
            <w:r>
              <w:rPr>
                <w:rFonts w:hint="eastAsia" w:ascii="仿宋_GB2312" w:hAnsi="仿宋_GB2312" w:eastAsia="仿宋_GB2312" w:cs="仿宋_GB2312"/>
                <w:kern w:val="0"/>
                <w:szCs w:val="21"/>
              </w:rPr>
              <w:t>补正后申请内容仍不明确</w:t>
            </w:r>
            <w:bookmarkEnd w:id="7"/>
          </w:p>
        </w:tc>
        <w:tc>
          <w:tcPr>
            <w:tcW w:w="829" w:type="dxa"/>
            <w:shd w:val="clear" w:color="auto" w:fill="auto"/>
            <w:tcMar>
              <w:left w:w="108" w:type="dxa"/>
              <w:right w:w="108" w:type="dxa"/>
            </w:tcMar>
            <w:vAlign w:val="center"/>
          </w:tcPr>
          <w:p w14:paraId="5124FB2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5268346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57402A3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31" w:type="dxa"/>
            <w:shd w:val="clear" w:color="auto" w:fill="auto"/>
            <w:tcMar>
              <w:left w:w="108" w:type="dxa"/>
              <w:right w:w="108" w:type="dxa"/>
            </w:tcMar>
            <w:vAlign w:val="center"/>
          </w:tcPr>
          <w:p w14:paraId="7EB3CAD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08" w:type="dxa"/>
            <w:shd w:val="clear" w:color="auto" w:fill="auto"/>
            <w:tcMar>
              <w:left w:w="108" w:type="dxa"/>
              <w:right w:w="108" w:type="dxa"/>
            </w:tcMar>
            <w:vAlign w:val="center"/>
          </w:tcPr>
          <w:p w14:paraId="143E385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6982D0C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851" w:type="dxa"/>
            <w:shd w:val="clear" w:color="auto" w:fill="auto"/>
            <w:tcMar>
              <w:left w:w="108" w:type="dxa"/>
              <w:right w:w="108" w:type="dxa"/>
            </w:tcMar>
            <w:vAlign w:val="center"/>
          </w:tcPr>
          <w:p w14:paraId="385C7EA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r>
      <w:tr w14:paraId="563E336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shd w:val="clear" w:color="auto" w:fill="auto"/>
            <w:tcMar>
              <w:left w:w="108" w:type="dxa"/>
              <w:right w:w="108" w:type="dxa"/>
            </w:tcMar>
            <w:vAlign w:val="center"/>
          </w:tcPr>
          <w:p w14:paraId="1756CC42">
            <w:pPr>
              <w:keepNext w:val="0"/>
              <w:keepLines w:val="0"/>
              <w:pageBreakBefore w:val="0"/>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szCs w:val="21"/>
              </w:rPr>
            </w:pPr>
          </w:p>
        </w:tc>
        <w:tc>
          <w:tcPr>
            <w:tcW w:w="1701" w:type="dxa"/>
            <w:vMerge w:val="restart"/>
            <w:shd w:val="clear" w:color="auto" w:fill="auto"/>
            <w:tcMar>
              <w:left w:w="108" w:type="dxa"/>
              <w:right w:w="108" w:type="dxa"/>
            </w:tcMar>
            <w:vAlign w:val="center"/>
          </w:tcPr>
          <w:p w14:paraId="3416E7FC">
            <w:pPr>
              <w:keepNext w:val="0"/>
              <w:keepLines w:val="0"/>
              <w:pageBreakBefore w:val="0"/>
              <w:widowControl/>
              <w:kinsoku/>
              <w:wordWrap/>
              <w:overflowPunct/>
              <w:topLinePunct w:val="0"/>
              <w:autoSpaceDE/>
              <w:autoSpaceDN/>
              <w:bidi w:val="0"/>
              <w:adjustRightInd/>
              <w:snapToGrid/>
              <w:spacing w:line="260" w:lineRule="exact"/>
              <w:ind w:left="-107" w:leftChars="-51"/>
              <w:textAlignment w:val="auto"/>
              <w:rPr>
                <w:rFonts w:hint="eastAsia" w:ascii="仿宋_GB2312" w:hAnsi="仿宋_GB2312" w:eastAsia="仿宋_GB2312" w:cs="仿宋_GB2312"/>
                <w:szCs w:val="21"/>
              </w:rPr>
            </w:pPr>
            <w:r>
              <w:rPr>
                <w:rFonts w:hint="eastAsia" w:ascii="仿宋_GB2312" w:hAnsi="仿宋_GB2312" w:eastAsia="仿宋_GB2312" w:cs="仿宋_GB2312"/>
                <w:kern w:val="0"/>
                <w:szCs w:val="21"/>
              </w:rPr>
              <w:t>（五）不予处理</w:t>
            </w:r>
          </w:p>
        </w:tc>
        <w:tc>
          <w:tcPr>
            <w:tcW w:w="2976" w:type="dxa"/>
            <w:shd w:val="clear" w:color="auto" w:fill="auto"/>
            <w:tcMar>
              <w:left w:w="108" w:type="dxa"/>
              <w:right w:w="108" w:type="dxa"/>
            </w:tcMar>
            <w:vAlign w:val="center"/>
          </w:tcPr>
          <w:p w14:paraId="13785DD2">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1.</w:t>
            </w:r>
            <w:bookmarkStart w:id="8" w:name="_Hlk66975537"/>
            <w:r>
              <w:rPr>
                <w:rFonts w:hint="eastAsia" w:ascii="仿宋_GB2312" w:hAnsi="仿宋_GB2312" w:eastAsia="仿宋_GB2312" w:cs="仿宋_GB2312"/>
                <w:kern w:val="0"/>
                <w:szCs w:val="21"/>
              </w:rPr>
              <w:t>信访举报投诉类申请</w:t>
            </w:r>
            <w:bookmarkEnd w:id="8"/>
          </w:p>
        </w:tc>
        <w:tc>
          <w:tcPr>
            <w:tcW w:w="829" w:type="dxa"/>
            <w:shd w:val="clear" w:color="auto" w:fill="auto"/>
            <w:tcMar>
              <w:left w:w="108" w:type="dxa"/>
              <w:right w:w="108" w:type="dxa"/>
            </w:tcMar>
            <w:vAlign w:val="center"/>
          </w:tcPr>
          <w:p w14:paraId="355949E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0444A40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038200F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31" w:type="dxa"/>
            <w:shd w:val="clear" w:color="auto" w:fill="auto"/>
            <w:tcMar>
              <w:left w:w="108" w:type="dxa"/>
              <w:right w:w="108" w:type="dxa"/>
            </w:tcMar>
            <w:vAlign w:val="center"/>
          </w:tcPr>
          <w:p w14:paraId="213A7F2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08" w:type="dxa"/>
            <w:shd w:val="clear" w:color="auto" w:fill="auto"/>
            <w:tcMar>
              <w:left w:w="108" w:type="dxa"/>
              <w:right w:w="108" w:type="dxa"/>
            </w:tcMar>
            <w:vAlign w:val="center"/>
          </w:tcPr>
          <w:p w14:paraId="43124D7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2F34737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851" w:type="dxa"/>
            <w:shd w:val="clear" w:color="auto" w:fill="auto"/>
            <w:tcMar>
              <w:left w:w="108" w:type="dxa"/>
              <w:right w:w="108" w:type="dxa"/>
            </w:tcMar>
            <w:vAlign w:val="center"/>
          </w:tcPr>
          <w:p w14:paraId="1593A9A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r>
      <w:tr w14:paraId="5E1C43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shd w:val="clear" w:color="auto" w:fill="auto"/>
            <w:tcMar>
              <w:left w:w="108" w:type="dxa"/>
              <w:right w:w="108" w:type="dxa"/>
            </w:tcMar>
            <w:vAlign w:val="center"/>
          </w:tcPr>
          <w:p w14:paraId="1F34AF77">
            <w:pPr>
              <w:keepNext w:val="0"/>
              <w:keepLines w:val="0"/>
              <w:pageBreakBefore w:val="0"/>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szCs w:val="21"/>
              </w:rPr>
            </w:pPr>
          </w:p>
        </w:tc>
        <w:tc>
          <w:tcPr>
            <w:tcW w:w="1701" w:type="dxa"/>
            <w:vMerge w:val="continue"/>
            <w:shd w:val="clear" w:color="auto" w:fill="auto"/>
            <w:tcMar>
              <w:left w:w="108" w:type="dxa"/>
              <w:right w:w="108" w:type="dxa"/>
            </w:tcMar>
            <w:vAlign w:val="center"/>
          </w:tcPr>
          <w:p w14:paraId="7C215258">
            <w:pPr>
              <w:keepNext w:val="0"/>
              <w:keepLines w:val="0"/>
              <w:pageBreakBefore w:val="0"/>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szCs w:val="21"/>
              </w:rPr>
            </w:pPr>
          </w:p>
        </w:tc>
        <w:tc>
          <w:tcPr>
            <w:tcW w:w="2976" w:type="dxa"/>
            <w:shd w:val="clear" w:color="auto" w:fill="auto"/>
            <w:tcMar>
              <w:left w:w="108" w:type="dxa"/>
              <w:right w:w="108" w:type="dxa"/>
            </w:tcMar>
            <w:vAlign w:val="center"/>
          </w:tcPr>
          <w:p w14:paraId="25CF976D">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2.重复申请</w:t>
            </w:r>
          </w:p>
        </w:tc>
        <w:tc>
          <w:tcPr>
            <w:tcW w:w="829" w:type="dxa"/>
            <w:shd w:val="clear" w:color="auto" w:fill="auto"/>
            <w:tcMar>
              <w:left w:w="108" w:type="dxa"/>
              <w:right w:w="108" w:type="dxa"/>
            </w:tcMar>
            <w:vAlign w:val="center"/>
          </w:tcPr>
          <w:p w14:paraId="6B39900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5A8E461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542DE75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31" w:type="dxa"/>
            <w:shd w:val="clear" w:color="auto" w:fill="auto"/>
            <w:tcMar>
              <w:left w:w="108" w:type="dxa"/>
              <w:right w:w="108" w:type="dxa"/>
            </w:tcMar>
            <w:vAlign w:val="center"/>
          </w:tcPr>
          <w:p w14:paraId="7756352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08" w:type="dxa"/>
            <w:shd w:val="clear" w:color="auto" w:fill="auto"/>
            <w:tcMar>
              <w:left w:w="108" w:type="dxa"/>
              <w:right w:w="108" w:type="dxa"/>
            </w:tcMar>
            <w:vAlign w:val="center"/>
          </w:tcPr>
          <w:p w14:paraId="1E0CD61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02DB582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851" w:type="dxa"/>
            <w:shd w:val="clear" w:color="auto" w:fill="auto"/>
            <w:tcMar>
              <w:left w:w="108" w:type="dxa"/>
              <w:right w:w="108" w:type="dxa"/>
            </w:tcMar>
            <w:vAlign w:val="center"/>
          </w:tcPr>
          <w:p w14:paraId="74088A2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r>
      <w:tr w14:paraId="70B4BC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shd w:val="clear" w:color="auto" w:fill="auto"/>
            <w:tcMar>
              <w:left w:w="108" w:type="dxa"/>
              <w:right w:w="108" w:type="dxa"/>
            </w:tcMar>
            <w:vAlign w:val="center"/>
          </w:tcPr>
          <w:p w14:paraId="71CFE079">
            <w:pPr>
              <w:keepNext w:val="0"/>
              <w:keepLines w:val="0"/>
              <w:pageBreakBefore w:val="0"/>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szCs w:val="21"/>
              </w:rPr>
            </w:pPr>
          </w:p>
        </w:tc>
        <w:tc>
          <w:tcPr>
            <w:tcW w:w="1701" w:type="dxa"/>
            <w:vMerge w:val="continue"/>
            <w:shd w:val="clear" w:color="auto" w:fill="auto"/>
            <w:tcMar>
              <w:left w:w="108" w:type="dxa"/>
              <w:right w:w="108" w:type="dxa"/>
            </w:tcMar>
            <w:vAlign w:val="center"/>
          </w:tcPr>
          <w:p w14:paraId="2AA8D01A">
            <w:pPr>
              <w:keepNext w:val="0"/>
              <w:keepLines w:val="0"/>
              <w:pageBreakBefore w:val="0"/>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szCs w:val="21"/>
              </w:rPr>
            </w:pPr>
          </w:p>
        </w:tc>
        <w:tc>
          <w:tcPr>
            <w:tcW w:w="2976" w:type="dxa"/>
            <w:shd w:val="clear" w:color="auto" w:fill="auto"/>
            <w:tcMar>
              <w:left w:w="108" w:type="dxa"/>
              <w:right w:w="108" w:type="dxa"/>
            </w:tcMar>
            <w:vAlign w:val="center"/>
          </w:tcPr>
          <w:p w14:paraId="452BFC7E">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szCs w:val="21"/>
              </w:rPr>
            </w:pPr>
            <w:r>
              <w:rPr>
                <w:rFonts w:hint="eastAsia" w:ascii="仿宋_GB2312" w:hAnsi="仿宋_GB2312" w:eastAsia="仿宋_GB2312" w:cs="仿宋_GB2312"/>
                <w:kern w:val="0"/>
                <w:szCs w:val="21"/>
              </w:rPr>
              <w:t>3.要求提供公开出版物</w:t>
            </w:r>
          </w:p>
        </w:tc>
        <w:tc>
          <w:tcPr>
            <w:tcW w:w="829" w:type="dxa"/>
            <w:shd w:val="clear" w:color="auto" w:fill="auto"/>
            <w:tcMar>
              <w:left w:w="108" w:type="dxa"/>
              <w:right w:w="108" w:type="dxa"/>
            </w:tcMar>
            <w:vAlign w:val="center"/>
          </w:tcPr>
          <w:p w14:paraId="624987B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7109AD7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655F00D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31" w:type="dxa"/>
            <w:shd w:val="clear" w:color="auto" w:fill="auto"/>
            <w:tcMar>
              <w:left w:w="108" w:type="dxa"/>
              <w:right w:w="108" w:type="dxa"/>
            </w:tcMar>
            <w:vAlign w:val="center"/>
          </w:tcPr>
          <w:p w14:paraId="115AC23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08" w:type="dxa"/>
            <w:shd w:val="clear" w:color="auto" w:fill="auto"/>
            <w:tcMar>
              <w:left w:w="108" w:type="dxa"/>
              <w:right w:w="108" w:type="dxa"/>
            </w:tcMar>
            <w:vAlign w:val="center"/>
          </w:tcPr>
          <w:p w14:paraId="4099DD5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48519F4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851" w:type="dxa"/>
            <w:shd w:val="clear" w:color="auto" w:fill="auto"/>
            <w:tcMar>
              <w:left w:w="108" w:type="dxa"/>
              <w:right w:w="108" w:type="dxa"/>
            </w:tcMar>
            <w:vAlign w:val="center"/>
          </w:tcPr>
          <w:p w14:paraId="5B363E6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r>
      <w:tr w14:paraId="026A1D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trPr>
        <w:tc>
          <w:tcPr>
            <w:tcW w:w="416" w:type="dxa"/>
            <w:vMerge w:val="continue"/>
            <w:shd w:val="clear" w:color="auto" w:fill="auto"/>
            <w:tcMar>
              <w:left w:w="108" w:type="dxa"/>
              <w:right w:w="108" w:type="dxa"/>
            </w:tcMar>
            <w:vAlign w:val="center"/>
          </w:tcPr>
          <w:p w14:paraId="5B0A95C9">
            <w:pPr>
              <w:keepNext w:val="0"/>
              <w:keepLines w:val="0"/>
              <w:pageBreakBefore w:val="0"/>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szCs w:val="21"/>
              </w:rPr>
            </w:pPr>
          </w:p>
        </w:tc>
        <w:tc>
          <w:tcPr>
            <w:tcW w:w="1701" w:type="dxa"/>
            <w:vMerge w:val="continue"/>
            <w:shd w:val="clear" w:color="auto" w:fill="auto"/>
            <w:tcMar>
              <w:left w:w="108" w:type="dxa"/>
              <w:right w:w="108" w:type="dxa"/>
            </w:tcMar>
            <w:vAlign w:val="center"/>
          </w:tcPr>
          <w:p w14:paraId="3FD4655F">
            <w:pPr>
              <w:keepNext w:val="0"/>
              <w:keepLines w:val="0"/>
              <w:pageBreakBefore w:val="0"/>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szCs w:val="21"/>
              </w:rPr>
            </w:pPr>
          </w:p>
        </w:tc>
        <w:tc>
          <w:tcPr>
            <w:tcW w:w="2976" w:type="dxa"/>
            <w:shd w:val="clear" w:color="auto" w:fill="auto"/>
            <w:tcMar>
              <w:left w:w="108" w:type="dxa"/>
              <w:right w:w="108" w:type="dxa"/>
            </w:tcMar>
            <w:vAlign w:val="center"/>
          </w:tcPr>
          <w:p w14:paraId="66094D06">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szCs w:val="21"/>
              </w:rPr>
            </w:pPr>
            <w:r>
              <w:rPr>
                <w:rFonts w:hint="eastAsia" w:ascii="仿宋_GB2312" w:hAnsi="仿宋_GB2312" w:eastAsia="仿宋_GB2312" w:cs="仿宋_GB2312"/>
                <w:kern w:val="0"/>
                <w:szCs w:val="21"/>
              </w:rPr>
              <w:t>4.无正当理由大量反复申请</w:t>
            </w:r>
          </w:p>
        </w:tc>
        <w:tc>
          <w:tcPr>
            <w:tcW w:w="829" w:type="dxa"/>
            <w:shd w:val="clear" w:color="auto" w:fill="auto"/>
            <w:tcMar>
              <w:left w:w="108" w:type="dxa"/>
              <w:right w:w="108" w:type="dxa"/>
            </w:tcMar>
            <w:vAlign w:val="center"/>
          </w:tcPr>
          <w:p w14:paraId="51F05DA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7A25FCC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2F77EDA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31" w:type="dxa"/>
            <w:shd w:val="clear" w:color="auto" w:fill="auto"/>
            <w:tcMar>
              <w:left w:w="108" w:type="dxa"/>
              <w:right w:w="108" w:type="dxa"/>
            </w:tcMar>
            <w:vAlign w:val="center"/>
          </w:tcPr>
          <w:p w14:paraId="1391045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08" w:type="dxa"/>
            <w:shd w:val="clear" w:color="auto" w:fill="auto"/>
            <w:tcMar>
              <w:left w:w="108" w:type="dxa"/>
              <w:right w:w="108" w:type="dxa"/>
            </w:tcMar>
            <w:vAlign w:val="center"/>
          </w:tcPr>
          <w:p w14:paraId="0ED855D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480E2F1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851" w:type="dxa"/>
            <w:shd w:val="clear" w:color="auto" w:fill="auto"/>
            <w:tcMar>
              <w:left w:w="108" w:type="dxa"/>
              <w:right w:w="108" w:type="dxa"/>
            </w:tcMar>
            <w:vAlign w:val="center"/>
          </w:tcPr>
          <w:p w14:paraId="13F2825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r>
      <w:tr w14:paraId="362B6EA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416" w:type="dxa"/>
            <w:vMerge w:val="continue"/>
            <w:shd w:val="clear" w:color="auto" w:fill="auto"/>
            <w:tcMar>
              <w:left w:w="108" w:type="dxa"/>
              <w:right w:w="108" w:type="dxa"/>
            </w:tcMar>
            <w:vAlign w:val="center"/>
          </w:tcPr>
          <w:p w14:paraId="6ADA8CE8">
            <w:pPr>
              <w:keepNext w:val="0"/>
              <w:keepLines w:val="0"/>
              <w:pageBreakBefore w:val="0"/>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szCs w:val="21"/>
              </w:rPr>
            </w:pPr>
          </w:p>
        </w:tc>
        <w:tc>
          <w:tcPr>
            <w:tcW w:w="1701" w:type="dxa"/>
            <w:vMerge w:val="continue"/>
            <w:shd w:val="clear" w:color="auto" w:fill="auto"/>
            <w:tcMar>
              <w:left w:w="108" w:type="dxa"/>
              <w:right w:w="108" w:type="dxa"/>
            </w:tcMar>
            <w:vAlign w:val="center"/>
          </w:tcPr>
          <w:p w14:paraId="7D426827">
            <w:pPr>
              <w:keepNext w:val="0"/>
              <w:keepLines w:val="0"/>
              <w:pageBreakBefore w:val="0"/>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szCs w:val="21"/>
              </w:rPr>
            </w:pPr>
          </w:p>
        </w:tc>
        <w:tc>
          <w:tcPr>
            <w:tcW w:w="2976" w:type="dxa"/>
            <w:shd w:val="clear" w:color="auto" w:fill="auto"/>
            <w:tcMar>
              <w:left w:w="108" w:type="dxa"/>
              <w:right w:w="108" w:type="dxa"/>
            </w:tcMar>
            <w:vAlign w:val="center"/>
          </w:tcPr>
          <w:p w14:paraId="07096F22">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5.要求行政机关确认或重新</w:t>
            </w:r>
          </w:p>
          <w:p w14:paraId="3B2529D1">
            <w:pPr>
              <w:keepNext w:val="0"/>
              <w:keepLines w:val="0"/>
              <w:pageBreakBefore w:val="0"/>
              <w:widowControl/>
              <w:kinsoku/>
              <w:wordWrap/>
              <w:overflowPunct/>
              <w:topLinePunct w:val="0"/>
              <w:autoSpaceDE/>
              <w:autoSpaceDN/>
              <w:bidi w:val="0"/>
              <w:adjustRightInd/>
              <w:snapToGrid/>
              <w:spacing w:line="260" w:lineRule="exact"/>
              <w:ind w:firstLine="210" w:firstLineChars="100"/>
              <w:textAlignment w:val="auto"/>
              <w:rPr>
                <w:rFonts w:hint="eastAsia" w:ascii="仿宋_GB2312" w:hAnsi="仿宋_GB2312" w:eastAsia="仿宋_GB2312" w:cs="仿宋_GB2312"/>
                <w:szCs w:val="21"/>
              </w:rPr>
            </w:pPr>
            <w:r>
              <w:rPr>
                <w:rFonts w:hint="eastAsia" w:ascii="仿宋_GB2312" w:hAnsi="仿宋_GB2312" w:eastAsia="仿宋_GB2312" w:cs="仿宋_GB2312"/>
                <w:kern w:val="0"/>
                <w:szCs w:val="21"/>
              </w:rPr>
              <w:t>出具已获取信息</w:t>
            </w:r>
          </w:p>
        </w:tc>
        <w:tc>
          <w:tcPr>
            <w:tcW w:w="829" w:type="dxa"/>
            <w:shd w:val="clear" w:color="auto" w:fill="auto"/>
            <w:tcMar>
              <w:left w:w="108" w:type="dxa"/>
              <w:right w:w="108" w:type="dxa"/>
            </w:tcMar>
            <w:vAlign w:val="center"/>
          </w:tcPr>
          <w:p w14:paraId="5FA36A6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739F0CC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54FE4DC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31" w:type="dxa"/>
            <w:shd w:val="clear" w:color="auto" w:fill="auto"/>
            <w:tcMar>
              <w:left w:w="108" w:type="dxa"/>
              <w:right w:w="108" w:type="dxa"/>
            </w:tcMar>
            <w:vAlign w:val="center"/>
          </w:tcPr>
          <w:p w14:paraId="6F65D85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08" w:type="dxa"/>
            <w:shd w:val="clear" w:color="auto" w:fill="auto"/>
            <w:tcMar>
              <w:left w:w="108" w:type="dxa"/>
              <w:right w:w="108" w:type="dxa"/>
            </w:tcMar>
            <w:vAlign w:val="center"/>
          </w:tcPr>
          <w:p w14:paraId="61CD9B1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5E5B6D9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851" w:type="dxa"/>
            <w:shd w:val="clear" w:color="auto" w:fill="auto"/>
            <w:tcMar>
              <w:left w:w="108" w:type="dxa"/>
              <w:right w:w="108" w:type="dxa"/>
            </w:tcMar>
            <w:vAlign w:val="center"/>
          </w:tcPr>
          <w:p w14:paraId="151374E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r>
      <w:tr w14:paraId="154BEF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416" w:type="dxa"/>
            <w:vMerge w:val="continue"/>
            <w:shd w:val="clear" w:color="auto" w:fill="auto"/>
            <w:tcMar>
              <w:left w:w="108" w:type="dxa"/>
              <w:right w:w="108" w:type="dxa"/>
            </w:tcMar>
            <w:vAlign w:val="center"/>
          </w:tcPr>
          <w:p w14:paraId="7032E621">
            <w:pPr>
              <w:keepNext w:val="0"/>
              <w:keepLines w:val="0"/>
              <w:pageBreakBefore w:val="0"/>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szCs w:val="21"/>
              </w:rPr>
            </w:pPr>
          </w:p>
        </w:tc>
        <w:tc>
          <w:tcPr>
            <w:tcW w:w="1701" w:type="dxa"/>
            <w:vMerge w:val="restart"/>
            <w:shd w:val="clear" w:color="auto" w:fill="auto"/>
            <w:tcMar>
              <w:left w:w="108" w:type="dxa"/>
              <w:right w:w="108" w:type="dxa"/>
            </w:tcMar>
            <w:vAlign w:val="center"/>
          </w:tcPr>
          <w:p w14:paraId="23B0EDB5">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（六）其他处理</w:t>
            </w:r>
          </w:p>
        </w:tc>
        <w:tc>
          <w:tcPr>
            <w:tcW w:w="2976" w:type="dxa"/>
            <w:shd w:val="clear" w:color="auto" w:fill="auto"/>
            <w:vAlign w:val="center"/>
          </w:tcPr>
          <w:p w14:paraId="1B0DB441">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rPr>
            </w:pPr>
            <w:r>
              <w:rPr>
                <w:rFonts w:hint="eastAsia" w:ascii="仿宋_GB2312" w:hAnsi="仿宋_GB2312" w:eastAsia="仿宋_GB2312" w:cs="仿宋_GB2312"/>
              </w:rPr>
              <w:t>1.申请人无正当理由逾期不补正、行政机关不再处理其政府信息公开申请</w:t>
            </w:r>
          </w:p>
        </w:tc>
        <w:tc>
          <w:tcPr>
            <w:tcW w:w="829" w:type="dxa"/>
            <w:shd w:val="clear" w:color="auto" w:fill="auto"/>
            <w:tcMar>
              <w:left w:w="108" w:type="dxa"/>
              <w:right w:w="108" w:type="dxa"/>
            </w:tcMar>
            <w:vAlign w:val="center"/>
          </w:tcPr>
          <w:p w14:paraId="0AA5A0F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6A03132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50AC5DC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31" w:type="dxa"/>
            <w:shd w:val="clear" w:color="auto" w:fill="auto"/>
            <w:tcMar>
              <w:left w:w="108" w:type="dxa"/>
              <w:right w:w="108" w:type="dxa"/>
            </w:tcMar>
            <w:vAlign w:val="center"/>
          </w:tcPr>
          <w:p w14:paraId="6C33703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08" w:type="dxa"/>
            <w:shd w:val="clear" w:color="auto" w:fill="auto"/>
            <w:tcMar>
              <w:left w:w="108" w:type="dxa"/>
              <w:right w:w="108" w:type="dxa"/>
            </w:tcMar>
            <w:vAlign w:val="center"/>
          </w:tcPr>
          <w:p w14:paraId="49FD79A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52A1DB1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851" w:type="dxa"/>
            <w:shd w:val="clear" w:color="auto" w:fill="auto"/>
            <w:tcMar>
              <w:left w:w="108" w:type="dxa"/>
              <w:right w:w="108" w:type="dxa"/>
            </w:tcMar>
            <w:vAlign w:val="center"/>
          </w:tcPr>
          <w:p w14:paraId="1E2DEFE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r>
      <w:tr w14:paraId="763E68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416" w:type="dxa"/>
            <w:vMerge w:val="continue"/>
            <w:shd w:val="clear" w:color="auto" w:fill="auto"/>
            <w:tcMar>
              <w:left w:w="108" w:type="dxa"/>
              <w:right w:w="108" w:type="dxa"/>
            </w:tcMar>
            <w:vAlign w:val="center"/>
          </w:tcPr>
          <w:p w14:paraId="13B4AF6B">
            <w:pPr>
              <w:keepNext w:val="0"/>
              <w:keepLines w:val="0"/>
              <w:pageBreakBefore w:val="0"/>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szCs w:val="21"/>
              </w:rPr>
            </w:pPr>
          </w:p>
        </w:tc>
        <w:tc>
          <w:tcPr>
            <w:tcW w:w="1701" w:type="dxa"/>
            <w:vMerge w:val="continue"/>
            <w:shd w:val="clear" w:color="auto" w:fill="auto"/>
            <w:tcMar>
              <w:left w:w="108" w:type="dxa"/>
              <w:right w:w="108" w:type="dxa"/>
            </w:tcMar>
            <w:vAlign w:val="center"/>
          </w:tcPr>
          <w:p w14:paraId="1CE62F93">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kern w:val="0"/>
                <w:szCs w:val="21"/>
              </w:rPr>
            </w:pPr>
          </w:p>
        </w:tc>
        <w:tc>
          <w:tcPr>
            <w:tcW w:w="2976" w:type="dxa"/>
            <w:shd w:val="clear" w:color="auto" w:fill="auto"/>
            <w:vAlign w:val="center"/>
          </w:tcPr>
          <w:p w14:paraId="7091F400">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kern w:val="0"/>
                <w:szCs w:val="21"/>
              </w:rPr>
            </w:pPr>
            <w:r>
              <w:rPr>
                <w:rFonts w:hint="eastAsia" w:ascii="仿宋_GB2312" w:hAnsi="仿宋_GB2312" w:eastAsia="仿宋_GB2312" w:cs="仿宋_GB2312"/>
              </w:rPr>
              <w:t>2.申请人逾期未按收费通知要求缴纳费用、行政机关不再处理其政府信息公开申请</w:t>
            </w:r>
          </w:p>
        </w:tc>
        <w:tc>
          <w:tcPr>
            <w:tcW w:w="829" w:type="dxa"/>
            <w:shd w:val="clear" w:color="auto" w:fill="auto"/>
            <w:tcMar>
              <w:left w:w="108" w:type="dxa"/>
              <w:right w:w="108" w:type="dxa"/>
            </w:tcMar>
            <w:vAlign w:val="center"/>
          </w:tcPr>
          <w:p w14:paraId="0911D28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56AC812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0596F69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31" w:type="dxa"/>
            <w:shd w:val="clear" w:color="auto" w:fill="auto"/>
            <w:tcMar>
              <w:left w:w="108" w:type="dxa"/>
              <w:right w:w="108" w:type="dxa"/>
            </w:tcMar>
            <w:vAlign w:val="center"/>
          </w:tcPr>
          <w:p w14:paraId="6C29BBD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08" w:type="dxa"/>
            <w:shd w:val="clear" w:color="auto" w:fill="auto"/>
            <w:tcMar>
              <w:left w:w="108" w:type="dxa"/>
              <w:right w:w="108" w:type="dxa"/>
            </w:tcMar>
            <w:vAlign w:val="center"/>
          </w:tcPr>
          <w:p w14:paraId="460B45A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636ED0B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851" w:type="dxa"/>
            <w:shd w:val="clear" w:color="auto" w:fill="auto"/>
            <w:tcMar>
              <w:left w:w="108" w:type="dxa"/>
              <w:right w:w="108" w:type="dxa"/>
            </w:tcMar>
            <w:vAlign w:val="center"/>
          </w:tcPr>
          <w:p w14:paraId="3B3C800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r>
      <w:tr w14:paraId="141B22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416" w:type="dxa"/>
            <w:vMerge w:val="continue"/>
            <w:shd w:val="clear" w:color="auto" w:fill="auto"/>
            <w:tcMar>
              <w:left w:w="108" w:type="dxa"/>
              <w:right w:w="108" w:type="dxa"/>
            </w:tcMar>
            <w:vAlign w:val="center"/>
          </w:tcPr>
          <w:p w14:paraId="475B7910">
            <w:pPr>
              <w:keepNext w:val="0"/>
              <w:keepLines w:val="0"/>
              <w:pageBreakBefore w:val="0"/>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szCs w:val="21"/>
              </w:rPr>
            </w:pPr>
          </w:p>
        </w:tc>
        <w:tc>
          <w:tcPr>
            <w:tcW w:w="1701" w:type="dxa"/>
            <w:vMerge w:val="continue"/>
            <w:shd w:val="clear" w:color="auto" w:fill="auto"/>
            <w:tcMar>
              <w:left w:w="108" w:type="dxa"/>
              <w:right w:w="108" w:type="dxa"/>
            </w:tcMar>
            <w:vAlign w:val="center"/>
          </w:tcPr>
          <w:p w14:paraId="133ECD31">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kern w:val="0"/>
                <w:szCs w:val="21"/>
              </w:rPr>
            </w:pPr>
          </w:p>
        </w:tc>
        <w:tc>
          <w:tcPr>
            <w:tcW w:w="2976" w:type="dxa"/>
            <w:shd w:val="clear" w:color="auto" w:fill="auto"/>
            <w:vAlign w:val="center"/>
          </w:tcPr>
          <w:p w14:paraId="6B26ACB1">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kern w:val="0"/>
                <w:szCs w:val="21"/>
              </w:rPr>
            </w:pPr>
            <w:r>
              <w:rPr>
                <w:rFonts w:hint="eastAsia" w:ascii="仿宋_GB2312" w:hAnsi="仿宋_GB2312" w:eastAsia="仿宋_GB2312" w:cs="仿宋_GB2312"/>
              </w:rPr>
              <w:t>3.其他</w:t>
            </w:r>
          </w:p>
        </w:tc>
        <w:tc>
          <w:tcPr>
            <w:tcW w:w="829" w:type="dxa"/>
            <w:shd w:val="clear" w:color="auto" w:fill="auto"/>
            <w:tcMar>
              <w:left w:w="108" w:type="dxa"/>
              <w:right w:w="108" w:type="dxa"/>
            </w:tcMar>
            <w:vAlign w:val="center"/>
          </w:tcPr>
          <w:p w14:paraId="3537C08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4F795C2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2C5B46B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31" w:type="dxa"/>
            <w:shd w:val="clear" w:color="auto" w:fill="auto"/>
            <w:tcMar>
              <w:left w:w="108" w:type="dxa"/>
              <w:right w:w="108" w:type="dxa"/>
            </w:tcMar>
            <w:vAlign w:val="center"/>
          </w:tcPr>
          <w:p w14:paraId="59FB5A5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08" w:type="dxa"/>
            <w:shd w:val="clear" w:color="auto" w:fill="auto"/>
            <w:tcMar>
              <w:left w:w="108" w:type="dxa"/>
              <w:right w:w="108" w:type="dxa"/>
            </w:tcMar>
            <w:vAlign w:val="center"/>
          </w:tcPr>
          <w:p w14:paraId="49C5AB8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446A7C6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851" w:type="dxa"/>
            <w:shd w:val="clear" w:color="auto" w:fill="auto"/>
            <w:tcMar>
              <w:left w:w="108" w:type="dxa"/>
              <w:right w:w="108" w:type="dxa"/>
            </w:tcMar>
            <w:vAlign w:val="center"/>
          </w:tcPr>
          <w:p w14:paraId="11F8197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r>
      <w:tr w14:paraId="3554C4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416" w:type="dxa"/>
            <w:vMerge w:val="continue"/>
            <w:shd w:val="clear" w:color="auto" w:fill="auto"/>
            <w:tcMar>
              <w:left w:w="108" w:type="dxa"/>
              <w:right w:w="108" w:type="dxa"/>
            </w:tcMar>
            <w:vAlign w:val="center"/>
          </w:tcPr>
          <w:p w14:paraId="5B547739">
            <w:pPr>
              <w:keepNext w:val="0"/>
              <w:keepLines w:val="0"/>
              <w:pageBreakBefore w:val="0"/>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szCs w:val="21"/>
              </w:rPr>
            </w:pPr>
          </w:p>
        </w:tc>
        <w:tc>
          <w:tcPr>
            <w:tcW w:w="4677" w:type="dxa"/>
            <w:gridSpan w:val="2"/>
            <w:shd w:val="clear" w:color="auto" w:fill="auto"/>
            <w:tcMar>
              <w:left w:w="108" w:type="dxa"/>
              <w:right w:w="108" w:type="dxa"/>
            </w:tcMar>
            <w:vAlign w:val="center"/>
          </w:tcPr>
          <w:p w14:paraId="59AC89BD">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（七）总计</w:t>
            </w:r>
          </w:p>
        </w:tc>
        <w:tc>
          <w:tcPr>
            <w:tcW w:w="829" w:type="dxa"/>
            <w:shd w:val="clear" w:color="auto" w:fill="auto"/>
            <w:tcMar>
              <w:left w:w="108" w:type="dxa"/>
              <w:right w:w="108" w:type="dxa"/>
            </w:tcMar>
            <w:vAlign w:val="center"/>
          </w:tcPr>
          <w:p w14:paraId="46B8101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34FF3B4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5659F5D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31" w:type="dxa"/>
            <w:shd w:val="clear" w:color="auto" w:fill="auto"/>
            <w:tcMar>
              <w:left w:w="108" w:type="dxa"/>
              <w:right w:w="108" w:type="dxa"/>
            </w:tcMar>
            <w:vAlign w:val="center"/>
          </w:tcPr>
          <w:p w14:paraId="2AE23C2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08" w:type="dxa"/>
            <w:shd w:val="clear" w:color="auto" w:fill="auto"/>
            <w:tcMar>
              <w:left w:w="108" w:type="dxa"/>
              <w:right w:w="108" w:type="dxa"/>
            </w:tcMar>
            <w:vAlign w:val="center"/>
          </w:tcPr>
          <w:p w14:paraId="339A887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53340C2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851" w:type="dxa"/>
            <w:shd w:val="clear" w:color="auto" w:fill="auto"/>
            <w:tcMar>
              <w:left w:w="108" w:type="dxa"/>
              <w:right w:w="108" w:type="dxa"/>
            </w:tcMar>
            <w:vAlign w:val="center"/>
          </w:tcPr>
          <w:p w14:paraId="636ABB6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0</w:t>
            </w:r>
          </w:p>
        </w:tc>
      </w:tr>
      <w:tr w14:paraId="173F2E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5093" w:type="dxa"/>
            <w:gridSpan w:val="3"/>
            <w:shd w:val="clear" w:color="auto" w:fill="auto"/>
            <w:tcMar>
              <w:left w:w="108" w:type="dxa"/>
              <w:right w:w="108" w:type="dxa"/>
            </w:tcMar>
            <w:vAlign w:val="center"/>
          </w:tcPr>
          <w:p w14:paraId="3447DF59">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四、结转下年度继续办理</w:t>
            </w:r>
          </w:p>
        </w:tc>
        <w:tc>
          <w:tcPr>
            <w:tcW w:w="829" w:type="dxa"/>
            <w:shd w:val="clear" w:color="auto" w:fill="auto"/>
            <w:tcMar>
              <w:left w:w="108" w:type="dxa"/>
              <w:right w:w="108" w:type="dxa"/>
            </w:tcMar>
            <w:vAlign w:val="center"/>
          </w:tcPr>
          <w:p w14:paraId="68CF6AC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1CB52D5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5F9EE37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31" w:type="dxa"/>
            <w:shd w:val="clear" w:color="auto" w:fill="auto"/>
            <w:tcMar>
              <w:left w:w="108" w:type="dxa"/>
              <w:right w:w="108" w:type="dxa"/>
            </w:tcMar>
            <w:vAlign w:val="center"/>
          </w:tcPr>
          <w:p w14:paraId="55D2C55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08" w:type="dxa"/>
            <w:shd w:val="clear" w:color="auto" w:fill="auto"/>
            <w:tcMar>
              <w:left w:w="108" w:type="dxa"/>
              <w:right w:w="108" w:type="dxa"/>
            </w:tcMar>
            <w:vAlign w:val="center"/>
          </w:tcPr>
          <w:p w14:paraId="12AA287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0ADB436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851" w:type="dxa"/>
            <w:shd w:val="clear" w:color="auto" w:fill="auto"/>
            <w:tcMar>
              <w:left w:w="108" w:type="dxa"/>
              <w:right w:w="108" w:type="dxa"/>
            </w:tcMar>
            <w:vAlign w:val="center"/>
          </w:tcPr>
          <w:p w14:paraId="401335E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r>
    </w:tbl>
    <w:p w14:paraId="305DFCC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76" w:lineRule="atLeast"/>
        <w:ind w:left="0" w:right="0" w:firstLine="640"/>
        <w:jc w:val="both"/>
        <w:rPr>
          <w:rFonts w:hint="default" w:ascii="Times New Roman" w:hAnsi="Times New Roman" w:eastAsia="黑体" w:cs="Times New Roman"/>
          <w:b w:val="0"/>
          <w:bCs w:val="0"/>
          <w:i w:val="0"/>
          <w:iCs w:val="0"/>
          <w:caps w:val="0"/>
          <w:color w:val="000000"/>
          <w:spacing w:val="0"/>
          <w:kern w:val="0"/>
          <w:sz w:val="32"/>
          <w:szCs w:val="32"/>
          <w:shd w:val="clear" w:fill="FFFFFF"/>
          <w:lang w:val="en-US" w:eastAsia="zh-CN" w:bidi="ar"/>
        </w:rPr>
        <w:sectPr>
          <w:pgSz w:w="11906" w:h="16838"/>
          <w:pgMar w:top="1531" w:right="907" w:bottom="1531" w:left="1531" w:header="851" w:footer="992" w:gutter="0"/>
          <w:cols w:space="425" w:num="1"/>
          <w:docGrid w:type="lines" w:linePitch="312" w:charSpace="0"/>
        </w:sectPr>
      </w:pPr>
    </w:p>
    <w:p w14:paraId="437B4EF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76" w:lineRule="atLeast"/>
        <w:ind w:left="0" w:right="0" w:firstLine="640"/>
        <w:jc w:val="both"/>
        <w:rPr>
          <w:rFonts w:hint="default" w:ascii="Times New Roman" w:hAnsi="Times New Roman" w:eastAsia="方正黑体简体" w:cs="Times New Roman"/>
          <w:b w:val="0"/>
          <w:bCs w:val="0"/>
          <w:i w:val="0"/>
          <w:iCs w:val="0"/>
          <w:caps w:val="0"/>
          <w:color w:val="000000"/>
          <w:spacing w:val="0"/>
          <w:kern w:val="0"/>
          <w:sz w:val="32"/>
          <w:szCs w:val="32"/>
          <w:shd w:val="clear" w:fill="FFFFFF"/>
          <w:lang w:val="en-US" w:eastAsia="zh-CN" w:bidi="ar"/>
        </w:rPr>
      </w:pPr>
      <w:r>
        <w:rPr>
          <w:rFonts w:hint="default" w:ascii="Times New Roman" w:hAnsi="Times New Roman" w:eastAsia="方正黑体简体" w:cs="Times New Roman"/>
          <w:b w:val="0"/>
          <w:bCs w:val="0"/>
          <w:i w:val="0"/>
          <w:iCs w:val="0"/>
          <w:caps w:val="0"/>
          <w:color w:val="000000"/>
          <w:spacing w:val="0"/>
          <w:kern w:val="0"/>
          <w:sz w:val="32"/>
          <w:szCs w:val="32"/>
          <w:shd w:val="clear" w:fill="FFFFFF"/>
          <w:lang w:val="en-US" w:eastAsia="zh-CN" w:bidi="ar"/>
        </w:rPr>
        <w:t>四、政府信息公开行政复议、行政诉讼情况</w:t>
      </w:r>
    </w:p>
    <w:tbl>
      <w:tblPr>
        <w:tblStyle w:val="4"/>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14:paraId="0B3D694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06274F8B">
            <w:pPr>
              <w:widowControl/>
              <w:jc w:val="center"/>
              <w:rPr>
                <w:rFonts w:hint="default" w:ascii="Times New Roman" w:hAnsi="Times New Roman" w:eastAsia="仿宋_GB2312" w:cs="Times New Roman"/>
              </w:rPr>
            </w:pPr>
            <w:r>
              <w:rPr>
                <w:rFonts w:hint="default" w:ascii="Times New Roman" w:hAnsi="Times New Roman" w:eastAsia="仿宋_GB2312" w:cs="Times New Roman"/>
                <w:kern w:val="0"/>
                <w:sz w:val="20"/>
                <w:szCs w:val="20"/>
              </w:rPr>
              <w:t>行政复议</w:t>
            </w:r>
          </w:p>
        </w:tc>
        <w:tc>
          <w:tcPr>
            <w:tcW w:w="5997" w:type="dxa"/>
            <w:gridSpan w:val="10"/>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6B09FA6B">
            <w:pPr>
              <w:widowControl/>
              <w:jc w:val="center"/>
              <w:rPr>
                <w:rFonts w:hint="default" w:ascii="Times New Roman" w:hAnsi="Times New Roman" w:eastAsia="仿宋_GB2312" w:cs="Times New Roman"/>
              </w:rPr>
            </w:pPr>
            <w:r>
              <w:rPr>
                <w:rFonts w:hint="default" w:ascii="Times New Roman" w:hAnsi="Times New Roman" w:eastAsia="仿宋_GB2312" w:cs="Times New Roman"/>
                <w:kern w:val="0"/>
                <w:sz w:val="20"/>
                <w:szCs w:val="20"/>
              </w:rPr>
              <w:t>行政诉讼</w:t>
            </w:r>
          </w:p>
        </w:tc>
      </w:tr>
      <w:tr w14:paraId="5191609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08F2C388">
            <w:pPr>
              <w:widowControl/>
              <w:ind w:left="-149" w:leftChars="-71" w:right="-170" w:rightChars="-81"/>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结果</w:t>
            </w:r>
          </w:p>
          <w:p w14:paraId="777DC597">
            <w:pPr>
              <w:widowControl/>
              <w:ind w:left="-149" w:leftChars="-71" w:right="-170" w:rightChars="-81"/>
              <w:jc w:val="center"/>
              <w:rPr>
                <w:rFonts w:hint="default" w:ascii="Times New Roman" w:hAnsi="Times New Roman" w:eastAsia="仿宋_GB2312" w:cs="Times New Roman"/>
              </w:rPr>
            </w:pPr>
            <w:r>
              <w:rPr>
                <w:rFonts w:hint="default" w:ascii="Times New Roman" w:hAnsi="Times New Roman" w:eastAsia="仿宋_GB2312" w:cs="Times New Roman"/>
                <w:kern w:val="0"/>
                <w:sz w:val="20"/>
                <w:szCs w:val="20"/>
              </w:rPr>
              <w:t>维持</w:t>
            </w:r>
          </w:p>
        </w:tc>
        <w:tc>
          <w:tcPr>
            <w:tcW w:w="604"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14:paraId="1BB4E104">
            <w:pPr>
              <w:widowControl/>
              <w:ind w:left="-43" w:leftChars="-21" w:right="-132" w:rightChars="-63" w:hanging="1"/>
              <w:jc w:val="center"/>
              <w:rPr>
                <w:rFonts w:hint="default" w:ascii="Times New Roman" w:hAnsi="Times New Roman" w:eastAsia="仿宋_GB2312" w:cs="Times New Roman"/>
              </w:rPr>
            </w:pPr>
            <w:r>
              <w:rPr>
                <w:rFonts w:hint="default" w:ascii="Times New Roman" w:hAnsi="Times New Roman" w:eastAsia="仿宋_GB2312" w:cs="Times New Roman"/>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002CEDCF">
            <w:pPr>
              <w:widowControl/>
              <w:ind w:left="-82" w:leftChars="-39" w:right="-97" w:rightChars="-46"/>
              <w:jc w:val="center"/>
              <w:rPr>
                <w:rFonts w:hint="default" w:ascii="Times New Roman" w:hAnsi="Times New Roman" w:eastAsia="仿宋_GB2312" w:cs="Times New Roman"/>
              </w:rPr>
            </w:pPr>
            <w:r>
              <w:rPr>
                <w:rFonts w:hint="default" w:ascii="Times New Roman" w:hAnsi="Times New Roman" w:eastAsia="仿宋_GB2312" w:cs="Times New Roman"/>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147CACEF">
            <w:pPr>
              <w:widowControl/>
              <w:ind w:left="-118" w:leftChars="-56" w:right="-118" w:rightChars="-56"/>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尚未</w:t>
            </w:r>
          </w:p>
          <w:p w14:paraId="6F9FF921">
            <w:pPr>
              <w:widowControl/>
              <w:ind w:left="-118" w:leftChars="-56" w:right="-118" w:rightChars="-56"/>
              <w:jc w:val="center"/>
              <w:rPr>
                <w:rFonts w:hint="default" w:ascii="Times New Roman" w:hAnsi="Times New Roman" w:eastAsia="仿宋_GB2312" w:cs="Times New Roman"/>
              </w:rPr>
            </w:pPr>
            <w:r>
              <w:rPr>
                <w:rFonts w:hint="default" w:ascii="Times New Roman" w:hAnsi="Times New Roman" w:eastAsia="仿宋_GB2312" w:cs="Times New Roman"/>
                <w:kern w:val="0"/>
                <w:sz w:val="20"/>
                <w:szCs w:val="20"/>
              </w:rPr>
              <w:t>审结</w:t>
            </w:r>
          </w:p>
        </w:tc>
        <w:tc>
          <w:tcPr>
            <w:tcW w:w="658"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7E98E0AF">
            <w:pPr>
              <w:widowControl/>
              <w:spacing w:line="320" w:lineRule="exact"/>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总</w:t>
            </w:r>
          </w:p>
          <w:p w14:paraId="2E8145A4">
            <w:pPr>
              <w:widowControl/>
              <w:spacing w:line="32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 w:val="20"/>
                <w:szCs w:val="20"/>
              </w:rPr>
              <w:t>计</w:t>
            </w:r>
          </w:p>
        </w:tc>
        <w:tc>
          <w:tcPr>
            <w:tcW w:w="2970"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55F95181">
            <w:pPr>
              <w:widowControl/>
              <w:jc w:val="center"/>
              <w:rPr>
                <w:rFonts w:hint="default" w:ascii="Times New Roman" w:hAnsi="Times New Roman" w:eastAsia="仿宋_GB2312" w:cs="Times New Roman"/>
              </w:rPr>
            </w:pPr>
            <w:r>
              <w:rPr>
                <w:rFonts w:hint="default" w:ascii="Times New Roman" w:hAnsi="Times New Roman" w:eastAsia="仿宋_GB2312" w:cs="Times New Roman"/>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1632B53B">
            <w:pPr>
              <w:widowControl/>
              <w:jc w:val="center"/>
              <w:rPr>
                <w:rFonts w:hint="default" w:ascii="Times New Roman" w:hAnsi="Times New Roman" w:eastAsia="仿宋_GB2312" w:cs="Times New Roman"/>
              </w:rPr>
            </w:pPr>
            <w:bookmarkStart w:id="9" w:name="_Hlk67039688"/>
            <w:r>
              <w:rPr>
                <w:rFonts w:hint="default" w:ascii="Times New Roman" w:hAnsi="Times New Roman" w:eastAsia="仿宋_GB2312" w:cs="Times New Roman"/>
                <w:kern w:val="0"/>
                <w:sz w:val="20"/>
                <w:szCs w:val="20"/>
              </w:rPr>
              <w:t>复议后起诉</w:t>
            </w:r>
            <w:bookmarkEnd w:id="9"/>
          </w:p>
        </w:tc>
      </w:tr>
      <w:tr w14:paraId="5E24FFD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175495DA">
            <w:pPr>
              <w:rPr>
                <w:rFonts w:hint="default" w:ascii="Times New Roman" w:hAnsi="Times New Roman" w:eastAsia="仿宋_GB2312" w:cs="Times New Roman"/>
                <w:sz w:val="24"/>
              </w:rPr>
            </w:pPr>
          </w:p>
        </w:tc>
        <w:tc>
          <w:tcPr>
            <w:tcW w:w="60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14:paraId="5713070C">
            <w:pPr>
              <w:rPr>
                <w:rFonts w:hint="default" w:ascii="Times New Roman" w:hAnsi="Times New Roman" w:eastAsia="仿宋_GB2312" w:cs="Times New Roman"/>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189E8355">
            <w:pPr>
              <w:rPr>
                <w:rFonts w:hint="default" w:ascii="Times New Roman" w:hAnsi="Times New Roman" w:eastAsia="仿宋_GB2312" w:cs="Times New Roman"/>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22F2F434">
            <w:pPr>
              <w:rPr>
                <w:rFonts w:hint="default" w:ascii="Times New Roman" w:hAnsi="Times New Roman" w:eastAsia="仿宋_GB2312" w:cs="Times New Roman"/>
                <w:sz w:val="24"/>
              </w:rPr>
            </w:pPr>
          </w:p>
        </w:tc>
        <w:tc>
          <w:tcPr>
            <w:tcW w:w="658"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125FBC66">
            <w:pPr>
              <w:rPr>
                <w:rFonts w:hint="default" w:ascii="Times New Roman" w:hAnsi="Times New Roman" w:eastAsia="仿宋_GB2312" w:cs="Times New Roman"/>
                <w:sz w:val="24"/>
              </w:rPr>
            </w:pP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14:paraId="25C1A720">
            <w:pPr>
              <w:widowControl/>
              <w:ind w:left="-105" w:leftChars="-50" w:right="-126" w:rightChars="-60"/>
              <w:jc w:val="center"/>
              <w:rPr>
                <w:rFonts w:hint="default" w:ascii="Times New Roman" w:hAnsi="Times New Roman" w:eastAsia="仿宋_GB2312" w:cs="Times New Roman"/>
              </w:rPr>
            </w:pPr>
            <w:r>
              <w:rPr>
                <w:rFonts w:hint="default" w:ascii="Times New Roman" w:hAnsi="Times New Roman" w:eastAsia="仿宋_GB2312" w:cs="Times New Roman"/>
                <w:kern w:val="0"/>
                <w:sz w:val="20"/>
                <w:szCs w:val="20"/>
              </w:rPr>
              <w:t>结果维持</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2AD4414C">
            <w:pPr>
              <w:widowControl/>
              <w:ind w:left="-86" w:leftChars="-41" w:right="-88" w:rightChars="-42"/>
              <w:jc w:val="center"/>
              <w:rPr>
                <w:rFonts w:hint="default" w:ascii="Times New Roman" w:hAnsi="Times New Roman" w:eastAsia="仿宋_GB2312" w:cs="Times New Roman"/>
              </w:rPr>
            </w:pPr>
            <w:r>
              <w:rPr>
                <w:rFonts w:hint="default" w:ascii="Times New Roman" w:hAnsi="Times New Roman" w:eastAsia="仿宋_GB2312" w:cs="Times New Roman"/>
                <w:kern w:val="0"/>
                <w:sz w:val="20"/>
                <w:szCs w:val="20"/>
              </w:rPr>
              <w:t>结果纠正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47840255">
            <w:pPr>
              <w:widowControl/>
              <w:ind w:left="-126" w:leftChars="-60" w:right="-136" w:rightChars="-65"/>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其他</w:t>
            </w:r>
          </w:p>
          <w:p w14:paraId="741BBB74">
            <w:pPr>
              <w:widowControl/>
              <w:ind w:left="-126" w:leftChars="-60" w:right="-136" w:rightChars="-65"/>
              <w:jc w:val="center"/>
              <w:rPr>
                <w:rFonts w:hint="default" w:ascii="Times New Roman" w:hAnsi="Times New Roman" w:eastAsia="仿宋_GB2312" w:cs="Times New Roman"/>
              </w:rPr>
            </w:pPr>
            <w:r>
              <w:rPr>
                <w:rFonts w:hint="default" w:ascii="Times New Roman" w:hAnsi="Times New Roman" w:eastAsia="仿宋_GB2312" w:cs="Times New Roman"/>
                <w:kern w:val="0"/>
                <w:sz w:val="20"/>
                <w:szCs w:val="20"/>
              </w:rPr>
              <w:t>结果</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1F604E43">
            <w:pPr>
              <w:widowControl/>
              <w:ind w:left="-164" w:leftChars="-78" w:right="-153" w:rightChars="-73"/>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尚未</w:t>
            </w:r>
          </w:p>
          <w:p w14:paraId="02BBE2AC">
            <w:pPr>
              <w:widowControl/>
              <w:ind w:left="-164" w:leftChars="-78" w:right="-153" w:rightChars="-73"/>
              <w:jc w:val="center"/>
              <w:rPr>
                <w:rFonts w:hint="default" w:ascii="Times New Roman" w:hAnsi="Times New Roman" w:eastAsia="仿宋_GB2312" w:cs="Times New Roman"/>
              </w:rPr>
            </w:pPr>
            <w:r>
              <w:rPr>
                <w:rFonts w:hint="default" w:ascii="Times New Roman" w:hAnsi="Times New Roman" w:eastAsia="仿宋_GB2312" w:cs="Times New Roman"/>
                <w:kern w:val="0"/>
                <w:sz w:val="20"/>
                <w:szCs w:val="20"/>
              </w:rPr>
              <w:t>审结</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78662094">
            <w:pPr>
              <w:widowControl/>
              <w:jc w:val="center"/>
              <w:rPr>
                <w:rFonts w:hint="default" w:ascii="Times New Roman" w:hAnsi="Times New Roman" w:eastAsia="仿宋_GB2312" w:cs="Times New Roman"/>
              </w:rPr>
            </w:pPr>
            <w:r>
              <w:rPr>
                <w:rFonts w:hint="default" w:ascii="Times New Roman" w:hAnsi="Times New Roman" w:eastAsia="仿宋_GB2312" w:cs="Times New Roman"/>
                <w:kern w:val="0"/>
                <w:sz w:val="20"/>
                <w:szCs w:val="20"/>
              </w:rPr>
              <w:t>总计</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54D59D3B">
            <w:pPr>
              <w:widowControl/>
              <w:ind w:left="-99" w:leftChars="-47" w:right="-78" w:rightChars="-37"/>
              <w:jc w:val="center"/>
              <w:rPr>
                <w:rFonts w:hint="default" w:ascii="Times New Roman" w:hAnsi="Times New Roman" w:eastAsia="仿宋_GB2312" w:cs="Times New Roman"/>
              </w:rPr>
            </w:pPr>
            <w:r>
              <w:rPr>
                <w:rFonts w:hint="default" w:ascii="Times New Roman" w:hAnsi="Times New Roman" w:eastAsia="仿宋_GB2312" w:cs="Times New Roman"/>
                <w:kern w:val="0"/>
                <w:sz w:val="20"/>
                <w:szCs w:val="20"/>
              </w:rPr>
              <w:t>结果维持</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52188DED">
            <w:pPr>
              <w:widowControl/>
              <w:ind w:left="-136" w:leftChars="-65" w:right="-124" w:rightChars="-59"/>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结果</w:t>
            </w:r>
          </w:p>
          <w:p w14:paraId="3C3A56AD">
            <w:pPr>
              <w:widowControl/>
              <w:ind w:left="-136" w:leftChars="-65" w:right="-124" w:rightChars="-59"/>
              <w:jc w:val="center"/>
              <w:rPr>
                <w:rFonts w:hint="default" w:ascii="Times New Roman" w:hAnsi="Times New Roman" w:eastAsia="仿宋_GB2312" w:cs="Times New Roman"/>
              </w:rPr>
            </w:pPr>
            <w:r>
              <w:rPr>
                <w:rFonts w:hint="default" w:ascii="Times New Roman" w:hAnsi="Times New Roman" w:eastAsia="仿宋_GB2312" w:cs="Times New Roman"/>
                <w:kern w:val="0"/>
                <w:sz w:val="20"/>
                <w:szCs w:val="20"/>
              </w:rPr>
              <w:t>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1D0A7CB8">
            <w:pPr>
              <w:widowControl/>
              <w:ind w:left="-173" w:leftChars="-83" w:right="-134" w:rightChars="-64" w:hanging="1"/>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其他</w:t>
            </w:r>
          </w:p>
          <w:p w14:paraId="5F66E89D">
            <w:pPr>
              <w:widowControl/>
              <w:ind w:left="-173" w:leftChars="-83" w:right="-134" w:rightChars="-64" w:hanging="1"/>
              <w:jc w:val="center"/>
              <w:rPr>
                <w:rFonts w:hint="default" w:ascii="Times New Roman" w:hAnsi="Times New Roman" w:eastAsia="仿宋_GB2312" w:cs="Times New Roman"/>
              </w:rPr>
            </w:pPr>
            <w:r>
              <w:rPr>
                <w:rFonts w:hint="default" w:ascii="Times New Roman" w:hAnsi="Times New Roman" w:eastAsia="仿宋_GB2312" w:cs="Times New Roman"/>
                <w:kern w:val="0"/>
                <w:sz w:val="20"/>
                <w:szCs w:val="20"/>
              </w:rPr>
              <w:t>结果</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17269C2C">
            <w:pPr>
              <w:widowControl/>
              <w:ind w:left="-67" w:leftChars="-33" w:right="-105" w:rightChars="-50" w:hanging="2" w:hangingChars="1"/>
              <w:jc w:val="center"/>
              <w:rPr>
                <w:rFonts w:hint="default" w:ascii="Times New Roman" w:hAnsi="Times New Roman" w:eastAsia="仿宋_GB2312" w:cs="Times New Roman"/>
              </w:rPr>
            </w:pPr>
            <w:r>
              <w:rPr>
                <w:rFonts w:hint="default" w:ascii="Times New Roman" w:hAnsi="Times New Roman" w:eastAsia="仿宋_GB2312" w:cs="Times New Roman"/>
                <w:kern w:val="0"/>
                <w:sz w:val="20"/>
                <w:szCs w:val="20"/>
              </w:rPr>
              <w:t>尚未审结</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6254FC82">
            <w:pPr>
              <w:widowControl/>
              <w:jc w:val="center"/>
              <w:rPr>
                <w:rFonts w:hint="default" w:ascii="Times New Roman" w:hAnsi="Times New Roman" w:eastAsia="仿宋_GB2312" w:cs="Times New Roman"/>
              </w:rPr>
            </w:pPr>
            <w:r>
              <w:rPr>
                <w:rFonts w:hint="default" w:ascii="Times New Roman" w:hAnsi="Times New Roman" w:eastAsia="仿宋_GB2312" w:cs="Times New Roman"/>
                <w:kern w:val="0"/>
                <w:sz w:val="20"/>
                <w:szCs w:val="20"/>
              </w:rPr>
              <w:t>总计</w:t>
            </w:r>
          </w:p>
        </w:tc>
      </w:tr>
      <w:tr w14:paraId="5227CFB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6E8DF4C8">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14:paraId="0063D94D">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rPr>
            </w:pPr>
            <w:r>
              <w:rPr>
                <w:rFonts w:hint="default" w:ascii="Times New Roman" w:hAnsi="Times New Roman" w:cs="Times New Roman"/>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14:paraId="1E048DE1">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rPr>
            </w:pPr>
            <w:r>
              <w:rPr>
                <w:rFonts w:hint="default" w:ascii="Times New Roman" w:hAnsi="Times New Roman" w:cs="Times New Roman"/>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14:paraId="1069D73D">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rPr>
            </w:pPr>
            <w:r>
              <w:rPr>
                <w:rFonts w:hint="default" w:ascii="Times New Roman" w:hAnsi="Times New Roman" w:cs="Times New Roman"/>
                <w:lang w:val="en-US" w:eastAsia="zh-CN"/>
              </w:rPr>
              <w:t>0</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14:paraId="7CE6034D">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rPr>
            </w:pPr>
            <w:r>
              <w:rPr>
                <w:rFonts w:hint="default" w:ascii="Times New Roman" w:hAnsi="Times New Roman" w:cs="Times New Roman"/>
                <w:lang w:val="en-US" w:eastAsia="zh-CN"/>
              </w:rPr>
              <w:t>0</w:t>
            </w: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14:paraId="0FA0C9DC">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rPr>
            </w:pPr>
            <w:r>
              <w:rPr>
                <w:rFonts w:hint="default" w:ascii="Times New Roman" w:hAnsi="Times New Roman" w:cs="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4D72198A">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rPr>
            </w:pPr>
            <w:r>
              <w:rPr>
                <w:rFonts w:hint="default" w:ascii="Times New Roman" w:hAnsi="Times New Roman" w:cs="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02137721">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rPr>
            </w:pPr>
            <w:r>
              <w:rPr>
                <w:rFonts w:hint="default" w:ascii="Times New Roman" w:hAnsi="Times New Roman" w:cs="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205DDE9A">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rPr>
            </w:pPr>
            <w:r>
              <w:rPr>
                <w:rFonts w:hint="default" w:ascii="Times New Roman" w:hAnsi="Times New Roman" w:cs="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05603187">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rPr>
            </w:pPr>
            <w:r>
              <w:rPr>
                <w:rFonts w:hint="default" w:ascii="Times New Roman" w:hAnsi="Times New Roman" w:cs="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2974F85E">
            <w:pPr>
              <w:keepNext w:val="0"/>
              <w:keepLines w:val="0"/>
              <w:pageBreakBefore w:val="0"/>
              <w:widowControl/>
              <w:kinsoku/>
              <w:wordWrap/>
              <w:overflowPunct/>
              <w:topLinePunct w:val="0"/>
              <w:autoSpaceDE/>
              <w:autoSpaceDN/>
              <w:bidi w:val="0"/>
              <w:adjustRightInd/>
              <w:snapToGrid/>
              <w:textAlignment w:val="auto"/>
              <w:rPr>
                <w:rFonts w:hint="default" w:ascii="Times New Roman" w:hAnsi="Times New Roman" w:cs="Times New Roman"/>
              </w:rPr>
            </w:pPr>
            <w:r>
              <w:rPr>
                <w:rFonts w:hint="default" w:ascii="Times New Roman" w:hAnsi="Times New Roman" w:cs="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682195D6">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rPr>
            </w:pPr>
            <w:r>
              <w:rPr>
                <w:rFonts w:hint="default" w:ascii="Times New Roman" w:hAnsi="Times New Roman" w:cs="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27A2C02C">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rPr>
            </w:pPr>
            <w:r>
              <w:rPr>
                <w:rFonts w:hint="default" w:ascii="Times New Roman" w:hAnsi="Times New Roman" w:cs="Times New Roman"/>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14:paraId="30352B66">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rPr>
            </w:pPr>
            <w:r>
              <w:rPr>
                <w:rFonts w:hint="default" w:ascii="Times New Roman" w:hAnsi="Times New Roman" w:cs="Times New Roman"/>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14:paraId="765293C9">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rPr>
            </w:pPr>
            <w:r>
              <w:rPr>
                <w:rFonts w:hint="default" w:ascii="Times New Roman" w:hAnsi="Times New Roman" w:cs="Times New Roman"/>
                <w:lang w:val="en-US" w:eastAsia="zh-CN"/>
              </w:rPr>
              <w:t>0</w:t>
            </w:r>
          </w:p>
        </w:tc>
      </w:tr>
    </w:tbl>
    <w:p w14:paraId="1303056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76" w:lineRule="atLeast"/>
        <w:ind w:left="0" w:right="0" w:firstLine="640"/>
        <w:jc w:val="both"/>
        <w:rPr>
          <w:rFonts w:hint="default" w:ascii="Times New Roman" w:hAnsi="Times New Roman" w:eastAsia="方正黑体简体" w:cs="Times New Roman"/>
          <w:b w:val="0"/>
          <w:bCs w:val="0"/>
          <w:i w:val="0"/>
          <w:iCs w:val="0"/>
          <w:caps w:val="0"/>
          <w:color w:val="000000"/>
          <w:spacing w:val="0"/>
          <w:kern w:val="0"/>
          <w:sz w:val="32"/>
          <w:szCs w:val="32"/>
          <w:shd w:val="clear" w:fill="FFFFFF"/>
          <w:lang w:val="en-US" w:eastAsia="zh-CN" w:bidi="ar"/>
        </w:rPr>
      </w:pPr>
    </w:p>
    <w:p w14:paraId="2067951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76" w:lineRule="atLeast"/>
        <w:ind w:left="0" w:right="0" w:firstLine="640"/>
        <w:jc w:val="both"/>
        <w:rPr>
          <w:rFonts w:hint="default" w:ascii="Times New Roman" w:hAnsi="Times New Roman" w:eastAsia="方正黑体简体" w:cs="Times New Roman"/>
          <w:b w:val="0"/>
          <w:bCs w:val="0"/>
          <w:i w:val="0"/>
          <w:iCs w:val="0"/>
          <w:caps w:val="0"/>
          <w:color w:val="000000"/>
          <w:spacing w:val="0"/>
          <w:kern w:val="0"/>
          <w:sz w:val="32"/>
          <w:szCs w:val="32"/>
          <w:shd w:val="clear" w:fill="FFFFFF"/>
          <w:lang w:val="en-US" w:eastAsia="zh-CN" w:bidi="ar"/>
        </w:rPr>
      </w:pPr>
      <w:r>
        <w:rPr>
          <w:rFonts w:hint="default" w:ascii="Times New Roman" w:hAnsi="Times New Roman" w:eastAsia="方正黑体简体" w:cs="Times New Roman"/>
          <w:b w:val="0"/>
          <w:bCs w:val="0"/>
          <w:i w:val="0"/>
          <w:iCs w:val="0"/>
          <w:caps w:val="0"/>
          <w:color w:val="000000"/>
          <w:spacing w:val="0"/>
          <w:kern w:val="0"/>
          <w:sz w:val="32"/>
          <w:szCs w:val="32"/>
          <w:shd w:val="clear" w:fill="FFFFFF"/>
          <w:lang w:val="en-US" w:eastAsia="zh-CN" w:bidi="ar"/>
        </w:rPr>
        <w:t>五、存在的主要问题及改进情况</w:t>
      </w:r>
    </w:p>
    <w:p w14:paraId="27870E7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3"/>
        <w:rPr>
          <w:rFonts w:hint="default" w:ascii="Times New Roman" w:hAnsi="Times New Roman" w:eastAsia="仿宋_GB2312" w:cs="Times New Roman"/>
          <w:b w:val="0"/>
          <w:bCs w:val="0"/>
          <w:i w:val="0"/>
          <w:iCs w:val="0"/>
          <w:caps w:val="0"/>
          <w:color w:val="000000"/>
          <w:spacing w:val="0"/>
          <w:sz w:val="32"/>
          <w:szCs w:val="32"/>
          <w:shd w:val="clear" w:fill="FFFFFF"/>
          <w:lang w:val="en-US" w:eastAsia="zh-CN"/>
        </w:rPr>
      </w:pPr>
      <w:r>
        <w:rPr>
          <w:rFonts w:hint="default" w:ascii="Times New Roman" w:hAnsi="Times New Roman" w:eastAsia="楷体_GB2312" w:cs="Times New Roman"/>
          <w:b/>
          <w:bCs/>
          <w:i w:val="0"/>
          <w:iCs w:val="0"/>
          <w:caps w:val="0"/>
          <w:color w:val="000000"/>
          <w:spacing w:val="0"/>
          <w:sz w:val="32"/>
          <w:szCs w:val="32"/>
          <w:shd w:val="clear" w:fill="FFFFFF"/>
        </w:rPr>
        <w:t>（一）主要问题。</w:t>
      </w:r>
      <w:r>
        <w:rPr>
          <w:rFonts w:hint="default" w:ascii="Times New Roman" w:hAnsi="Times New Roman" w:eastAsia="仿宋_GB2312" w:cs="Times New Roman"/>
          <w:b/>
          <w:bCs/>
          <w:i w:val="0"/>
          <w:iCs w:val="0"/>
          <w:caps w:val="0"/>
          <w:color w:val="000000"/>
          <w:spacing w:val="0"/>
          <w:sz w:val="32"/>
          <w:szCs w:val="32"/>
          <w:shd w:val="clear" w:fill="FFFFFF"/>
          <w:lang w:val="en-US" w:eastAsia="zh-CN"/>
        </w:rPr>
        <w:t>一</w:t>
      </w:r>
      <w:r>
        <w:rPr>
          <w:rFonts w:hint="eastAsia" w:ascii="Times New Roman" w:hAnsi="Times New Roman" w:eastAsia="仿宋_GB2312" w:cs="Times New Roman"/>
          <w:b/>
          <w:bCs/>
          <w:i w:val="0"/>
          <w:iCs w:val="0"/>
          <w:caps w:val="0"/>
          <w:color w:val="000000"/>
          <w:spacing w:val="0"/>
          <w:sz w:val="32"/>
          <w:szCs w:val="32"/>
          <w:shd w:val="clear" w:fill="FFFFFF"/>
          <w:lang w:val="en-US" w:eastAsia="zh-CN"/>
        </w:rPr>
        <w:t>是</w:t>
      </w:r>
      <w:r>
        <w:rPr>
          <w:rFonts w:hint="default" w:ascii="Times New Roman" w:hAnsi="Times New Roman" w:eastAsia="仿宋_GB2312" w:cs="Times New Roman"/>
          <w:b w:val="0"/>
          <w:bCs w:val="0"/>
          <w:i w:val="0"/>
          <w:iCs w:val="0"/>
          <w:caps w:val="0"/>
          <w:color w:val="000000"/>
          <w:spacing w:val="0"/>
          <w:sz w:val="32"/>
          <w:szCs w:val="32"/>
          <w:shd w:val="clear" w:fill="FFFFFF"/>
          <w:lang w:val="en-US" w:eastAsia="zh-CN"/>
        </w:rPr>
        <w:t>政务信息公开不够具体且范围有限，同时，类型较为单一</w:t>
      </w:r>
      <w:r>
        <w:rPr>
          <w:rFonts w:hint="eastAsia" w:ascii="Times New Roman" w:hAnsi="Times New Roman" w:eastAsia="仿宋_GB2312" w:cs="Times New Roman"/>
          <w:b w:val="0"/>
          <w:bCs w:val="0"/>
          <w:i w:val="0"/>
          <w:iCs w:val="0"/>
          <w:caps w:val="0"/>
          <w:color w:val="000000"/>
          <w:spacing w:val="0"/>
          <w:sz w:val="32"/>
          <w:szCs w:val="32"/>
          <w:shd w:val="clear" w:fill="FFFFFF"/>
          <w:lang w:val="en-US" w:eastAsia="zh-CN"/>
        </w:rPr>
        <w:t>、</w:t>
      </w:r>
      <w:r>
        <w:rPr>
          <w:rFonts w:hint="default" w:ascii="Times New Roman" w:hAnsi="Times New Roman" w:eastAsia="仿宋_GB2312" w:cs="Times New Roman"/>
          <w:b w:val="0"/>
          <w:bCs w:val="0"/>
          <w:i w:val="0"/>
          <w:iCs w:val="0"/>
          <w:caps w:val="0"/>
          <w:color w:val="000000"/>
          <w:spacing w:val="0"/>
          <w:sz w:val="32"/>
          <w:szCs w:val="32"/>
          <w:shd w:val="clear" w:fill="FFFFFF"/>
          <w:lang w:val="en-US" w:eastAsia="zh-CN"/>
        </w:rPr>
        <w:t>内容不够全面。</w:t>
      </w:r>
      <w:r>
        <w:rPr>
          <w:rFonts w:hint="default" w:ascii="Times New Roman" w:hAnsi="Times New Roman" w:eastAsia="仿宋_GB2312" w:cs="Times New Roman"/>
          <w:b/>
          <w:bCs/>
          <w:i w:val="0"/>
          <w:iCs w:val="0"/>
          <w:caps w:val="0"/>
          <w:color w:val="000000"/>
          <w:spacing w:val="0"/>
          <w:sz w:val="32"/>
          <w:szCs w:val="32"/>
          <w:shd w:val="clear" w:fill="FFFFFF"/>
          <w:lang w:val="en-US" w:eastAsia="zh-CN"/>
        </w:rPr>
        <w:t>二</w:t>
      </w:r>
      <w:r>
        <w:rPr>
          <w:rFonts w:hint="eastAsia" w:ascii="Times New Roman" w:hAnsi="Times New Roman" w:eastAsia="仿宋_GB2312" w:cs="Times New Roman"/>
          <w:b/>
          <w:bCs/>
          <w:i w:val="0"/>
          <w:iCs w:val="0"/>
          <w:caps w:val="0"/>
          <w:color w:val="000000"/>
          <w:spacing w:val="0"/>
          <w:sz w:val="32"/>
          <w:szCs w:val="32"/>
          <w:shd w:val="clear" w:fill="FFFFFF"/>
          <w:lang w:val="en-US" w:eastAsia="zh-CN"/>
        </w:rPr>
        <w:t>是</w:t>
      </w:r>
      <w:r>
        <w:rPr>
          <w:rFonts w:hint="default" w:ascii="Times New Roman" w:hAnsi="Times New Roman" w:eastAsia="仿宋_GB2312" w:cs="Times New Roman"/>
          <w:b w:val="0"/>
          <w:bCs w:val="0"/>
          <w:i w:val="0"/>
          <w:iCs w:val="0"/>
          <w:caps w:val="0"/>
          <w:color w:val="000000"/>
          <w:spacing w:val="0"/>
          <w:sz w:val="32"/>
          <w:szCs w:val="32"/>
          <w:shd w:val="clear" w:fill="FFFFFF"/>
          <w:lang w:val="en-US" w:eastAsia="zh-CN"/>
        </w:rPr>
        <w:t>负责政务信息公开相关工作的专员相对较为缺乏，专业素质能力有待提升。</w:t>
      </w:r>
    </w:p>
    <w:p w14:paraId="46D80AE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3"/>
        <w:rPr>
          <w:rFonts w:hint="default" w:ascii="Times New Roman" w:hAnsi="Times New Roman" w:eastAsia="仿宋_GB2312" w:cs="Times New Roman"/>
          <w:b w:val="0"/>
          <w:bCs w:val="0"/>
          <w:i w:val="0"/>
          <w:iCs w:val="0"/>
          <w:caps w:val="0"/>
          <w:color w:val="000000"/>
          <w:spacing w:val="0"/>
          <w:sz w:val="32"/>
          <w:szCs w:val="32"/>
          <w:shd w:val="clear" w:fill="FFFFFF"/>
          <w:lang w:val="en-US" w:eastAsia="zh-CN"/>
        </w:rPr>
      </w:pPr>
      <w:r>
        <w:rPr>
          <w:rFonts w:hint="default" w:ascii="Times New Roman" w:hAnsi="Times New Roman" w:eastAsia="楷体_GB2312" w:cs="Times New Roman"/>
          <w:b/>
          <w:bCs/>
          <w:i w:val="0"/>
          <w:iCs w:val="0"/>
          <w:caps w:val="0"/>
          <w:color w:val="000000"/>
          <w:spacing w:val="0"/>
          <w:sz w:val="32"/>
          <w:szCs w:val="32"/>
          <w:shd w:val="clear" w:fill="FFFFFF"/>
        </w:rPr>
        <w:t>（二）改进情况。</w:t>
      </w:r>
      <w:r>
        <w:rPr>
          <w:rFonts w:hint="eastAsia" w:ascii="Times New Roman" w:hAnsi="Times New Roman" w:eastAsia="仿宋_GB2312" w:cs="Times New Roman"/>
          <w:b/>
          <w:bCs/>
          <w:i w:val="0"/>
          <w:iCs w:val="0"/>
          <w:caps w:val="0"/>
          <w:color w:val="000000"/>
          <w:spacing w:val="0"/>
          <w:sz w:val="32"/>
          <w:szCs w:val="32"/>
          <w:shd w:val="clear" w:fill="FFFFFF"/>
          <w:lang w:val="en-US" w:eastAsia="zh-CN"/>
        </w:rPr>
        <w:t>一是</w:t>
      </w:r>
      <w:r>
        <w:rPr>
          <w:rFonts w:hint="eastAsia" w:ascii="Times New Roman" w:hAnsi="Times New Roman" w:eastAsia="仿宋_GB2312" w:cs="Times New Roman"/>
          <w:b w:val="0"/>
          <w:bCs w:val="0"/>
          <w:i w:val="0"/>
          <w:iCs w:val="0"/>
          <w:caps w:val="0"/>
          <w:color w:val="000000"/>
          <w:spacing w:val="0"/>
          <w:sz w:val="32"/>
          <w:szCs w:val="32"/>
          <w:shd w:val="clear" w:fill="FFFFFF"/>
          <w:lang w:val="en-US" w:eastAsia="zh-CN"/>
        </w:rPr>
        <w:t>健全并更新信息公开系统目录建设，丰富公开内容，严格把控公开时间节点，确保有关信息及时完整发布；</w:t>
      </w:r>
      <w:r>
        <w:rPr>
          <w:rFonts w:hint="eastAsia" w:ascii="Times New Roman" w:hAnsi="Times New Roman" w:eastAsia="仿宋_GB2312" w:cs="Times New Roman"/>
          <w:b/>
          <w:bCs/>
          <w:i w:val="0"/>
          <w:iCs w:val="0"/>
          <w:caps w:val="0"/>
          <w:color w:val="000000"/>
          <w:spacing w:val="0"/>
          <w:sz w:val="32"/>
          <w:szCs w:val="32"/>
          <w:shd w:val="clear" w:fill="FFFFFF"/>
          <w:lang w:val="en-US" w:eastAsia="zh-CN"/>
        </w:rPr>
        <w:t>二是</w:t>
      </w:r>
      <w:r>
        <w:rPr>
          <w:rFonts w:hint="eastAsia" w:ascii="Times New Roman" w:hAnsi="Times New Roman" w:eastAsia="仿宋_GB2312" w:cs="Times New Roman"/>
          <w:b w:val="0"/>
          <w:bCs w:val="0"/>
          <w:i w:val="0"/>
          <w:iCs w:val="0"/>
          <w:caps w:val="0"/>
          <w:color w:val="000000"/>
          <w:spacing w:val="0"/>
          <w:sz w:val="32"/>
          <w:szCs w:val="32"/>
          <w:shd w:val="clear" w:fill="FFFFFF"/>
          <w:lang w:val="en-US" w:eastAsia="zh-CN"/>
        </w:rPr>
        <w:t>开展信息公开人员业务培训，提升人员能力水平和专业素养，保证政务信息的准确性和高质量。</w:t>
      </w:r>
    </w:p>
    <w:p w14:paraId="342240A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eastAsia" w:ascii="方正黑体简体" w:hAnsi="方正黑体简体" w:eastAsia="方正黑体简体" w:cs="方正黑体简体"/>
          <w:i w:val="0"/>
          <w:iCs w:val="0"/>
          <w:caps w:val="0"/>
          <w:color w:val="000000"/>
          <w:spacing w:val="0"/>
          <w:sz w:val="24"/>
          <w:szCs w:val="24"/>
        </w:rPr>
      </w:pPr>
      <w:r>
        <w:rPr>
          <w:rFonts w:hint="eastAsia" w:ascii="方正黑体简体" w:hAnsi="方正黑体简体" w:eastAsia="方正黑体简体" w:cs="方正黑体简体"/>
          <w:b w:val="0"/>
          <w:bCs w:val="0"/>
          <w:i w:val="0"/>
          <w:iCs w:val="0"/>
          <w:caps w:val="0"/>
          <w:color w:val="000000"/>
          <w:spacing w:val="0"/>
          <w:sz w:val="32"/>
          <w:szCs w:val="32"/>
          <w:shd w:val="clear" w:fill="FFFFFF"/>
        </w:rPr>
        <w:t>六、其他需要报告的事项</w:t>
      </w:r>
    </w:p>
    <w:p w14:paraId="2056645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3"/>
        <w:rPr>
          <w:rFonts w:hint="eastAsia" w:ascii="Times New Roman" w:hAnsi="Times New Roman" w:eastAsia="楷体_GB2312" w:cs="Times New Roman"/>
          <w:b/>
          <w:bCs/>
          <w:i w:val="0"/>
          <w:iCs w:val="0"/>
          <w:caps w:val="0"/>
          <w:color w:val="000000"/>
          <w:spacing w:val="0"/>
          <w:sz w:val="32"/>
          <w:szCs w:val="32"/>
          <w:shd w:val="clear" w:fill="FFFFFF"/>
        </w:rPr>
      </w:pPr>
      <w:r>
        <w:rPr>
          <w:rFonts w:hint="eastAsia" w:ascii="Times New Roman" w:hAnsi="Times New Roman" w:eastAsia="楷体_GB2312" w:cs="Times New Roman"/>
          <w:b/>
          <w:bCs/>
          <w:i w:val="0"/>
          <w:iCs w:val="0"/>
          <w:caps w:val="0"/>
          <w:color w:val="000000"/>
          <w:spacing w:val="0"/>
          <w:sz w:val="32"/>
          <w:szCs w:val="32"/>
          <w:shd w:val="clear" w:fill="FFFFFF"/>
        </w:rPr>
        <w:t>（一）依据《政府信息公开信息处理费管理办法》收取信息处理费的情况：</w:t>
      </w:r>
    </w:p>
    <w:p w14:paraId="2154DBC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3"/>
        <w:rPr>
          <w:rFonts w:hint="eastAsia" w:ascii="Times New Roman" w:hAnsi="Times New Roman" w:eastAsia="仿宋_GB2312" w:cs="Times New Roman"/>
          <w:b w:val="0"/>
          <w:bCs w:val="0"/>
          <w:i w:val="0"/>
          <w:iCs w:val="0"/>
          <w:caps w:val="0"/>
          <w:color w:val="000000"/>
          <w:spacing w:val="0"/>
          <w:sz w:val="32"/>
          <w:szCs w:val="32"/>
          <w:shd w:val="clear" w:fill="FFFFFF"/>
        </w:rPr>
      </w:pPr>
      <w:r>
        <w:rPr>
          <w:rFonts w:hint="eastAsia" w:ascii="Times New Roman" w:hAnsi="Times New Roman" w:eastAsia="仿宋_GB2312" w:cs="Times New Roman"/>
          <w:b w:val="0"/>
          <w:bCs w:val="0"/>
          <w:i w:val="0"/>
          <w:iCs w:val="0"/>
          <w:caps w:val="0"/>
          <w:color w:val="000000"/>
          <w:spacing w:val="0"/>
          <w:sz w:val="32"/>
          <w:szCs w:val="32"/>
          <w:shd w:val="clear" w:fill="FFFFFF"/>
        </w:rPr>
        <w:t>202</w:t>
      </w:r>
      <w:r>
        <w:rPr>
          <w:rFonts w:hint="eastAsia" w:ascii="Times New Roman" w:hAnsi="Times New Roman" w:eastAsia="仿宋_GB2312" w:cs="Times New Roman"/>
          <w:b w:val="0"/>
          <w:bCs w:val="0"/>
          <w:i w:val="0"/>
          <w:iCs w:val="0"/>
          <w:caps w:val="0"/>
          <w:color w:val="000000"/>
          <w:spacing w:val="0"/>
          <w:sz w:val="32"/>
          <w:szCs w:val="32"/>
          <w:shd w:val="clear" w:fill="FFFFFF"/>
          <w:lang w:val="en-US" w:eastAsia="zh-CN"/>
        </w:rPr>
        <w:t>5</w:t>
      </w:r>
      <w:r>
        <w:rPr>
          <w:rFonts w:hint="eastAsia" w:ascii="Times New Roman" w:hAnsi="Times New Roman" w:eastAsia="仿宋_GB2312" w:cs="Times New Roman"/>
          <w:b w:val="0"/>
          <w:bCs w:val="0"/>
          <w:i w:val="0"/>
          <w:iCs w:val="0"/>
          <w:caps w:val="0"/>
          <w:color w:val="000000"/>
          <w:spacing w:val="0"/>
          <w:sz w:val="32"/>
          <w:szCs w:val="32"/>
          <w:shd w:val="clear" w:fill="FFFFFF"/>
        </w:rPr>
        <w:t>年，泗水县</w:t>
      </w:r>
      <w:r>
        <w:rPr>
          <w:rFonts w:hint="eastAsia" w:ascii="Times New Roman" w:hAnsi="Times New Roman" w:eastAsia="仿宋_GB2312" w:cs="Times New Roman"/>
          <w:b w:val="0"/>
          <w:bCs w:val="0"/>
          <w:i w:val="0"/>
          <w:iCs w:val="0"/>
          <w:caps w:val="0"/>
          <w:color w:val="000000"/>
          <w:spacing w:val="0"/>
          <w:sz w:val="32"/>
          <w:szCs w:val="32"/>
          <w:shd w:val="clear" w:fill="FFFFFF"/>
          <w:lang w:val="en-US" w:eastAsia="zh-CN"/>
        </w:rPr>
        <w:t>泉林镇人民政府</w:t>
      </w:r>
      <w:r>
        <w:rPr>
          <w:rFonts w:hint="eastAsia" w:ascii="Times New Roman" w:hAnsi="Times New Roman" w:eastAsia="仿宋_GB2312" w:cs="Times New Roman"/>
          <w:b w:val="0"/>
          <w:bCs w:val="0"/>
          <w:i w:val="0"/>
          <w:iCs w:val="0"/>
          <w:caps w:val="0"/>
          <w:color w:val="000000"/>
          <w:spacing w:val="0"/>
          <w:sz w:val="32"/>
          <w:szCs w:val="32"/>
          <w:shd w:val="clear" w:fill="FFFFFF"/>
        </w:rPr>
        <w:t>严格落实《国务院办公厅关于印发&lt;政府信息公开信息处理费管理办法&gt;的通知》（国办函〔2020〕109号）和《山东省人民政府办公厅关于做好政府信息公开信息处理费管理工作有关事项的通知》（鲁政办字〔2020〕179号）规定，政府信息公开申请未向申请人收取任何费用。</w:t>
      </w:r>
    </w:p>
    <w:p w14:paraId="41B63F8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3"/>
        <w:rPr>
          <w:rFonts w:hint="eastAsia" w:ascii="Times New Roman" w:hAnsi="Times New Roman" w:eastAsia="楷体_GB2312" w:cs="Times New Roman"/>
          <w:b/>
          <w:bCs/>
          <w:i w:val="0"/>
          <w:iCs w:val="0"/>
          <w:caps w:val="0"/>
          <w:color w:val="000000"/>
          <w:spacing w:val="0"/>
          <w:sz w:val="32"/>
          <w:szCs w:val="32"/>
          <w:shd w:val="clear" w:fill="FFFFFF"/>
        </w:rPr>
      </w:pPr>
      <w:r>
        <w:rPr>
          <w:rFonts w:hint="eastAsia" w:ascii="Times New Roman" w:hAnsi="Times New Roman" w:eastAsia="楷体_GB2312" w:cs="Times New Roman"/>
          <w:b/>
          <w:bCs/>
          <w:i w:val="0"/>
          <w:iCs w:val="0"/>
          <w:caps w:val="0"/>
          <w:color w:val="000000"/>
          <w:spacing w:val="0"/>
          <w:sz w:val="32"/>
          <w:szCs w:val="32"/>
          <w:shd w:val="clear" w:fill="FFFFFF"/>
        </w:rPr>
        <w:t>（二）本行政机关落实上级年度政务公开工作要点情况：</w:t>
      </w:r>
    </w:p>
    <w:p w14:paraId="3FD1992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3"/>
        <w:rPr>
          <w:rFonts w:hint="eastAsia" w:ascii="Times New Roman" w:hAnsi="Times New Roman" w:eastAsia="仿宋_GB2312" w:cs="Times New Roman"/>
          <w:b w:val="0"/>
          <w:bCs w:val="0"/>
          <w:i w:val="0"/>
          <w:iCs w:val="0"/>
          <w:caps w:val="0"/>
          <w:color w:val="000000"/>
          <w:spacing w:val="0"/>
          <w:sz w:val="32"/>
          <w:szCs w:val="32"/>
          <w:shd w:val="clear" w:fill="FFFFFF"/>
        </w:rPr>
      </w:pPr>
      <w:r>
        <w:rPr>
          <w:rFonts w:hint="eastAsia" w:ascii="Times New Roman" w:hAnsi="Times New Roman" w:eastAsia="仿宋_GB2312" w:cs="Times New Roman"/>
          <w:b w:val="0"/>
          <w:bCs w:val="0"/>
          <w:i w:val="0"/>
          <w:iCs w:val="0"/>
          <w:caps w:val="0"/>
          <w:color w:val="000000"/>
          <w:spacing w:val="0"/>
          <w:sz w:val="32"/>
          <w:szCs w:val="32"/>
          <w:shd w:val="clear" w:fill="FFFFFF"/>
        </w:rPr>
        <w:t>强化基础信息公开，全面公开机构职能、行政许可、行政处罚、行政强制等信息，准确公开行政事业性收费、政府采购等信息。重点领域信息公开进一步加强。公开财政信息、食品药品监管、社会救助、稳岗就业、义务教育、公共文化服务等信息。</w:t>
      </w:r>
    </w:p>
    <w:p w14:paraId="6FDA2B4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3"/>
        <w:rPr>
          <w:rFonts w:hint="eastAsia" w:ascii="Times New Roman" w:hAnsi="Times New Roman" w:eastAsia="楷体_GB2312" w:cs="Times New Roman"/>
          <w:b/>
          <w:bCs/>
          <w:i w:val="0"/>
          <w:iCs w:val="0"/>
          <w:caps w:val="0"/>
          <w:color w:val="000000"/>
          <w:spacing w:val="0"/>
          <w:sz w:val="32"/>
          <w:szCs w:val="32"/>
          <w:shd w:val="clear" w:fill="FFFFFF"/>
        </w:rPr>
      </w:pPr>
      <w:r>
        <w:rPr>
          <w:rFonts w:hint="eastAsia" w:ascii="Times New Roman" w:hAnsi="Times New Roman" w:eastAsia="楷体_GB2312" w:cs="Times New Roman"/>
          <w:b/>
          <w:bCs/>
          <w:i w:val="0"/>
          <w:iCs w:val="0"/>
          <w:caps w:val="0"/>
          <w:color w:val="000000"/>
          <w:spacing w:val="0"/>
          <w:sz w:val="32"/>
          <w:szCs w:val="32"/>
          <w:shd w:val="clear" w:fill="FFFFFF"/>
        </w:rPr>
        <w:t>（三）人大代表建议和政协提案办理结果公开情况：</w:t>
      </w:r>
    </w:p>
    <w:p w14:paraId="00020AD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3"/>
        <w:rPr>
          <w:rFonts w:hint="eastAsia" w:ascii="Times New Roman" w:hAnsi="Times New Roman" w:eastAsia="仿宋_GB2312" w:cs="Times New Roman"/>
          <w:b w:val="0"/>
          <w:bCs w:val="0"/>
          <w:i w:val="0"/>
          <w:iCs w:val="0"/>
          <w:caps w:val="0"/>
          <w:color w:val="000000" w:themeColor="text1"/>
          <w:spacing w:val="0"/>
          <w:sz w:val="32"/>
          <w:szCs w:val="32"/>
          <w:shd w:val="clear" w:fill="FFFFFF"/>
          <w14:textFill>
            <w14:solidFill>
              <w14:schemeClr w14:val="tx1"/>
            </w14:solidFill>
          </w14:textFill>
        </w:rPr>
      </w:pPr>
      <w:r>
        <w:rPr>
          <w:rFonts w:hint="eastAsia" w:ascii="Times New Roman" w:hAnsi="Times New Roman" w:eastAsia="仿宋_GB2312" w:cs="Times New Roman"/>
          <w:b w:val="0"/>
          <w:bCs w:val="0"/>
          <w:i w:val="0"/>
          <w:iCs w:val="0"/>
          <w:caps w:val="0"/>
          <w:color w:val="000000" w:themeColor="text1"/>
          <w:spacing w:val="0"/>
          <w:sz w:val="32"/>
          <w:szCs w:val="32"/>
          <w:shd w:val="clear" w:fill="FFFFFF"/>
          <w14:textFill>
            <w14:solidFill>
              <w14:schemeClr w14:val="tx1"/>
            </w14:solidFill>
          </w14:textFill>
        </w:rPr>
        <w:t>202</w:t>
      </w:r>
      <w:r>
        <w:rPr>
          <w:rFonts w:hint="eastAsia" w:ascii="Times New Roman" w:hAnsi="Times New Roman" w:eastAsia="仿宋_GB2312" w:cs="Times New Roman"/>
          <w:b w:val="0"/>
          <w:bCs w:val="0"/>
          <w:i w:val="0"/>
          <w:iCs w:val="0"/>
          <w:caps w:val="0"/>
          <w:color w:val="000000" w:themeColor="text1"/>
          <w:spacing w:val="0"/>
          <w:sz w:val="32"/>
          <w:szCs w:val="32"/>
          <w:shd w:val="clear" w:fill="FFFFFF"/>
          <w:lang w:val="en-US" w:eastAsia="zh-CN"/>
          <w14:textFill>
            <w14:solidFill>
              <w14:schemeClr w14:val="tx1"/>
            </w14:solidFill>
          </w14:textFill>
        </w:rPr>
        <w:t>5</w:t>
      </w:r>
      <w:r>
        <w:rPr>
          <w:rFonts w:hint="eastAsia" w:ascii="Times New Roman" w:hAnsi="Times New Roman" w:eastAsia="仿宋_GB2312" w:cs="Times New Roman"/>
          <w:b w:val="0"/>
          <w:bCs w:val="0"/>
          <w:i w:val="0"/>
          <w:iCs w:val="0"/>
          <w:caps w:val="0"/>
          <w:color w:val="000000" w:themeColor="text1"/>
          <w:spacing w:val="0"/>
          <w:sz w:val="32"/>
          <w:szCs w:val="32"/>
          <w:shd w:val="clear" w:fill="FFFFFF"/>
          <w14:textFill>
            <w14:solidFill>
              <w14:schemeClr w14:val="tx1"/>
            </w14:solidFill>
          </w14:textFill>
        </w:rPr>
        <w:t>年，泗水县</w:t>
      </w:r>
      <w:r>
        <w:rPr>
          <w:rFonts w:hint="eastAsia" w:ascii="Times New Roman" w:hAnsi="Times New Roman" w:eastAsia="仿宋_GB2312" w:cs="Times New Roman"/>
          <w:b w:val="0"/>
          <w:bCs w:val="0"/>
          <w:i w:val="0"/>
          <w:iCs w:val="0"/>
          <w:caps w:val="0"/>
          <w:color w:val="000000" w:themeColor="text1"/>
          <w:spacing w:val="0"/>
          <w:sz w:val="32"/>
          <w:szCs w:val="32"/>
          <w:shd w:val="clear" w:fill="FFFFFF"/>
          <w:lang w:val="en-US" w:eastAsia="zh-CN"/>
          <w14:textFill>
            <w14:solidFill>
              <w14:schemeClr w14:val="tx1"/>
            </w14:solidFill>
          </w14:textFill>
        </w:rPr>
        <w:t>泉林镇</w:t>
      </w:r>
      <w:r>
        <w:rPr>
          <w:rFonts w:hint="eastAsia" w:ascii="Times New Roman" w:hAnsi="Times New Roman" w:eastAsia="仿宋_GB2312" w:cs="Times New Roman"/>
          <w:b w:val="0"/>
          <w:bCs w:val="0"/>
          <w:i w:val="0"/>
          <w:iCs w:val="0"/>
          <w:caps w:val="0"/>
          <w:color w:val="000000" w:themeColor="text1"/>
          <w:spacing w:val="0"/>
          <w:sz w:val="32"/>
          <w:szCs w:val="32"/>
          <w:shd w:val="clear" w:fill="FFFFFF"/>
          <w14:textFill>
            <w14:solidFill>
              <w14:schemeClr w14:val="tx1"/>
            </w14:solidFill>
          </w14:textFill>
        </w:rPr>
        <w:t>政府收到人大代表建议</w:t>
      </w:r>
      <w:r>
        <w:rPr>
          <w:rFonts w:hint="eastAsia" w:ascii="Times New Roman" w:hAnsi="Times New Roman" w:eastAsia="仿宋_GB2312" w:cs="Times New Roman"/>
          <w:b w:val="0"/>
          <w:bCs w:val="0"/>
          <w:i w:val="0"/>
          <w:iCs w:val="0"/>
          <w:caps w:val="0"/>
          <w:color w:val="000000" w:themeColor="text1"/>
          <w:spacing w:val="0"/>
          <w:sz w:val="32"/>
          <w:szCs w:val="32"/>
          <w:shd w:val="clear" w:fill="FFFFFF"/>
          <w:lang w:val="en-US" w:eastAsia="zh-CN"/>
          <w14:textFill>
            <w14:solidFill>
              <w14:schemeClr w14:val="tx1"/>
            </w14:solidFill>
          </w14:textFill>
        </w:rPr>
        <w:t>30件，全部办结；未收到</w:t>
      </w:r>
      <w:r>
        <w:rPr>
          <w:rFonts w:hint="eastAsia" w:ascii="Times New Roman" w:hAnsi="Times New Roman" w:eastAsia="仿宋_GB2312" w:cs="Times New Roman"/>
          <w:b w:val="0"/>
          <w:bCs w:val="0"/>
          <w:i w:val="0"/>
          <w:iCs w:val="0"/>
          <w:caps w:val="0"/>
          <w:color w:val="000000" w:themeColor="text1"/>
          <w:spacing w:val="0"/>
          <w:sz w:val="32"/>
          <w:szCs w:val="32"/>
          <w:shd w:val="clear" w:fill="FFFFFF"/>
          <w14:textFill>
            <w14:solidFill>
              <w14:schemeClr w14:val="tx1"/>
            </w14:solidFill>
          </w14:textFill>
        </w:rPr>
        <w:t>政协委员提案。</w:t>
      </w:r>
    </w:p>
    <w:p w14:paraId="3F4F242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3"/>
        <w:rPr>
          <w:rFonts w:hint="default" w:ascii="Times New Roman" w:hAnsi="Times New Roman" w:eastAsia="仿宋_GB2312" w:cs="Times New Roman"/>
          <w:b w:val="0"/>
          <w:bCs w:val="0"/>
          <w:i w:val="0"/>
          <w:iCs w:val="0"/>
          <w:caps w:val="0"/>
          <w:color w:val="000000"/>
          <w:spacing w:val="0"/>
          <w:sz w:val="32"/>
          <w:szCs w:val="32"/>
          <w:shd w:val="clear" w:fill="FFFFFF"/>
          <w:lang w:val="en-US" w:eastAsia="zh-CN"/>
        </w:rPr>
      </w:pPr>
    </w:p>
    <w:sectPr>
      <w:pgSz w:w="11906" w:h="16838"/>
      <w:pgMar w:top="2098" w:right="1531" w:bottom="1531"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方正黑体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5E4953"/>
    <w:multiLevelType w:val="singleLevel"/>
    <w:tmpl w:val="B75E4953"/>
    <w:lvl w:ilvl="0" w:tentative="0">
      <w:start w:val="1"/>
      <w:numFmt w:val="chineseCounting"/>
      <w:suff w:val="nothing"/>
      <w:lvlText w:val="（%1）"/>
      <w:lvlJc w:val="left"/>
      <w:rPr>
        <w:rFonts w:hint="eastAsia"/>
        <w:b/>
        <w:bC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NjYTAyMmZlMTM0MzZhN2MzNDhkODJmZjlmNDQ1OWMifQ=="/>
  </w:docVars>
  <w:rsids>
    <w:rsidRoot w:val="00000000"/>
    <w:rsid w:val="023A2E4D"/>
    <w:rsid w:val="02777BFD"/>
    <w:rsid w:val="03E77005"/>
    <w:rsid w:val="04877EA0"/>
    <w:rsid w:val="04BA6155"/>
    <w:rsid w:val="06037C32"/>
    <w:rsid w:val="0654428C"/>
    <w:rsid w:val="078D7EC3"/>
    <w:rsid w:val="082320BB"/>
    <w:rsid w:val="08EE6740"/>
    <w:rsid w:val="092718AC"/>
    <w:rsid w:val="0AD54A49"/>
    <w:rsid w:val="0CBD0903"/>
    <w:rsid w:val="0E0A401C"/>
    <w:rsid w:val="0F024CF3"/>
    <w:rsid w:val="0F0928DE"/>
    <w:rsid w:val="0FFC7994"/>
    <w:rsid w:val="102913E9"/>
    <w:rsid w:val="11643A43"/>
    <w:rsid w:val="118063A3"/>
    <w:rsid w:val="11CA1D1E"/>
    <w:rsid w:val="11FC011F"/>
    <w:rsid w:val="127E581E"/>
    <w:rsid w:val="12D93FBD"/>
    <w:rsid w:val="131E5E73"/>
    <w:rsid w:val="144F2BF7"/>
    <w:rsid w:val="190B0C48"/>
    <w:rsid w:val="1AFC4CEC"/>
    <w:rsid w:val="1BA62EAA"/>
    <w:rsid w:val="1C662D65"/>
    <w:rsid w:val="1DA67191"/>
    <w:rsid w:val="1F7237CF"/>
    <w:rsid w:val="20EB19CA"/>
    <w:rsid w:val="215956BB"/>
    <w:rsid w:val="22DE117B"/>
    <w:rsid w:val="241A5AD4"/>
    <w:rsid w:val="243F3E9B"/>
    <w:rsid w:val="250749B9"/>
    <w:rsid w:val="251F61A7"/>
    <w:rsid w:val="255A0F8D"/>
    <w:rsid w:val="26235823"/>
    <w:rsid w:val="26BD5C77"/>
    <w:rsid w:val="2A375D41"/>
    <w:rsid w:val="2BBD4024"/>
    <w:rsid w:val="2BDE7558"/>
    <w:rsid w:val="2D306A77"/>
    <w:rsid w:val="2E731311"/>
    <w:rsid w:val="2E9A064C"/>
    <w:rsid w:val="2F337E9A"/>
    <w:rsid w:val="30607673"/>
    <w:rsid w:val="30ED53AB"/>
    <w:rsid w:val="31587F82"/>
    <w:rsid w:val="320A5AE9"/>
    <w:rsid w:val="32D06D32"/>
    <w:rsid w:val="344828F8"/>
    <w:rsid w:val="344A2B14"/>
    <w:rsid w:val="35647C06"/>
    <w:rsid w:val="362F3D70"/>
    <w:rsid w:val="36F31241"/>
    <w:rsid w:val="36F32FEF"/>
    <w:rsid w:val="377E4FAF"/>
    <w:rsid w:val="37B564F7"/>
    <w:rsid w:val="382F0057"/>
    <w:rsid w:val="387B329C"/>
    <w:rsid w:val="38FC4D68"/>
    <w:rsid w:val="397D3044"/>
    <w:rsid w:val="39C96289"/>
    <w:rsid w:val="3ADD1FEC"/>
    <w:rsid w:val="3C131A3E"/>
    <w:rsid w:val="3C65673D"/>
    <w:rsid w:val="3FF878C8"/>
    <w:rsid w:val="41180544"/>
    <w:rsid w:val="420D6D5B"/>
    <w:rsid w:val="42890CAC"/>
    <w:rsid w:val="434D7F2B"/>
    <w:rsid w:val="43D45F57"/>
    <w:rsid w:val="45835E86"/>
    <w:rsid w:val="46731A57"/>
    <w:rsid w:val="46E110B6"/>
    <w:rsid w:val="47451645"/>
    <w:rsid w:val="48BA396D"/>
    <w:rsid w:val="48D12A65"/>
    <w:rsid w:val="491017DF"/>
    <w:rsid w:val="49172B6D"/>
    <w:rsid w:val="49375EFF"/>
    <w:rsid w:val="4AAE12AF"/>
    <w:rsid w:val="4ADD7DE7"/>
    <w:rsid w:val="4C2757BD"/>
    <w:rsid w:val="4C440223"/>
    <w:rsid w:val="4C7E2F03"/>
    <w:rsid w:val="4D021D86"/>
    <w:rsid w:val="4D7E3CBB"/>
    <w:rsid w:val="4E922C96"/>
    <w:rsid w:val="4EA824BA"/>
    <w:rsid w:val="4FF5172F"/>
    <w:rsid w:val="509C7DFC"/>
    <w:rsid w:val="51763AD6"/>
    <w:rsid w:val="526B5CD8"/>
    <w:rsid w:val="538434F5"/>
    <w:rsid w:val="54CF07A0"/>
    <w:rsid w:val="550D12C8"/>
    <w:rsid w:val="552C79A0"/>
    <w:rsid w:val="55F54236"/>
    <w:rsid w:val="577E025B"/>
    <w:rsid w:val="58151FA4"/>
    <w:rsid w:val="582E077D"/>
    <w:rsid w:val="5AA4447D"/>
    <w:rsid w:val="5BE014E5"/>
    <w:rsid w:val="5C78171D"/>
    <w:rsid w:val="5DAD7BCA"/>
    <w:rsid w:val="5E9F11E3"/>
    <w:rsid w:val="5F702B80"/>
    <w:rsid w:val="5F9745B0"/>
    <w:rsid w:val="609B00D0"/>
    <w:rsid w:val="610712C2"/>
    <w:rsid w:val="64F2474D"/>
    <w:rsid w:val="656C5445"/>
    <w:rsid w:val="658729D1"/>
    <w:rsid w:val="68016A6B"/>
    <w:rsid w:val="683055A2"/>
    <w:rsid w:val="6884144A"/>
    <w:rsid w:val="6AE368FC"/>
    <w:rsid w:val="6AF26B3F"/>
    <w:rsid w:val="6B657311"/>
    <w:rsid w:val="6BAE515B"/>
    <w:rsid w:val="6BC95AF1"/>
    <w:rsid w:val="6DF332FA"/>
    <w:rsid w:val="6F743FC6"/>
    <w:rsid w:val="6FF869A5"/>
    <w:rsid w:val="70CC1BE0"/>
    <w:rsid w:val="70EF6902"/>
    <w:rsid w:val="712D7639"/>
    <w:rsid w:val="714B6FA9"/>
    <w:rsid w:val="73090EC9"/>
    <w:rsid w:val="7352461E"/>
    <w:rsid w:val="743D707D"/>
    <w:rsid w:val="74713C5C"/>
    <w:rsid w:val="75263FB5"/>
    <w:rsid w:val="75B710B1"/>
    <w:rsid w:val="75CD4430"/>
    <w:rsid w:val="76960CC6"/>
    <w:rsid w:val="769D2054"/>
    <w:rsid w:val="76E71522"/>
    <w:rsid w:val="76FD5A60"/>
    <w:rsid w:val="775A6197"/>
    <w:rsid w:val="77E85551"/>
    <w:rsid w:val="78AF2E46"/>
    <w:rsid w:val="791800B8"/>
    <w:rsid w:val="79556C16"/>
    <w:rsid w:val="798219D5"/>
    <w:rsid w:val="7A1E3EAB"/>
    <w:rsid w:val="7AB931D5"/>
    <w:rsid w:val="7B875081"/>
    <w:rsid w:val="7B95779E"/>
    <w:rsid w:val="7BB20C02"/>
    <w:rsid w:val="7BC938EC"/>
    <w:rsid w:val="7BF87D2D"/>
    <w:rsid w:val="7C703D67"/>
    <w:rsid w:val="7F2D7C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3">
    <w:name w:val="Normal (Web)"/>
    <w:basedOn w:val="1"/>
    <w:autoRedefine/>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2412</Words>
  <Characters>2517</Characters>
  <Lines>0</Lines>
  <Paragraphs>0</Paragraphs>
  <TotalTime>11</TotalTime>
  <ScaleCrop>false</ScaleCrop>
  <LinksUpToDate>false</LinksUpToDate>
  <CharactersWithSpaces>2517</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2024-01-16T07:09:00Z</dcterms:created>
  <dc:creator>Administrator.SC-202209211406</dc:creator>
  <cp:lastModifiedBy>胖橘子</cp:lastModifiedBy>
  <dcterms:modified xsi:type="dcterms:W3CDTF">2026-01-16T08:21:50Z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66F71B60E43A4BF6AA607A8A7C1910AB_13</vt:lpwstr>
  </property>
  <property fmtid="{D5CDD505-2E9C-101B-9397-08002B2CF9AE}" pid="4" name="KSOTemplateDocerSaveRecord">
    <vt:lpwstr>eyJoZGlkIjoiNmVkMzMwZGVlZGNmY2Q5MTljOWU3ZjFiNzNkNDc0NTQiLCJ1c2VySWQiOiIzNDQ5Njg2MzcifQ==</vt:lpwstr>
  </property>
</Properties>
</file>