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jc w:val="center"/>
        <w:rPr>
          <w:rFonts w:ascii="仿宋_GB2312" w:eastAsia="仿宋_GB2312"/>
        </w:rPr>
      </w:pPr>
    </w:p>
    <w:p>
      <w:pPr>
        <w:jc w:val="center"/>
        <w:rPr>
          <w:rFonts w:ascii="仿宋_GB2312" w:eastAsia="仿宋_GB2312"/>
        </w:rPr>
      </w:pPr>
    </w:p>
    <w:p>
      <w:pPr>
        <w:jc w:val="center"/>
        <w:rPr>
          <w:rFonts w:ascii="方正小标宋简体" w:eastAsia="方正小标宋简体"/>
          <w:spacing w:val="60"/>
          <w:sz w:val="74"/>
        </w:rPr>
      </w:pPr>
      <w:r>
        <w:rPr>
          <w:rFonts w:hint="eastAsia" w:ascii="方正小标宋简体" w:eastAsia="方正小标宋简体"/>
          <w:spacing w:val="60"/>
          <w:sz w:val="74"/>
        </w:rPr>
        <w:t>2020年度</w:t>
      </w:r>
    </w:p>
    <w:p>
      <w:pPr>
        <w:jc w:val="center"/>
        <w:rPr>
          <w:rFonts w:hint="eastAsia" w:ascii="方正小标宋简体" w:eastAsia="方正小标宋简体"/>
          <w:spacing w:val="60"/>
          <w:sz w:val="74"/>
          <w:lang w:eastAsia="zh-CN"/>
        </w:rPr>
      </w:pPr>
      <w:r>
        <w:rPr>
          <w:rFonts w:hint="eastAsia" w:ascii="方正小标宋简体" w:eastAsia="方正小标宋简体"/>
          <w:spacing w:val="60"/>
          <w:sz w:val="74"/>
          <w:lang w:eastAsia="zh-CN"/>
        </w:rPr>
        <w:t>中国共产党泗水县委员会政法委员会</w:t>
      </w:r>
    </w:p>
    <w:p>
      <w:pPr>
        <w:jc w:val="center"/>
        <w:rPr>
          <w:rFonts w:ascii="方正小标宋简体" w:eastAsia="方正小标宋简体"/>
          <w:spacing w:val="60"/>
          <w:sz w:val="74"/>
        </w:rPr>
      </w:pPr>
      <w:r>
        <w:rPr>
          <w:rFonts w:hint="eastAsia" w:ascii="方正小标宋简体" w:eastAsia="方正小标宋简体"/>
          <w:spacing w:val="60"/>
          <w:sz w:val="74"/>
        </w:rPr>
        <w:t>部门决算</w:t>
      </w:r>
    </w:p>
    <w:p>
      <w:pPr>
        <w:jc w:val="center"/>
        <w:rPr>
          <w:rFonts w:ascii="楷体_GB2312" w:eastAsia="楷体_GB2312"/>
          <w:b/>
          <w:sz w:val="42"/>
        </w:rPr>
      </w:pPr>
    </w:p>
    <w:p>
      <w:pPr>
        <w:jc w:val="center"/>
        <w:rPr>
          <w:rFonts w:ascii="楷体_GB2312" w:eastAsia="楷体_GB2312"/>
          <w:b/>
          <w:sz w:val="42"/>
        </w:rPr>
      </w:pPr>
    </w:p>
    <w:p>
      <w:pPr>
        <w:rPr>
          <w:rFonts w:ascii="仿宋_GB2312" w:eastAsia="仿宋_GB2312"/>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rPr>
          <w:rFonts w:ascii="方正小标宋简体" w:eastAsia="方正小标宋简体"/>
          <w:sz w:val="44"/>
          <w:szCs w:val="44"/>
        </w:rPr>
      </w:pPr>
    </w:p>
    <w:p>
      <w:pPr>
        <w:spacing w:afterLines="50"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目  录</w:t>
      </w:r>
    </w:p>
    <w:p>
      <w:pPr>
        <w:spacing w:line="580" w:lineRule="exact"/>
        <w:ind w:firstLine="316" w:firstLineChars="100"/>
        <w:jc w:val="distribute"/>
        <w:rPr>
          <w:rFonts w:hint="default" w:ascii="黑体" w:hAnsi="黑体" w:eastAsia="黑体"/>
          <w:sz w:val="32"/>
          <w:szCs w:val="32"/>
          <w:lang w:val="en-US" w:eastAsia="zh-CN"/>
        </w:rPr>
      </w:pPr>
      <w:r>
        <w:rPr>
          <w:rFonts w:hint="eastAsia" w:ascii="黑体" w:hAnsi="黑体" w:eastAsia="黑体"/>
          <w:sz w:val="32"/>
          <w:szCs w:val="32"/>
        </w:rPr>
        <w:t>第一部分  部门概况</w:t>
      </w:r>
      <w:r>
        <w:rPr>
          <w:rFonts w:hint="eastAsia" w:ascii="黑体" w:hAnsi="黑体" w:eastAsia="黑体"/>
          <w:sz w:val="32"/>
          <w:szCs w:val="32"/>
          <w:lang w:val="en-US" w:eastAsia="zh-CN"/>
        </w:rPr>
        <w:t>.................................4</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一、部门职责</w:t>
      </w:r>
      <w:r>
        <w:rPr>
          <w:rFonts w:hint="eastAsia" w:ascii="仿宋_GB2312" w:eastAsia="仿宋_GB2312"/>
          <w:sz w:val="32"/>
          <w:szCs w:val="32"/>
          <w:lang w:val="en-US" w:eastAsia="zh-CN"/>
        </w:rPr>
        <w:t>.....................................5</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二、机构设置</w:t>
      </w:r>
      <w:r>
        <w:rPr>
          <w:rFonts w:hint="eastAsia" w:ascii="仿宋_GB2312" w:eastAsia="仿宋_GB2312"/>
          <w:sz w:val="32"/>
          <w:szCs w:val="32"/>
          <w:lang w:val="en-US" w:eastAsia="zh-CN"/>
        </w:rPr>
        <w:t>.....................................5</w:t>
      </w:r>
    </w:p>
    <w:p>
      <w:pPr>
        <w:spacing w:line="580" w:lineRule="exact"/>
        <w:ind w:firstLine="316" w:firstLineChars="100"/>
        <w:jc w:val="distribute"/>
        <w:rPr>
          <w:rFonts w:hint="default" w:ascii="黑体" w:hAnsi="黑体" w:eastAsia="黑体"/>
          <w:sz w:val="32"/>
          <w:szCs w:val="32"/>
          <w:lang w:val="en-US" w:eastAsia="zh-CN"/>
        </w:rPr>
      </w:pPr>
      <w:r>
        <w:rPr>
          <w:rFonts w:hint="eastAsia" w:ascii="黑体" w:hAnsi="黑体" w:eastAsia="黑体"/>
          <w:sz w:val="32"/>
          <w:szCs w:val="32"/>
        </w:rPr>
        <w:t>第二部分  2020年度部门决算表</w:t>
      </w:r>
      <w:r>
        <w:rPr>
          <w:rFonts w:hint="eastAsia" w:ascii="黑体" w:hAnsi="黑体" w:eastAsia="黑体"/>
          <w:sz w:val="32"/>
          <w:szCs w:val="32"/>
          <w:lang w:val="en-US" w:eastAsia="zh-CN"/>
        </w:rPr>
        <w:t>......................6</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一、收入支出决算总表</w:t>
      </w:r>
      <w:r>
        <w:rPr>
          <w:rFonts w:hint="eastAsia" w:ascii="仿宋_GB2312" w:eastAsia="仿宋_GB2312"/>
          <w:sz w:val="32"/>
          <w:szCs w:val="32"/>
          <w:lang w:val="en-US" w:eastAsia="zh-CN"/>
        </w:rPr>
        <w:t>.............................7</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二、收入决算表</w:t>
      </w:r>
      <w:r>
        <w:rPr>
          <w:rFonts w:hint="eastAsia" w:ascii="仿宋_GB2312" w:eastAsia="仿宋_GB2312"/>
          <w:sz w:val="32"/>
          <w:szCs w:val="32"/>
          <w:lang w:val="en-US" w:eastAsia="zh-CN"/>
        </w:rPr>
        <w:t>...................................8</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三、支出决算表</w:t>
      </w:r>
      <w:r>
        <w:rPr>
          <w:rFonts w:hint="eastAsia" w:ascii="仿宋_GB2312" w:eastAsia="仿宋_GB2312"/>
          <w:sz w:val="32"/>
          <w:szCs w:val="32"/>
          <w:lang w:val="en-US" w:eastAsia="zh-CN"/>
        </w:rPr>
        <w:t>...................................9</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四、财政拨款收入支出决算总表</w:t>
      </w:r>
      <w:r>
        <w:rPr>
          <w:rFonts w:hint="eastAsia" w:ascii="仿宋_GB2312" w:eastAsia="仿宋_GB2312"/>
          <w:sz w:val="32"/>
          <w:szCs w:val="32"/>
          <w:lang w:val="en-US" w:eastAsia="zh-CN"/>
        </w:rPr>
        <w:t>.....................10</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五、一般公共预算财政拨款支出决算表</w:t>
      </w:r>
      <w:r>
        <w:rPr>
          <w:rFonts w:hint="eastAsia" w:ascii="仿宋_GB2312" w:eastAsia="仿宋_GB2312"/>
          <w:sz w:val="32"/>
          <w:szCs w:val="32"/>
          <w:lang w:val="en-US" w:eastAsia="zh-CN"/>
        </w:rPr>
        <w:t>...............11</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六、一般公共预算财政拨款基本支出决算表</w:t>
      </w:r>
      <w:r>
        <w:rPr>
          <w:rFonts w:hint="eastAsia" w:ascii="仿宋_GB2312" w:eastAsia="仿宋_GB2312"/>
          <w:sz w:val="32"/>
          <w:szCs w:val="32"/>
          <w:lang w:val="en-US" w:eastAsia="zh-CN"/>
        </w:rPr>
        <w:t>...........12</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七、一般公共预算财政拨款“三公”经费支出决算表</w:t>
      </w:r>
      <w:r>
        <w:rPr>
          <w:rFonts w:hint="eastAsia" w:ascii="仿宋_GB2312" w:eastAsia="仿宋_GB2312"/>
          <w:sz w:val="32"/>
          <w:szCs w:val="32"/>
          <w:lang w:val="en-US" w:eastAsia="zh-CN"/>
        </w:rPr>
        <w:t>...14</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八、政府性基金预算财政拨款收入支出决算表</w:t>
      </w:r>
      <w:r>
        <w:rPr>
          <w:rFonts w:hint="eastAsia" w:ascii="仿宋_GB2312" w:eastAsia="仿宋_GB2312"/>
          <w:sz w:val="32"/>
          <w:szCs w:val="32"/>
          <w:lang w:val="en-US" w:eastAsia="zh-CN"/>
        </w:rPr>
        <w:t>.........15</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九、国有资本经营预算财政拨款收入支出决算批复表</w:t>
      </w:r>
      <w:r>
        <w:rPr>
          <w:rFonts w:hint="eastAsia" w:ascii="仿宋_GB2312" w:eastAsia="仿宋_GB2312"/>
          <w:sz w:val="32"/>
          <w:szCs w:val="32"/>
          <w:lang w:val="en-US" w:eastAsia="zh-CN"/>
        </w:rPr>
        <w:t>...16</w:t>
      </w:r>
    </w:p>
    <w:p>
      <w:pPr>
        <w:spacing w:line="580" w:lineRule="exact"/>
        <w:ind w:firstLine="316" w:firstLineChars="100"/>
        <w:jc w:val="distribute"/>
        <w:rPr>
          <w:rFonts w:hint="default" w:ascii="黑体" w:hAnsi="黑体" w:eastAsia="黑体"/>
          <w:sz w:val="32"/>
          <w:szCs w:val="32"/>
          <w:lang w:val="en-US" w:eastAsia="zh-CN"/>
        </w:rPr>
      </w:pPr>
      <w:r>
        <w:rPr>
          <w:rFonts w:hint="eastAsia" w:ascii="黑体" w:hAnsi="黑体" w:eastAsia="黑体"/>
          <w:sz w:val="32"/>
          <w:szCs w:val="32"/>
        </w:rPr>
        <w:t>第三部分  2020年度部门决算情况说明</w:t>
      </w:r>
      <w:r>
        <w:rPr>
          <w:rFonts w:hint="eastAsia" w:ascii="黑体" w:hAnsi="黑体" w:eastAsia="黑体"/>
          <w:sz w:val="32"/>
          <w:szCs w:val="32"/>
          <w:lang w:val="en-US" w:eastAsia="zh-CN"/>
        </w:rPr>
        <w:t>................17</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一、收入支出决算总体情况说明</w:t>
      </w:r>
      <w:r>
        <w:rPr>
          <w:rFonts w:hint="eastAsia" w:ascii="仿宋_GB2312" w:eastAsia="仿宋_GB2312"/>
          <w:sz w:val="32"/>
          <w:szCs w:val="32"/>
          <w:lang w:val="en-US" w:eastAsia="zh-CN"/>
        </w:rPr>
        <w:t>.....................18</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二、收入决算情况说明</w:t>
      </w:r>
      <w:r>
        <w:rPr>
          <w:rFonts w:hint="eastAsia" w:ascii="仿宋_GB2312" w:eastAsia="仿宋_GB2312"/>
          <w:sz w:val="32"/>
          <w:szCs w:val="32"/>
          <w:lang w:val="en-US" w:eastAsia="zh-CN"/>
        </w:rPr>
        <w:t>.............................18</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三、支出决算情况说明</w:t>
      </w:r>
      <w:r>
        <w:rPr>
          <w:rFonts w:hint="eastAsia" w:ascii="仿宋_GB2312" w:eastAsia="仿宋_GB2312"/>
          <w:sz w:val="32"/>
          <w:szCs w:val="32"/>
          <w:lang w:val="en-US" w:eastAsia="zh-CN"/>
        </w:rPr>
        <w:t>.............................19</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四、财政拨款收入支出决算总体情况说明</w:t>
      </w:r>
      <w:r>
        <w:rPr>
          <w:rFonts w:hint="eastAsia" w:ascii="仿宋_GB2312" w:eastAsia="仿宋_GB2312"/>
          <w:sz w:val="32"/>
          <w:szCs w:val="32"/>
          <w:lang w:val="en-US" w:eastAsia="zh-CN"/>
        </w:rPr>
        <w:t>.............19</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lang w:val="en-US" w:eastAsia="zh-CN"/>
        </w:rPr>
        <w:t>.........20</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lang w:val="en-US" w:eastAsia="zh-CN"/>
        </w:rPr>
        <w:t>.....22</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七、一般公共预算财政拨款“三公”经费支出决算情况说明</w:t>
      </w:r>
      <w:r>
        <w:rPr>
          <w:rFonts w:hint="eastAsia" w:ascii="仿宋_GB2312" w:eastAsia="仿宋_GB2312"/>
          <w:sz w:val="32"/>
          <w:szCs w:val="32"/>
          <w:lang w:val="en-US" w:eastAsia="zh-CN"/>
        </w:rPr>
        <w:t>..................................................22</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八、政府性基金预算财政拨款收入支出决算情况说明</w:t>
      </w:r>
      <w:r>
        <w:rPr>
          <w:rFonts w:hint="eastAsia" w:ascii="仿宋_GB2312" w:eastAsia="仿宋_GB2312"/>
          <w:sz w:val="32"/>
          <w:szCs w:val="32"/>
          <w:lang w:val="en-US" w:eastAsia="zh-CN"/>
        </w:rPr>
        <w:t>...24</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九、国有资本经营预算财政拨款收入支出决算批复表</w:t>
      </w:r>
      <w:r>
        <w:rPr>
          <w:rFonts w:hint="eastAsia" w:ascii="仿宋_GB2312" w:eastAsia="仿宋_GB2312"/>
          <w:sz w:val="32"/>
          <w:szCs w:val="32"/>
          <w:lang w:val="en-US" w:eastAsia="zh-CN"/>
        </w:rPr>
        <w:t>...24</w:t>
      </w:r>
    </w:p>
    <w:p>
      <w:pPr>
        <w:spacing w:line="580" w:lineRule="exact"/>
        <w:ind w:firstLine="632" w:firstLineChars="200"/>
        <w:jc w:val="distribute"/>
        <w:rPr>
          <w:rFonts w:hint="default" w:ascii="仿宋_GB2312" w:eastAsia="仿宋_GB2312"/>
          <w:sz w:val="32"/>
          <w:szCs w:val="32"/>
          <w:lang w:val="en-US" w:eastAsia="zh-CN"/>
        </w:rPr>
      </w:pPr>
      <w:r>
        <w:rPr>
          <w:rFonts w:hint="eastAsia" w:ascii="仿宋_GB2312" w:eastAsia="仿宋_GB2312"/>
          <w:sz w:val="32"/>
          <w:szCs w:val="32"/>
        </w:rPr>
        <w:t>十、重要事项情况说明</w:t>
      </w:r>
      <w:r>
        <w:rPr>
          <w:rFonts w:hint="eastAsia" w:ascii="仿宋_GB2312" w:eastAsia="仿宋_GB2312"/>
          <w:sz w:val="32"/>
          <w:szCs w:val="32"/>
          <w:lang w:val="en-US" w:eastAsia="zh-CN"/>
        </w:rPr>
        <w:t>.............................24</w:t>
      </w:r>
    </w:p>
    <w:p>
      <w:pPr>
        <w:spacing w:line="580" w:lineRule="exact"/>
        <w:ind w:firstLine="316" w:firstLineChars="100"/>
        <w:jc w:val="distribute"/>
        <w:rPr>
          <w:rFonts w:hint="default" w:ascii="黑体" w:hAnsi="黑体" w:eastAsia="黑体"/>
          <w:sz w:val="32"/>
          <w:szCs w:val="32"/>
          <w:lang w:val="en-US" w:eastAsia="zh-CN"/>
        </w:rPr>
      </w:pPr>
      <w:r>
        <w:rPr>
          <w:rFonts w:hint="eastAsia" w:ascii="黑体" w:hAnsi="黑体" w:eastAsia="黑体"/>
          <w:sz w:val="32"/>
          <w:szCs w:val="32"/>
        </w:rPr>
        <w:t>第四部分  名词解释</w:t>
      </w:r>
      <w:r>
        <w:rPr>
          <w:rFonts w:hint="eastAsia" w:ascii="黑体" w:hAnsi="黑体" w:eastAsia="黑体"/>
          <w:sz w:val="32"/>
          <w:szCs w:val="32"/>
          <w:lang w:val="en-US" w:eastAsia="zh-CN"/>
        </w:rPr>
        <w:t>................................27</w:t>
      </w:r>
    </w:p>
    <w:p>
      <w:pPr>
        <w:spacing w:line="580" w:lineRule="exact"/>
        <w:ind w:firstLine="316" w:firstLineChars="100"/>
        <w:jc w:val="distribute"/>
        <w:rPr>
          <w:rFonts w:hint="default" w:ascii="黑体" w:hAnsi="黑体" w:eastAsia="黑体"/>
          <w:sz w:val="32"/>
          <w:szCs w:val="32"/>
          <w:lang w:val="en-US" w:eastAsia="zh-CN"/>
        </w:rPr>
      </w:pPr>
      <w:r>
        <w:rPr>
          <w:rFonts w:hint="eastAsia" w:ascii="黑体" w:hAnsi="黑体" w:eastAsia="黑体"/>
          <w:sz w:val="32"/>
          <w:szCs w:val="32"/>
        </w:rPr>
        <w:t xml:space="preserve">第五部分  附件 </w:t>
      </w:r>
      <w:r>
        <w:rPr>
          <w:rFonts w:hint="eastAsia" w:ascii="黑体" w:hAnsi="黑体" w:eastAsia="黑体"/>
          <w:sz w:val="32"/>
          <w:szCs w:val="32"/>
          <w:lang w:val="en-US" w:eastAsia="zh-CN"/>
        </w:rPr>
        <w:t>...................................32</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 xml:space="preserve"> </w:t>
      </w:r>
    </w:p>
    <w:p>
      <w:pPr>
        <w:ind w:firstLine="632" w:firstLineChars="200"/>
        <w:rPr>
          <w:rFonts w:ascii="仿宋_GB2312" w:eastAsia="仿宋_GB2312"/>
          <w:sz w:val="32"/>
          <w:szCs w:val="32"/>
        </w:rPr>
      </w:pPr>
    </w:p>
    <w:p>
      <w:pPr>
        <w:spacing w:line="580" w:lineRule="exact"/>
        <w:ind w:firstLine="316" w:firstLineChars="100"/>
        <w:rPr>
          <w:rFonts w:ascii="仿宋_GB2312" w:eastAsia="仿宋_GB2312"/>
          <w:sz w:val="32"/>
          <w:szCs w:val="32"/>
        </w:rPr>
        <w:sectPr>
          <w:headerReference r:id="rId3" w:type="default"/>
          <w:footerReference r:id="rId4" w:type="default"/>
          <w:pgSz w:w="11906" w:h="16838"/>
          <w:pgMar w:top="2041" w:right="1531" w:bottom="1758" w:left="1531" w:header="0" w:footer="1418" w:gutter="0"/>
          <w:cols w:space="720" w:num="1"/>
          <w:docGrid w:type="linesAndChars" w:linePitch="610" w:charSpace="-849"/>
        </w:sectPr>
      </w:pPr>
      <w:bookmarkStart w:id="0" w:name="_GoBack"/>
      <w:bookmarkEnd w:id="0"/>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部门概况</w:t>
      </w:r>
    </w:p>
    <w:p>
      <w:pPr>
        <w:jc w:val="center"/>
        <w:rPr>
          <w:rFonts w:ascii="仿宋_GB2312" w:eastAsia="仿宋_GB2312"/>
        </w:rPr>
        <w:sectPr>
          <w:pgSz w:w="11906" w:h="16838"/>
          <w:pgMar w:top="1701" w:right="1531" w:bottom="1701" w:left="1531" w:header="0" w:footer="1418" w:gutter="0"/>
          <w:cols w:space="720" w:num="1"/>
          <w:docGrid w:type="linesAndChars" w:linePitch="610" w:charSpace="-849"/>
        </w:sectPr>
      </w:pP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ascii="黑体" w:hAnsi="黑体" w:eastAsia="黑体"/>
          <w:sz w:val="32"/>
          <w:szCs w:val="32"/>
        </w:rPr>
      </w:pPr>
      <w:r>
        <w:rPr>
          <w:rFonts w:hint="eastAsia" w:ascii="黑体" w:hAnsi="黑体" w:eastAsia="黑体"/>
          <w:sz w:val="32"/>
          <w:szCs w:val="32"/>
        </w:rPr>
        <w:t>一、部门职责</w:t>
      </w:r>
    </w:p>
    <w:p>
      <w:pPr>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ascii="仿宋_GB2312" w:eastAsia="仿宋_GB2312"/>
          <w:color w:val="000000"/>
          <w:kern w:val="0"/>
          <w:sz w:val="32"/>
          <w:szCs w:val="32"/>
        </w:rPr>
      </w:pPr>
      <w:r>
        <w:rPr>
          <w:rFonts w:hint="eastAsia" w:ascii="仿宋_GB2312" w:hAnsi="宋体" w:eastAsia="仿宋_GB2312"/>
          <w:color w:val="000000"/>
          <w:kern w:val="0"/>
          <w:sz w:val="32"/>
          <w:szCs w:val="32"/>
        </w:rPr>
        <w:t>（一）根据党的路线、方针、政策和县委的决策部署，统一政法各部门的思想和行动。</w:t>
      </w:r>
    </w:p>
    <w:p>
      <w:pPr>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ascii="仿宋_GB2312" w:eastAsia="仿宋_GB2312"/>
          <w:color w:val="000000"/>
          <w:kern w:val="0"/>
          <w:sz w:val="32"/>
          <w:szCs w:val="32"/>
        </w:rPr>
      </w:pPr>
      <w:r>
        <w:rPr>
          <w:rFonts w:hint="eastAsia" w:ascii="仿宋_GB2312" w:hAnsi="宋体" w:eastAsia="仿宋_GB2312"/>
          <w:color w:val="000000"/>
          <w:kern w:val="0"/>
          <w:sz w:val="32"/>
          <w:szCs w:val="32"/>
        </w:rPr>
        <w:t>（二）对一定时期的政法工作作出全局性部署，并督促贯彻落实。</w:t>
      </w:r>
    </w:p>
    <w:p>
      <w:pPr>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ascii="仿宋_GB2312" w:eastAsia="仿宋_GB2312"/>
          <w:color w:val="000000"/>
          <w:kern w:val="0"/>
          <w:sz w:val="32"/>
          <w:szCs w:val="32"/>
        </w:rPr>
      </w:pPr>
      <w:r>
        <w:rPr>
          <w:rFonts w:hint="eastAsia" w:ascii="仿宋_GB2312" w:hAnsi="宋体" w:eastAsia="仿宋_GB2312"/>
          <w:color w:val="000000"/>
          <w:kern w:val="0"/>
          <w:sz w:val="32"/>
          <w:szCs w:val="32"/>
        </w:rPr>
        <w:t>（三）组织、协调、指导维护社会稳定的工作。</w:t>
      </w:r>
    </w:p>
    <w:p>
      <w:pPr>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ascii="仿宋_GB2312" w:eastAsia="仿宋_GB2312"/>
          <w:color w:val="000000"/>
          <w:kern w:val="0"/>
          <w:sz w:val="32"/>
          <w:szCs w:val="32"/>
        </w:rPr>
      </w:pPr>
      <w:r>
        <w:rPr>
          <w:rFonts w:hint="eastAsia" w:ascii="仿宋_GB2312" w:hAnsi="宋体" w:eastAsia="仿宋_GB2312"/>
          <w:color w:val="000000"/>
          <w:kern w:val="0"/>
          <w:sz w:val="32"/>
          <w:szCs w:val="32"/>
        </w:rPr>
        <w:t>（四）检查政法部门执行法律、法规和党的方针、政策的情况，结合实际制定具体措施。</w:t>
      </w:r>
    </w:p>
    <w:p>
      <w:pPr>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ascii="仿宋_GB2312" w:eastAsia="仿宋_GB2312"/>
          <w:color w:val="000000"/>
          <w:kern w:val="0"/>
          <w:sz w:val="32"/>
          <w:szCs w:val="32"/>
        </w:rPr>
      </w:pPr>
      <w:r>
        <w:rPr>
          <w:rFonts w:hint="eastAsia" w:ascii="仿宋_GB2312" w:hAnsi="宋体" w:eastAsia="仿宋_GB2312"/>
          <w:color w:val="000000"/>
          <w:kern w:val="0"/>
          <w:sz w:val="32"/>
          <w:szCs w:val="32"/>
        </w:rPr>
        <w:t>（五）支持和严格监督政法各部门依法行使职权，指导和协调政法各部门在依法相互制约的同时密切配合。</w:t>
      </w:r>
    </w:p>
    <w:p>
      <w:pPr>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ascii="仿宋_GB2312" w:eastAsia="仿宋_GB2312"/>
          <w:color w:val="000000"/>
          <w:kern w:val="0"/>
          <w:sz w:val="32"/>
          <w:szCs w:val="32"/>
        </w:rPr>
      </w:pPr>
      <w:r>
        <w:rPr>
          <w:rFonts w:hint="eastAsia" w:ascii="仿宋_GB2312" w:hAnsi="宋体" w:eastAsia="仿宋_GB2312"/>
          <w:color w:val="000000"/>
          <w:kern w:val="0"/>
          <w:sz w:val="32"/>
          <w:szCs w:val="32"/>
        </w:rPr>
        <w:t>（六）组织、协调社会治安综合治理工作，推动各项措施的落实。</w:t>
      </w:r>
    </w:p>
    <w:p>
      <w:pPr>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ascii="仿宋_GB2312" w:eastAsia="仿宋_GB2312"/>
          <w:color w:val="000000"/>
          <w:kern w:val="0"/>
          <w:sz w:val="32"/>
          <w:szCs w:val="32"/>
        </w:rPr>
      </w:pPr>
      <w:r>
        <w:rPr>
          <w:rFonts w:hint="eastAsia" w:ascii="仿宋_GB2312" w:hAnsi="宋体" w:eastAsia="仿宋_GB2312"/>
          <w:color w:val="000000"/>
          <w:kern w:val="0"/>
          <w:sz w:val="32"/>
          <w:szCs w:val="32"/>
        </w:rPr>
        <w:t>（七）组织政法战线的调查研究，总结新经验，解决新问题，探索政法工作改革，加强政法工作。</w:t>
      </w:r>
    </w:p>
    <w:p>
      <w:pPr>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ascii="仿宋_GB2312" w:eastAsia="仿宋_GB2312"/>
          <w:color w:val="000000"/>
          <w:kern w:val="0"/>
          <w:sz w:val="32"/>
          <w:szCs w:val="32"/>
        </w:rPr>
      </w:pPr>
      <w:r>
        <w:rPr>
          <w:rFonts w:hint="eastAsia" w:ascii="仿宋_GB2312" w:hAnsi="宋体" w:eastAsia="仿宋_GB2312"/>
          <w:color w:val="000000"/>
          <w:kern w:val="0"/>
          <w:sz w:val="32"/>
          <w:szCs w:val="32"/>
        </w:rPr>
        <w:t>（八）研究加强政法队伍建设和领导班子建设的措施，协助县委及其组织部门考察、管理政法部门的领导干部。</w:t>
      </w:r>
    </w:p>
    <w:p>
      <w:pPr>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ascii="仿宋_GB2312" w:eastAsia="仿宋_GB2312"/>
          <w:color w:val="000000"/>
          <w:kern w:val="0"/>
          <w:sz w:val="32"/>
          <w:szCs w:val="32"/>
        </w:rPr>
      </w:pPr>
      <w:r>
        <w:rPr>
          <w:rFonts w:hint="eastAsia" w:ascii="仿宋_GB2312" w:hAnsi="宋体" w:eastAsia="仿宋_GB2312"/>
          <w:color w:val="000000"/>
          <w:kern w:val="0"/>
          <w:sz w:val="32"/>
          <w:szCs w:val="32"/>
        </w:rPr>
        <w:t>（九）组织、协调对政法和社会治安综合治理的宣传工作。</w:t>
      </w:r>
    </w:p>
    <w:p>
      <w:pPr>
        <w:keepNext w:val="0"/>
        <w:keepLines w:val="0"/>
        <w:pageBreakBefore w:val="0"/>
        <w:kinsoku/>
        <w:wordWrap/>
        <w:overflowPunct/>
        <w:topLinePunct w:val="0"/>
        <w:autoSpaceDE/>
        <w:autoSpaceDN/>
        <w:bidi w:val="0"/>
        <w:adjustRightInd/>
        <w:snapToGrid/>
        <w:spacing w:line="540" w:lineRule="exact"/>
        <w:ind w:firstLine="474" w:firstLineChars="150"/>
        <w:textAlignment w:val="auto"/>
        <w:rPr>
          <w:rFonts w:ascii="黑体" w:eastAsia="黑体"/>
          <w:b/>
          <w:sz w:val="30"/>
          <w:szCs w:val="30"/>
        </w:rPr>
      </w:pPr>
      <w:r>
        <w:rPr>
          <w:rFonts w:hint="eastAsia" w:ascii="仿宋_GB2312" w:hAnsi="宋体" w:eastAsia="仿宋_GB2312"/>
          <w:color w:val="000000"/>
          <w:kern w:val="0"/>
          <w:sz w:val="32"/>
          <w:szCs w:val="32"/>
        </w:rPr>
        <w:t>（十）完成县委和市政法委交办的其他任务。</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ascii="黑体" w:hAnsi="黑体" w:eastAsia="黑体"/>
          <w:sz w:val="32"/>
          <w:szCs w:val="32"/>
        </w:rPr>
      </w:pPr>
      <w:r>
        <w:rPr>
          <w:rFonts w:hint="eastAsia" w:ascii="黑体" w:hAnsi="黑体" w:eastAsia="黑体"/>
          <w:sz w:val="32"/>
          <w:szCs w:val="32"/>
        </w:rPr>
        <w:t>二、机构设置</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ascii="仿宋_GB2312" w:hAnsi="宋体" w:eastAsia="仿宋_GB2312" w:cs="Courier New"/>
          <w:sz w:val="32"/>
          <w:szCs w:val="32"/>
        </w:rPr>
      </w:pPr>
      <w:r>
        <w:rPr>
          <w:rFonts w:hint="eastAsia" w:ascii="仿宋_GB2312" w:hAnsi="宋体" w:eastAsia="仿宋_GB2312" w:cs="Courier New"/>
          <w:sz w:val="32"/>
          <w:szCs w:val="32"/>
        </w:rPr>
        <w:t>从决算单位构成看，中国共产党泗水县委员会政法委员会决算包括：中国共产党泗水县委员会政法委员会本级决算。</w:t>
      </w:r>
    </w:p>
    <w:p>
      <w:pPr>
        <w:keepNext w:val="0"/>
        <w:keepLines w:val="0"/>
        <w:pageBreakBefore w:val="0"/>
        <w:kinsoku/>
        <w:wordWrap/>
        <w:overflowPunct/>
        <w:topLinePunct w:val="0"/>
        <w:autoSpaceDE/>
        <w:autoSpaceDN/>
        <w:bidi w:val="0"/>
        <w:adjustRightInd/>
        <w:snapToGrid/>
        <w:spacing w:line="540" w:lineRule="exact"/>
        <w:ind w:firstLine="474" w:firstLineChars="150"/>
        <w:textAlignment w:val="auto"/>
        <w:rPr>
          <w:rFonts w:ascii="仿宋_GB2312" w:hAnsi="宋体" w:eastAsia="仿宋_GB2312" w:cs="Courier New"/>
          <w:sz w:val="32"/>
          <w:szCs w:val="32"/>
        </w:rPr>
      </w:pPr>
      <w:r>
        <w:rPr>
          <w:rFonts w:hint="eastAsia" w:ascii="仿宋_GB2312" w:hAnsi="宋体" w:eastAsia="仿宋_GB2312" w:cs="Courier New"/>
          <w:sz w:val="32"/>
          <w:szCs w:val="32"/>
        </w:rPr>
        <w:t>纳入中国共产党泗水县委员会政法委员会20</w:t>
      </w:r>
      <w:r>
        <w:rPr>
          <w:rFonts w:hint="eastAsia" w:ascii="仿宋_GB2312" w:hAnsi="宋体" w:eastAsia="仿宋_GB2312" w:cs="Courier New"/>
          <w:sz w:val="32"/>
          <w:szCs w:val="32"/>
          <w:lang w:val="en-US" w:eastAsia="zh-CN"/>
        </w:rPr>
        <w:t>20</w:t>
      </w:r>
      <w:r>
        <w:rPr>
          <w:rFonts w:hint="eastAsia" w:ascii="仿宋_GB2312" w:hAnsi="宋体" w:eastAsia="仿宋_GB2312" w:cs="Courier New"/>
          <w:sz w:val="32"/>
          <w:szCs w:val="32"/>
        </w:rPr>
        <w:t>年度部门决算编制范围的预算单位1个，包括：</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ascii="仿宋_GB2312" w:hAnsi="宋体" w:eastAsia="仿宋_GB2312" w:cs="Courier New"/>
          <w:sz w:val="32"/>
          <w:szCs w:val="32"/>
        </w:rPr>
      </w:pPr>
      <w:r>
        <w:rPr>
          <w:rFonts w:hint="eastAsia" w:ascii="仿宋_GB2312" w:hAnsi="宋体" w:eastAsia="仿宋_GB2312" w:cs="Courier New"/>
          <w:sz w:val="32"/>
          <w:szCs w:val="32"/>
        </w:rPr>
        <w:t>中国共产党泗水县委员会政法委员会本级。</w:t>
      </w: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2"/>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2020年度部门决算表</w:t>
      </w: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中国共产党泗水县委员会政法委员会</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2879"/>
        <w:gridCol w:w="714"/>
        <w:gridCol w:w="1017"/>
        <w:gridCol w:w="2229"/>
        <w:gridCol w:w="714"/>
        <w:gridCol w:w="1266"/>
      </w:tblGrid>
      <w:tr>
        <w:tblPrEx>
          <w:tblCellMar>
            <w:top w:w="0" w:type="dxa"/>
            <w:left w:w="108" w:type="dxa"/>
            <w:bottom w:w="0" w:type="dxa"/>
            <w:right w:w="108" w:type="dxa"/>
          </w:tblCellMar>
        </w:tblPrEx>
        <w:trPr>
          <w:trHeight w:val="329" w:hRule="exact"/>
          <w:jc w:val="center"/>
        </w:trPr>
        <w:tc>
          <w:tcPr>
            <w:tcW w:w="46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收 入</w:t>
            </w:r>
          </w:p>
        </w:tc>
        <w:tc>
          <w:tcPr>
            <w:tcW w:w="4209"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支 出</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项目（按功能分类）</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1</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461.7</w:t>
            </w: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eastAsia="zh-CN"/>
              </w:rPr>
              <w:t>一、一般公共服务支出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43.76</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二、政府性基金预算财政拨款收入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eastAsia="zh-CN"/>
              </w:rPr>
            </w:pPr>
            <w:r>
              <w:rPr>
                <w:rFonts w:hint="eastAsia" w:ascii="仿宋_GB2312" w:eastAsia="仿宋_GB2312"/>
                <w:sz w:val="18"/>
                <w:szCs w:val="18"/>
                <w:lang w:eastAsia="zh-CN"/>
              </w:rPr>
              <w:t>二、公共安全支出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405.54</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三、上级补助收入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四、事业收入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五、经营收入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六、附属单位上缴收入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48</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461.7</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本年支出合计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449.29</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用事业基金弥补收支差额</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结余分配</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115.79</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年末结转和结余</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128.2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577.49</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577.49</w:t>
            </w:r>
          </w:p>
        </w:tc>
      </w:tr>
    </w:tbl>
    <w:p>
      <w:pPr>
        <w:ind w:firstLine="88" w:firstLineChars="50"/>
        <w:rPr>
          <w:rFonts w:ascii="楷体_GB2312" w:eastAsia="楷体_GB2312"/>
          <w:sz w:val="18"/>
          <w:szCs w:val="18"/>
        </w:rPr>
      </w:pPr>
      <w:r>
        <w:rPr>
          <w:rFonts w:hint="eastAsia" w:ascii="仿宋_GB2312" w:hAnsi="宋体" w:eastAsia="仿宋_GB2312"/>
          <w:sz w:val="18"/>
          <w:szCs w:val="18"/>
        </w:rPr>
        <w:t>注：本表反映部门本年度的总收支和年末结转结余情况。</w:t>
      </w:r>
    </w:p>
    <w:p>
      <w:pPr>
        <w:rPr>
          <w:rFonts w:ascii="楷体_GB2312" w:eastAsia="楷体_GB2312"/>
          <w:sz w:val="28"/>
          <w:szCs w:val="28"/>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中国共产党泗水县委员会政法委员会</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179"/>
        <w:gridCol w:w="2136"/>
        <w:gridCol w:w="1015"/>
        <w:gridCol w:w="1517"/>
        <w:gridCol w:w="1517"/>
        <w:gridCol w:w="1517"/>
        <w:gridCol w:w="1517"/>
        <w:gridCol w:w="1517"/>
        <w:gridCol w:w="1518"/>
      </w:tblGrid>
      <w:tr>
        <w:tblPrEx>
          <w:tblCellMar>
            <w:top w:w="0" w:type="dxa"/>
            <w:left w:w="108" w:type="dxa"/>
            <w:bottom w:w="0" w:type="dxa"/>
            <w:right w:w="108" w:type="dxa"/>
          </w:tblCellMar>
        </w:tblPrEx>
        <w:trPr>
          <w:trHeight w:val="458" w:hRule="atLeast"/>
          <w:jc w:val="center"/>
        </w:trPr>
        <w:tc>
          <w:tcPr>
            <w:tcW w:w="33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01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5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CellMar>
            <w:top w:w="0" w:type="dxa"/>
            <w:left w:w="108" w:type="dxa"/>
            <w:bottom w:w="0" w:type="dxa"/>
            <w:right w:w="108" w:type="dxa"/>
          </w:tblCellMar>
        </w:tblPrEx>
        <w:trPr>
          <w:trHeight w:val="394" w:hRule="atLeast"/>
          <w:jc w:val="center"/>
        </w:trPr>
        <w:tc>
          <w:tcPr>
            <w:tcW w:w="11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21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015"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518"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33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CellMar>
            <w:top w:w="0" w:type="dxa"/>
            <w:left w:w="108" w:type="dxa"/>
            <w:bottom w:w="0" w:type="dxa"/>
            <w:right w:w="108" w:type="dxa"/>
          </w:tblCellMar>
        </w:tblPrEx>
        <w:trPr>
          <w:trHeight w:val="397" w:hRule="atLeast"/>
          <w:jc w:val="center"/>
        </w:trPr>
        <w:tc>
          <w:tcPr>
            <w:tcW w:w="33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default" w:ascii="仿宋_GB2312" w:hAnsi="宋体" w:eastAsia="仿宋_GB2312" w:cs="宋体"/>
                <w:kern w:val="0"/>
                <w:sz w:val="22"/>
                <w:lang w:val="en-US" w:eastAsia="zh-CN"/>
              </w:rPr>
            </w:pPr>
            <w:r>
              <w:rPr>
                <w:rFonts w:hint="eastAsia" w:ascii="仿宋_GB2312" w:eastAsia="仿宋_GB2312"/>
                <w:sz w:val="18"/>
                <w:szCs w:val="18"/>
                <w:lang w:val="en-US" w:eastAsia="zh-CN"/>
              </w:rPr>
              <w:t>461.7</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eastAsia="仿宋_GB2312"/>
                <w:sz w:val="18"/>
                <w:szCs w:val="18"/>
                <w:lang w:val="en-US" w:eastAsia="zh-CN"/>
              </w:rPr>
              <w:t>461.7</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97" w:hRule="atLeast"/>
          <w:jc w:val="center"/>
        </w:trPr>
        <w:tc>
          <w:tcPr>
            <w:tcW w:w="117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201</w:t>
            </w:r>
          </w:p>
        </w:tc>
        <w:tc>
          <w:tcPr>
            <w:tcW w:w="213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一般公共服务支出</w:t>
            </w:r>
          </w:p>
        </w:tc>
        <w:tc>
          <w:tcPr>
            <w:tcW w:w="101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97" w:hRule="atLeast"/>
          <w:jc w:val="center"/>
        </w:trPr>
        <w:tc>
          <w:tcPr>
            <w:tcW w:w="1179"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20131</w:t>
            </w:r>
          </w:p>
        </w:tc>
        <w:tc>
          <w:tcPr>
            <w:tcW w:w="2136" w:type="dxa"/>
            <w:tcBorders>
              <w:top w:val="nil"/>
              <w:left w:val="nil"/>
              <w:bottom w:val="single" w:color="auto" w:sz="4" w:space="0"/>
              <w:right w:val="single" w:color="auto" w:sz="4" w:space="0"/>
            </w:tcBorders>
            <w:shd w:val="clear" w:color="auto" w:fill="FFFFFF"/>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党委办公厅（室）及相关机构事务</w:t>
            </w:r>
          </w:p>
        </w:tc>
        <w:tc>
          <w:tcPr>
            <w:tcW w:w="1015"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744" w:hRule="atLeast"/>
          <w:jc w:val="center"/>
        </w:trPr>
        <w:tc>
          <w:tcPr>
            <w:tcW w:w="1179"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2013199</w:t>
            </w:r>
          </w:p>
        </w:tc>
        <w:tc>
          <w:tcPr>
            <w:tcW w:w="2136"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其他党委办公厅（室）及相关机构事务支出</w:t>
            </w:r>
          </w:p>
        </w:tc>
        <w:tc>
          <w:tcPr>
            <w:tcW w:w="1015"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97" w:hRule="atLeast"/>
          <w:jc w:val="center"/>
        </w:trPr>
        <w:tc>
          <w:tcPr>
            <w:tcW w:w="1179"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204</w:t>
            </w:r>
          </w:p>
        </w:tc>
        <w:tc>
          <w:tcPr>
            <w:tcW w:w="2136"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公共安全支出</w:t>
            </w:r>
          </w:p>
        </w:tc>
        <w:tc>
          <w:tcPr>
            <w:tcW w:w="1015"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457.70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457.70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97" w:hRule="atLeast"/>
          <w:jc w:val="center"/>
        </w:trPr>
        <w:tc>
          <w:tcPr>
            <w:tcW w:w="1179"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20402</w:t>
            </w:r>
          </w:p>
        </w:tc>
        <w:tc>
          <w:tcPr>
            <w:tcW w:w="2136"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公安</w:t>
            </w:r>
          </w:p>
        </w:tc>
        <w:tc>
          <w:tcPr>
            <w:tcW w:w="1015"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406.70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406.70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97" w:hRule="atLeast"/>
          <w:jc w:val="center"/>
        </w:trPr>
        <w:tc>
          <w:tcPr>
            <w:tcW w:w="1179"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2040201</w:t>
            </w:r>
          </w:p>
        </w:tc>
        <w:tc>
          <w:tcPr>
            <w:tcW w:w="2136"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行政运行</w:t>
            </w:r>
          </w:p>
        </w:tc>
        <w:tc>
          <w:tcPr>
            <w:tcW w:w="1015"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249.38</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249.38</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97" w:hRule="atLeast"/>
          <w:jc w:val="center"/>
        </w:trPr>
        <w:tc>
          <w:tcPr>
            <w:tcW w:w="1179"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2040202</w:t>
            </w:r>
          </w:p>
        </w:tc>
        <w:tc>
          <w:tcPr>
            <w:tcW w:w="2136"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一般行政管理事务</w:t>
            </w:r>
          </w:p>
        </w:tc>
        <w:tc>
          <w:tcPr>
            <w:tcW w:w="1015"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157.31</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157.31</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16" w:hRule="atLeast"/>
          <w:jc w:val="center"/>
        </w:trPr>
        <w:tc>
          <w:tcPr>
            <w:tcW w:w="1179"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20406</w:t>
            </w:r>
          </w:p>
        </w:tc>
        <w:tc>
          <w:tcPr>
            <w:tcW w:w="2136"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司法</w:t>
            </w:r>
          </w:p>
        </w:tc>
        <w:tc>
          <w:tcPr>
            <w:tcW w:w="1015"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51.00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51.00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97" w:hRule="atLeast"/>
          <w:jc w:val="center"/>
        </w:trPr>
        <w:tc>
          <w:tcPr>
            <w:tcW w:w="1179"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2040604</w:t>
            </w:r>
          </w:p>
        </w:tc>
        <w:tc>
          <w:tcPr>
            <w:tcW w:w="2136"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基层司法业务</w:t>
            </w:r>
          </w:p>
        </w:tc>
        <w:tc>
          <w:tcPr>
            <w:tcW w:w="1015"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11.00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11.00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02" w:hRule="atLeast"/>
          <w:jc w:val="center"/>
        </w:trPr>
        <w:tc>
          <w:tcPr>
            <w:tcW w:w="1179"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2040607</w:t>
            </w:r>
          </w:p>
        </w:tc>
        <w:tc>
          <w:tcPr>
            <w:tcW w:w="2136"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 xml:space="preserve">  法律援助</w:t>
            </w:r>
          </w:p>
        </w:tc>
        <w:tc>
          <w:tcPr>
            <w:tcW w:w="1015"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40.00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c>
          <w:tcPr>
            <w:tcW w:w="151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lang w:val="en-US" w:eastAsia="zh-CN"/>
              </w:rPr>
              <w:t>0.00</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注：本表反映部门本年度取得的各项收入情况。</w:t>
      </w: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公开03表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 部门：</w:t>
      </w:r>
      <w:r>
        <w:rPr>
          <w:rFonts w:hint="eastAsia" w:ascii="楷体_GB2312" w:eastAsia="楷体_GB2312"/>
          <w:sz w:val="28"/>
          <w:szCs w:val="28"/>
          <w:lang w:eastAsia="zh-CN"/>
        </w:rPr>
        <w:t>中国共产党泗水县委员会政法委员会</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115"/>
        <w:gridCol w:w="96"/>
        <w:gridCol w:w="1740"/>
        <w:gridCol w:w="1613"/>
        <w:gridCol w:w="1763"/>
        <w:gridCol w:w="1763"/>
        <w:gridCol w:w="1762"/>
        <w:gridCol w:w="1763"/>
        <w:gridCol w:w="1763"/>
      </w:tblGrid>
      <w:tr>
        <w:tblPrEx>
          <w:tblCellMar>
            <w:top w:w="0" w:type="dxa"/>
            <w:left w:w="108" w:type="dxa"/>
            <w:bottom w:w="0" w:type="dxa"/>
            <w:right w:w="108" w:type="dxa"/>
          </w:tblCellMar>
        </w:tblPrEx>
        <w:trPr>
          <w:trHeight w:val="458" w:hRule="atLeast"/>
          <w:jc w:val="center"/>
        </w:trPr>
        <w:tc>
          <w:tcPr>
            <w:tcW w:w="295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61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经营支出    </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CellMar>
            <w:top w:w="0" w:type="dxa"/>
            <w:left w:w="108" w:type="dxa"/>
            <w:bottom w:w="0" w:type="dxa"/>
            <w:right w:w="108" w:type="dxa"/>
          </w:tblCellMar>
        </w:tblPrEx>
        <w:trPr>
          <w:trHeight w:val="457" w:hRule="atLeast"/>
          <w:jc w:val="center"/>
        </w:trPr>
        <w:tc>
          <w:tcPr>
            <w:tcW w:w="121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61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295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61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06" w:hRule="atLeast"/>
          <w:jc w:val="center"/>
        </w:trPr>
        <w:tc>
          <w:tcPr>
            <w:tcW w:w="295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613"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449.29</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258.85</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190.44</w:t>
            </w:r>
          </w:p>
        </w:tc>
        <w:tc>
          <w:tcPr>
            <w:tcW w:w="1762"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406" w:hRule="atLeast"/>
          <w:jc w:val="center"/>
        </w:trPr>
        <w:tc>
          <w:tcPr>
            <w:tcW w:w="1115" w:type="dxa"/>
            <w:tcBorders>
              <w:top w:val="single" w:color="auto" w:sz="4" w:space="0"/>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201</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一般公共服务支出</w:t>
            </w:r>
          </w:p>
        </w:tc>
        <w:tc>
          <w:tcPr>
            <w:tcW w:w="1613" w:type="dxa"/>
            <w:tcBorders>
              <w:top w:val="single" w:color="auto" w:sz="4" w:space="0"/>
              <w:left w:val="nil"/>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c>
          <w:tcPr>
            <w:tcW w:w="1763" w:type="dxa"/>
            <w:tcBorders>
              <w:top w:val="single" w:color="auto" w:sz="4" w:space="0"/>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c>
          <w:tcPr>
            <w:tcW w:w="1762"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406" w:hRule="atLeast"/>
          <w:jc w:val="center"/>
        </w:trPr>
        <w:tc>
          <w:tcPr>
            <w:tcW w:w="1115"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20131</w:t>
            </w:r>
          </w:p>
        </w:tc>
        <w:tc>
          <w:tcPr>
            <w:tcW w:w="1836"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党委办公厅（室）及相关机构事务</w:t>
            </w:r>
          </w:p>
        </w:tc>
        <w:tc>
          <w:tcPr>
            <w:tcW w:w="1613" w:type="dxa"/>
            <w:tcBorders>
              <w:top w:val="nil"/>
              <w:left w:val="nil"/>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c>
          <w:tcPr>
            <w:tcW w:w="1763"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c>
          <w:tcPr>
            <w:tcW w:w="1762"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406" w:hRule="atLeast"/>
          <w:jc w:val="center"/>
        </w:trPr>
        <w:tc>
          <w:tcPr>
            <w:tcW w:w="1115"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2013199</w:t>
            </w:r>
          </w:p>
        </w:tc>
        <w:tc>
          <w:tcPr>
            <w:tcW w:w="1836"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其他党委办公厅（室）及相关机构事务支出</w:t>
            </w:r>
          </w:p>
        </w:tc>
        <w:tc>
          <w:tcPr>
            <w:tcW w:w="1613" w:type="dxa"/>
            <w:tcBorders>
              <w:top w:val="nil"/>
              <w:left w:val="nil"/>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c>
          <w:tcPr>
            <w:tcW w:w="1763"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c>
          <w:tcPr>
            <w:tcW w:w="1762"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406" w:hRule="atLeast"/>
          <w:jc w:val="center"/>
        </w:trPr>
        <w:tc>
          <w:tcPr>
            <w:tcW w:w="1115"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w:t>
            </w:r>
          </w:p>
        </w:tc>
        <w:tc>
          <w:tcPr>
            <w:tcW w:w="1836"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公共安全支出</w:t>
            </w:r>
          </w:p>
        </w:tc>
        <w:tc>
          <w:tcPr>
            <w:tcW w:w="1613" w:type="dxa"/>
            <w:tcBorders>
              <w:top w:val="nil"/>
              <w:left w:val="nil"/>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405.54</w:t>
            </w:r>
          </w:p>
        </w:tc>
        <w:tc>
          <w:tcPr>
            <w:tcW w:w="1763"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258.85</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146.68</w:t>
            </w:r>
          </w:p>
        </w:tc>
        <w:tc>
          <w:tcPr>
            <w:tcW w:w="1762"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46" w:hRule="atLeast"/>
          <w:jc w:val="center"/>
        </w:trPr>
        <w:tc>
          <w:tcPr>
            <w:tcW w:w="1115"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20402</w:t>
            </w:r>
          </w:p>
        </w:tc>
        <w:tc>
          <w:tcPr>
            <w:tcW w:w="1836"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公安</w:t>
            </w:r>
          </w:p>
        </w:tc>
        <w:tc>
          <w:tcPr>
            <w:tcW w:w="1613" w:type="dxa"/>
            <w:tcBorders>
              <w:top w:val="nil"/>
              <w:left w:val="nil"/>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394.54</w:t>
            </w:r>
          </w:p>
        </w:tc>
        <w:tc>
          <w:tcPr>
            <w:tcW w:w="1763"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258.85</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135.68</w:t>
            </w:r>
          </w:p>
        </w:tc>
        <w:tc>
          <w:tcPr>
            <w:tcW w:w="1762"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34" w:hRule="atLeast"/>
          <w:jc w:val="center"/>
        </w:trPr>
        <w:tc>
          <w:tcPr>
            <w:tcW w:w="1115"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2040201</w:t>
            </w:r>
          </w:p>
        </w:tc>
        <w:tc>
          <w:tcPr>
            <w:tcW w:w="1836"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行政运行</w:t>
            </w:r>
          </w:p>
        </w:tc>
        <w:tc>
          <w:tcPr>
            <w:tcW w:w="1613" w:type="dxa"/>
            <w:tcBorders>
              <w:top w:val="nil"/>
              <w:left w:val="nil"/>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271.68</w:t>
            </w:r>
          </w:p>
        </w:tc>
        <w:tc>
          <w:tcPr>
            <w:tcW w:w="1763"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258.85</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12.83</w:t>
            </w:r>
          </w:p>
        </w:tc>
        <w:tc>
          <w:tcPr>
            <w:tcW w:w="1762"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406" w:hRule="atLeast"/>
          <w:jc w:val="center"/>
        </w:trPr>
        <w:tc>
          <w:tcPr>
            <w:tcW w:w="1115"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2040202</w:t>
            </w:r>
          </w:p>
        </w:tc>
        <w:tc>
          <w:tcPr>
            <w:tcW w:w="1836"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一般行政管理事务</w:t>
            </w:r>
          </w:p>
        </w:tc>
        <w:tc>
          <w:tcPr>
            <w:tcW w:w="1613" w:type="dxa"/>
            <w:tcBorders>
              <w:top w:val="nil"/>
              <w:left w:val="nil"/>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122.85</w:t>
            </w:r>
          </w:p>
        </w:tc>
        <w:tc>
          <w:tcPr>
            <w:tcW w:w="1763"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122.85</w:t>
            </w:r>
          </w:p>
        </w:tc>
        <w:tc>
          <w:tcPr>
            <w:tcW w:w="1762"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86" w:hRule="atLeast"/>
          <w:jc w:val="center"/>
        </w:trPr>
        <w:tc>
          <w:tcPr>
            <w:tcW w:w="1115"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20406</w:t>
            </w:r>
          </w:p>
        </w:tc>
        <w:tc>
          <w:tcPr>
            <w:tcW w:w="1836" w:type="dxa"/>
            <w:gridSpan w:val="2"/>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司法</w:t>
            </w:r>
          </w:p>
        </w:tc>
        <w:tc>
          <w:tcPr>
            <w:tcW w:w="1613" w:type="dxa"/>
            <w:tcBorders>
              <w:top w:val="nil"/>
              <w:left w:val="nil"/>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11.00</w:t>
            </w:r>
          </w:p>
        </w:tc>
        <w:tc>
          <w:tcPr>
            <w:tcW w:w="1763" w:type="dxa"/>
            <w:tcBorders>
              <w:top w:val="nil"/>
              <w:left w:val="single" w:color="auto" w:sz="4" w:space="0"/>
              <w:bottom w:val="single" w:color="auto" w:sz="4" w:space="0"/>
              <w:right w:val="nil"/>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11.00</w:t>
            </w:r>
          </w:p>
        </w:tc>
        <w:tc>
          <w:tcPr>
            <w:tcW w:w="1762"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406"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2040604</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基层司法业务</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2.00</w:t>
            </w:r>
          </w:p>
        </w:tc>
        <w:tc>
          <w:tcPr>
            <w:tcW w:w="17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2.00</w:t>
            </w:r>
          </w:p>
        </w:tc>
        <w:tc>
          <w:tcPr>
            <w:tcW w:w="176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334"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2040607</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法律援助</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9.00</w:t>
            </w:r>
          </w:p>
        </w:tc>
        <w:tc>
          <w:tcPr>
            <w:tcW w:w="17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9.00</w:t>
            </w:r>
          </w:p>
        </w:tc>
        <w:tc>
          <w:tcPr>
            <w:tcW w:w="1762"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7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bl>
    <w:p>
      <w:pPr>
        <w:rPr>
          <w:rFonts w:ascii="仿宋_GB2312" w:hAnsi="宋体" w:eastAsia="仿宋_GB2312"/>
          <w:sz w:val="22"/>
        </w:rPr>
      </w:pPr>
      <w:r>
        <w:rPr>
          <w:rFonts w:hint="eastAsia" w:ascii="仿宋_GB2312" w:hAnsi="宋体" w:eastAsia="仿宋_GB2312"/>
          <w:sz w:val="22"/>
        </w:rPr>
        <w:t>注：本表反映部门本年度各项支出情况。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中国共产党泗水县委员会政法委员会</w:t>
      </w:r>
      <w:r>
        <w:rPr>
          <w:rFonts w:hint="eastAsia" w:ascii="楷体_GB2312" w:eastAsia="楷体_GB2312"/>
          <w:sz w:val="28"/>
          <w:szCs w:val="28"/>
        </w:rPr>
        <w:t xml:space="preserve">                                                 单位：万元</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收 入</w:t>
            </w:r>
          </w:p>
        </w:tc>
        <w:tc>
          <w:tcPr>
            <w:tcW w:w="8267"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461.7</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43.76</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43.76</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405.54</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405.54</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五、教育支出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六、科学技术支出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461.7</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449.29</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449.29</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115.79</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128.2</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128.2</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115.79</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577.49</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577.49</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577.49</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bl>
    <w:p>
      <w:pPr>
        <w:ind w:firstLine="108" w:firstLineChars="50"/>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注：本表反映部门本年度一般公共预算财政拨款和政府性基金预算财政拨款的总收支和年末结转结余情况。</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中国共产党泗水县委员会政法委员会</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701"/>
        <w:gridCol w:w="3170"/>
        <w:gridCol w:w="2783"/>
        <w:gridCol w:w="2978"/>
        <w:gridCol w:w="2520"/>
      </w:tblGrid>
      <w:tr>
        <w:tblPrEx>
          <w:tblCellMar>
            <w:top w:w="0" w:type="dxa"/>
            <w:left w:w="108" w:type="dxa"/>
            <w:bottom w:w="0" w:type="dxa"/>
            <w:right w:w="108" w:type="dxa"/>
          </w:tblCellMar>
        </w:tblPrEx>
        <w:trPr>
          <w:trHeight w:val="274"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CellMar>
            <w:top w:w="0" w:type="dxa"/>
            <w:left w:w="108" w:type="dxa"/>
            <w:bottom w:w="0" w:type="dxa"/>
            <w:right w:w="108" w:type="dxa"/>
          </w:tblCellMar>
        </w:tblPrEx>
        <w:trPr>
          <w:trHeight w:val="619"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CellMar>
            <w:top w:w="0" w:type="dxa"/>
            <w:left w:w="108" w:type="dxa"/>
            <w:bottom w:w="0" w:type="dxa"/>
            <w:right w:w="108" w:type="dxa"/>
          </w:tblCellMar>
        </w:tblPrEx>
        <w:trPr>
          <w:trHeight w:val="360"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blPrEx>
          <w:tblCellMar>
            <w:top w:w="0" w:type="dxa"/>
            <w:left w:w="108" w:type="dxa"/>
            <w:bottom w:w="0" w:type="dxa"/>
            <w:right w:w="108" w:type="dxa"/>
          </w:tblCellMar>
        </w:tblPrEx>
        <w:trPr>
          <w:trHeight w:val="47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278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449.29</w:t>
            </w:r>
          </w:p>
        </w:tc>
        <w:tc>
          <w:tcPr>
            <w:tcW w:w="297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258.85</w:t>
            </w:r>
          </w:p>
        </w:tc>
        <w:tc>
          <w:tcPr>
            <w:tcW w:w="252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190.44</w:t>
            </w:r>
          </w:p>
        </w:tc>
      </w:tr>
      <w:tr>
        <w:tblPrEx>
          <w:tblCellMar>
            <w:top w:w="0" w:type="dxa"/>
            <w:left w:w="108" w:type="dxa"/>
            <w:bottom w:w="0" w:type="dxa"/>
            <w:right w:w="108" w:type="dxa"/>
          </w:tblCellMar>
        </w:tblPrEx>
        <w:trPr>
          <w:trHeight w:val="446" w:hRule="exact"/>
          <w:jc w:val="center"/>
        </w:trPr>
        <w:tc>
          <w:tcPr>
            <w:tcW w:w="1701"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201</w:t>
            </w:r>
          </w:p>
        </w:tc>
        <w:tc>
          <w:tcPr>
            <w:tcW w:w="317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一般公共服务支出</w:t>
            </w:r>
          </w:p>
        </w:tc>
        <w:tc>
          <w:tcPr>
            <w:tcW w:w="278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c>
          <w:tcPr>
            <w:tcW w:w="297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252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20131</w:t>
            </w:r>
          </w:p>
        </w:tc>
        <w:tc>
          <w:tcPr>
            <w:tcW w:w="317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党委办公厅（室）及相关机构事务</w:t>
            </w:r>
          </w:p>
        </w:tc>
        <w:tc>
          <w:tcPr>
            <w:tcW w:w="278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c>
          <w:tcPr>
            <w:tcW w:w="297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252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2013199</w:t>
            </w:r>
          </w:p>
        </w:tc>
        <w:tc>
          <w:tcPr>
            <w:tcW w:w="317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其他党委办公厅（室）及相关机构事务支出</w:t>
            </w:r>
          </w:p>
        </w:tc>
        <w:tc>
          <w:tcPr>
            <w:tcW w:w="278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c>
          <w:tcPr>
            <w:tcW w:w="2978"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252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43.76</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w:t>
            </w:r>
          </w:p>
        </w:tc>
        <w:tc>
          <w:tcPr>
            <w:tcW w:w="317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公共安全支出</w:t>
            </w:r>
          </w:p>
        </w:tc>
        <w:tc>
          <w:tcPr>
            <w:tcW w:w="278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405.54</w:t>
            </w:r>
          </w:p>
        </w:tc>
        <w:tc>
          <w:tcPr>
            <w:tcW w:w="297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258.85</w:t>
            </w:r>
          </w:p>
        </w:tc>
        <w:tc>
          <w:tcPr>
            <w:tcW w:w="252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146.68</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20402</w:t>
            </w:r>
          </w:p>
        </w:tc>
        <w:tc>
          <w:tcPr>
            <w:tcW w:w="317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公安</w:t>
            </w:r>
          </w:p>
        </w:tc>
        <w:tc>
          <w:tcPr>
            <w:tcW w:w="278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394.54</w:t>
            </w:r>
          </w:p>
        </w:tc>
        <w:tc>
          <w:tcPr>
            <w:tcW w:w="297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258.85</w:t>
            </w:r>
          </w:p>
        </w:tc>
        <w:tc>
          <w:tcPr>
            <w:tcW w:w="252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135.68</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2040201</w:t>
            </w:r>
          </w:p>
        </w:tc>
        <w:tc>
          <w:tcPr>
            <w:tcW w:w="317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行政运行</w:t>
            </w:r>
          </w:p>
        </w:tc>
        <w:tc>
          <w:tcPr>
            <w:tcW w:w="278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271.68</w:t>
            </w:r>
          </w:p>
        </w:tc>
        <w:tc>
          <w:tcPr>
            <w:tcW w:w="297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258.85</w:t>
            </w:r>
          </w:p>
        </w:tc>
        <w:tc>
          <w:tcPr>
            <w:tcW w:w="252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12.83</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2040202</w:t>
            </w:r>
          </w:p>
        </w:tc>
        <w:tc>
          <w:tcPr>
            <w:tcW w:w="317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一般行政管理事务</w:t>
            </w:r>
          </w:p>
        </w:tc>
        <w:tc>
          <w:tcPr>
            <w:tcW w:w="278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122.85</w:t>
            </w:r>
          </w:p>
        </w:tc>
        <w:tc>
          <w:tcPr>
            <w:tcW w:w="297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252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122.85</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20406</w:t>
            </w:r>
          </w:p>
        </w:tc>
        <w:tc>
          <w:tcPr>
            <w:tcW w:w="317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司法</w:t>
            </w:r>
          </w:p>
        </w:tc>
        <w:tc>
          <w:tcPr>
            <w:tcW w:w="278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11.00</w:t>
            </w:r>
          </w:p>
        </w:tc>
        <w:tc>
          <w:tcPr>
            <w:tcW w:w="2978"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2520"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11.00</w:t>
            </w:r>
          </w:p>
        </w:tc>
      </w:tr>
      <w:tr>
        <w:tblPrEx>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2040604</w:t>
            </w:r>
          </w:p>
        </w:tc>
        <w:tc>
          <w:tcPr>
            <w:tcW w:w="317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基层司法业务</w:t>
            </w:r>
          </w:p>
        </w:tc>
        <w:tc>
          <w:tcPr>
            <w:tcW w:w="278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2.00</w:t>
            </w:r>
          </w:p>
        </w:tc>
        <w:tc>
          <w:tcPr>
            <w:tcW w:w="2978"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2.00</w:t>
            </w:r>
          </w:p>
        </w:tc>
      </w:tr>
      <w:tr>
        <w:tblPrEx>
          <w:tblCellMar>
            <w:top w:w="0" w:type="dxa"/>
            <w:left w:w="108" w:type="dxa"/>
            <w:bottom w:w="0" w:type="dxa"/>
            <w:right w:w="108" w:type="dxa"/>
          </w:tblCellMar>
        </w:tblPrEx>
        <w:trPr>
          <w:trHeight w:val="454"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2040607</w:t>
            </w:r>
          </w:p>
        </w:tc>
        <w:tc>
          <w:tcPr>
            <w:tcW w:w="317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 xml:space="preserve">  法律援助</w:t>
            </w:r>
          </w:p>
        </w:tc>
        <w:tc>
          <w:tcPr>
            <w:tcW w:w="278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9.00</w:t>
            </w:r>
          </w:p>
        </w:tc>
        <w:tc>
          <w:tcPr>
            <w:tcW w:w="2978"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9.00</w:t>
            </w:r>
          </w:p>
        </w:tc>
      </w:tr>
    </w:tbl>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注：本表反映部门本年度一般公共预算财政拨款支出情况。</w:t>
      </w:r>
    </w:p>
    <w:p>
      <w:pPr>
        <w:spacing w:line="400" w:lineRule="exact"/>
        <w:jc w:val="left"/>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中国共产党泗水县委员会政法委员会</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008"/>
        <w:gridCol w:w="3023"/>
        <w:gridCol w:w="847"/>
        <w:gridCol w:w="1138"/>
        <w:gridCol w:w="1984"/>
        <w:gridCol w:w="833"/>
        <w:gridCol w:w="1010"/>
        <w:gridCol w:w="2551"/>
        <w:gridCol w:w="881"/>
      </w:tblGrid>
      <w:tr>
        <w:tblPrEx>
          <w:tblCellMar>
            <w:top w:w="0" w:type="dxa"/>
            <w:left w:w="108" w:type="dxa"/>
            <w:bottom w:w="0" w:type="dxa"/>
            <w:right w:w="108" w:type="dxa"/>
          </w:tblCellMar>
        </w:tblPrEx>
        <w:trPr>
          <w:trHeight w:val="369" w:hRule="atLeast"/>
          <w:tblHeader/>
          <w:jc w:val="center"/>
        </w:trPr>
        <w:tc>
          <w:tcPr>
            <w:tcW w:w="4878"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397"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13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81"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13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81"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191.75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41.45</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56.50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5.61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72.97</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1.38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12.34</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16.70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8.35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2.52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6.45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3.61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2.09</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1.35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1.09</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15.01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847" w:type="dxa"/>
            <w:tcBorders>
              <w:top w:val="nil"/>
              <w:left w:val="nil"/>
              <w:bottom w:val="single" w:color="auto" w:sz="4" w:space="0"/>
              <w:right w:val="single" w:color="auto" w:sz="4" w:space="0"/>
            </w:tcBorders>
            <w:vAlign w:val="center"/>
          </w:tcPr>
          <w:p>
            <w:pPr>
              <w:spacing w:line="240" w:lineRule="exact"/>
              <w:jc w:val="left"/>
              <w:rPr>
                <w:rFonts w:hint="default" w:ascii="仿宋_GB2312" w:eastAsia="仿宋_GB2312"/>
                <w:sz w:val="18"/>
                <w:szCs w:val="18"/>
                <w:lang w:val="en-US" w:eastAsia="zh-CN"/>
              </w:rPr>
            </w:pPr>
            <w:r>
              <w:rPr>
                <w:rFonts w:hint="eastAsia" w:ascii="仿宋_GB2312" w:eastAsia="仿宋_GB2312"/>
                <w:sz w:val="18"/>
                <w:szCs w:val="18"/>
                <w:lang w:val="en-US" w:eastAsia="zh-CN"/>
              </w:rPr>
              <w:t>25.65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2.34</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3.10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847" w:type="dxa"/>
            <w:tcBorders>
              <w:top w:val="nil"/>
              <w:left w:val="nil"/>
              <w:bottom w:val="single" w:color="auto" w:sz="4" w:space="0"/>
              <w:right w:val="single" w:color="auto" w:sz="4" w:space="0"/>
            </w:tcBorders>
            <w:vAlign w:val="center"/>
          </w:tcPr>
          <w:p>
            <w:pPr>
              <w:spacing w:line="240" w:lineRule="exact"/>
              <w:jc w:val="left"/>
              <w:rPr>
                <w:rFonts w:hint="default" w:ascii="仿宋_GB2312" w:eastAsia="仿宋_GB2312"/>
                <w:sz w:val="18"/>
                <w:szCs w:val="18"/>
                <w:lang w:val="en-US" w:eastAsia="zh-CN"/>
              </w:rPr>
            </w:pPr>
            <w:r>
              <w:rPr>
                <w:rFonts w:hint="eastAsia" w:ascii="仿宋_GB2312" w:eastAsia="仿宋_GB2312"/>
                <w:sz w:val="18"/>
                <w:szCs w:val="18"/>
                <w:lang w:val="en-US" w:eastAsia="zh-CN"/>
              </w:rPr>
              <w:t>25.65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5.71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11.74</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4.35</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spacing w:line="240" w:lineRule="exact"/>
              <w:jc w:val="left"/>
              <w:rPr>
                <w:rFonts w:hint="eastAsia" w:ascii="仿宋_GB2312" w:eastAsia="仿宋_GB2312"/>
                <w:sz w:val="18"/>
                <w:szCs w:val="18"/>
                <w:lang w:val="en-US" w:eastAsia="zh-CN"/>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r>
      <w:tr>
        <w:tblPrEx>
          <w:tblCellMar>
            <w:top w:w="0" w:type="dxa"/>
            <w:left w:w="108" w:type="dxa"/>
            <w:bottom w:w="0" w:type="dxa"/>
            <w:right w:w="108" w:type="dxa"/>
          </w:tblCellMar>
        </w:tblPrEx>
        <w:trPr>
          <w:trHeight w:val="20" w:hRule="atLeast"/>
          <w:jc w:val="center"/>
        </w:trPr>
        <w:tc>
          <w:tcPr>
            <w:tcW w:w="403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847" w:type="dxa"/>
            <w:tcBorders>
              <w:top w:val="nil"/>
              <w:left w:val="nil"/>
              <w:bottom w:val="single" w:color="auto" w:sz="8" w:space="0"/>
              <w:right w:val="single" w:color="auto" w:sz="4" w:space="0"/>
            </w:tcBorders>
            <w:vAlign w:val="center"/>
          </w:tcPr>
          <w:p>
            <w:pPr>
              <w:spacing w:line="240" w:lineRule="exact"/>
              <w:jc w:val="left"/>
              <w:rPr>
                <w:rFonts w:hint="default" w:ascii="仿宋_GB2312" w:eastAsia="仿宋_GB2312"/>
                <w:sz w:val="18"/>
                <w:szCs w:val="18"/>
                <w:lang w:val="en-US" w:eastAsia="zh-CN"/>
              </w:rPr>
            </w:pPr>
            <w:r>
              <w:rPr>
                <w:rFonts w:hint="eastAsia" w:ascii="仿宋_GB2312" w:eastAsia="仿宋_GB2312"/>
                <w:sz w:val="18"/>
                <w:szCs w:val="18"/>
                <w:lang w:val="en-US" w:eastAsia="zh-CN"/>
              </w:rPr>
              <w:t>217.4</w:t>
            </w:r>
          </w:p>
        </w:tc>
        <w:tc>
          <w:tcPr>
            <w:tcW w:w="7516"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881" w:type="dxa"/>
            <w:tcBorders>
              <w:top w:val="nil"/>
              <w:left w:val="nil"/>
              <w:bottom w:val="single" w:color="auto" w:sz="8" w:space="0"/>
              <w:right w:val="single" w:color="auto" w:sz="8" w:space="0"/>
            </w:tcBorders>
            <w:vAlign w:val="center"/>
          </w:tcPr>
          <w:p>
            <w:pPr>
              <w:widowControl/>
              <w:spacing w:line="300" w:lineRule="exact"/>
              <w:jc w:val="center"/>
              <w:rPr>
                <w:rFonts w:hint="default" w:ascii="仿宋_GB2312" w:hAnsi="宋体" w:eastAsia="仿宋_GB2312" w:cs="宋体"/>
                <w:color w:val="000000"/>
                <w:kern w:val="0"/>
                <w:sz w:val="20"/>
                <w:szCs w:val="20"/>
                <w:lang w:val="en-US" w:eastAsia="zh-CN"/>
              </w:rPr>
            </w:pPr>
            <w:r>
              <w:rPr>
                <w:rFonts w:hint="eastAsia" w:ascii="仿宋_GB2312" w:eastAsia="仿宋_GB2312"/>
                <w:sz w:val="18"/>
                <w:szCs w:val="18"/>
                <w:lang w:val="en-US" w:eastAsia="zh-CN"/>
              </w:rPr>
              <w:t>41.45</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注:本表反映部门本年度一般公共预算财政拨款基本支出明细情况。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中国共产党泗水县委员会政法委员会</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0" w:type="auto"/>
        <w:jc w:val="center"/>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22.00</w:t>
            </w:r>
          </w:p>
        </w:tc>
        <w:tc>
          <w:tcPr>
            <w:tcW w:w="1195" w:type="dxa"/>
            <w:tcBorders>
              <w:top w:val="nil"/>
              <w:left w:val="nil"/>
              <w:bottom w:val="single" w:color="auto" w:sz="8" w:space="0"/>
              <w:right w:val="single" w:color="auto" w:sz="4" w:space="0"/>
            </w:tcBorders>
            <w:shd w:val="clear" w:color="auto" w:fill="auto"/>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180" w:type="dxa"/>
            <w:tcBorders>
              <w:top w:val="nil"/>
              <w:left w:val="nil"/>
              <w:bottom w:val="single" w:color="auto" w:sz="8" w:space="0"/>
              <w:right w:val="single" w:color="auto" w:sz="4" w:space="0"/>
            </w:tcBorders>
            <w:shd w:val="clear" w:color="auto" w:fill="auto"/>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7.00</w:t>
            </w:r>
          </w:p>
        </w:tc>
        <w:tc>
          <w:tcPr>
            <w:tcW w:w="1180" w:type="dxa"/>
            <w:tcBorders>
              <w:top w:val="nil"/>
              <w:left w:val="nil"/>
              <w:bottom w:val="single" w:color="auto" w:sz="8" w:space="0"/>
              <w:right w:val="single" w:color="auto" w:sz="4" w:space="0"/>
            </w:tcBorders>
            <w:shd w:val="clear" w:color="auto" w:fill="auto"/>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188" w:type="dxa"/>
            <w:tcBorders>
              <w:top w:val="nil"/>
              <w:left w:val="nil"/>
              <w:bottom w:val="single" w:color="auto" w:sz="8" w:space="0"/>
              <w:right w:val="single" w:color="auto" w:sz="4" w:space="0"/>
            </w:tcBorders>
            <w:shd w:val="clear" w:color="auto" w:fill="auto"/>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7.00</w:t>
            </w:r>
          </w:p>
        </w:tc>
        <w:tc>
          <w:tcPr>
            <w:tcW w:w="962" w:type="dxa"/>
            <w:tcBorders>
              <w:top w:val="nil"/>
              <w:left w:val="nil"/>
              <w:bottom w:val="single" w:color="auto" w:sz="8" w:space="0"/>
              <w:right w:val="single" w:color="000000" w:sz="8" w:space="0"/>
            </w:tcBorders>
            <w:shd w:val="clear" w:color="auto" w:fill="auto"/>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15.00</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9.09</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851" w:type="dxa"/>
            <w:tcBorders>
              <w:top w:val="single" w:color="000000" w:sz="8" w:space="0"/>
              <w:left w:val="single" w:color="000000" w:sz="8" w:space="0"/>
              <w:bottom w:val="single" w:color="000000" w:sz="8" w:space="0"/>
              <w:right w:val="single" w:color="000000"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6.88</w:t>
            </w:r>
          </w:p>
        </w:tc>
        <w:tc>
          <w:tcPr>
            <w:tcW w:w="1132" w:type="dxa"/>
            <w:tcBorders>
              <w:top w:val="single" w:color="000000" w:sz="8" w:space="0"/>
              <w:left w:val="single" w:color="000000" w:sz="8" w:space="0"/>
              <w:bottom w:val="single" w:color="000000" w:sz="8" w:space="0"/>
              <w:right w:val="single" w:color="000000"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0.00</w:t>
            </w:r>
          </w:p>
        </w:tc>
        <w:tc>
          <w:tcPr>
            <w:tcW w:w="1164" w:type="dxa"/>
            <w:tcBorders>
              <w:top w:val="single" w:color="000000" w:sz="8" w:space="0"/>
              <w:left w:val="single" w:color="000000" w:sz="8" w:space="0"/>
              <w:bottom w:val="single" w:color="000000" w:sz="8" w:space="0"/>
              <w:right w:val="single" w:color="000000"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6.88</w:t>
            </w:r>
          </w:p>
        </w:tc>
        <w:tc>
          <w:tcPr>
            <w:tcW w:w="984" w:type="dxa"/>
            <w:tcBorders>
              <w:top w:val="single" w:color="000000" w:sz="8" w:space="0"/>
              <w:left w:val="single" w:color="000000" w:sz="8" w:space="0"/>
              <w:bottom w:val="single" w:color="000000" w:sz="8" w:space="0"/>
              <w:right w:val="single" w:color="000000" w:sz="8" w:space="0"/>
            </w:tcBorders>
            <w:vAlign w:val="center"/>
          </w:tcPr>
          <w:p>
            <w:pPr>
              <w:spacing w:line="240" w:lineRule="exact"/>
              <w:jc w:val="left"/>
              <w:rPr>
                <w:rFonts w:hint="eastAsia" w:ascii="仿宋_GB2312" w:eastAsia="仿宋_GB2312"/>
                <w:sz w:val="18"/>
                <w:szCs w:val="18"/>
                <w:lang w:val="en-US" w:eastAsia="zh-CN"/>
              </w:rPr>
            </w:pPr>
            <w:r>
              <w:rPr>
                <w:rFonts w:hint="eastAsia" w:ascii="仿宋_GB2312" w:eastAsia="仿宋_GB2312"/>
                <w:sz w:val="18"/>
                <w:szCs w:val="18"/>
                <w:lang w:val="en-US" w:eastAsia="zh-CN"/>
              </w:rPr>
              <w:t>2.21</w:t>
            </w:r>
          </w:p>
        </w:tc>
      </w:tr>
    </w:tbl>
    <w:p>
      <w:pPr>
        <w:spacing w:line="360" w:lineRule="exact"/>
        <w:ind w:firstLine="108" w:firstLineChars="50"/>
        <w:rPr>
          <w:rFonts w:ascii="仿宋_GB2312" w:hAnsi="宋体" w:eastAsia="仿宋_GB2312"/>
          <w:sz w:val="22"/>
        </w:rPr>
      </w:pPr>
      <w:r>
        <w:rPr>
          <w:rFonts w:hint="eastAsia" w:ascii="仿宋_GB2312" w:hAnsi="宋体" w:eastAsia="仿宋_GB2312"/>
          <w:sz w:val="22"/>
        </w:rPr>
        <w:t>注：本表反映部门本年度“三公”经费支出预决算情况。其中：预算数为“三公”经费年初预算数，决算数包括当年一般公共预算财政拨款</w:t>
      </w:r>
    </w:p>
    <w:p>
      <w:pPr>
        <w:spacing w:line="360" w:lineRule="exact"/>
        <w:ind w:firstLine="540" w:firstLineChars="250"/>
        <w:rPr>
          <w:rFonts w:ascii="仿宋_GB2312" w:hAnsi="宋体" w:eastAsia="仿宋_GB2312"/>
          <w:sz w:val="22"/>
        </w:rPr>
      </w:pPr>
      <w:r>
        <w:rPr>
          <w:rFonts w:hint="eastAsia" w:ascii="仿宋_GB2312" w:hAnsi="宋体" w:eastAsia="仿宋_GB2312"/>
          <w:sz w:val="22"/>
        </w:rPr>
        <w:t>和以前年度结转资金安排的实际支出。</w:t>
      </w:r>
    </w:p>
    <w:p>
      <w:pPr>
        <w:ind w:firstLine="108" w:firstLineChars="50"/>
        <w:rPr>
          <w:rFonts w:ascii="仿宋_GB2312" w:hAnsi="宋体" w:eastAsia="仿宋_GB2312"/>
          <w:sz w:val="22"/>
        </w:rPr>
      </w:pPr>
    </w:p>
    <w:p>
      <w:pPr>
        <w:ind w:firstLine="108" w:firstLineChars="50"/>
        <w:rPr>
          <w:rFonts w:ascii="仿宋_GB2312" w:hAnsi="宋体" w:eastAsia="仿宋_GB2312"/>
          <w:sz w:val="22"/>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both"/>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中国共产党泗水县委员会政法委员会</w:t>
      </w:r>
      <w:r>
        <w:rPr>
          <w:rFonts w:hint="eastAsia"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hint="eastAsia" w:ascii="仿宋_GB2312" w:hAnsi="宋体" w:eastAsia="仿宋_GB2312"/>
          <w:sz w:val="22"/>
          <w:lang w:eastAsia="zh-CN"/>
        </w:rPr>
      </w:pPr>
      <w:r>
        <w:rPr>
          <w:rFonts w:hint="eastAsia" w:ascii="仿宋_GB2312" w:hAnsi="宋体" w:eastAsia="仿宋_GB2312"/>
          <w:sz w:val="22"/>
        </w:rPr>
        <w:t>注：本部门没有政府性基金收入，也没有使用政府性基金安 排的支出，故本表无数据</w:t>
      </w:r>
      <w:r>
        <w:rPr>
          <w:rFonts w:hint="eastAsia" w:ascii="仿宋_GB2312" w:hAnsi="宋体" w:eastAsia="仿宋_GB2312"/>
          <w:sz w:val="22"/>
          <w:lang w:eastAsia="zh-CN"/>
        </w:rPr>
        <w:t>。</w:t>
      </w:r>
    </w:p>
    <w:p>
      <w:pPr>
        <w:rPr>
          <w:rFonts w:ascii="仿宋_GB2312" w:hAnsi="宋体" w:eastAsia="仿宋_GB2312"/>
          <w:sz w:val="22"/>
        </w:rPr>
      </w:pPr>
    </w:p>
    <w:p>
      <w:pPr>
        <w:rPr>
          <w:rFonts w:ascii="仿宋_GB2312" w:hAnsi="宋体" w:eastAsia="仿宋_GB2312"/>
          <w:sz w:val="22"/>
        </w:rPr>
      </w:pPr>
    </w:p>
    <w:tbl>
      <w:tblPr>
        <w:tblStyle w:val="11"/>
        <w:tblW w:w="13202" w:type="dxa"/>
        <w:tblInd w:w="89" w:type="dxa"/>
        <w:tblLayout w:type="autofit"/>
        <w:tblCellMar>
          <w:top w:w="0" w:type="dxa"/>
          <w:left w:w="108" w:type="dxa"/>
          <w:bottom w:w="0" w:type="dxa"/>
          <w:right w:w="108" w:type="dxa"/>
        </w:tblCellMar>
      </w:tblPr>
      <w:tblGrid>
        <w:gridCol w:w="13202"/>
      </w:tblGrid>
      <w:tr>
        <w:tblPrEx>
          <w:tblCellMar>
            <w:top w:w="0" w:type="dxa"/>
            <w:left w:w="108" w:type="dxa"/>
            <w:bottom w:w="0" w:type="dxa"/>
            <w:right w:w="108" w:type="dxa"/>
          </w:tblCellMar>
        </w:tblPrEx>
        <w:trPr>
          <w:trHeight w:val="450" w:hRule="atLeast"/>
        </w:trPr>
        <w:tc>
          <w:tcPr>
            <w:tcW w:w="13202" w:type="dxa"/>
            <w:tcBorders>
              <w:top w:val="nil"/>
              <w:left w:val="nil"/>
              <w:bottom w:val="nil"/>
              <w:right w:val="nil"/>
            </w:tcBorders>
            <w:shd w:val="clear" w:color="000000" w:fill="FFFFFF"/>
            <w:noWrap/>
            <w:vAlign w:val="center"/>
          </w:tcPr>
          <w:p>
            <w:pPr>
              <w:jc w:val="center"/>
              <w:rPr>
                <w:rFonts w:ascii="方正小标宋简体" w:eastAsia="方正小标宋简体"/>
                <w:sz w:val="44"/>
                <w:szCs w:val="44"/>
              </w:rPr>
            </w:pPr>
            <w:r>
              <w:rPr>
                <w:rFonts w:hint="eastAsia" w:ascii="方正小标宋简体" w:eastAsia="方正小标宋简体"/>
                <w:sz w:val="44"/>
                <w:szCs w:val="44"/>
              </w:rPr>
              <w:t>国有资本经营预算财政拨款收入支出决算批复表</w:t>
            </w:r>
          </w:p>
          <w:p>
            <w:pPr>
              <w:spacing w:line="400" w:lineRule="exact"/>
              <w:jc w:val="right"/>
              <w:rPr>
                <w:rFonts w:ascii="楷体_GB2312" w:eastAsia="楷体_GB2312"/>
                <w:sz w:val="28"/>
                <w:szCs w:val="28"/>
              </w:rPr>
            </w:pPr>
            <w:r>
              <w:rPr>
                <w:rFonts w:hint="eastAsia" w:ascii="楷体_GB2312" w:eastAsia="楷体_GB2312"/>
                <w:sz w:val="28"/>
                <w:szCs w:val="28"/>
              </w:rPr>
              <w:t>公开09表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中国共产党泗水县委员会政法委员会</w:t>
            </w:r>
            <w:r>
              <w:rPr>
                <w:rFonts w:hint="eastAsia" w:ascii="楷体_GB2312" w:eastAsia="楷体_GB2312"/>
                <w:sz w:val="28"/>
                <w:szCs w:val="28"/>
              </w:rPr>
              <w:t xml:space="preserve">                                             单位：万元</w:t>
            </w:r>
          </w:p>
          <w:tbl>
            <w:tblPr>
              <w:tblStyle w:val="11"/>
              <w:tblpPr w:leftFromText="180" w:rightFromText="180" w:vertAnchor="text" w:tblpXSpec="center" w:tblpY="1"/>
              <w:tblOverlap w:val="never"/>
              <w:tblW w:w="0" w:type="auto"/>
              <w:tblInd w:w="0" w:type="dxa"/>
              <w:tblLayout w:type="autofit"/>
              <w:tblCellMar>
                <w:top w:w="0" w:type="dxa"/>
                <w:left w:w="108" w:type="dxa"/>
                <w:bottom w:w="0" w:type="dxa"/>
                <w:right w:w="108" w:type="dxa"/>
              </w:tblCellMar>
            </w:tblPr>
            <w:tblGrid>
              <w:gridCol w:w="1350"/>
              <w:gridCol w:w="56"/>
              <w:gridCol w:w="1405"/>
              <w:gridCol w:w="1700"/>
              <w:gridCol w:w="1676"/>
              <w:gridCol w:w="1677"/>
              <w:gridCol w:w="1677"/>
              <w:gridCol w:w="1677"/>
              <w:gridCol w:w="1758"/>
            </w:tblGrid>
            <w:tr>
              <w:tblPrEx>
                <w:tblCellMar>
                  <w:top w:w="0" w:type="dxa"/>
                  <w:left w:w="108" w:type="dxa"/>
                  <w:bottom w:w="0" w:type="dxa"/>
                  <w:right w:w="108" w:type="dxa"/>
                </w:tblCellMar>
              </w:tblPrEx>
              <w:trPr>
                <w:trHeight w:val="453"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0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676"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167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5112"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0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结转</w:t>
                  </w:r>
                </w:p>
              </w:tc>
              <w:tc>
                <w:tcPr>
                  <w:tcW w:w="175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结余</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rPr>
                <w:rFonts w:ascii="华文中宋" w:hAnsi="华文中宋" w:eastAsia="华文中宋" w:cs="宋体"/>
                <w:kern w:val="0"/>
                <w:sz w:val="32"/>
                <w:szCs w:val="32"/>
              </w:rPr>
            </w:pPr>
            <w:r>
              <w:rPr>
                <w:rFonts w:hint="eastAsia" w:ascii="仿宋_GB2312" w:hAnsi="宋体" w:eastAsia="仿宋_GB2312"/>
                <w:sz w:val="22"/>
              </w:rPr>
              <w:t>注：本部门没有国有资本经营预算收入，也没有使用国有资 本经营预算安排的支出，故本表无数据。</w:t>
            </w:r>
          </w:p>
        </w:tc>
      </w:tr>
    </w:tbl>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2020年度部门决算情况说明</w:t>
      </w:r>
    </w:p>
    <w:p>
      <w:pPr>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shd w:val="clear"/>
        <w:ind w:firstLine="640" w:firstLineChars="200"/>
        <w:rPr>
          <w:rFonts w:hint="eastAsia" w:ascii="仿宋_GB2312" w:eastAsia="仿宋_GB2312"/>
          <w:sz w:val="32"/>
          <w:szCs w:val="32"/>
          <w:highlight w:val="none"/>
          <w:shd w:val="clear"/>
        </w:rPr>
      </w:pPr>
      <w:r>
        <w:rPr>
          <w:rFonts w:hint="eastAsia" w:ascii="仿宋_GB2312" w:eastAsia="仿宋_GB2312"/>
          <w:sz w:val="32"/>
          <w:szCs w:val="32"/>
          <w:highlight w:val="none"/>
          <w:shd w:val="clear"/>
        </w:rPr>
        <w:t xml:space="preserve">2020年度收、支总计 </w:t>
      </w:r>
      <w:r>
        <w:rPr>
          <w:rFonts w:hint="eastAsia" w:ascii="仿宋_GB2312" w:eastAsia="仿宋_GB2312"/>
          <w:sz w:val="32"/>
          <w:szCs w:val="32"/>
          <w:highlight w:val="none"/>
          <w:shd w:val="clear"/>
          <w:lang w:val="en-US" w:eastAsia="zh-CN"/>
        </w:rPr>
        <w:t>577.49</w:t>
      </w:r>
      <w:r>
        <w:rPr>
          <w:rFonts w:hint="eastAsia" w:ascii="仿宋_GB2312" w:eastAsia="仿宋_GB2312"/>
          <w:sz w:val="32"/>
          <w:szCs w:val="32"/>
          <w:highlight w:val="none"/>
          <w:shd w:val="clear"/>
        </w:rPr>
        <w:t>万元。与2019年相比，收、支总计各减少</w:t>
      </w:r>
      <w:r>
        <w:rPr>
          <w:rFonts w:hint="eastAsia" w:ascii="仿宋_GB2312" w:eastAsia="仿宋_GB2312"/>
          <w:sz w:val="32"/>
          <w:szCs w:val="32"/>
          <w:highlight w:val="none"/>
          <w:shd w:val="clear"/>
          <w:lang w:val="en-US" w:eastAsia="zh-CN"/>
        </w:rPr>
        <w:t>615.46</w:t>
      </w:r>
      <w:r>
        <w:rPr>
          <w:rFonts w:hint="eastAsia" w:ascii="仿宋_GB2312" w:eastAsia="仿宋_GB2312"/>
          <w:sz w:val="32"/>
          <w:szCs w:val="32"/>
          <w:highlight w:val="none"/>
          <w:shd w:val="clear"/>
        </w:rPr>
        <w:t>万元，下降</w:t>
      </w:r>
      <w:r>
        <w:rPr>
          <w:rFonts w:hint="eastAsia" w:ascii="仿宋_GB2312" w:eastAsia="仿宋_GB2312"/>
          <w:sz w:val="32"/>
          <w:szCs w:val="32"/>
          <w:highlight w:val="none"/>
          <w:shd w:val="clear"/>
          <w:lang w:val="en-US" w:eastAsia="zh-CN"/>
        </w:rPr>
        <w:t>51.6</w:t>
      </w:r>
      <w:r>
        <w:rPr>
          <w:rFonts w:hint="eastAsia" w:ascii="仿宋_GB2312" w:eastAsia="仿宋_GB2312"/>
          <w:sz w:val="32"/>
          <w:szCs w:val="32"/>
          <w:highlight w:val="none"/>
          <w:shd w:val="clear"/>
        </w:rPr>
        <w:t>%。主要是技防监控及综治平台网络租赁</w:t>
      </w:r>
      <w:r>
        <w:rPr>
          <w:rFonts w:hint="eastAsia" w:ascii="仿宋_GB2312" w:eastAsia="仿宋_GB2312"/>
          <w:sz w:val="32"/>
          <w:szCs w:val="32"/>
          <w:highlight w:val="none"/>
          <w:shd w:val="clear"/>
          <w:lang w:eastAsia="zh-CN"/>
        </w:rPr>
        <w:t>经费减少、雪亮工程经费减少</w:t>
      </w:r>
      <w:r>
        <w:rPr>
          <w:rFonts w:hint="eastAsia" w:ascii="仿宋_GB2312" w:eastAsia="仿宋_GB2312"/>
          <w:sz w:val="32"/>
          <w:szCs w:val="32"/>
          <w:highlight w:val="none"/>
          <w:shd w:val="clear"/>
        </w:rPr>
        <w:t>。</w:t>
      </w:r>
    </w:p>
    <w:p>
      <w:pPr>
        <w:shd w:val="clear"/>
        <w:ind w:firstLine="640" w:firstLineChars="200"/>
        <w:rPr>
          <w:rFonts w:ascii="黑体" w:hAnsi="黑体" w:eastAsia="黑体"/>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column">
              <wp:posOffset>1043940</wp:posOffset>
            </wp:positionH>
            <wp:positionV relativeFrom="paragraph">
              <wp:posOffset>272415</wp:posOffset>
            </wp:positionV>
            <wp:extent cx="3771265" cy="1637030"/>
            <wp:effectExtent l="4445" t="4445" r="19050" b="19685"/>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sz w:val="32"/>
          <w:szCs w:val="32"/>
        </w:rPr>
        <w:t>二、收入决算情况说明</w:t>
      </w:r>
    </w:p>
    <w:p>
      <w:pPr>
        <w:ind w:firstLine="640" w:firstLineChars="200"/>
        <w:rPr>
          <w:rFonts w:ascii="仿宋_GB2312" w:eastAsia="仿宋_GB2312"/>
          <w:sz w:val="32"/>
          <w:szCs w:val="32"/>
        </w:rPr>
      </w:pPr>
      <w:r>
        <w:rPr>
          <w:rFonts w:hint="eastAsia" w:ascii="仿宋_GB2312" w:eastAsia="仿宋_GB2312"/>
          <w:sz w:val="32"/>
          <w:szCs w:val="32"/>
        </w:rPr>
        <w:t xml:space="preserve">本年收入合计 </w:t>
      </w:r>
      <w:r>
        <w:rPr>
          <w:rFonts w:hint="eastAsia" w:ascii="仿宋_GB2312" w:eastAsia="仿宋_GB2312"/>
          <w:sz w:val="32"/>
          <w:szCs w:val="32"/>
          <w:lang w:val="en-US" w:eastAsia="zh-CN"/>
        </w:rPr>
        <w:t>461.7</w:t>
      </w:r>
      <w:r>
        <w:rPr>
          <w:rFonts w:hint="eastAsia" w:ascii="仿宋_GB2312" w:eastAsia="仿宋_GB2312"/>
          <w:sz w:val="32"/>
          <w:szCs w:val="32"/>
        </w:rPr>
        <w:t>万元，其中：财政拨款收入</w:t>
      </w:r>
      <w:r>
        <w:rPr>
          <w:rFonts w:hint="eastAsia" w:ascii="仿宋_GB2312" w:eastAsia="仿宋_GB2312"/>
          <w:sz w:val="32"/>
          <w:szCs w:val="32"/>
          <w:lang w:val="en-US" w:eastAsia="zh-CN"/>
        </w:rPr>
        <w:t>461.7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%；上级补助收入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事业收入0万元，占0%；经营收入0万元，占0%；附属单位上缴收入0万元，占0%；</w:t>
      </w:r>
      <w:r>
        <w:rPr>
          <w:rFonts w:hint="eastAsia" w:ascii="仿宋_GB2312" w:eastAsia="仿宋_GB2312"/>
          <w:sz w:val="32"/>
          <w:szCs w:val="32"/>
        </w:rPr>
        <w:t>其他收入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0" w:firstLineChars="200"/>
        <w:rPr>
          <w:rFonts w:hint="eastAsia" w:ascii="仿宋_GB2312" w:eastAsia="仿宋_GB2312"/>
          <w:b/>
          <w:sz w:val="32"/>
          <w:szCs w:val="32"/>
        </w:rPr>
      </w:pPr>
      <w:r>
        <w:rPr>
          <w:rFonts w:hint="eastAsia" w:ascii="仿宋_GB2312" w:eastAsia="仿宋_GB2312"/>
          <w:sz w:val="32"/>
          <w:szCs w:val="32"/>
        </w:rPr>
        <w:drawing>
          <wp:anchor distT="0" distB="0" distL="114300" distR="114300" simplePos="0" relativeHeight="251660288" behindDoc="0" locked="0" layoutInCell="1" allowOverlap="1">
            <wp:simplePos x="0" y="0"/>
            <wp:positionH relativeFrom="column">
              <wp:posOffset>1074420</wp:posOffset>
            </wp:positionH>
            <wp:positionV relativeFrom="paragraph">
              <wp:posOffset>262890</wp:posOffset>
            </wp:positionV>
            <wp:extent cx="3315970" cy="1515745"/>
            <wp:effectExtent l="4445" t="4445" r="17145" b="1905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rPr>
          <w:rFonts w:ascii="仿宋_GB2312" w:eastAsia="仿宋_GB2312"/>
          <w:b/>
          <w:sz w:val="32"/>
          <w:szCs w:val="32"/>
        </w:rPr>
      </w:pPr>
    </w:p>
    <w:p>
      <w:pPr>
        <w:ind w:firstLine="640" w:firstLineChars="200"/>
        <w:rPr>
          <w:rFonts w:ascii="黑体" w:hAnsi="黑体" w:eastAsia="黑体"/>
          <w:sz w:val="32"/>
          <w:szCs w:val="32"/>
        </w:rPr>
      </w:pPr>
      <w:r>
        <w:rPr>
          <w:rFonts w:hint="eastAsia" w:ascii="黑体" w:hAnsi="黑体" w:eastAsia="黑体"/>
          <w:sz w:val="32"/>
          <w:szCs w:val="32"/>
        </w:rPr>
        <w:t>三、支出决算情况说明</w:t>
      </w:r>
    </w:p>
    <w:p>
      <w:pPr>
        <w:ind w:firstLine="640" w:firstLineChars="200"/>
        <w:rPr>
          <w:rFonts w:ascii="仿宋_GB2312" w:eastAsia="仿宋_GB2312"/>
          <w:sz w:val="32"/>
          <w:szCs w:val="32"/>
        </w:rPr>
      </w:pPr>
      <w:r>
        <w:rPr>
          <w:rFonts w:hint="eastAsia" w:ascii="黑体" w:hAnsi="黑体" w:eastAsia="黑体"/>
          <w:sz w:val="32"/>
          <w:szCs w:val="32"/>
        </w:rPr>
        <w:drawing>
          <wp:anchor distT="0" distB="0" distL="114300" distR="114300" simplePos="0" relativeHeight="251661312" behindDoc="0" locked="0" layoutInCell="1" allowOverlap="1">
            <wp:simplePos x="0" y="0"/>
            <wp:positionH relativeFrom="column">
              <wp:posOffset>693420</wp:posOffset>
            </wp:positionH>
            <wp:positionV relativeFrom="paragraph">
              <wp:posOffset>1880870</wp:posOffset>
            </wp:positionV>
            <wp:extent cx="3771900" cy="1697990"/>
            <wp:effectExtent l="4445" t="5080" r="18415" b="19050"/>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eastAsia="仿宋_GB2312"/>
          <w:sz w:val="32"/>
          <w:szCs w:val="32"/>
        </w:rPr>
        <w:t>本年支出合计</w:t>
      </w:r>
      <w:r>
        <w:rPr>
          <w:rFonts w:hint="eastAsia" w:ascii="仿宋_GB2312" w:eastAsia="仿宋_GB2312"/>
          <w:sz w:val="32"/>
          <w:szCs w:val="32"/>
          <w:lang w:val="en-US" w:eastAsia="zh-CN"/>
        </w:rPr>
        <w:t>449.29</w:t>
      </w:r>
      <w:r>
        <w:rPr>
          <w:rFonts w:hint="eastAsia" w:ascii="仿宋_GB2312" w:eastAsia="仿宋_GB2312"/>
          <w:sz w:val="32"/>
          <w:szCs w:val="32"/>
        </w:rPr>
        <w:t>万元，其中：基本支出</w:t>
      </w:r>
      <w:r>
        <w:rPr>
          <w:rFonts w:hint="eastAsia" w:ascii="仿宋_GB2312" w:eastAsia="仿宋_GB2312"/>
          <w:sz w:val="32"/>
          <w:szCs w:val="32"/>
          <w:lang w:val="en-US" w:eastAsia="zh-CN"/>
        </w:rPr>
        <w:t>258.85</w:t>
      </w:r>
      <w:r>
        <w:rPr>
          <w:rFonts w:hint="eastAsia" w:ascii="仿宋_GB2312" w:eastAsia="仿宋_GB2312"/>
          <w:sz w:val="32"/>
          <w:szCs w:val="32"/>
        </w:rPr>
        <w:t>万元，占</w:t>
      </w:r>
      <w:r>
        <w:rPr>
          <w:rFonts w:hint="eastAsia" w:ascii="仿宋_GB2312" w:eastAsia="仿宋_GB2312"/>
          <w:sz w:val="32"/>
          <w:szCs w:val="32"/>
          <w:lang w:val="en-US" w:eastAsia="zh-CN"/>
        </w:rPr>
        <w:t>57.6</w:t>
      </w:r>
      <w:r>
        <w:rPr>
          <w:rFonts w:hint="eastAsia" w:ascii="仿宋_GB2312" w:eastAsia="仿宋_GB2312"/>
          <w:sz w:val="32"/>
          <w:szCs w:val="32"/>
        </w:rPr>
        <w:t>%；项目支出</w:t>
      </w:r>
      <w:r>
        <w:rPr>
          <w:rFonts w:hint="eastAsia" w:ascii="仿宋_GB2312" w:eastAsia="仿宋_GB2312"/>
          <w:sz w:val="32"/>
          <w:szCs w:val="32"/>
          <w:lang w:val="en-US" w:eastAsia="zh-CN"/>
        </w:rPr>
        <w:t>190.44</w:t>
      </w:r>
      <w:r>
        <w:rPr>
          <w:rFonts w:hint="eastAsia" w:ascii="仿宋_GB2312" w:eastAsia="仿宋_GB2312"/>
          <w:sz w:val="32"/>
          <w:szCs w:val="32"/>
        </w:rPr>
        <w:t>万元，占</w:t>
      </w:r>
      <w:r>
        <w:rPr>
          <w:rFonts w:hint="eastAsia" w:ascii="仿宋_GB2312" w:eastAsia="仿宋_GB2312"/>
          <w:sz w:val="32"/>
          <w:szCs w:val="32"/>
          <w:lang w:val="en-US" w:eastAsia="zh-CN"/>
        </w:rPr>
        <w:t>42.4</w:t>
      </w:r>
      <w:r>
        <w:rPr>
          <w:rFonts w:hint="eastAsia" w:ascii="仿宋_GB2312" w:eastAsia="仿宋_GB2312"/>
          <w:sz w:val="32"/>
          <w:szCs w:val="32"/>
        </w:rPr>
        <w:t>%；</w:t>
      </w:r>
      <w:r>
        <w:rPr>
          <w:rFonts w:hint="eastAsia" w:ascii="仿宋_GB2312" w:eastAsia="仿宋_GB2312"/>
          <w:sz w:val="32"/>
          <w:szCs w:val="32"/>
          <w:lang w:val="en-US" w:eastAsia="zh-CN"/>
        </w:rPr>
        <w:t>上缴上级支出0万元，占0%；经营支出0万元，占0%；</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3" w:firstLineChars="200"/>
        <w:rPr>
          <w:rFonts w:ascii="仿宋_GB2312" w:eastAsia="仿宋_GB2312"/>
          <w:b/>
          <w:sz w:val="32"/>
          <w:szCs w:val="32"/>
        </w:rPr>
      </w:pPr>
      <w:r>
        <w:rPr>
          <w:rFonts w:hint="eastAsia" w:ascii="仿宋_GB2312" w:eastAsia="仿宋_GB2312"/>
          <w:b/>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ind w:firstLine="640" w:firstLineChars="200"/>
        <w:rPr>
          <w:rFonts w:hint="eastAsia" w:ascii="仿宋_GB2312" w:eastAsia="仿宋_GB2312"/>
          <w:sz w:val="32"/>
          <w:szCs w:val="32"/>
        </w:rPr>
      </w:pPr>
      <w:r>
        <w:rPr>
          <w:rFonts w:hint="eastAsia" w:ascii="仿宋_GB2312" w:eastAsia="仿宋_GB2312"/>
          <w:sz w:val="32"/>
          <w:szCs w:val="32"/>
        </w:rPr>
        <w:drawing>
          <wp:anchor distT="0" distB="0" distL="114300" distR="114300" simplePos="0" relativeHeight="251662336" behindDoc="0" locked="0" layoutInCell="1" allowOverlap="1">
            <wp:simplePos x="0" y="0"/>
            <wp:positionH relativeFrom="column">
              <wp:posOffset>541655</wp:posOffset>
            </wp:positionH>
            <wp:positionV relativeFrom="paragraph">
              <wp:posOffset>1405890</wp:posOffset>
            </wp:positionV>
            <wp:extent cx="4186555" cy="1626870"/>
            <wp:effectExtent l="5080" t="4445" r="14605" b="14605"/>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eastAsia="仿宋_GB2312"/>
          <w:sz w:val="32"/>
          <w:szCs w:val="32"/>
        </w:rPr>
        <w:t>2020年度财政拨款</w:t>
      </w:r>
      <w:r>
        <w:rPr>
          <w:rFonts w:hint="eastAsia" w:ascii="仿宋_GB2312" w:eastAsia="仿宋_GB2312"/>
          <w:sz w:val="32"/>
          <w:szCs w:val="32"/>
          <w:highlight w:val="none"/>
        </w:rPr>
        <w:t>收、支总计</w:t>
      </w:r>
      <w:r>
        <w:rPr>
          <w:rFonts w:hint="eastAsia" w:ascii="仿宋_GB2312" w:eastAsia="仿宋_GB2312"/>
          <w:sz w:val="32"/>
          <w:szCs w:val="32"/>
          <w:highlight w:val="none"/>
          <w:lang w:val="en-US" w:eastAsia="zh-CN"/>
        </w:rPr>
        <w:t>577.49</w:t>
      </w:r>
      <w:r>
        <w:rPr>
          <w:rFonts w:hint="eastAsia" w:ascii="仿宋_GB2312" w:eastAsia="仿宋_GB2312"/>
          <w:sz w:val="32"/>
          <w:szCs w:val="32"/>
          <w:highlight w:val="none"/>
        </w:rPr>
        <w:t>万元。与2019年相比，财政拨款收、支总计各减少</w:t>
      </w:r>
      <w:r>
        <w:rPr>
          <w:rFonts w:hint="eastAsia" w:ascii="仿宋_GB2312" w:eastAsia="仿宋_GB2312"/>
          <w:sz w:val="32"/>
          <w:szCs w:val="32"/>
          <w:highlight w:val="none"/>
          <w:lang w:val="en-US" w:eastAsia="zh-CN"/>
        </w:rPr>
        <w:t>615.46</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51.6</w:t>
      </w:r>
      <w:r>
        <w:rPr>
          <w:rFonts w:hint="eastAsia" w:ascii="仿宋_GB2312" w:eastAsia="仿宋_GB2312"/>
          <w:sz w:val="32"/>
          <w:szCs w:val="32"/>
          <w:highlight w:val="none"/>
        </w:rPr>
        <w:t>%。主</w:t>
      </w:r>
      <w:r>
        <w:rPr>
          <w:rFonts w:hint="eastAsia" w:ascii="仿宋_GB2312" w:eastAsia="仿宋_GB2312"/>
          <w:sz w:val="32"/>
          <w:szCs w:val="32"/>
        </w:rPr>
        <w:t>要是技防监控及综治平台网络租赁经费减少、雪亮工程经费减少。</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40" w:firstLineChars="200"/>
        <w:rPr>
          <w:rFonts w:ascii="楷体_GB2312" w:eastAsia="楷体_GB2312"/>
          <w:sz w:val="32"/>
          <w:szCs w:val="32"/>
        </w:rPr>
      </w:pPr>
      <w:r>
        <w:rPr>
          <w:rFonts w:hint="eastAsia" w:ascii="楷体_GB2312" w:eastAsia="楷体_GB2312"/>
          <w:sz w:val="32"/>
          <w:szCs w:val="32"/>
        </w:rPr>
        <w:t>（一）一般公共预算财政拨款支出决算总体情况</w:t>
      </w:r>
    </w:p>
    <w:p>
      <w:pPr>
        <w:ind w:firstLine="640" w:firstLineChars="200"/>
        <w:rPr>
          <w:rFonts w:hint="eastAsia" w:ascii="仿宋_GB2312" w:eastAsia="仿宋_GB2312"/>
          <w:sz w:val="32"/>
          <w:szCs w:val="32"/>
        </w:rPr>
      </w:pPr>
      <w:r>
        <w:rPr>
          <w:rFonts w:hint="eastAsia" w:ascii="仿宋_GB2312" w:eastAsia="仿宋_GB2312"/>
          <w:sz w:val="32"/>
          <w:szCs w:val="32"/>
        </w:rPr>
        <w:t>2020年度一般公共预算财政拨款</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449.29</w:t>
      </w:r>
      <w:r>
        <w:rPr>
          <w:rFonts w:hint="eastAsia" w:ascii="仿宋_GB2312" w:eastAsia="仿宋_GB2312"/>
          <w:sz w:val="32"/>
          <w:szCs w:val="32"/>
          <w:highlight w:val="none"/>
        </w:rPr>
        <w:t>万元，占本年支出合计的</w:t>
      </w:r>
      <w:r>
        <w:rPr>
          <w:rFonts w:hint="eastAsia" w:ascii="仿宋_GB2312" w:eastAsia="仿宋_GB2312"/>
          <w:sz w:val="32"/>
          <w:szCs w:val="32"/>
          <w:highlight w:val="none"/>
          <w:lang w:val="en-US" w:eastAsia="zh-CN"/>
        </w:rPr>
        <w:t>77.8</w:t>
      </w:r>
      <w:r>
        <w:rPr>
          <w:rFonts w:hint="eastAsia" w:ascii="仿宋_GB2312" w:eastAsia="仿宋_GB2312"/>
          <w:sz w:val="32"/>
          <w:szCs w:val="32"/>
          <w:highlight w:val="none"/>
        </w:rPr>
        <w:t>%。与2019年相比，一般公共预算财政拨款支出减少</w:t>
      </w:r>
      <w:r>
        <w:rPr>
          <w:rFonts w:hint="eastAsia" w:ascii="仿宋_GB2312" w:eastAsia="仿宋_GB2312"/>
          <w:sz w:val="32"/>
          <w:szCs w:val="32"/>
          <w:highlight w:val="none"/>
          <w:lang w:val="en-US" w:eastAsia="zh-CN"/>
        </w:rPr>
        <w:t>444.01</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49.7</w:t>
      </w:r>
      <w:r>
        <w:rPr>
          <w:rFonts w:hint="eastAsia" w:ascii="仿宋_GB2312" w:eastAsia="仿宋_GB2312"/>
          <w:sz w:val="32"/>
          <w:szCs w:val="32"/>
          <w:highlight w:val="none"/>
        </w:rPr>
        <w:t>%。主要是</w:t>
      </w:r>
      <w:r>
        <w:rPr>
          <w:rFonts w:hint="eastAsia" w:ascii="仿宋_GB2312" w:eastAsia="仿宋_GB2312"/>
          <w:sz w:val="32"/>
          <w:szCs w:val="32"/>
          <w:highlight w:val="none"/>
          <w:shd w:val="clear"/>
        </w:rPr>
        <w:t>技防监控及综治平台网络租赁</w:t>
      </w:r>
      <w:r>
        <w:rPr>
          <w:rFonts w:hint="eastAsia" w:ascii="仿宋_GB2312" w:eastAsia="仿宋_GB2312"/>
          <w:sz w:val="32"/>
          <w:szCs w:val="32"/>
          <w:highlight w:val="none"/>
          <w:shd w:val="clear"/>
          <w:lang w:eastAsia="zh-CN"/>
        </w:rPr>
        <w:t>经费减少、雪亮工程经费减少</w:t>
      </w:r>
      <w:r>
        <w:rPr>
          <w:rFonts w:hint="eastAsia" w:ascii="仿宋_GB2312" w:eastAsia="仿宋_GB2312"/>
          <w:sz w:val="32"/>
          <w:szCs w:val="32"/>
        </w:rPr>
        <w:t>。</w:t>
      </w:r>
    </w:p>
    <w:p>
      <w:pPr>
        <w:rPr>
          <w:rFonts w:ascii="仿宋_GB2312" w:eastAsia="仿宋_GB2312"/>
          <w:b/>
          <w:sz w:val="32"/>
          <w:szCs w:val="32"/>
        </w:rPr>
      </w:pPr>
      <w:r>
        <w:rPr>
          <w:rFonts w:hint="eastAsia" w:ascii="仿宋_GB2312" w:eastAsia="仿宋_GB2312"/>
          <w:sz w:val="32"/>
          <w:szCs w:val="32"/>
        </w:rPr>
        <w:drawing>
          <wp:anchor distT="0" distB="0" distL="114300" distR="114300" simplePos="0" relativeHeight="251663360" behindDoc="0" locked="0" layoutInCell="1" allowOverlap="1">
            <wp:simplePos x="0" y="0"/>
            <wp:positionH relativeFrom="column">
              <wp:posOffset>594995</wp:posOffset>
            </wp:positionH>
            <wp:positionV relativeFrom="paragraph">
              <wp:posOffset>125730</wp:posOffset>
            </wp:positionV>
            <wp:extent cx="4080510" cy="136779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ind w:firstLine="640" w:firstLineChars="200"/>
        <w:rPr>
          <w:rFonts w:ascii="楷体_GB2312" w:eastAsia="楷体_GB2312"/>
          <w:sz w:val="32"/>
          <w:szCs w:val="32"/>
        </w:rPr>
      </w:pPr>
      <w:r>
        <w:rPr>
          <w:rFonts w:hint="eastAsia" w:ascii="楷体_GB2312" w:eastAsia="楷体_GB2312"/>
          <w:sz w:val="32"/>
          <w:szCs w:val="32"/>
        </w:rPr>
        <w:t>（二）一般公共预算财政拨款支出决算结构情况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449.29</w:t>
      </w:r>
      <w:r>
        <w:rPr>
          <w:rFonts w:hint="eastAsia" w:ascii="仿宋_GB2312" w:eastAsia="仿宋_GB2312"/>
          <w:sz w:val="32"/>
          <w:szCs w:val="32"/>
        </w:rPr>
        <w:t>万元，主要用于以下方面：一般公共服务（类）支出</w:t>
      </w:r>
      <w:r>
        <w:rPr>
          <w:rFonts w:hint="eastAsia" w:ascii="仿宋_GB2312" w:eastAsia="仿宋_GB2312"/>
          <w:sz w:val="32"/>
          <w:szCs w:val="32"/>
          <w:lang w:val="en-US" w:eastAsia="zh-CN"/>
        </w:rPr>
        <w:t>43.76</w:t>
      </w:r>
      <w:r>
        <w:rPr>
          <w:rFonts w:hint="eastAsia" w:ascii="仿宋_GB2312" w:eastAsia="仿宋_GB2312"/>
          <w:sz w:val="32"/>
          <w:szCs w:val="32"/>
        </w:rPr>
        <w:t>万元，占</w:t>
      </w:r>
      <w:r>
        <w:rPr>
          <w:rFonts w:hint="eastAsia" w:ascii="仿宋_GB2312" w:eastAsia="仿宋_GB2312"/>
          <w:sz w:val="32"/>
          <w:szCs w:val="32"/>
          <w:lang w:val="en-US" w:eastAsia="zh-CN"/>
        </w:rPr>
        <w:t>9.7</w:t>
      </w:r>
      <w:r>
        <w:rPr>
          <w:rFonts w:hint="eastAsia" w:ascii="仿宋_GB2312" w:eastAsia="仿宋_GB2312"/>
          <w:sz w:val="32"/>
          <w:szCs w:val="32"/>
        </w:rPr>
        <w:t>%；公共安全（类）支出</w:t>
      </w:r>
      <w:r>
        <w:rPr>
          <w:rFonts w:hint="eastAsia" w:ascii="仿宋_GB2312" w:eastAsia="仿宋_GB2312"/>
          <w:sz w:val="32"/>
          <w:szCs w:val="32"/>
          <w:lang w:val="en-US" w:eastAsia="zh-CN"/>
        </w:rPr>
        <w:t>405.54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占9</w:t>
      </w:r>
      <w:r>
        <w:rPr>
          <w:rFonts w:hint="eastAsia" w:ascii="仿宋_GB2312" w:eastAsia="仿宋_GB2312"/>
          <w:sz w:val="32"/>
          <w:szCs w:val="32"/>
          <w:lang w:val="en-US" w:eastAsia="zh-CN"/>
        </w:rPr>
        <w:t>0.3</w:t>
      </w:r>
      <w:r>
        <w:rPr>
          <w:rFonts w:hint="eastAsia" w:ascii="仿宋_GB2312" w:eastAsia="仿宋_GB2312"/>
          <w:sz w:val="32"/>
          <w:szCs w:val="32"/>
        </w:rPr>
        <w:t>%。</w:t>
      </w:r>
    </w:p>
    <w:p>
      <w:pPr>
        <w:ind w:firstLine="640" w:firstLineChars="200"/>
        <w:rPr>
          <w:rFonts w:hint="eastAsia" w:ascii="楷体_GB2312" w:eastAsia="楷体_GB2312"/>
          <w:sz w:val="32"/>
          <w:szCs w:val="32"/>
        </w:rPr>
      </w:pPr>
      <w:r>
        <w:rPr>
          <w:rFonts w:hint="eastAsia" w:ascii="仿宋_GB2312" w:eastAsia="仿宋_GB2312"/>
          <w:sz w:val="32"/>
          <w:szCs w:val="32"/>
        </w:rPr>
        <w:drawing>
          <wp:anchor distT="0" distB="0" distL="114300" distR="114300" simplePos="0" relativeHeight="251664384" behindDoc="0" locked="0" layoutInCell="1" allowOverlap="1">
            <wp:simplePos x="0" y="0"/>
            <wp:positionH relativeFrom="column">
              <wp:posOffset>883920</wp:posOffset>
            </wp:positionH>
            <wp:positionV relativeFrom="paragraph">
              <wp:posOffset>121285</wp:posOffset>
            </wp:positionV>
            <wp:extent cx="3768090" cy="1697990"/>
            <wp:effectExtent l="4445" t="4445" r="6985" b="19685"/>
            <wp:wrapTopAndBottom/>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ind w:firstLine="640" w:firstLineChars="200"/>
        <w:rPr>
          <w:rFonts w:ascii="楷体_GB2312" w:eastAsia="楷体_GB2312"/>
          <w:sz w:val="32"/>
          <w:szCs w:val="32"/>
        </w:rPr>
      </w:pPr>
      <w:r>
        <w:rPr>
          <w:rFonts w:hint="eastAsia" w:ascii="楷体_GB2312" w:eastAsia="楷体_GB2312"/>
          <w:sz w:val="32"/>
          <w:szCs w:val="32"/>
        </w:rPr>
        <w:t>（三）一般公共预算财政拨款支出决算具体情况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w:t>
      </w:r>
      <w:r>
        <w:rPr>
          <w:rFonts w:hint="eastAsia" w:ascii="仿宋_GB2312" w:eastAsia="仿宋_GB2312"/>
          <w:sz w:val="32"/>
          <w:szCs w:val="32"/>
          <w:highlight w:val="none"/>
          <w:lang w:val="en-US" w:eastAsia="zh-CN"/>
        </w:rPr>
        <w:t>634.89</w:t>
      </w:r>
      <w:r>
        <w:rPr>
          <w:rFonts w:hint="eastAsia" w:ascii="仿宋_GB2312" w:eastAsia="仿宋_GB2312"/>
          <w:sz w:val="32"/>
          <w:szCs w:val="32"/>
          <w:highlight w:val="none"/>
        </w:rPr>
        <w:t>万元，支出决算为</w:t>
      </w:r>
      <w:r>
        <w:rPr>
          <w:rFonts w:hint="eastAsia" w:ascii="仿宋_GB2312" w:eastAsia="仿宋_GB2312"/>
          <w:sz w:val="32"/>
          <w:szCs w:val="32"/>
          <w:highlight w:val="none"/>
          <w:lang w:val="en-US" w:eastAsia="zh-CN"/>
        </w:rPr>
        <w:t>449.29</w:t>
      </w:r>
      <w:r>
        <w:rPr>
          <w:rFonts w:hint="eastAsia"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70.8</w:t>
      </w:r>
      <w:r>
        <w:rPr>
          <w:rFonts w:hint="eastAsia" w:ascii="仿宋_GB2312" w:eastAsia="仿宋_GB2312"/>
          <w:sz w:val="32"/>
          <w:szCs w:val="32"/>
          <w:highlight w:val="none"/>
        </w:rPr>
        <w:t>%。决</w:t>
      </w:r>
      <w:r>
        <w:rPr>
          <w:rFonts w:hint="eastAsia" w:ascii="仿宋_GB2312" w:eastAsia="仿宋_GB2312"/>
          <w:sz w:val="32"/>
          <w:szCs w:val="32"/>
        </w:rPr>
        <w:t>算数小于年初预算数的主要原因</w:t>
      </w:r>
      <w:r>
        <w:rPr>
          <w:rFonts w:hint="eastAsia" w:ascii="仿宋_GB2312" w:eastAsia="仿宋_GB2312"/>
          <w:sz w:val="32"/>
          <w:szCs w:val="32"/>
          <w:lang w:val="en-US" w:eastAsia="zh-CN"/>
        </w:rPr>
        <w:t>2020年项目经费减少</w:t>
      </w:r>
      <w:r>
        <w:rPr>
          <w:rFonts w:hint="eastAsia" w:ascii="仿宋_GB2312" w:eastAsia="仿宋_GB2312"/>
          <w:sz w:val="32"/>
          <w:szCs w:val="32"/>
        </w:rPr>
        <w:t>。其中：</w:t>
      </w:r>
    </w:p>
    <w:p>
      <w:pPr>
        <w:ind w:firstLine="640" w:firstLineChars="200"/>
        <w:rPr>
          <w:rFonts w:ascii="仿宋_GB2312" w:eastAsia="仿宋_GB2312"/>
          <w:sz w:val="32"/>
          <w:szCs w:val="32"/>
        </w:rPr>
      </w:pPr>
      <w:r>
        <w:rPr>
          <w:rFonts w:hint="eastAsia" w:ascii="仿宋_GB2312" w:eastAsia="仿宋_GB2312"/>
          <w:sz w:val="32"/>
          <w:szCs w:val="32"/>
        </w:rPr>
        <w:t>1、一般公共服务支出（类）党委办公厅（室）及相关机构事务（款）其他党委办公厅（室）及相关机构事务支出（项）。主要反映用于</w:t>
      </w:r>
      <w:r>
        <w:rPr>
          <w:rFonts w:hint="eastAsia" w:ascii="仿宋_GB2312" w:eastAsia="仿宋_GB2312"/>
          <w:sz w:val="32"/>
          <w:szCs w:val="32"/>
          <w:lang w:eastAsia="zh-CN"/>
        </w:rPr>
        <w:t>行政运行</w:t>
      </w:r>
      <w:r>
        <w:rPr>
          <w:rFonts w:hint="eastAsia" w:ascii="仿宋_GB2312" w:eastAsia="仿宋_GB2312"/>
          <w:sz w:val="32"/>
          <w:szCs w:val="32"/>
        </w:rPr>
        <w:t>支出。年初预算为</w:t>
      </w:r>
      <w:r>
        <w:rPr>
          <w:rFonts w:hint="eastAsia" w:ascii="仿宋_GB2312" w:eastAsia="仿宋_GB2312"/>
          <w:sz w:val="32"/>
          <w:szCs w:val="32"/>
          <w:lang w:val="en-US" w:eastAsia="zh-CN"/>
        </w:rPr>
        <w:t>0</w:t>
      </w:r>
      <w:r>
        <w:rPr>
          <w:rFonts w:hint="eastAsia" w:ascii="仿宋_GB2312" w:eastAsia="仿宋_GB2312"/>
          <w:sz w:val="32"/>
          <w:szCs w:val="32"/>
        </w:rPr>
        <w:t>万元，支出决算为</w:t>
      </w:r>
      <w:r>
        <w:rPr>
          <w:rFonts w:hint="eastAsia" w:ascii="仿宋_GB2312" w:eastAsia="仿宋_GB2312"/>
          <w:sz w:val="32"/>
          <w:szCs w:val="32"/>
          <w:lang w:val="en-US" w:eastAsia="zh-CN"/>
        </w:rPr>
        <w:t>43.76</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%。决算数大于年初预算数主要原因是</w:t>
      </w:r>
      <w:r>
        <w:rPr>
          <w:rFonts w:hint="eastAsia" w:ascii="仿宋_GB2312" w:eastAsia="仿宋_GB2312"/>
          <w:sz w:val="32"/>
          <w:szCs w:val="32"/>
          <w:lang w:eastAsia="zh-CN"/>
        </w:rPr>
        <w:t>使用上年结转经费</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2、公共安全支出（类）公安（款）行政运行（项）。主要反映用于</w:t>
      </w:r>
      <w:r>
        <w:rPr>
          <w:rFonts w:hint="eastAsia" w:ascii="仿宋_GB2312" w:eastAsia="仿宋_GB2312"/>
          <w:sz w:val="32"/>
          <w:szCs w:val="32"/>
          <w:lang w:eastAsia="zh-CN"/>
        </w:rPr>
        <w:t>行政办公事务</w:t>
      </w:r>
      <w:r>
        <w:rPr>
          <w:rFonts w:hint="eastAsia" w:ascii="仿宋_GB2312" w:eastAsia="仿宋_GB2312"/>
          <w:sz w:val="32"/>
          <w:szCs w:val="32"/>
        </w:rPr>
        <w:t>支出。年初预算为</w:t>
      </w:r>
      <w:r>
        <w:rPr>
          <w:rFonts w:hint="eastAsia" w:ascii="仿宋_GB2312" w:eastAsia="仿宋_GB2312"/>
          <w:sz w:val="32"/>
          <w:szCs w:val="32"/>
          <w:lang w:val="en-US" w:eastAsia="zh-CN"/>
        </w:rPr>
        <w:t>239.89</w:t>
      </w:r>
      <w:r>
        <w:rPr>
          <w:rFonts w:hint="eastAsia" w:ascii="仿宋_GB2312" w:eastAsia="仿宋_GB2312"/>
          <w:sz w:val="32"/>
          <w:szCs w:val="32"/>
        </w:rPr>
        <w:t>万元，支出决算为</w:t>
      </w:r>
      <w:r>
        <w:rPr>
          <w:rFonts w:hint="eastAsia" w:ascii="仿宋_GB2312" w:eastAsia="仿宋_GB2312"/>
          <w:sz w:val="32"/>
          <w:szCs w:val="32"/>
          <w:lang w:val="en-US" w:eastAsia="zh-CN"/>
        </w:rPr>
        <w:t>271.68</w:t>
      </w:r>
      <w:r>
        <w:rPr>
          <w:rFonts w:hint="eastAsia" w:ascii="仿宋_GB2312" w:eastAsia="仿宋_GB2312"/>
          <w:sz w:val="32"/>
          <w:szCs w:val="32"/>
        </w:rPr>
        <w:t>万元，完成年初预算的</w:t>
      </w:r>
      <w:r>
        <w:rPr>
          <w:rFonts w:hint="eastAsia" w:ascii="仿宋_GB2312" w:eastAsia="仿宋_GB2312"/>
          <w:sz w:val="32"/>
          <w:szCs w:val="32"/>
          <w:lang w:val="en-US" w:eastAsia="zh-CN"/>
        </w:rPr>
        <w:t>113</w:t>
      </w:r>
      <w:r>
        <w:rPr>
          <w:rFonts w:hint="eastAsia" w:ascii="仿宋_GB2312" w:eastAsia="仿宋_GB2312"/>
          <w:sz w:val="32"/>
          <w:szCs w:val="32"/>
        </w:rPr>
        <w:t>%。决算数大于年初预算数主要原因是</w:t>
      </w:r>
      <w:r>
        <w:rPr>
          <w:rFonts w:hint="eastAsia" w:ascii="仿宋_GB2312" w:eastAsia="仿宋_GB2312"/>
          <w:sz w:val="32"/>
          <w:szCs w:val="32"/>
          <w:lang w:eastAsia="zh-CN"/>
        </w:rPr>
        <w:t>办公经费支出增加</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、公共安全支出（类）司法（款）基层司法业务（项）。主要反映用于</w:t>
      </w:r>
      <w:r>
        <w:rPr>
          <w:rFonts w:hint="eastAsia" w:ascii="仿宋_GB2312" w:eastAsia="仿宋_GB2312"/>
          <w:sz w:val="32"/>
          <w:szCs w:val="32"/>
          <w:lang w:eastAsia="zh-CN"/>
        </w:rPr>
        <w:t>司法救助金</w:t>
      </w:r>
      <w:r>
        <w:rPr>
          <w:rFonts w:hint="eastAsia" w:ascii="仿宋_GB2312" w:eastAsia="仿宋_GB2312"/>
          <w:sz w:val="32"/>
          <w:szCs w:val="32"/>
        </w:rPr>
        <w:t>支出。年初预算为</w:t>
      </w:r>
      <w:r>
        <w:rPr>
          <w:rFonts w:hint="eastAsia" w:ascii="仿宋_GB2312" w:eastAsia="仿宋_GB2312"/>
          <w:sz w:val="32"/>
          <w:szCs w:val="32"/>
          <w:lang w:val="en-US" w:eastAsia="zh-CN"/>
        </w:rPr>
        <w:t>0</w:t>
      </w:r>
      <w:r>
        <w:rPr>
          <w:rFonts w:hint="eastAsia" w:ascii="仿宋_GB2312" w:eastAsia="仿宋_GB2312"/>
          <w:sz w:val="32"/>
          <w:szCs w:val="32"/>
        </w:rPr>
        <w:t>万元，支出决算为</w:t>
      </w:r>
      <w:r>
        <w:rPr>
          <w:rFonts w:hint="eastAsia" w:ascii="仿宋_GB2312" w:eastAsia="仿宋_GB2312"/>
          <w:sz w:val="32"/>
          <w:szCs w:val="32"/>
          <w:lang w:val="en-US" w:eastAsia="zh-CN"/>
        </w:rPr>
        <w:t>2</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%。决算数大于年初预算数主要原因是</w:t>
      </w:r>
      <w:r>
        <w:rPr>
          <w:rFonts w:hint="eastAsia" w:ascii="仿宋_GB2312" w:eastAsia="仿宋_GB2312"/>
          <w:sz w:val="32"/>
          <w:szCs w:val="32"/>
          <w:lang w:eastAsia="zh-CN"/>
        </w:rPr>
        <w:t>上级拨付司法救助金</w:t>
      </w:r>
      <w:r>
        <w:rPr>
          <w:rFonts w:hint="eastAsia" w:ascii="仿宋_GB2312" w:eastAsia="仿宋_GB2312"/>
          <w:sz w:val="32"/>
          <w:szCs w:val="32"/>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、公共安全支出（类）司法（款）法律援助（项）。主要反映用于</w:t>
      </w:r>
      <w:r>
        <w:rPr>
          <w:rFonts w:hint="eastAsia" w:ascii="仿宋_GB2312" w:eastAsia="仿宋_GB2312"/>
          <w:sz w:val="32"/>
          <w:szCs w:val="32"/>
          <w:lang w:eastAsia="zh-CN"/>
        </w:rPr>
        <w:t>司法救助金</w:t>
      </w:r>
      <w:r>
        <w:rPr>
          <w:rFonts w:hint="eastAsia" w:ascii="仿宋_GB2312" w:eastAsia="仿宋_GB2312"/>
          <w:sz w:val="32"/>
          <w:szCs w:val="32"/>
        </w:rPr>
        <w:t>支出。年初预算为</w:t>
      </w:r>
      <w:r>
        <w:rPr>
          <w:rFonts w:hint="eastAsia" w:ascii="仿宋_GB2312" w:eastAsia="仿宋_GB2312"/>
          <w:sz w:val="32"/>
          <w:szCs w:val="32"/>
          <w:lang w:val="en-US" w:eastAsia="zh-CN"/>
        </w:rPr>
        <w:t>0</w:t>
      </w:r>
      <w:r>
        <w:rPr>
          <w:rFonts w:hint="eastAsia" w:ascii="仿宋_GB2312" w:eastAsia="仿宋_GB2312"/>
          <w:sz w:val="32"/>
          <w:szCs w:val="32"/>
        </w:rPr>
        <w:t>万元，支出决算为</w:t>
      </w:r>
      <w:r>
        <w:rPr>
          <w:rFonts w:hint="eastAsia" w:ascii="仿宋_GB2312" w:eastAsia="仿宋_GB2312"/>
          <w:sz w:val="32"/>
          <w:szCs w:val="32"/>
          <w:lang w:val="en-US" w:eastAsia="zh-CN"/>
        </w:rPr>
        <w:t>9</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%。决算数大于年初预算数主要原因是</w:t>
      </w:r>
      <w:r>
        <w:rPr>
          <w:rFonts w:hint="eastAsia" w:ascii="仿宋_GB2312" w:eastAsia="仿宋_GB2312"/>
          <w:sz w:val="32"/>
          <w:szCs w:val="32"/>
          <w:lang w:eastAsia="zh-CN"/>
        </w:rPr>
        <w:t>上级拨付司法救助金。</w:t>
      </w:r>
    </w:p>
    <w:p>
      <w:pPr>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2020年度一般公共预算财政拨款基本支出决算</w:t>
      </w:r>
      <w:r>
        <w:rPr>
          <w:rFonts w:hint="eastAsia" w:ascii="仿宋_GB2312" w:eastAsia="仿宋_GB2312"/>
          <w:sz w:val="32"/>
          <w:szCs w:val="32"/>
          <w:lang w:val="en-US" w:eastAsia="zh-CN"/>
        </w:rPr>
        <w:t>258.85</w:t>
      </w:r>
      <w:r>
        <w:rPr>
          <w:rFonts w:hint="eastAsia" w:ascii="仿宋_GB2312" w:eastAsia="仿宋_GB2312"/>
          <w:sz w:val="32"/>
          <w:szCs w:val="32"/>
        </w:rPr>
        <w:t>万元，包括人员经费和公用经费，支出具体情况如下：</w:t>
      </w:r>
    </w:p>
    <w:p>
      <w:pPr>
        <w:ind w:firstLine="640" w:firstLineChars="200"/>
        <w:rPr>
          <w:rFonts w:hint="eastAsia" w:ascii="仿宋_GB2312" w:eastAsia="仿宋_GB2312"/>
          <w:sz w:val="32"/>
          <w:szCs w:val="32"/>
        </w:rPr>
      </w:pPr>
      <w:r>
        <w:rPr>
          <w:rFonts w:hint="eastAsia" w:ascii="仿宋_GB2312" w:eastAsia="仿宋_GB2312"/>
          <w:sz w:val="32"/>
          <w:szCs w:val="32"/>
          <w:highlight w:val="none"/>
        </w:rPr>
        <w:t>人员经费</w:t>
      </w:r>
      <w:r>
        <w:rPr>
          <w:rFonts w:hint="eastAsia" w:ascii="仿宋_GB2312" w:eastAsia="仿宋_GB2312"/>
          <w:sz w:val="32"/>
          <w:szCs w:val="32"/>
          <w:highlight w:val="none"/>
          <w:lang w:val="en-US" w:eastAsia="zh-CN"/>
        </w:rPr>
        <w:t>2</w:t>
      </w:r>
      <w:r>
        <w:rPr>
          <w:rFonts w:hint="eastAsia" w:ascii="仿宋_GB2312" w:eastAsia="仿宋_GB2312"/>
          <w:sz w:val="32"/>
          <w:szCs w:val="32"/>
          <w:lang w:val="en-US" w:eastAsia="zh-CN"/>
        </w:rPr>
        <w:t>17.4</w:t>
      </w:r>
      <w:r>
        <w:rPr>
          <w:rFonts w:hint="eastAsia" w:ascii="仿宋_GB2312" w:eastAsia="仿宋_GB2312"/>
          <w:sz w:val="32"/>
          <w:szCs w:val="32"/>
        </w:rPr>
        <w:t>万元，主要包括：基本工资、津贴补贴、绩效工资</w:t>
      </w:r>
      <w:r>
        <w:rPr>
          <w:rFonts w:hint="eastAsia" w:ascii="仿宋_GB2312" w:eastAsia="仿宋_GB2312"/>
          <w:sz w:val="32"/>
          <w:szCs w:val="32"/>
          <w:lang w:eastAsia="zh-CN"/>
        </w:rPr>
        <w:t>、机关事业单位基本养老保险缴费、职业年金缴费、职工基本医疗保险缴费、公务员医疗补助缴费、其他社会保障缴费、住房公积金、奖励金</w:t>
      </w:r>
      <w:r>
        <w:rPr>
          <w:rFonts w:hint="eastAsia" w:ascii="仿宋_GB2312" w:eastAsia="仿宋_GB2312"/>
          <w:sz w:val="32"/>
          <w:szCs w:val="32"/>
        </w:rPr>
        <w:t>等。</w:t>
      </w:r>
    </w:p>
    <w:p>
      <w:pPr>
        <w:ind w:firstLine="640" w:firstLineChars="200"/>
        <w:rPr>
          <w:rFonts w:hint="eastAsia" w:ascii="仿宋_GB2312" w:eastAsia="仿宋_GB2312"/>
          <w:sz w:val="32"/>
          <w:szCs w:val="32"/>
        </w:rPr>
      </w:pPr>
      <w:r>
        <w:rPr>
          <w:rFonts w:hint="eastAsia" w:ascii="仿宋_GB2312" w:eastAsia="仿宋_GB2312"/>
          <w:sz w:val="32"/>
          <w:szCs w:val="32"/>
          <w:highlight w:val="none"/>
        </w:rPr>
        <w:t>公用经费</w:t>
      </w:r>
      <w:r>
        <w:rPr>
          <w:rFonts w:hint="eastAsia" w:ascii="仿宋_GB2312" w:eastAsia="仿宋_GB2312"/>
          <w:sz w:val="32"/>
          <w:szCs w:val="32"/>
          <w:lang w:val="en-US" w:eastAsia="zh-CN"/>
        </w:rPr>
        <w:t>41.45</w:t>
      </w:r>
      <w:r>
        <w:rPr>
          <w:rFonts w:hint="eastAsia" w:ascii="仿宋_GB2312" w:eastAsia="仿宋_GB2312"/>
          <w:sz w:val="32"/>
          <w:szCs w:val="32"/>
        </w:rPr>
        <w:t>万元，主要包括：办公费、印刷费、邮电费</w:t>
      </w:r>
      <w:r>
        <w:rPr>
          <w:rFonts w:hint="eastAsia" w:ascii="仿宋_GB2312" w:eastAsia="仿宋_GB2312"/>
          <w:sz w:val="32"/>
          <w:szCs w:val="32"/>
          <w:lang w:eastAsia="zh-CN"/>
        </w:rPr>
        <w:t>、取暖费、差旅费、劳务费、工会经费、公务用车运行维护费、其他交通费用、其他商品和服务支出</w:t>
      </w:r>
      <w:r>
        <w:rPr>
          <w:rFonts w:hint="eastAsia" w:ascii="仿宋_GB2312" w:eastAsia="仿宋_GB2312"/>
          <w:sz w:val="32"/>
          <w:szCs w:val="32"/>
        </w:rPr>
        <w:t>等。</w:t>
      </w:r>
    </w:p>
    <w:p>
      <w:pPr>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ind w:firstLine="640" w:firstLineChars="200"/>
        <w:rPr>
          <w:rFonts w:ascii="楷体_GB2312" w:eastAsia="楷体_GB2312"/>
          <w:sz w:val="32"/>
          <w:szCs w:val="32"/>
        </w:rPr>
      </w:pPr>
      <w:r>
        <w:rPr>
          <w:rFonts w:hint="eastAsia" w:ascii="楷体_GB2312" w:eastAsia="楷体_GB2312"/>
          <w:sz w:val="32"/>
          <w:szCs w:val="32"/>
        </w:rPr>
        <w:t>（一）“三公”经费支出决算总体情况及增减变动原因</w:t>
      </w:r>
    </w:p>
    <w:p>
      <w:pPr>
        <w:ind w:firstLine="640" w:firstLineChars="200"/>
        <w:rPr>
          <w:rFonts w:ascii="仿宋_GB2312" w:eastAsia="仿宋_GB2312"/>
          <w:sz w:val="32"/>
          <w:szCs w:val="32"/>
        </w:rPr>
      </w:pPr>
      <w:r>
        <w:rPr>
          <w:rFonts w:hint="eastAsia" w:ascii="仿宋_GB2312" w:hAnsi="宋体" w:eastAsia="仿宋_GB2312" w:cs="Courier New"/>
          <w:sz w:val="32"/>
          <w:szCs w:val="32"/>
        </w:rPr>
        <w:t>一般公共预算财政拨款“三公”经费支出范围包括</w:t>
      </w:r>
      <w:r>
        <w:rPr>
          <w:rFonts w:hint="eastAsia" w:ascii="仿宋_GB2312" w:hAnsi="宋体" w:eastAsia="仿宋_GB2312" w:cs="Courier New"/>
          <w:sz w:val="32"/>
          <w:szCs w:val="32"/>
          <w:lang w:eastAsia="zh-CN"/>
        </w:rPr>
        <w:t>中国共产党泗水县委员会政法委员会</w:t>
      </w:r>
      <w:r>
        <w:rPr>
          <w:rFonts w:hint="eastAsia" w:ascii="仿宋_GB2312" w:hAnsi="宋体" w:eastAsia="仿宋_GB2312" w:cs="Courier New"/>
          <w:sz w:val="32"/>
          <w:szCs w:val="32"/>
        </w:rPr>
        <w:t>，共</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个预算单位。</w:t>
      </w:r>
      <w:r>
        <w:rPr>
          <w:rFonts w:hint="eastAsia" w:ascii="仿宋_GB2312" w:eastAsia="仿宋_GB2312"/>
          <w:sz w:val="32"/>
          <w:szCs w:val="32"/>
        </w:rPr>
        <w:t>2020年度一般公共预算财政拨款“三公”经费决算数为</w:t>
      </w:r>
      <w:r>
        <w:rPr>
          <w:rFonts w:hint="eastAsia" w:ascii="仿宋_GB2312" w:eastAsia="仿宋_GB2312"/>
          <w:sz w:val="32"/>
          <w:szCs w:val="32"/>
          <w:lang w:val="en-US" w:eastAsia="zh-CN"/>
        </w:rPr>
        <w:t>9.09</w:t>
      </w:r>
      <w:r>
        <w:rPr>
          <w:rFonts w:hint="eastAsia" w:ascii="仿宋_GB2312" w:eastAsia="仿宋_GB2312"/>
          <w:sz w:val="32"/>
          <w:szCs w:val="32"/>
        </w:rPr>
        <w:t>万元，完成年初预算的</w:t>
      </w:r>
      <w:r>
        <w:rPr>
          <w:rFonts w:hint="eastAsia" w:ascii="仿宋_GB2312" w:eastAsia="仿宋_GB2312"/>
          <w:sz w:val="32"/>
          <w:szCs w:val="32"/>
          <w:lang w:val="en-US" w:eastAsia="zh-CN"/>
        </w:rPr>
        <w:t>41.3</w:t>
      </w:r>
      <w:r>
        <w:rPr>
          <w:rFonts w:hint="eastAsia" w:ascii="仿宋_GB2312" w:eastAsia="仿宋_GB2312"/>
          <w:sz w:val="32"/>
          <w:szCs w:val="32"/>
        </w:rPr>
        <w:t>%，其中：因公出国（境）费</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w:t>
      </w:r>
      <w:r>
        <w:rPr>
          <w:rFonts w:hint="eastAsia" w:ascii="仿宋_GB2312" w:eastAsia="仿宋_GB2312"/>
          <w:sz w:val="32"/>
          <w:szCs w:val="32"/>
          <w:lang w:val="en-US" w:eastAsia="zh-CN"/>
        </w:rPr>
        <w:t>6.88</w:t>
      </w:r>
      <w:r>
        <w:rPr>
          <w:rFonts w:hint="eastAsia" w:ascii="仿宋_GB2312" w:eastAsia="仿宋_GB2312"/>
          <w:sz w:val="32"/>
          <w:szCs w:val="32"/>
        </w:rPr>
        <w:t>万元，完成年初预算的</w:t>
      </w:r>
      <w:r>
        <w:rPr>
          <w:rFonts w:hint="eastAsia" w:ascii="仿宋_GB2312" w:eastAsia="仿宋_GB2312"/>
          <w:sz w:val="32"/>
          <w:szCs w:val="32"/>
          <w:lang w:val="en-US" w:eastAsia="zh-CN"/>
        </w:rPr>
        <w:t>98.3</w:t>
      </w:r>
      <w:r>
        <w:rPr>
          <w:rFonts w:hint="eastAsia" w:ascii="仿宋_GB2312" w:eastAsia="仿宋_GB2312"/>
          <w:sz w:val="32"/>
          <w:szCs w:val="32"/>
        </w:rPr>
        <w:t>%；公务接待费</w:t>
      </w:r>
      <w:r>
        <w:rPr>
          <w:rFonts w:hint="eastAsia" w:ascii="仿宋_GB2312" w:eastAsia="仿宋_GB2312"/>
          <w:sz w:val="32"/>
          <w:szCs w:val="32"/>
          <w:lang w:val="en-US" w:eastAsia="zh-CN"/>
        </w:rPr>
        <w:t>2.21</w:t>
      </w:r>
      <w:r>
        <w:rPr>
          <w:rFonts w:hint="eastAsia" w:ascii="仿宋_GB2312" w:eastAsia="仿宋_GB2312"/>
          <w:sz w:val="32"/>
          <w:szCs w:val="32"/>
        </w:rPr>
        <w:t>万元，完成年初预算的</w:t>
      </w:r>
      <w:r>
        <w:rPr>
          <w:rFonts w:hint="eastAsia" w:ascii="仿宋_GB2312" w:eastAsia="仿宋_GB2312"/>
          <w:sz w:val="32"/>
          <w:szCs w:val="32"/>
          <w:lang w:val="en-US" w:eastAsia="zh-CN"/>
        </w:rPr>
        <w:t>14.7</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2020年“三公”经费决算比年初预算数减少</w:t>
      </w:r>
      <w:r>
        <w:rPr>
          <w:rFonts w:hint="eastAsia" w:ascii="仿宋_GB2312" w:eastAsia="仿宋_GB2312"/>
          <w:sz w:val="32"/>
          <w:szCs w:val="32"/>
          <w:lang w:val="en-US" w:eastAsia="zh-CN"/>
        </w:rPr>
        <w:t>12.91</w:t>
      </w:r>
      <w:r>
        <w:rPr>
          <w:rFonts w:hint="eastAsia" w:ascii="仿宋_GB2312" w:eastAsia="仿宋_GB2312"/>
          <w:sz w:val="32"/>
          <w:szCs w:val="32"/>
        </w:rPr>
        <w:t>万元，主要原因是严格执行公车管理规定，严格按照公务接待标准控制接待费用。其中：因公出国（境）费与2020年预算基本持平、公务用车购置及运行费减少</w:t>
      </w:r>
      <w:r>
        <w:rPr>
          <w:rFonts w:hint="eastAsia" w:ascii="仿宋_GB2312" w:eastAsia="仿宋_GB2312"/>
          <w:sz w:val="32"/>
          <w:szCs w:val="32"/>
          <w:lang w:val="en-US" w:eastAsia="zh-CN"/>
        </w:rPr>
        <w:t>0.12</w:t>
      </w:r>
      <w:r>
        <w:rPr>
          <w:rFonts w:hint="eastAsia" w:ascii="仿宋_GB2312" w:eastAsia="仿宋_GB2312"/>
          <w:sz w:val="32"/>
          <w:szCs w:val="32"/>
        </w:rPr>
        <w:t>万元、公务接待费减少</w:t>
      </w:r>
      <w:r>
        <w:rPr>
          <w:rFonts w:hint="eastAsia" w:ascii="仿宋_GB2312" w:eastAsia="仿宋_GB2312"/>
          <w:sz w:val="32"/>
          <w:szCs w:val="32"/>
          <w:lang w:val="en-US" w:eastAsia="zh-CN"/>
        </w:rPr>
        <w:t>12.79</w:t>
      </w:r>
      <w:r>
        <w:rPr>
          <w:rFonts w:hint="eastAsia" w:ascii="仿宋_GB2312" w:eastAsia="仿宋_GB2312"/>
          <w:sz w:val="32"/>
          <w:szCs w:val="32"/>
        </w:rPr>
        <w:t>万元。公务用车购置及运行费减少的主要原因是严格执行公车管理规定。公务接待费减少的主要原因是20</w:t>
      </w:r>
      <w:r>
        <w:rPr>
          <w:rFonts w:hint="eastAsia" w:ascii="仿宋_GB2312" w:eastAsia="仿宋_GB2312"/>
          <w:sz w:val="32"/>
          <w:szCs w:val="32"/>
          <w:lang w:val="en-US" w:eastAsia="zh-CN"/>
        </w:rPr>
        <w:t>20</w:t>
      </w:r>
      <w:r>
        <w:rPr>
          <w:rFonts w:hint="eastAsia" w:ascii="仿宋_GB2312" w:eastAsia="仿宋_GB2312"/>
          <w:sz w:val="32"/>
          <w:szCs w:val="32"/>
        </w:rPr>
        <w:t>年度公务接待次数减少，严格按照公务接待标准控制接待费用。</w:t>
      </w:r>
    </w:p>
    <w:p>
      <w:pPr>
        <w:ind w:firstLine="640" w:firstLineChars="200"/>
        <w:rPr>
          <w:rFonts w:ascii="楷体_GB2312" w:eastAsia="楷体_GB2312"/>
          <w:sz w:val="32"/>
          <w:szCs w:val="32"/>
        </w:rPr>
      </w:pPr>
      <w:r>
        <w:rPr>
          <w:rFonts w:hint="eastAsia" w:ascii="楷体_GB2312" w:eastAsia="楷体_GB2312"/>
          <w:sz w:val="32"/>
          <w:szCs w:val="32"/>
        </w:rPr>
        <w:t>（二）“三公”经费支出决算具体情况</w:t>
      </w:r>
    </w:p>
    <w:p>
      <w:pPr>
        <w:ind w:firstLine="640" w:firstLineChars="200"/>
        <w:rPr>
          <w:rFonts w:hint="eastAsia" w:ascii="仿宋_GB2312" w:eastAsia="仿宋_GB2312"/>
          <w:sz w:val="32"/>
          <w:szCs w:val="32"/>
        </w:rPr>
      </w:pPr>
      <w:r>
        <w:rPr>
          <w:rFonts w:hint="eastAsia" w:ascii="仿宋_GB2312" w:eastAsia="仿宋_GB2312"/>
          <w:sz w:val="32"/>
          <w:szCs w:val="32"/>
        </w:rPr>
        <w:t>1、因公出国（境）费决算数为</w:t>
      </w:r>
      <w:r>
        <w:rPr>
          <w:rFonts w:hint="eastAsia" w:ascii="仿宋_GB2312" w:eastAsia="仿宋_GB2312"/>
          <w:sz w:val="32"/>
          <w:szCs w:val="32"/>
          <w:lang w:val="en-US" w:eastAsia="zh-CN"/>
        </w:rPr>
        <w:t>0</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0</w:t>
      </w:r>
      <w:r>
        <w:rPr>
          <w:rFonts w:hint="eastAsia" w:ascii="仿宋_GB2312" w:eastAsia="仿宋_GB2312"/>
          <w:sz w:val="32"/>
          <w:szCs w:val="32"/>
        </w:rPr>
        <w:t>%。2020年因公出国（境）团组</w:t>
      </w:r>
      <w:r>
        <w:rPr>
          <w:rFonts w:hint="eastAsia" w:ascii="仿宋_GB2312" w:eastAsia="仿宋_GB2312"/>
          <w:sz w:val="32"/>
          <w:szCs w:val="32"/>
          <w:lang w:val="en-US" w:eastAsia="zh-CN"/>
        </w:rPr>
        <w:t>0</w:t>
      </w:r>
      <w:r>
        <w:rPr>
          <w:rFonts w:hint="eastAsia" w:ascii="仿宋_GB2312" w:eastAsia="仿宋_GB2312"/>
          <w:sz w:val="32"/>
          <w:szCs w:val="32"/>
        </w:rPr>
        <w:t>个,累计</w:t>
      </w:r>
      <w:r>
        <w:rPr>
          <w:rFonts w:hint="eastAsia" w:ascii="仿宋_GB2312" w:eastAsia="仿宋_GB2312"/>
          <w:sz w:val="32"/>
          <w:szCs w:val="32"/>
          <w:lang w:val="en-US" w:eastAsia="zh-CN"/>
        </w:rPr>
        <w:t>0</w:t>
      </w:r>
      <w:r>
        <w:rPr>
          <w:rFonts w:hint="eastAsia" w:ascii="仿宋_GB2312" w:eastAsia="仿宋_GB2312"/>
          <w:sz w:val="32"/>
          <w:szCs w:val="32"/>
        </w:rPr>
        <w:t>人次。</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2、公务用车购置及运行维护费决算数为</w:t>
      </w:r>
      <w:r>
        <w:rPr>
          <w:rFonts w:hint="eastAsia" w:ascii="仿宋_GB2312" w:eastAsia="仿宋_GB2312"/>
          <w:sz w:val="32"/>
          <w:szCs w:val="32"/>
          <w:lang w:val="en-US" w:eastAsia="zh-CN"/>
        </w:rPr>
        <w:t>6.88</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75.7</w:t>
      </w:r>
      <w:r>
        <w:rPr>
          <w:rFonts w:hint="eastAsia" w:ascii="仿宋_GB2312" w:eastAsia="仿宋_GB2312"/>
          <w:sz w:val="32"/>
          <w:szCs w:val="32"/>
        </w:rPr>
        <w:t>%。其中：公务用车购置费支出</w:t>
      </w:r>
      <w:r>
        <w:rPr>
          <w:rFonts w:hint="eastAsia" w:ascii="仿宋_GB2312" w:eastAsia="仿宋_GB2312"/>
          <w:sz w:val="32"/>
          <w:szCs w:val="32"/>
          <w:lang w:val="en-US" w:eastAsia="zh-CN"/>
        </w:rPr>
        <w:t>0</w:t>
      </w:r>
      <w:r>
        <w:rPr>
          <w:rFonts w:hint="eastAsia" w:ascii="仿宋_GB2312" w:eastAsia="仿宋_GB2312"/>
          <w:sz w:val="32"/>
          <w:szCs w:val="32"/>
        </w:rPr>
        <w:t>万元，2020年</w:t>
      </w:r>
      <w:r>
        <w:rPr>
          <w:rFonts w:hint="eastAsia" w:ascii="仿宋_GB2312" w:eastAsia="仿宋_GB2312"/>
          <w:sz w:val="32"/>
          <w:szCs w:val="32"/>
          <w:lang w:eastAsia="zh-CN"/>
        </w:rPr>
        <w:t>单位</w:t>
      </w:r>
      <w:r>
        <w:rPr>
          <w:rFonts w:hint="eastAsia" w:ascii="仿宋_GB2312" w:eastAsia="仿宋_GB2312"/>
          <w:sz w:val="32"/>
          <w:szCs w:val="32"/>
        </w:rPr>
        <w:t>使用财政拨款购置公务用车</w:t>
      </w:r>
      <w:r>
        <w:rPr>
          <w:rFonts w:hint="eastAsia" w:ascii="仿宋_GB2312" w:eastAsia="仿宋_GB2312"/>
          <w:sz w:val="32"/>
          <w:szCs w:val="32"/>
          <w:lang w:val="en-US" w:eastAsia="zh-CN"/>
        </w:rPr>
        <w:t>0</w:t>
      </w:r>
      <w:r>
        <w:rPr>
          <w:rFonts w:hint="eastAsia" w:ascii="仿宋_GB2312" w:eastAsia="仿宋_GB2312"/>
          <w:sz w:val="32"/>
          <w:szCs w:val="32"/>
        </w:rPr>
        <w:t>辆；公务用车运行维护费</w:t>
      </w:r>
      <w:r>
        <w:rPr>
          <w:rFonts w:hint="eastAsia" w:ascii="仿宋_GB2312" w:eastAsia="仿宋_GB2312"/>
          <w:sz w:val="32"/>
          <w:szCs w:val="32"/>
          <w:lang w:val="en-US" w:eastAsia="zh-CN"/>
        </w:rPr>
        <w:t>6.88</w:t>
      </w:r>
      <w:r>
        <w:rPr>
          <w:rFonts w:hint="eastAsia" w:ascii="仿宋_GB2312" w:eastAsia="仿宋_GB2312"/>
          <w:sz w:val="32"/>
          <w:szCs w:val="32"/>
        </w:rPr>
        <w:t>万元，主要用于两辆公务用车的维修维护。2020年</w:t>
      </w:r>
      <w:r>
        <w:rPr>
          <w:rFonts w:hint="eastAsia" w:ascii="仿宋_GB2312" w:eastAsia="仿宋_GB2312"/>
          <w:sz w:val="32"/>
          <w:szCs w:val="32"/>
          <w:lang w:eastAsia="zh-CN"/>
        </w:rPr>
        <w:t>单位</w:t>
      </w:r>
      <w:r>
        <w:rPr>
          <w:rFonts w:hint="eastAsia" w:ascii="仿宋_GB2312" w:eastAsia="仿宋_GB2312"/>
          <w:sz w:val="32"/>
          <w:szCs w:val="32"/>
        </w:rPr>
        <w:t>财政拨款开支运行维护费的公务用车保有量为</w:t>
      </w:r>
      <w:r>
        <w:rPr>
          <w:rFonts w:hint="eastAsia" w:ascii="仿宋_GB2312" w:eastAsia="仿宋_GB2312"/>
          <w:sz w:val="32"/>
          <w:szCs w:val="32"/>
          <w:lang w:val="en-US" w:eastAsia="zh-CN"/>
        </w:rPr>
        <w:t>2</w:t>
      </w:r>
      <w:r>
        <w:rPr>
          <w:rFonts w:hint="eastAsia" w:ascii="仿宋_GB2312" w:eastAsia="仿宋_GB2312"/>
          <w:sz w:val="32"/>
          <w:szCs w:val="32"/>
        </w:rPr>
        <w:t>辆。</w:t>
      </w:r>
    </w:p>
    <w:p>
      <w:pPr>
        <w:ind w:firstLine="640" w:firstLineChars="200"/>
        <w:rPr>
          <w:rFonts w:ascii="仿宋_GB2312" w:eastAsia="仿宋_GB2312"/>
          <w:sz w:val="32"/>
          <w:szCs w:val="32"/>
        </w:rPr>
      </w:pPr>
      <w:r>
        <w:rPr>
          <w:rFonts w:hint="eastAsia" w:ascii="仿宋_GB2312" w:eastAsia="仿宋_GB2312"/>
          <w:sz w:val="32"/>
          <w:szCs w:val="32"/>
        </w:rPr>
        <w:t>3、公务接待费决算数为</w:t>
      </w:r>
      <w:r>
        <w:rPr>
          <w:rFonts w:hint="eastAsia" w:ascii="仿宋_GB2312" w:eastAsia="仿宋_GB2312"/>
          <w:sz w:val="32"/>
          <w:szCs w:val="32"/>
          <w:lang w:val="en-US" w:eastAsia="zh-CN"/>
        </w:rPr>
        <w:t>2.21</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24.3</w:t>
      </w:r>
      <w:r>
        <w:rPr>
          <w:rFonts w:hint="eastAsia" w:ascii="仿宋_GB2312" w:eastAsia="仿宋_GB2312"/>
          <w:sz w:val="32"/>
          <w:szCs w:val="32"/>
        </w:rPr>
        <w:t>%。其中：国内接待费</w:t>
      </w:r>
      <w:r>
        <w:rPr>
          <w:rFonts w:hint="eastAsia" w:ascii="仿宋_GB2312" w:eastAsia="仿宋_GB2312"/>
          <w:sz w:val="32"/>
          <w:szCs w:val="32"/>
          <w:lang w:val="en-US" w:eastAsia="zh-CN"/>
        </w:rPr>
        <w:t>2.21</w:t>
      </w:r>
      <w:r>
        <w:rPr>
          <w:rFonts w:hint="eastAsia" w:ascii="仿宋_GB2312" w:eastAsia="仿宋_GB2312"/>
          <w:sz w:val="32"/>
          <w:szCs w:val="32"/>
        </w:rPr>
        <w:t>万元，主要用于上级工作督导，共计接待</w:t>
      </w:r>
      <w:r>
        <w:rPr>
          <w:rFonts w:hint="eastAsia" w:ascii="仿宋_GB2312" w:eastAsia="仿宋_GB2312"/>
          <w:sz w:val="32"/>
          <w:szCs w:val="32"/>
          <w:lang w:val="en-US" w:eastAsia="zh-CN"/>
        </w:rPr>
        <w:t>92</w:t>
      </w:r>
      <w:r>
        <w:rPr>
          <w:rFonts w:hint="eastAsia" w:ascii="仿宋_GB2312" w:eastAsia="仿宋_GB2312"/>
          <w:sz w:val="32"/>
          <w:szCs w:val="32"/>
        </w:rPr>
        <w:t>批次、</w:t>
      </w:r>
      <w:r>
        <w:rPr>
          <w:rFonts w:hint="eastAsia" w:ascii="仿宋_GB2312" w:eastAsia="仿宋_GB2312"/>
          <w:sz w:val="32"/>
          <w:szCs w:val="32"/>
          <w:lang w:val="en-US" w:eastAsia="zh-CN"/>
        </w:rPr>
        <w:t>239</w:t>
      </w:r>
      <w:r>
        <w:rPr>
          <w:rFonts w:hint="eastAsia" w:ascii="仿宋_GB2312" w:eastAsia="仿宋_GB2312"/>
          <w:sz w:val="32"/>
          <w:szCs w:val="32"/>
        </w:rPr>
        <w:t>人次（含外事接待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人次）；国（境）外接待费</w:t>
      </w:r>
      <w:r>
        <w:rPr>
          <w:rFonts w:hint="eastAsia" w:ascii="仿宋_GB2312" w:eastAsia="仿宋_GB2312"/>
          <w:sz w:val="32"/>
          <w:szCs w:val="32"/>
          <w:lang w:val="en-US" w:eastAsia="zh-CN"/>
        </w:rPr>
        <w:t>0</w:t>
      </w:r>
      <w:r>
        <w:rPr>
          <w:rFonts w:hint="eastAsia" w:ascii="仿宋_GB2312" w:eastAsia="仿宋_GB2312"/>
          <w:sz w:val="32"/>
          <w:szCs w:val="32"/>
        </w:rPr>
        <w:t>万元，共计接待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w:t>
      </w:r>
    </w:p>
    <w:p>
      <w:pPr>
        <w:ind w:firstLine="640" w:firstLineChars="200"/>
        <w:rPr>
          <w:rFonts w:ascii="黑体" w:hAnsi="黑体" w:eastAsia="黑体"/>
          <w:sz w:val="32"/>
          <w:szCs w:val="32"/>
        </w:rPr>
      </w:pPr>
      <w:r>
        <w:rPr>
          <w:rFonts w:hint="eastAsia" w:ascii="黑体" w:hAnsi="黑体" w:eastAsia="黑体"/>
          <w:sz w:val="32"/>
          <w:szCs w:val="32"/>
        </w:rPr>
        <w:t>八、政府性基金预算财政拨款收入支出决算情况说明</w:t>
      </w:r>
    </w:p>
    <w:p>
      <w:pPr>
        <w:ind w:firstLine="640" w:firstLineChars="200"/>
        <w:rPr>
          <w:rFonts w:hint="eastAsia" w:ascii="仿宋_GB2312" w:eastAsia="仿宋_GB2312"/>
          <w:sz w:val="32"/>
          <w:szCs w:val="32"/>
        </w:rPr>
      </w:pPr>
      <w:r>
        <w:rPr>
          <w:rFonts w:hint="eastAsia" w:ascii="仿宋_GB2312" w:eastAsia="仿宋_GB2312"/>
          <w:sz w:val="32"/>
          <w:szCs w:val="32"/>
        </w:rPr>
        <w:t>2020年度本部门没有政府性基金财政拨款收支。</w:t>
      </w:r>
    </w:p>
    <w:p>
      <w:pPr>
        <w:ind w:firstLine="640" w:firstLineChars="200"/>
        <w:rPr>
          <w:rFonts w:ascii="黑体" w:hAnsi="黑体" w:eastAsia="黑体"/>
          <w:sz w:val="32"/>
          <w:szCs w:val="32"/>
        </w:rPr>
      </w:pPr>
      <w:r>
        <w:rPr>
          <w:rFonts w:hint="eastAsia" w:ascii="黑体" w:hAnsi="黑体" w:eastAsia="黑体"/>
          <w:sz w:val="32"/>
          <w:szCs w:val="32"/>
        </w:rPr>
        <w:t>九、国有资本经营预算财政拨款收入支出决算情况说明</w:t>
      </w:r>
    </w:p>
    <w:p>
      <w:pPr>
        <w:ind w:firstLine="640" w:firstLineChars="200"/>
        <w:rPr>
          <w:rFonts w:hint="eastAsia" w:ascii="仿宋_GB2312" w:eastAsia="仿宋_GB2312"/>
          <w:sz w:val="32"/>
          <w:szCs w:val="32"/>
        </w:rPr>
      </w:pPr>
      <w:r>
        <w:rPr>
          <w:rFonts w:hint="eastAsia" w:ascii="仿宋_GB2312" w:eastAsia="仿宋_GB2312"/>
          <w:sz w:val="32"/>
          <w:szCs w:val="32"/>
        </w:rPr>
        <w:t>2020年度本部门没有国有资本经营预算财政拨款收支。</w:t>
      </w:r>
    </w:p>
    <w:p>
      <w:pPr>
        <w:ind w:firstLine="640" w:firstLineChars="200"/>
        <w:rPr>
          <w:rFonts w:ascii="黑体" w:hAnsi="黑体" w:eastAsia="黑体"/>
          <w:sz w:val="32"/>
          <w:szCs w:val="32"/>
        </w:rPr>
      </w:pPr>
      <w:r>
        <w:rPr>
          <w:rFonts w:hint="eastAsia" w:ascii="黑体" w:hAnsi="黑体" w:eastAsia="黑体"/>
          <w:sz w:val="32"/>
          <w:szCs w:val="32"/>
        </w:rPr>
        <w:t>十、重要事项情况说明</w:t>
      </w:r>
    </w:p>
    <w:p>
      <w:pPr>
        <w:ind w:firstLine="640" w:firstLineChars="200"/>
        <w:rPr>
          <w:rFonts w:ascii="楷体_GB2312" w:eastAsia="楷体_GB2312"/>
          <w:sz w:val="32"/>
          <w:szCs w:val="32"/>
        </w:rPr>
      </w:pPr>
      <w:r>
        <w:rPr>
          <w:rFonts w:hint="eastAsia" w:ascii="楷体_GB2312" w:eastAsia="楷体_GB2312"/>
          <w:sz w:val="32"/>
          <w:szCs w:val="32"/>
        </w:rPr>
        <w:t>（一）机关运行经费支出情况</w:t>
      </w:r>
    </w:p>
    <w:p>
      <w:pPr>
        <w:ind w:firstLine="640" w:firstLineChars="200"/>
        <w:rPr>
          <w:rFonts w:ascii="仿宋_GB2312" w:eastAsia="仿宋_GB2312"/>
          <w:b/>
          <w:sz w:val="32"/>
          <w:szCs w:val="32"/>
        </w:rPr>
      </w:pPr>
      <w:r>
        <w:rPr>
          <w:rFonts w:hint="eastAsia" w:ascii="仿宋_GB2312" w:eastAsia="仿宋_GB2312"/>
          <w:sz w:val="32"/>
          <w:szCs w:val="32"/>
        </w:rPr>
        <w:t>2020年度机关运行经费支出</w:t>
      </w:r>
      <w:r>
        <w:rPr>
          <w:rFonts w:hint="eastAsia" w:ascii="仿宋_GB2312" w:eastAsia="仿宋_GB2312"/>
          <w:sz w:val="32"/>
          <w:szCs w:val="32"/>
          <w:lang w:val="en-US" w:eastAsia="zh-CN"/>
        </w:rPr>
        <w:t>41.45</w:t>
      </w:r>
      <w:r>
        <w:rPr>
          <w:rFonts w:hint="eastAsia" w:ascii="仿宋_GB2312" w:eastAsia="仿宋_GB2312"/>
          <w:sz w:val="32"/>
          <w:szCs w:val="32"/>
        </w:rPr>
        <w:t>万元，比年初预算数增加</w:t>
      </w:r>
      <w:r>
        <w:rPr>
          <w:rFonts w:hint="eastAsia" w:ascii="仿宋_GB2312" w:eastAsia="仿宋_GB2312"/>
          <w:sz w:val="32"/>
          <w:szCs w:val="32"/>
          <w:lang w:val="en-US" w:eastAsia="zh-CN"/>
        </w:rPr>
        <w:t>12.5</w:t>
      </w:r>
      <w:r>
        <w:rPr>
          <w:rFonts w:hint="eastAsia" w:ascii="仿宋_GB2312" w:eastAsia="仿宋_GB2312"/>
          <w:sz w:val="32"/>
          <w:szCs w:val="32"/>
        </w:rPr>
        <w:t>万元，增长</w:t>
      </w:r>
      <w:r>
        <w:rPr>
          <w:rFonts w:hint="eastAsia" w:ascii="仿宋_GB2312" w:eastAsia="仿宋_GB2312"/>
          <w:sz w:val="32"/>
          <w:szCs w:val="32"/>
          <w:lang w:val="en-US" w:eastAsia="zh-CN"/>
        </w:rPr>
        <w:t>30</w:t>
      </w:r>
      <w:r>
        <w:rPr>
          <w:rFonts w:hint="eastAsia" w:ascii="仿宋_GB2312" w:eastAsia="仿宋_GB2312"/>
          <w:sz w:val="32"/>
          <w:szCs w:val="32"/>
        </w:rPr>
        <w:t>%，主要原因是</w:t>
      </w:r>
      <w:r>
        <w:rPr>
          <w:rFonts w:hint="eastAsia" w:ascii="仿宋_GB2312" w:eastAsia="仿宋_GB2312"/>
          <w:sz w:val="32"/>
          <w:szCs w:val="32"/>
          <w:lang w:eastAsia="zh-CN"/>
        </w:rPr>
        <w:t>办公经费支出增加</w:t>
      </w:r>
      <w:r>
        <w:rPr>
          <w:rFonts w:hint="eastAsia" w:ascii="仿宋_GB2312" w:eastAsia="仿宋_GB2312"/>
          <w:sz w:val="32"/>
          <w:szCs w:val="32"/>
        </w:rPr>
        <w:t>。</w:t>
      </w:r>
    </w:p>
    <w:p>
      <w:pPr>
        <w:ind w:firstLine="640" w:firstLineChars="200"/>
        <w:rPr>
          <w:rFonts w:ascii="楷体_GB2312" w:eastAsia="楷体_GB2312"/>
          <w:sz w:val="32"/>
          <w:szCs w:val="32"/>
        </w:rPr>
      </w:pPr>
      <w:r>
        <w:rPr>
          <w:rFonts w:hint="eastAsia" w:ascii="楷体_GB2312" w:eastAsia="楷体_GB2312"/>
          <w:sz w:val="32"/>
          <w:szCs w:val="32"/>
        </w:rPr>
        <w:t>（二）政府采购支出情况</w:t>
      </w:r>
    </w:p>
    <w:p>
      <w:pPr>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2020年度政府采购支出总额</w:t>
      </w:r>
      <w:r>
        <w:rPr>
          <w:rFonts w:hint="eastAsia" w:ascii="仿宋_GB2312" w:hAnsi="宋体" w:eastAsia="仿宋_GB2312" w:cs="Courier New"/>
          <w:sz w:val="32"/>
          <w:szCs w:val="32"/>
          <w:lang w:val="en-US" w:eastAsia="zh-CN"/>
        </w:rPr>
        <w:t>2.36</w:t>
      </w:r>
      <w:r>
        <w:rPr>
          <w:rFonts w:hint="eastAsia" w:ascii="仿宋_GB2312" w:hAnsi="宋体" w:eastAsia="仿宋_GB2312" w:cs="Courier New"/>
          <w:sz w:val="32"/>
          <w:szCs w:val="32"/>
        </w:rPr>
        <w:t>万元，其中：政府采购货物支出</w:t>
      </w:r>
      <w:r>
        <w:rPr>
          <w:rFonts w:hint="eastAsia" w:ascii="仿宋_GB2312" w:hAnsi="宋体" w:eastAsia="仿宋_GB2312" w:cs="Courier New"/>
          <w:sz w:val="32"/>
          <w:szCs w:val="32"/>
          <w:lang w:val="en-US" w:eastAsia="zh-CN"/>
        </w:rPr>
        <w:t>2.36</w:t>
      </w:r>
      <w:r>
        <w:rPr>
          <w:rFonts w:hint="eastAsia" w:ascii="仿宋_GB2312" w:hAnsi="宋体" w:eastAsia="仿宋_GB2312" w:cs="Courier New"/>
          <w:sz w:val="32"/>
          <w:szCs w:val="32"/>
        </w:rPr>
        <w:t>万元、政府采购工程支出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万元、政府采购服务支出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万元。授予中小企业合同金额</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%，其中：授予小微企业合同金额</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w:t>
      </w:r>
    </w:p>
    <w:p>
      <w:pPr>
        <w:ind w:firstLine="640" w:firstLineChars="200"/>
        <w:rPr>
          <w:rFonts w:ascii="楷体_GB2312" w:eastAsia="楷体_GB2312"/>
          <w:sz w:val="32"/>
          <w:szCs w:val="32"/>
          <w:highlight w:val="yellow"/>
        </w:rPr>
      </w:pPr>
      <w:r>
        <w:rPr>
          <w:rFonts w:hint="eastAsia" w:ascii="楷体_GB2312" w:eastAsia="楷体_GB2312"/>
          <w:sz w:val="32"/>
          <w:szCs w:val="32"/>
        </w:rPr>
        <w:t>（三）国有资产占用情况</w:t>
      </w:r>
    </w:p>
    <w:p>
      <w:pPr>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截至2020年</w:t>
      </w:r>
      <w:r>
        <w:rPr>
          <w:rFonts w:ascii="仿宋_GB2312" w:hAnsi="宋体" w:eastAsia="仿宋_GB2312" w:cs="Courier New"/>
          <w:sz w:val="32"/>
          <w:szCs w:val="32"/>
        </w:rPr>
        <w:t>12</w:t>
      </w:r>
      <w:r>
        <w:rPr>
          <w:rFonts w:hint="eastAsia" w:ascii="仿宋_GB2312" w:hAnsi="宋体" w:eastAsia="仿宋_GB2312" w:cs="Courier New"/>
          <w:sz w:val="32"/>
          <w:szCs w:val="32"/>
        </w:rPr>
        <w:t>月</w:t>
      </w:r>
      <w:r>
        <w:rPr>
          <w:rFonts w:ascii="仿宋_GB2312" w:hAnsi="宋体" w:eastAsia="仿宋_GB2312" w:cs="Courier New"/>
          <w:sz w:val="32"/>
          <w:szCs w:val="32"/>
        </w:rPr>
        <w:t>31</w:t>
      </w:r>
      <w:r>
        <w:rPr>
          <w:rFonts w:hint="eastAsia" w:ascii="仿宋_GB2312" w:hAnsi="宋体" w:eastAsia="仿宋_GB2312" w:cs="Courier New"/>
          <w:sz w:val="32"/>
          <w:szCs w:val="32"/>
        </w:rPr>
        <w:t>日，部门（单位）共有车辆</w:t>
      </w:r>
      <w:r>
        <w:rPr>
          <w:rFonts w:hint="eastAsia" w:ascii="仿宋_GB2312" w:hAnsi="宋体" w:eastAsia="仿宋_GB2312" w:cs="Courier New"/>
          <w:sz w:val="32"/>
          <w:szCs w:val="32"/>
          <w:lang w:val="en-US" w:eastAsia="zh-CN"/>
        </w:rPr>
        <w:t>2</w:t>
      </w:r>
      <w:r>
        <w:rPr>
          <w:rFonts w:hint="eastAsia" w:ascii="仿宋_GB2312" w:hAnsi="宋体" w:eastAsia="仿宋_GB2312" w:cs="Courier New"/>
          <w:sz w:val="32"/>
          <w:szCs w:val="32"/>
        </w:rPr>
        <w:t>辆，其中，符合规定的领导干部用车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辆、机要通信用车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辆、应急保障用车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辆、执法执勤用车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辆、特种专业技术用车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辆、其他用车</w:t>
      </w:r>
      <w:r>
        <w:rPr>
          <w:rFonts w:hint="eastAsia" w:ascii="仿宋_GB2312" w:hAnsi="宋体" w:eastAsia="仿宋_GB2312" w:cs="Courier New"/>
          <w:sz w:val="32"/>
          <w:szCs w:val="32"/>
          <w:lang w:val="en-US" w:eastAsia="zh-CN"/>
        </w:rPr>
        <w:t>2</w:t>
      </w:r>
      <w:r>
        <w:rPr>
          <w:rFonts w:hint="eastAsia" w:ascii="仿宋_GB2312" w:hAnsi="宋体" w:eastAsia="仿宋_GB2312" w:cs="Courier New"/>
          <w:sz w:val="32"/>
          <w:szCs w:val="32"/>
        </w:rPr>
        <w:t>辆，其他用车主要是</w:t>
      </w:r>
      <w:r>
        <w:rPr>
          <w:rFonts w:hint="eastAsia" w:ascii="仿宋_GB2312" w:hAnsi="宋体" w:eastAsia="仿宋_GB2312" w:cs="Courier New"/>
          <w:sz w:val="32"/>
          <w:szCs w:val="32"/>
          <w:lang w:eastAsia="zh-CN"/>
        </w:rPr>
        <w:t>公务用车</w:t>
      </w:r>
      <w:r>
        <w:rPr>
          <w:rFonts w:hint="eastAsia" w:ascii="仿宋_GB2312" w:hAnsi="宋体" w:eastAsia="仿宋_GB2312" w:cs="Courier New"/>
          <w:sz w:val="32"/>
          <w:szCs w:val="32"/>
        </w:rPr>
        <w:t>；单位价值</w:t>
      </w:r>
      <w:r>
        <w:rPr>
          <w:rFonts w:ascii="仿宋_GB2312" w:hAnsi="宋体" w:eastAsia="仿宋_GB2312" w:cs="Courier New"/>
          <w:sz w:val="32"/>
          <w:szCs w:val="32"/>
        </w:rPr>
        <w:t>50</w:t>
      </w:r>
      <w:r>
        <w:rPr>
          <w:rFonts w:hint="eastAsia" w:ascii="仿宋_GB2312" w:hAnsi="宋体" w:eastAsia="仿宋_GB2312" w:cs="Courier New"/>
          <w:sz w:val="32"/>
          <w:szCs w:val="32"/>
        </w:rPr>
        <w:t>万元以上通用设备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台（套）；单位价值</w:t>
      </w:r>
      <w:r>
        <w:rPr>
          <w:rFonts w:ascii="仿宋_GB2312" w:hAnsi="宋体" w:eastAsia="仿宋_GB2312" w:cs="Courier New"/>
          <w:sz w:val="32"/>
          <w:szCs w:val="32"/>
        </w:rPr>
        <w:t>100</w:t>
      </w:r>
      <w:r>
        <w:rPr>
          <w:rFonts w:hint="eastAsia" w:ascii="仿宋_GB2312" w:hAnsi="宋体" w:eastAsia="仿宋_GB2312" w:cs="Courier New"/>
          <w:sz w:val="32"/>
          <w:szCs w:val="32"/>
        </w:rPr>
        <w:t>万元以上专用设备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w:t>
      </w:r>
    </w:p>
    <w:p>
      <w:pPr>
        <w:ind w:firstLine="640" w:firstLineChars="200"/>
        <w:rPr>
          <w:rFonts w:ascii="楷体_GB2312" w:eastAsia="楷体_GB2312"/>
          <w:sz w:val="32"/>
          <w:szCs w:val="32"/>
        </w:rPr>
      </w:pPr>
      <w:r>
        <w:rPr>
          <w:rFonts w:hint="eastAsia" w:ascii="楷体_GB2312" w:eastAsia="楷体_GB2312"/>
          <w:sz w:val="32"/>
          <w:szCs w:val="32"/>
        </w:rPr>
        <w:t>（四）预算绩效情况</w:t>
      </w:r>
    </w:p>
    <w:p>
      <w:pPr>
        <w:widowControl/>
        <w:spacing w:line="580" w:lineRule="exact"/>
        <w:ind w:firstLine="540"/>
        <w:rPr>
          <w:rFonts w:ascii="仿宋_GB2312" w:eastAsia="仿宋_GB2312"/>
          <w:kern w:val="0"/>
          <w:sz w:val="32"/>
          <w:szCs w:val="32"/>
        </w:rPr>
      </w:pPr>
      <w:r>
        <w:rPr>
          <w:rFonts w:hint="eastAsia" w:ascii="仿宋_GB2312" w:eastAsia="仿宋_GB2312"/>
          <w:b/>
          <w:bCs/>
          <w:kern w:val="0"/>
          <w:sz w:val="32"/>
          <w:szCs w:val="32"/>
        </w:rPr>
        <w:t>1、预算绩效管理工作开展情况。</w:t>
      </w:r>
      <w:r>
        <w:rPr>
          <w:rFonts w:hint="eastAsia" w:ascii="仿宋_GB2312" w:eastAsia="仿宋_GB2312"/>
          <w:kern w:val="0"/>
          <w:sz w:val="32"/>
          <w:szCs w:val="32"/>
        </w:rPr>
        <w:t>根据预算绩效管理要求，</w:t>
      </w:r>
      <w:r>
        <w:rPr>
          <w:rFonts w:hint="eastAsia" w:ascii="仿宋_GB2312" w:eastAsia="仿宋_GB2312"/>
          <w:kern w:val="0"/>
          <w:sz w:val="32"/>
          <w:szCs w:val="32"/>
          <w:lang w:eastAsia="zh-CN"/>
        </w:rPr>
        <w:t>县委政法委</w:t>
      </w:r>
      <w:r>
        <w:rPr>
          <w:rFonts w:hint="eastAsia" w:ascii="仿宋_GB2312" w:eastAsia="仿宋_GB2312"/>
          <w:kern w:val="0"/>
          <w:sz w:val="32"/>
          <w:szCs w:val="32"/>
        </w:rPr>
        <w:t>按照“谁用款、谁评价”的原则，</w:t>
      </w:r>
      <w:r>
        <w:rPr>
          <w:rFonts w:hint="eastAsia" w:ascii="仿宋_GB2312" w:eastAsia="仿宋_GB2312"/>
          <w:kern w:val="0"/>
          <w:sz w:val="32"/>
          <w:szCs w:val="32"/>
          <w:lang w:eastAsia="zh-CN"/>
        </w:rPr>
        <w:t>本单位对</w:t>
      </w:r>
      <w:r>
        <w:rPr>
          <w:rFonts w:hint="eastAsia" w:ascii="仿宋_GB2312" w:eastAsia="仿宋_GB2312"/>
          <w:kern w:val="0"/>
          <w:sz w:val="32"/>
          <w:szCs w:val="32"/>
        </w:rPr>
        <w:t>2020年度</w:t>
      </w:r>
      <w:r>
        <w:rPr>
          <w:rFonts w:hint="eastAsia" w:ascii="仿宋_GB2312" w:eastAsia="仿宋_GB2312"/>
          <w:kern w:val="0"/>
          <w:sz w:val="32"/>
          <w:szCs w:val="32"/>
          <w:lang w:val="en-US" w:eastAsia="zh-CN"/>
        </w:rPr>
        <w:t>县</w:t>
      </w:r>
      <w:r>
        <w:rPr>
          <w:rFonts w:hint="eastAsia" w:ascii="仿宋_GB2312" w:eastAsia="仿宋_GB2312"/>
          <w:kern w:val="0"/>
          <w:sz w:val="32"/>
          <w:szCs w:val="32"/>
        </w:rPr>
        <w:t>级部门预算项目进行全面自评，涵盖项目</w:t>
      </w:r>
      <w:r>
        <w:rPr>
          <w:rFonts w:hint="eastAsia" w:ascii="仿宋_GB2312" w:eastAsia="仿宋_GB2312"/>
          <w:kern w:val="0"/>
          <w:sz w:val="32"/>
          <w:szCs w:val="32"/>
          <w:lang w:val="en-US" w:eastAsia="zh-CN"/>
        </w:rPr>
        <w:t>8</w:t>
      </w:r>
      <w:r>
        <w:rPr>
          <w:rFonts w:hint="eastAsia" w:ascii="仿宋_GB2312" w:eastAsia="仿宋_GB2312"/>
          <w:kern w:val="0"/>
          <w:sz w:val="32"/>
          <w:szCs w:val="32"/>
        </w:rPr>
        <w:t>个，涉及预算资金</w:t>
      </w:r>
      <w:r>
        <w:rPr>
          <w:rFonts w:hint="eastAsia" w:ascii="仿宋_GB2312" w:eastAsia="仿宋_GB2312"/>
          <w:kern w:val="0"/>
          <w:sz w:val="32"/>
          <w:szCs w:val="32"/>
          <w:lang w:val="en-US" w:eastAsia="zh-CN"/>
        </w:rPr>
        <w:t>381.68万</w:t>
      </w:r>
      <w:r>
        <w:rPr>
          <w:rFonts w:hint="eastAsia" w:ascii="仿宋_GB2312" w:eastAsia="仿宋_GB2312"/>
          <w:kern w:val="0"/>
          <w:sz w:val="32"/>
          <w:szCs w:val="32"/>
        </w:rPr>
        <w:t>元，占部门预算项目支出总额的</w:t>
      </w:r>
      <w:r>
        <w:rPr>
          <w:rFonts w:hint="eastAsia" w:ascii="仿宋_GB2312" w:eastAsia="仿宋_GB2312"/>
          <w:kern w:val="0"/>
          <w:sz w:val="32"/>
          <w:szCs w:val="32"/>
          <w:lang w:val="en-US" w:eastAsia="zh-CN"/>
        </w:rPr>
        <w:t>100</w:t>
      </w:r>
      <w:r>
        <w:rPr>
          <w:rFonts w:hint="eastAsia" w:ascii="仿宋_GB2312" w:eastAsia="仿宋_GB2312"/>
          <w:kern w:val="0"/>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组织对“</w:t>
      </w:r>
      <w:r>
        <w:rPr>
          <w:rFonts w:hint="eastAsia" w:ascii="仿宋_GB2312" w:eastAsia="仿宋_GB2312"/>
          <w:sz w:val="32"/>
          <w:szCs w:val="32"/>
          <w:lang w:eastAsia="zh-CN"/>
        </w:rPr>
        <w:t>平安建设会议经费</w:t>
      </w:r>
      <w:r>
        <w:rPr>
          <w:rFonts w:hint="eastAsia" w:ascii="仿宋_GB2312" w:eastAsia="仿宋_GB2312"/>
          <w:sz w:val="32"/>
          <w:szCs w:val="32"/>
        </w:rPr>
        <w:t>”“非访治理工作经费”</w:t>
      </w:r>
      <w:r>
        <w:rPr>
          <w:rFonts w:hint="eastAsia" w:ascii="仿宋_GB2312" w:eastAsia="仿宋_GB2312"/>
          <w:sz w:val="32"/>
          <w:szCs w:val="32"/>
          <w:lang w:eastAsia="zh-CN"/>
        </w:rPr>
        <w:t>“专项接待经费”“610办公室反邪教办公经费”“扫黑除恶工作经费”“安保维稳工作经费”“购买社会化服务”“以奖代补资金”</w:t>
      </w:r>
      <w:r>
        <w:rPr>
          <w:rFonts w:hint="eastAsia" w:ascii="仿宋_GB2312" w:eastAsia="仿宋_GB2312"/>
          <w:sz w:val="32"/>
          <w:szCs w:val="32"/>
        </w:rPr>
        <w:t>等</w:t>
      </w:r>
      <w:r>
        <w:rPr>
          <w:rFonts w:hint="eastAsia" w:ascii="仿宋_GB2312" w:eastAsia="仿宋_GB2312"/>
          <w:sz w:val="32"/>
          <w:szCs w:val="32"/>
          <w:lang w:val="en-US" w:eastAsia="zh-CN"/>
        </w:rPr>
        <w:t>8</w:t>
      </w:r>
      <w:r>
        <w:rPr>
          <w:rFonts w:hint="eastAsia" w:ascii="仿宋_GB2312" w:eastAsia="仿宋_GB2312"/>
          <w:sz w:val="32"/>
          <w:szCs w:val="32"/>
        </w:rPr>
        <w:t>个项目开展了部门评价，涉及资金</w:t>
      </w:r>
      <w:r>
        <w:rPr>
          <w:rFonts w:hint="eastAsia" w:ascii="仿宋_GB2312" w:eastAsia="仿宋_GB2312"/>
          <w:sz w:val="32"/>
          <w:szCs w:val="32"/>
          <w:lang w:val="en-US" w:eastAsia="zh-CN"/>
        </w:rPr>
        <w:t>381.68</w:t>
      </w:r>
      <w:r>
        <w:rPr>
          <w:rFonts w:hint="eastAsia" w:ascii="仿宋_GB2312" w:eastAsia="仿宋_GB2312"/>
          <w:sz w:val="32"/>
          <w:szCs w:val="32"/>
        </w:rPr>
        <w:t>万元，上述项目委托第三方机构开展绩效评价。从评价情况来看，上述</w:t>
      </w:r>
      <w:r>
        <w:rPr>
          <w:rFonts w:hint="eastAsia" w:ascii="仿宋_GB2312" w:eastAsia="仿宋_GB2312"/>
          <w:sz w:val="32"/>
          <w:szCs w:val="32"/>
          <w:lang w:val="en-US" w:eastAsia="zh-CN"/>
        </w:rPr>
        <w:t>8</w:t>
      </w:r>
      <w:r>
        <w:rPr>
          <w:rFonts w:hint="eastAsia" w:ascii="仿宋_GB2312" w:eastAsia="仿宋_GB2312"/>
          <w:sz w:val="32"/>
          <w:szCs w:val="32"/>
        </w:rPr>
        <w:t>个项目完成情况较好，主要表现为：项目立项程序完整、规范，设置了明确的绩效目标，财务相关管理制度较健全，预算执行及时、有效，群众满意度较高，基本实现了预期。</w:t>
      </w:r>
    </w:p>
    <w:p>
      <w:pPr>
        <w:spacing w:line="600" w:lineRule="exact"/>
        <w:ind w:firstLine="643" w:firstLineChars="200"/>
        <w:rPr>
          <w:rFonts w:ascii="仿宋_GB2312" w:eastAsia="仿宋_GB2312" w:cs="仿宋_GB2312"/>
          <w:sz w:val="32"/>
          <w:szCs w:val="32"/>
        </w:rPr>
      </w:pPr>
      <w:r>
        <w:rPr>
          <w:rFonts w:hint="eastAsia" w:ascii="仿宋_GB2312" w:eastAsia="仿宋_GB2312"/>
          <w:b/>
          <w:bCs/>
          <w:kern w:val="0"/>
          <w:sz w:val="32"/>
          <w:szCs w:val="32"/>
        </w:rPr>
        <w:t>2、部门决算中项目绩效自评结果。</w:t>
      </w:r>
      <w:r>
        <w:rPr>
          <w:rFonts w:hint="eastAsia" w:ascii="仿宋_GB2312" w:eastAsia="仿宋_GB2312"/>
          <w:sz w:val="32"/>
          <w:szCs w:val="32"/>
          <w:lang w:eastAsia="zh-CN"/>
        </w:rPr>
        <w:t>本单位</w:t>
      </w:r>
      <w:r>
        <w:rPr>
          <w:rFonts w:hint="eastAsia" w:ascii="仿宋_GB2312" w:eastAsia="仿宋_GB2312"/>
          <w:sz w:val="32"/>
          <w:szCs w:val="32"/>
        </w:rPr>
        <w:t>2020年度</w:t>
      </w:r>
      <w:r>
        <w:rPr>
          <w:rFonts w:hint="eastAsia" w:ascii="仿宋_GB2312" w:eastAsia="仿宋_GB2312"/>
          <w:sz w:val="32"/>
          <w:szCs w:val="32"/>
          <w:lang w:val="en-US" w:eastAsia="zh-CN"/>
        </w:rPr>
        <w:t>县</w:t>
      </w:r>
      <w:r>
        <w:rPr>
          <w:rFonts w:hint="eastAsia" w:ascii="仿宋_GB2312" w:eastAsia="仿宋_GB2312"/>
          <w:sz w:val="32"/>
          <w:szCs w:val="32"/>
        </w:rPr>
        <w:t>级部门预算项目绩效自评的</w:t>
      </w:r>
      <w:r>
        <w:rPr>
          <w:rFonts w:hint="eastAsia" w:ascii="仿宋_GB2312" w:eastAsia="仿宋_GB2312"/>
          <w:sz w:val="32"/>
          <w:szCs w:val="32"/>
          <w:lang w:val="en-US" w:eastAsia="zh-CN"/>
        </w:rPr>
        <w:t>8</w:t>
      </w:r>
      <w:r>
        <w:rPr>
          <w:rFonts w:hint="eastAsia" w:ascii="仿宋_GB2312" w:eastAsia="仿宋_GB2312"/>
          <w:sz w:val="32"/>
          <w:szCs w:val="32"/>
        </w:rPr>
        <w:t>个项目中，有*</w:t>
      </w:r>
      <w:r>
        <w:rPr>
          <w:rFonts w:hint="eastAsia" w:ascii="仿宋_GB2312" w:eastAsia="仿宋_GB2312"/>
          <w:sz w:val="32"/>
          <w:szCs w:val="32"/>
          <w:lang w:val="en-US" w:eastAsia="zh-CN"/>
        </w:rPr>
        <w:t>5</w:t>
      </w:r>
      <w:r>
        <w:rPr>
          <w:rFonts w:hint="eastAsia" w:ascii="仿宋_GB2312" w:eastAsia="仿宋_GB2312"/>
          <w:sz w:val="32"/>
          <w:szCs w:val="32"/>
        </w:rPr>
        <w:t>个项目自评等级为优，</w:t>
      </w:r>
      <w:r>
        <w:rPr>
          <w:rFonts w:hint="eastAsia" w:ascii="仿宋_GB2312" w:eastAsia="仿宋_GB2312"/>
          <w:sz w:val="32"/>
          <w:szCs w:val="32"/>
          <w:lang w:val="en-US" w:eastAsia="zh-CN"/>
        </w:rPr>
        <w:t>3</w:t>
      </w:r>
      <w:r>
        <w:rPr>
          <w:rFonts w:hint="eastAsia" w:ascii="仿宋_GB2312" w:eastAsia="仿宋_GB2312"/>
          <w:sz w:val="32"/>
          <w:szCs w:val="32"/>
        </w:rPr>
        <w:t>个项目自评等级为良。</w:t>
      </w:r>
      <w:r>
        <w:rPr>
          <w:rFonts w:hint="eastAsia" w:ascii="仿宋_GB2312" w:eastAsia="仿宋_GB2312" w:cs="仿宋_GB2312"/>
          <w:sz w:val="32"/>
          <w:szCs w:val="32"/>
        </w:rPr>
        <w:t>从自评情况看，项目支出绩效管理的重视程度进一步提升，大部分项目有序开展，执行和完成情况较好，资金使用比较规范，但也存在部分项目产出指标低于预期、项目实施进展慢等问题。</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今年在部门决算中反映了2020年度</w:t>
      </w:r>
      <w:r>
        <w:rPr>
          <w:rFonts w:hint="eastAsia" w:ascii="仿宋_GB2312" w:eastAsia="仿宋_GB2312"/>
          <w:sz w:val="32"/>
          <w:szCs w:val="32"/>
          <w:lang w:val="en-US" w:eastAsia="zh-CN"/>
        </w:rPr>
        <w:t>泗水县委政法委</w:t>
      </w:r>
      <w:r>
        <w:rPr>
          <w:rFonts w:hint="eastAsia" w:ascii="仿宋_GB2312" w:eastAsia="仿宋_GB2312"/>
          <w:sz w:val="32"/>
          <w:szCs w:val="32"/>
        </w:rPr>
        <w:t>项目支出绩效自评情况，</w:t>
      </w:r>
      <w:r>
        <w:rPr>
          <w:rFonts w:hint="eastAsia" w:ascii="仿宋_GB2312" w:eastAsia="仿宋_GB2312"/>
          <w:sz w:val="32"/>
          <w:szCs w:val="32"/>
          <w:lang w:eastAsia="zh-CN"/>
        </w:rPr>
        <w:t>“平安建设会议经费</w:t>
      </w:r>
      <w:r>
        <w:rPr>
          <w:rFonts w:hint="eastAsia" w:ascii="仿宋_GB2312" w:eastAsia="仿宋_GB2312"/>
          <w:sz w:val="32"/>
          <w:szCs w:val="32"/>
        </w:rPr>
        <w:t>”“非访治理工作经费”</w:t>
      </w:r>
      <w:r>
        <w:rPr>
          <w:rFonts w:hint="eastAsia" w:ascii="仿宋_GB2312" w:eastAsia="仿宋_GB2312"/>
          <w:sz w:val="32"/>
          <w:szCs w:val="32"/>
          <w:lang w:eastAsia="zh-CN"/>
        </w:rPr>
        <w:t>“扫黑除恶工作经费”</w:t>
      </w:r>
      <w:r>
        <w:rPr>
          <w:rFonts w:hint="eastAsia" w:ascii="仿宋_GB2312" w:eastAsia="仿宋_GB2312"/>
          <w:sz w:val="32"/>
          <w:szCs w:val="32"/>
        </w:rPr>
        <w:t>等</w:t>
      </w:r>
      <w:r>
        <w:rPr>
          <w:rFonts w:hint="eastAsia" w:ascii="仿宋_GB2312" w:eastAsia="仿宋_GB2312"/>
          <w:sz w:val="32"/>
          <w:szCs w:val="32"/>
          <w:lang w:val="en-US" w:eastAsia="zh-CN"/>
        </w:rPr>
        <w:t>8</w:t>
      </w:r>
      <w:r>
        <w:rPr>
          <w:rFonts w:hint="eastAsia" w:ascii="仿宋_GB2312" w:eastAsia="仿宋_GB2312"/>
          <w:sz w:val="32"/>
          <w:szCs w:val="32"/>
        </w:rPr>
        <w:t>个项目的绩效自评具体结果。（详见</w:t>
      </w:r>
      <w:r>
        <w:rPr>
          <w:rFonts w:hint="eastAsia" w:ascii="仿宋_GB2312" w:eastAsia="仿宋_GB2312"/>
          <w:kern w:val="0"/>
          <w:sz w:val="32"/>
          <w:szCs w:val="32"/>
        </w:rPr>
        <w:t>“第五部分 附件”</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_GB2312" w:eastAsia="仿宋_GB2312"/>
          <w:b/>
          <w:bCs/>
          <w:kern w:val="0"/>
          <w:sz w:val="32"/>
          <w:szCs w:val="32"/>
        </w:rPr>
        <w:t>3、部门评价项目绩效评价结果</w:t>
      </w:r>
    </w:p>
    <w:p>
      <w:pPr>
        <w:widowControl/>
        <w:spacing w:line="600" w:lineRule="atLeast"/>
        <w:ind w:firstLine="640" w:firstLineChars="200"/>
        <w:rPr>
          <w:rFonts w:ascii="仿宋_GB2312" w:eastAsia="仿宋_GB2312"/>
          <w:b/>
          <w:bCs/>
          <w:kern w:val="0"/>
          <w:sz w:val="32"/>
          <w:szCs w:val="32"/>
        </w:rPr>
      </w:pPr>
      <w:r>
        <w:rPr>
          <w:rFonts w:hint="eastAsia" w:ascii="仿宋_GB2312" w:eastAsia="仿宋_GB2312"/>
          <w:kern w:val="0"/>
          <w:sz w:val="32"/>
          <w:szCs w:val="32"/>
        </w:rPr>
        <w:t>以“</w:t>
      </w:r>
      <w:r>
        <w:rPr>
          <w:rFonts w:hint="eastAsia" w:ascii="仿宋_GB2312" w:eastAsia="仿宋_GB2312"/>
          <w:kern w:val="0"/>
          <w:sz w:val="32"/>
          <w:szCs w:val="32"/>
          <w:lang w:eastAsia="zh-CN"/>
        </w:rPr>
        <w:t>非访治理经费</w:t>
      </w:r>
      <w:r>
        <w:rPr>
          <w:rFonts w:hint="eastAsia" w:ascii="仿宋_GB2312" w:eastAsia="仿宋_GB2312"/>
          <w:kern w:val="0"/>
          <w:sz w:val="32"/>
          <w:szCs w:val="32"/>
        </w:rPr>
        <w:t>”项目为例，该项目绩效评价综合得分</w:t>
      </w:r>
      <w:r>
        <w:rPr>
          <w:rFonts w:hint="eastAsia" w:ascii="仿宋_GB2312" w:eastAsia="仿宋_GB2312"/>
          <w:kern w:val="0"/>
          <w:sz w:val="32"/>
          <w:szCs w:val="32"/>
          <w:lang w:val="en-US" w:eastAsia="zh-CN"/>
        </w:rPr>
        <w:t>100</w:t>
      </w:r>
      <w:r>
        <w:rPr>
          <w:rFonts w:hint="eastAsia" w:ascii="仿宋_GB2312" w:eastAsia="仿宋_GB2312"/>
          <w:kern w:val="0"/>
          <w:sz w:val="32"/>
          <w:szCs w:val="32"/>
        </w:rPr>
        <w:t>，评价结果为“</w:t>
      </w:r>
      <w:r>
        <w:rPr>
          <w:rFonts w:hint="eastAsia" w:ascii="仿宋_GB2312" w:eastAsia="仿宋_GB2312"/>
          <w:kern w:val="0"/>
          <w:sz w:val="32"/>
          <w:szCs w:val="32"/>
          <w:lang w:eastAsia="zh-CN"/>
        </w:rPr>
        <w:t>优</w:t>
      </w:r>
      <w:r>
        <w:rPr>
          <w:rFonts w:hint="eastAsia" w:ascii="仿宋_GB2312" w:eastAsia="仿宋_GB2312"/>
          <w:kern w:val="0"/>
          <w:sz w:val="32"/>
          <w:szCs w:val="32"/>
        </w:rPr>
        <w:t>”。（绩效评价报告详见“第五部分 附件”）</w:t>
      </w:r>
    </w:p>
    <w:p>
      <w:pPr>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rPr>
          <w:rFonts w:hint="eastAsia"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名词解释</w:t>
      </w: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left"/>
        <w:rPr>
          <w:rFonts w:ascii="方正小标宋简体" w:eastAsia="方正小标宋简体"/>
          <w:spacing w:val="60"/>
          <w:sz w:val="32"/>
          <w:szCs w:val="32"/>
        </w:rPr>
      </w:pPr>
    </w:p>
    <w:p>
      <w:pPr>
        <w:ind w:firstLine="640" w:firstLineChars="200"/>
        <w:rPr>
          <w:rFonts w:hint="eastAsia" w:ascii="黑体" w:hAnsi="黑体" w:eastAsia="黑体"/>
          <w:color w:val="000000"/>
          <w:sz w:val="32"/>
          <w:szCs w:val="32"/>
        </w:rPr>
      </w:pPr>
    </w:p>
    <w:p>
      <w:pPr>
        <w:ind w:firstLine="640" w:firstLineChars="200"/>
        <w:rPr>
          <w:rFonts w:hint="eastAsia" w:ascii="黑体" w:hAnsi="黑体" w:eastAsia="黑体"/>
          <w:color w:val="000000"/>
          <w:sz w:val="32"/>
          <w:szCs w:val="32"/>
        </w:rPr>
      </w:pPr>
    </w:p>
    <w:p>
      <w:pPr>
        <w:ind w:firstLine="640" w:firstLineChars="200"/>
        <w:rPr>
          <w:rFonts w:hint="eastAsia" w:ascii="黑体" w:hAnsi="黑体" w:eastAsia="黑体"/>
          <w:color w:val="000000"/>
          <w:sz w:val="32"/>
          <w:szCs w:val="32"/>
        </w:rPr>
      </w:pPr>
    </w:p>
    <w:p>
      <w:pPr>
        <w:ind w:firstLine="640" w:firstLineChars="200"/>
        <w:rPr>
          <w:rFonts w:hint="eastAsia" w:ascii="黑体" w:hAnsi="黑体" w:eastAsia="黑体"/>
          <w:color w:val="000000"/>
          <w:sz w:val="32"/>
          <w:szCs w:val="32"/>
        </w:rPr>
      </w:pPr>
    </w:p>
    <w:p>
      <w:pPr>
        <w:ind w:firstLine="640" w:firstLineChars="200"/>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指单位从同级财政部门取得的财政预算资金。按现行管理制度，</w:t>
      </w:r>
      <w:r>
        <w:rPr>
          <w:rFonts w:hint="eastAsia" w:ascii="仿宋_GB2312" w:eastAsia="仿宋_GB2312"/>
          <w:sz w:val="32"/>
          <w:szCs w:val="32"/>
          <w:lang w:val="en-US" w:eastAsia="zh-CN"/>
        </w:rPr>
        <w:t>县</w:t>
      </w:r>
      <w:r>
        <w:rPr>
          <w:rFonts w:hint="eastAsia" w:ascii="仿宋_GB2312" w:eastAsia="仿宋_GB2312"/>
          <w:sz w:val="32"/>
          <w:szCs w:val="32"/>
        </w:rPr>
        <w:t>级部门决算中反映的财政拨款包括一般公共预算财政拨款和政府性基金财政拨款。</w:t>
      </w:r>
    </w:p>
    <w:p>
      <w:pPr>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ind w:firstLine="640" w:firstLineChars="2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ind w:firstLine="640" w:firstLineChars="2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ind w:firstLine="640" w:firstLineChars="2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指单位以前年度尚未完成、结转到本年仍按原规定用途继续使用的资金，或项目已完成等产生的结余资金。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九、结余分配：</w:t>
      </w:r>
      <w:r>
        <w:rPr>
          <w:rFonts w:hint="eastAsia" w:ascii="仿宋_GB2312" w:eastAsia="仿宋_GB2312"/>
          <w:sz w:val="32"/>
          <w:szCs w:val="32"/>
        </w:rPr>
        <w:t>指事业单位按照会计制度规定缴纳的所得税以及从非财政拨款结余或经营结余中提取的各类基金。</w:t>
      </w:r>
    </w:p>
    <w:p>
      <w:pPr>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指单位为保障其机构正常运转、完成日常工作任务而发生的人员支出和日常公用支出。</w:t>
      </w:r>
    </w:p>
    <w:p>
      <w:pPr>
        <w:ind w:firstLine="640" w:firstLineChars="2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ind w:firstLine="640" w:firstLineChars="200"/>
        <w:rPr>
          <w:rFonts w:ascii="仿宋_GB2312" w:eastAsia="仿宋_GB2312"/>
          <w:sz w:val="32"/>
          <w:szCs w:val="32"/>
        </w:rPr>
      </w:pP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w:t>
      </w:r>
      <w:r>
        <w:rPr>
          <w:rFonts w:hint="eastAsia" w:ascii="仿宋_GB2312" w:eastAsia="仿宋_GB2312"/>
          <w:sz w:val="32"/>
          <w:szCs w:val="32"/>
          <w:lang w:val="en-US" w:eastAsia="zh-CN"/>
        </w:rPr>
        <w:t>县</w:t>
      </w:r>
      <w:r>
        <w:rPr>
          <w:rFonts w:hint="eastAsia" w:ascii="仿宋_GB2312" w:eastAsia="仿宋_GB2312"/>
          <w:sz w:val="32"/>
          <w:szCs w:val="32"/>
        </w:rPr>
        <w:t>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sz w:val="32"/>
          <w:szCs w:val="32"/>
          <w:highlight w:val="none"/>
        </w:rPr>
      </w:pPr>
      <w:r>
        <w:rPr>
          <w:rFonts w:hint="eastAsia" w:ascii="黑体" w:hAnsi="黑体" w:eastAsia="黑体"/>
          <w:sz w:val="32"/>
          <w:szCs w:val="32"/>
          <w:highlight w:val="none"/>
        </w:rPr>
        <w:t>十六、一般公共服务支出（类）党委办公厅（室）及相关机构事务（款）其他党委办公厅（室）及相关机构事务支出（项）：</w:t>
      </w:r>
      <w:r>
        <w:rPr>
          <w:rFonts w:hint="eastAsia" w:ascii="仿宋_GB2312" w:eastAsia="仿宋_GB2312"/>
          <w:sz w:val="32"/>
          <w:szCs w:val="32"/>
          <w:highlight w:val="none"/>
        </w:rPr>
        <w:t>反映除上述项目以外其他用于党委办公厅（室）及相关机构事务支出。</w:t>
      </w:r>
    </w:p>
    <w:p>
      <w:pPr>
        <w:spacing w:line="580" w:lineRule="exact"/>
        <w:ind w:firstLine="600"/>
        <w:rPr>
          <w:rFonts w:ascii="黑体" w:hAnsi="黑体" w:eastAsia="黑体"/>
          <w:sz w:val="32"/>
          <w:szCs w:val="32"/>
          <w:highlight w:val="none"/>
        </w:rPr>
      </w:pPr>
      <w:r>
        <w:rPr>
          <w:rFonts w:hint="eastAsia" w:ascii="黑体" w:hAnsi="黑体" w:eastAsia="黑体"/>
          <w:sz w:val="32"/>
          <w:szCs w:val="32"/>
          <w:highlight w:val="none"/>
        </w:rPr>
        <w:t>十七、公共安全支出（类）</w:t>
      </w:r>
      <w:r>
        <w:rPr>
          <w:rFonts w:hint="eastAsia" w:ascii="黑体" w:hAnsi="黑体" w:eastAsia="黑体"/>
          <w:sz w:val="32"/>
          <w:szCs w:val="32"/>
          <w:highlight w:val="none"/>
          <w:lang w:eastAsia="zh-CN"/>
        </w:rPr>
        <w:t>公安</w:t>
      </w:r>
      <w:r>
        <w:rPr>
          <w:rFonts w:hint="eastAsia" w:ascii="黑体" w:hAnsi="黑体" w:eastAsia="黑体"/>
          <w:sz w:val="32"/>
          <w:szCs w:val="32"/>
          <w:highlight w:val="none"/>
        </w:rPr>
        <w:t>（款）</w:t>
      </w:r>
      <w:r>
        <w:rPr>
          <w:rFonts w:hint="eastAsia" w:ascii="黑体" w:hAnsi="黑体" w:eastAsia="黑体"/>
          <w:sz w:val="32"/>
          <w:szCs w:val="32"/>
          <w:highlight w:val="none"/>
          <w:lang w:eastAsia="zh-CN"/>
        </w:rPr>
        <w:t>行政运行</w:t>
      </w:r>
      <w:r>
        <w:rPr>
          <w:rFonts w:hint="eastAsia" w:ascii="黑体" w:hAnsi="黑体" w:eastAsia="黑体"/>
          <w:sz w:val="32"/>
          <w:szCs w:val="32"/>
          <w:highlight w:val="none"/>
        </w:rPr>
        <w:t>（项）：</w:t>
      </w:r>
      <w:r>
        <w:rPr>
          <w:rFonts w:hint="eastAsia" w:ascii="仿宋_GB2312" w:eastAsia="仿宋_GB2312"/>
          <w:sz w:val="32"/>
          <w:szCs w:val="32"/>
          <w:highlight w:val="none"/>
        </w:rPr>
        <w:t>反映行政单位（包括实行公务员管理的事业单位）的基本支出。</w:t>
      </w:r>
    </w:p>
    <w:p>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十</w:t>
      </w:r>
      <w:r>
        <w:rPr>
          <w:rFonts w:hint="eastAsia" w:ascii="黑体" w:hAnsi="黑体" w:eastAsia="黑体"/>
          <w:sz w:val="32"/>
          <w:szCs w:val="32"/>
          <w:highlight w:val="none"/>
          <w:lang w:eastAsia="zh-CN"/>
        </w:rPr>
        <w:t>八</w:t>
      </w:r>
      <w:r>
        <w:rPr>
          <w:rFonts w:hint="eastAsia" w:ascii="黑体" w:hAnsi="黑体" w:eastAsia="黑体"/>
          <w:sz w:val="32"/>
          <w:szCs w:val="32"/>
          <w:highlight w:val="none"/>
        </w:rPr>
        <w:t>、公共安全支出（类）</w:t>
      </w:r>
      <w:r>
        <w:rPr>
          <w:rFonts w:hint="eastAsia" w:ascii="黑体" w:hAnsi="黑体" w:eastAsia="黑体"/>
          <w:sz w:val="32"/>
          <w:szCs w:val="32"/>
          <w:highlight w:val="none"/>
          <w:lang w:eastAsia="zh-CN"/>
        </w:rPr>
        <w:t>公安</w:t>
      </w:r>
      <w:r>
        <w:rPr>
          <w:rFonts w:hint="eastAsia" w:ascii="黑体" w:hAnsi="黑体" w:eastAsia="黑体"/>
          <w:sz w:val="32"/>
          <w:szCs w:val="32"/>
          <w:highlight w:val="none"/>
        </w:rPr>
        <w:t>（款）</w:t>
      </w:r>
      <w:r>
        <w:rPr>
          <w:rFonts w:hint="eastAsia" w:ascii="黑体" w:hAnsi="黑体" w:eastAsia="黑体"/>
          <w:sz w:val="32"/>
          <w:szCs w:val="32"/>
          <w:highlight w:val="none"/>
          <w:lang w:eastAsia="zh-CN"/>
        </w:rPr>
        <w:t>一般行政管理事务</w:t>
      </w:r>
      <w:r>
        <w:rPr>
          <w:rFonts w:hint="eastAsia" w:ascii="黑体" w:hAnsi="黑体" w:eastAsia="黑体"/>
          <w:sz w:val="32"/>
          <w:szCs w:val="32"/>
          <w:highlight w:val="none"/>
        </w:rPr>
        <w:t>（项）：</w:t>
      </w:r>
      <w:r>
        <w:rPr>
          <w:rFonts w:hint="eastAsia" w:ascii="仿宋_GB2312" w:eastAsia="仿宋_GB2312"/>
          <w:sz w:val="32"/>
          <w:szCs w:val="32"/>
          <w:highlight w:val="none"/>
        </w:rPr>
        <w:t>反映行政单位（包括实行公务员管理的事业单位）未单独设置项级科目的其他项目支出。</w:t>
      </w:r>
    </w:p>
    <w:p>
      <w:pPr>
        <w:ind w:firstLine="640" w:firstLineChars="200"/>
        <w:rPr>
          <w:rFonts w:hint="eastAsia" w:ascii="黑体" w:hAnsi="黑体" w:eastAsia="黑体"/>
          <w:sz w:val="32"/>
          <w:szCs w:val="32"/>
          <w:highlight w:val="none"/>
          <w:lang w:eastAsia="zh-CN"/>
        </w:rPr>
      </w:pPr>
      <w:r>
        <w:rPr>
          <w:rFonts w:hint="eastAsia" w:ascii="黑体" w:hAnsi="黑体" w:eastAsia="黑体"/>
          <w:sz w:val="32"/>
          <w:szCs w:val="32"/>
          <w:highlight w:val="none"/>
        </w:rPr>
        <w:t>十</w:t>
      </w:r>
      <w:r>
        <w:rPr>
          <w:rFonts w:hint="eastAsia" w:ascii="黑体" w:hAnsi="黑体" w:eastAsia="黑体"/>
          <w:sz w:val="32"/>
          <w:szCs w:val="32"/>
          <w:highlight w:val="none"/>
          <w:lang w:eastAsia="zh-CN"/>
        </w:rPr>
        <w:t>九</w:t>
      </w:r>
      <w:r>
        <w:rPr>
          <w:rFonts w:hint="eastAsia" w:ascii="黑体" w:hAnsi="黑体" w:eastAsia="黑体"/>
          <w:sz w:val="32"/>
          <w:szCs w:val="32"/>
          <w:highlight w:val="none"/>
        </w:rPr>
        <w:t>、公共安全支出（类）</w:t>
      </w:r>
      <w:r>
        <w:rPr>
          <w:rFonts w:hint="eastAsia" w:ascii="黑体" w:hAnsi="黑体" w:eastAsia="黑体"/>
          <w:sz w:val="32"/>
          <w:szCs w:val="32"/>
          <w:highlight w:val="none"/>
          <w:lang w:eastAsia="zh-CN"/>
        </w:rPr>
        <w:t>司法</w:t>
      </w:r>
      <w:r>
        <w:rPr>
          <w:rFonts w:hint="eastAsia" w:ascii="黑体" w:hAnsi="黑体" w:eastAsia="黑体"/>
          <w:sz w:val="32"/>
          <w:szCs w:val="32"/>
          <w:highlight w:val="none"/>
        </w:rPr>
        <w:t>（款）</w:t>
      </w:r>
      <w:r>
        <w:rPr>
          <w:rFonts w:hint="eastAsia" w:ascii="黑体" w:hAnsi="黑体" w:eastAsia="黑体"/>
          <w:sz w:val="32"/>
          <w:szCs w:val="32"/>
          <w:highlight w:val="none"/>
          <w:lang w:eastAsia="zh-CN"/>
        </w:rPr>
        <w:t>基层司法业务</w:t>
      </w:r>
      <w:r>
        <w:rPr>
          <w:rFonts w:hint="eastAsia" w:ascii="黑体" w:hAnsi="黑体" w:eastAsia="黑体"/>
          <w:sz w:val="32"/>
          <w:szCs w:val="32"/>
          <w:highlight w:val="none"/>
        </w:rPr>
        <w:t>（项）：</w:t>
      </w:r>
      <w:r>
        <w:rPr>
          <w:rFonts w:hint="eastAsia" w:ascii="仿宋_GB2312" w:eastAsia="仿宋_GB2312"/>
          <w:sz w:val="32"/>
          <w:szCs w:val="32"/>
          <w:highlight w:val="none"/>
          <w:lang w:eastAsia="zh-CN"/>
        </w:rPr>
        <w:t>反映各级司法行政部门用于基层业务的支出，包括工作指导费、调解费、安置帮教费、司法所经费和公共法律服务平台相关支出、人民陪审员选任管理费用、人民监督员选任管理费用等支出。</w:t>
      </w:r>
    </w:p>
    <w:p>
      <w:pPr>
        <w:ind w:left="638" w:leftChars="304" w:firstLine="0" w:firstLineChars="0"/>
        <w:rPr>
          <w:rFonts w:hint="eastAsia" w:ascii="仿宋_GB2312" w:eastAsia="仿宋_GB2312"/>
          <w:sz w:val="32"/>
          <w:szCs w:val="32"/>
          <w:lang w:eastAsia="zh-CN"/>
        </w:rPr>
      </w:pPr>
      <w:r>
        <w:rPr>
          <w:rFonts w:hint="eastAsia" w:ascii="黑体" w:hAnsi="黑体" w:eastAsia="黑体"/>
          <w:sz w:val="32"/>
          <w:szCs w:val="32"/>
          <w:highlight w:val="none"/>
          <w:lang w:eastAsia="zh-CN"/>
        </w:rPr>
        <w:t>二十</w:t>
      </w:r>
      <w:r>
        <w:rPr>
          <w:rFonts w:hint="eastAsia" w:ascii="黑体" w:hAnsi="黑体" w:eastAsia="黑体"/>
          <w:sz w:val="32"/>
          <w:szCs w:val="32"/>
          <w:highlight w:val="none"/>
        </w:rPr>
        <w:t>、公共安全支出（类）</w:t>
      </w:r>
      <w:r>
        <w:rPr>
          <w:rFonts w:hint="eastAsia" w:ascii="黑体" w:hAnsi="黑体" w:eastAsia="黑体"/>
          <w:sz w:val="32"/>
          <w:szCs w:val="32"/>
          <w:highlight w:val="none"/>
          <w:lang w:eastAsia="zh-CN"/>
        </w:rPr>
        <w:t>司法</w:t>
      </w:r>
      <w:r>
        <w:rPr>
          <w:rFonts w:hint="eastAsia" w:ascii="黑体" w:hAnsi="黑体" w:eastAsia="黑体"/>
          <w:sz w:val="32"/>
          <w:szCs w:val="32"/>
          <w:highlight w:val="none"/>
        </w:rPr>
        <w:t>（款）</w:t>
      </w:r>
      <w:r>
        <w:rPr>
          <w:rFonts w:hint="eastAsia" w:ascii="黑体" w:hAnsi="黑体" w:eastAsia="黑体"/>
          <w:sz w:val="32"/>
          <w:szCs w:val="32"/>
          <w:highlight w:val="none"/>
          <w:lang w:eastAsia="zh-CN"/>
        </w:rPr>
        <w:t>法律援助</w:t>
      </w:r>
      <w:r>
        <w:rPr>
          <w:rFonts w:hint="eastAsia" w:ascii="黑体" w:hAnsi="黑体" w:eastAsia="黑体"/>
          <w:sz w:val="32"/>
          <w:szCs w:val="32"/>
          <w:highlight w:val="none"/>
        </w:rPr>
        <w:t>（项）：</w:t>
      </w:r>
      <w:r>
        <w:rPr>
          <w:rFonts w:hint="eastAsia" w:ascii="仿宋_GB2312" w:eastAsia="仿宋_GB2312"/>
          <w:sz w:val="32"/>
          <w:szCs w:val="32"/>
          <w:lang w:eastAsia="zh-CN"/>
        </w:rPr>
        <w:t>反映各级法律援助机构用于开展法律援助工作的支出。</w:t>
      </w:r>
    </w:p>
    <w:p>
      <w:pPr>
        <w:ind w:firstLine="640" w:firstLineChars="200"/>
        <w:rPr>
          <w:rFonts w:hint="eastAsia" w:ascii="黑体" w:hAnsi="黑体" w:eastAsia="黑体"/>
          <w:sz w:val="32"/>
          <w:szCs w:val="32"/>
          <w:highlight w:val="lightGray"/>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 xml:space="preserve">  附  件</w:t>
      </w:r>
    </w:p>
    <w:p>
      <w:pPr>
        <w:tabs>
          <w:tab w:val="left" w:pos="5891"/>
        </w:tabs>
        <w:spacing w:line="580" w:lineRule="exact"/>
        <w:rPr>
          <w:szCs w:val="32"/>
        </w:rPr>
        <w:sectPr>
          <w:pgSz w:w="11906" w:h="16838"/>
          <w:pgMar w:top="2098" w:right="1418" w:bottom="1871" w:left="1531" w:header="851" w:footer="992" w:gutter="0"/>
          <w:cols w:space="720" w:num="1"/>
          <w:docGrid w:type="lines" w:linePitch="312" w:charSpace="0"/>
        </w:sect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w:t>
      </w:r>
      <w:r>
        <w:rPr>
          <w:rFonts w:hint="eastAsia" w:ascii="方正小标宋简体" w:hAnsi="方正小标宋简体" w:eastAsia="方正小标宋简体" w:cs="方正小标宋简体"/>
          <w:sz w:val="44"/>
          <w:szCs w:val="44"/>
          <w:lang w:val="en-US" w:eastAsia="zh-CN"/>
        </w:rPr>
        <w:t>泗水县委政法委</w:t>
      </w:r>
      <w:r>
        <w:rPr>
          <w:rFonts w:hint="eastAsia" w:ascii="方正小标宋简体" w:hAnsi="方正小标宋简体" w:eastAsia="方正小标宋简体" w:cs="方正小标宋简体"/>
          <w:sz w:val="44"/>
          <w:szCs w:val="44"/>
        </w:rPr>
        <w:t>部门预算项目绩效自评情况汇总表</w:t>
      </w:r>
    </w:p>
    <w:p>
      <w:pPr>
        <w:tabs>
          <w:tab w:val="left" w:pos="5891"/>
        </w:tabs>
        <w:spacing w:line="580" w:lineRule="exact"/>
        <w:jc w:val="right"/>
        <w:rPr>
          <w:rFonts w:ascii="黑体" w:hAnsi="黑体" w:eastAsia="黑体" w:cs="黑体"/>
          <w:szCs w:val="32"/>
        </w:rPr>
      </w:pPr>
      <w:r>
        <w:rPr>
          <w:rFonts w:hint="eastAsia" w:ascii="黑体" w:hAnsi="宋体" w:eastAsia="黑体" w:cs="黑体"/>
          <w:color w:val="000000"/>
          <w:kern w:val="0"/>
          <w:sz w:val="24"/>
        </w:rPr>
        <w:t>单位：万元</w:t>
      </w:r>
    </w:p>
    <w:tbl>
      <w:tblPr>
        <w:tblStyle w:val="11"/>
        <w:tblpPr w:leftFromText="180" w:rightFromText="180" w:vertAnchor="text" w:horzAnchor="page" w:tblpXSpec="center" w:tblpY="259"/>
        <w:tblOverlap w:val="never"/>
        <w:tblW w:w="13041" w:type="dxa"/>
        <w:jc w:val="center"/>
        <w:tblLayout w:type="fixed"/>
        <w:tblCellMar>
          <w:top w:w="15" w:type="dxa"/>
          <w:left w:w="15" w:type="dxa"/>
          <w:bottom w:w="15" w:type="dxa"/>
          <w:right w:w="15" w:type="dxa"/>
        </w:tblCellMar>
      </w:tblPr>
      <w:tblGrid>
        <w:gridCol w:w="839"/>
        <w:gridCol w:w="3912"/>
        <w:gridCol w:w="4919"/>
        <w:gridCol w:w="1801"/>
        <w:gridCol w:w="1570"/>
      </w:tblGrid>
      <w:tr>
        <w:tblPrEx>
          <w:tblCellMar>
            <w:top w:w="15" w:type="dxa"/>
            <w:left w:w="15" w:type="dxa"/>
            <w:bottom w:w="15" w:type="dxa"/>
            <w:right w:w="15" w:type="dxa"/>
          </w:tblCellMar>
        </w:tblPrEx>
        <w:trPr>
          <w:trHeight w:val="319" w:hRule="atLeast"/>
          <w:jc w:val="center"/>
        </w:trPr>
        <w:tc>
          <w:tcPr>
            <w:tcW w:w="839"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3912"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项目名称</w:t>
            </w:r>
          </w:p>
        </w:tc>
        <w:tc>
          <w:tcPr>
            <w:tcW w:w="4919"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资金使用单位</w:t>
            </w:r>
          </w:p>
        </w:tc>
        <w:tc>
          <w:tcPr>
            <w:tcW w:w="18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得分</w:t>
            </w:r>
          </w:p>
        </w:tc>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等级</w:t>
            </w:r>
          </w:p>
        </w:tc>
      </w:tr>
      <w:tr>
        <w:tblPrEx>
          <w:tblCellMar>
            <w:top w:w="15" w:type="dxa"/>
            <w:left w:w="15" w:type="dxa"/>
            <w:bottom w:w="15" w:type="dxa"/>
            <w:right w:w="15" w:type="dxa"/>
          </w:tblCellMar>
        </w:tblPrEx>
        <w:trPr>
          <w:trHeight w:val="513"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912"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4919"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319"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912"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4919"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3912"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r>
              <w:rPr>
                <w:rFonts w:hint="eastAsia" w:ascii="仿宋_GB2312" w:hAnsi="宋体" w:eastAsia="仿宋_GB2312" w:cs="仿宋_GB2312"/>
                <w:color w:val="000000"/>
                <w:sz w:val="24"/>
              </w:rPr>
              <w:t>平安建设会议经费</w:t>
            </w:r>
          </w:p>
        </w:tc>
        <w:tc>
          <w:tcPr>
            <w:tcW w:w="49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中国共产党泗水县委员会政法委员会</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100</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优</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3912"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r>
              <w:rPr>
                <w:rFonts w:hint="eastAsia" w:ascii="仿宋_GB2312" w:hAnsi="宋体" w:eastAsia="仿宋_GB2312" w:cs="仿宋_GB2312"/>
                <w:color w:val="000000"/>
                <w:sz w:val="24"/>
              </w:rPr>
              <w:t>非访治理工作经费</w:t>
            </w:r>
          </w:p>
        </w:tc>
        <w:tc>
          <w:tcPr>
            <w:tcW w:w="49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仿宋_GB2312"/>
                <w:color w:val="000000"/>
                <w:sz w:val="24"/>
                <w:lang w:eastAsia="zh-CN"/>
              </w:rPr>
              <w:t>中国共产党泗水县委员会政法委员会</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100</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lang w:eastAsia="zh-CN"/>
              </w:rPr>
              <w:t>优</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3912"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r>
              <w:rPr>
                <w:rFonts w:hint="eastAsia" w:ascii="仿宋_GB2312" w:hAnsi="宋体" w:eastAsia="仿宋_GB2312" w:cs="仿宋_GB2312"/>
                <w:color w:val="000000"/>
                <w:sz w:val="24"/>
              </w:rPr>
              <w:t>专项接待经费</w:t>
            </w:r>
          </w:p>
        </w:tc>
        <w:tc>
          <w:tcPr>
            <w:tcW w:w="49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仿宋_GB2312"/>
                <w:color w:val="000000"/>
                <w:sz w:val="24"/>
                <w:lang w:eastAsia="zh-CN"/>
              </w:rPr>
              <w:t>中国共产党泗水县委员会政法委员会</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85</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良好</w:t>
            </w:r>
          </w:p>
        </w:tc>
      </w:tr>
      <w:tr>
        <w:tblPrEx>
          <w:tblCellMar>
            <w:top w:w="15" w:type="dxa"/>
            <w:left w:w="15" w:type="dxa"/>
            <w:bottom w:w="15" w:type="dxa"/>
            <w:right w:w="15" w:type="dxa"/>
          </w:tblCellMar>
        </w:tblPrEx>
        <w:trPr>
          <w:trHeight w:val="378"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4</w:t>
            </w:r>
          </w:p>
        </w:tc>
        <w:tc>
          <w:tcPr>
            <w:tcW w:w="3912"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r>
              <w:rPr>
                <w:rFonts w:hint="eastAsia" w:ascii="仿宋_GB2312" w:hAnsi="宋体" w:eastAsia="仿宋_GB2312" w:cs="仿宋_GB2312"/>
                <w:color w:val="000000"/>
                <w:sz w:val="24"/>
              </w:rPr>
              <w:t>专项接待经费</w:t>
            </w:r>
          </w:p>
        </w:tc>
        <w:tc>
          <w:tcPr>
            <w:tcW w:w="49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仿宋_GB2312"/>
                <w:color w:val="000000"/>
                <w:sz w:val="24"/>
                <w:lang w:eastAsia="zh-CN"/>
              </w:rPr>
              <w:t>中国共产党泗水县委员会政法委员会</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85</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良好</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w:t>
            </w:r>
          </w:p>
        </w:tc>
        <w:tc>
          <w:tcPr>
            <w:tcW w:w="3912"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r>
              <w:rPr>
                <w:rFonts w:hint="eastAsia" w:ascii="仿宋_GB2312" w:hAnsi="宋体" w:eastAsia="仿宋_GB2312" w:cs="仿宋_GB2312"/>
                <w:color w:val="000000"/>
                <w:sz w:val="24"/>
              </w:rPr>
              <w:t>扫黑除恶工作经费</w:t>
            </w:r>
          </w:p>
        </w:tc>
        <w:tc>
          <w:tcPr>
            <w:tcW w:w="49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仿宋_GB2312"/>
                <w:color w:val="000000"/>
                <w:sz w:val="24"/>
                <w:lang w:eastAsia="zh-CN"/>
              </w:rPr>
              <w:t>中国共产党泗水县委员会政法委员会</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94</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lang w:eastAsia="zh-CN"/>
              </w:rPr>
              <w:t>优</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eastAsia="zh-CN"/>
              </w:rPr>
            </w:pPr>
            <w:r>
              <w:rPr>
                <w:rFonts w:hint="eastAsia" w:ascii="仿宋_GB2312" w:hAnsi="宋体" w:eastAsia="仿宋_GB2312" w:cs="仿宋_GB2312"/>
                <w:color w:val="000000"/>
                <w:kern w:val="0"/>
                <w:sz w:val="24"/>
                <w:lang w:val="en-US" w:eastAsia="zh-CN"/>
              </w:rPr>
              <w:t>6</w:t>
            </w:r>
          </w:p>
        </w:tc>
        <w:tc>
          <w:tcPr>
            <w:tcW w:w="3912"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安保维稳工作经费</w:t>
            </w:r>
          </w:p>
        </w:tc>
        <w:tc>
          <w:tcPr>
            <w:tcW w:w="49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仿宋_GB2312"/>
                <w:color w:val="000000"/>
                <w:sz w:val="24"/>
                <w:lang w:eastAsia="zh-CN"/>
              </w:rPr>
              <w:t>中国共产党泗水县委员会政法委员会</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100</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lang w:eastAsia="zh-CN"/>
              </w:rPr>
              <w:t>优</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7</w:t>
            </w:r>
          </w:p>
        </w:tc>
        <w:tc>
          <w:tcPr>
            <w:tcW w:w="3912"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r>
              <w:rPr>
                <w:rFonts w:hint="eastAsia" w:ascii="仿宋_GB2312" w:hAnsi="宋体" w:eastAsia="仿宋_GB2312" w:cs="仿宋_GB2312"/>
                <w:color w:val="000000"/>
                <w:sz w:val="24"/>
              </w:rPr>
              <w:t>购买社会化服务</w:t>
            </w:r>
          </w:p>
        </w:tc>
        <w:tc>
          <w:tcPr>
            <w:tcW w:w="49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仿宋_GB2312"/>
                <w:color w:val="000000"/>
                <w:sz w:val="24"/>
                <w:lang w:eastAsia="zh-CN"/>
              </w:rPr>
              <w:t>中国共产党泗水县委员会政法委员会</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100</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lang w:eastAsia="zh-CN"/>
              </w:rPr>
              <w:t>优</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8</w:t>
            </w:r>
          </w:p>
        </w:tc>
        <w:tc>
          <w:tcPr>
            <w:tcW w:w="3912"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“以奖代补”资金</w:t>
            </w:r>
          </w:p>
        </w:tc>
        <w:tc>
          <w:tcPr>
            <w:tcW w:w="491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仿宋_GB2312"/>
                <w:color w:val="000000"/>
                <w:sz w:val="24"/>
                <w:lang w:eastAsia="zh-CN"/>
              </w:rPr>
              <w:t>中国共产党泗水县委员会政法委员会</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85</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良好</w:t>
            </w:r>
          </w:p>
        </w:tc>
      </w:tr>
    </w:tbl>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sectPr>
          <w:pgSz w:w="16838" w:h="11906" w:orient="landscape"/>
          <w:pgMar w:top="1531" w:right="2098" w:bottom="1417" w:left="1871" w:header="851" w:footer="992" w:gutter="0"/>
          <w:cols w:space="720" w:num="1"/>
          <w:docGrid w:type="lines" w:linePitch="319" w:charSpace="0"/>
        </w:sectPr>
      </w:pPr>
    </w:p>
    <w:tbl>
      <w:tblPr>
        <w:tblStyle w:val="11"/>
        <w:tblW w:w="9358" w:type="dxa"/>
        <w:jc w:val="center"/>
        <w:tblLayout w:type="fixed"/>
        <w:tblCellMar>
          <w:top w:w="0" w:type="dxa"/>
          <w:left w:w="108" w:type="dxa"/>
          <w:bottom w:w="0" w:type="dxa"/>
          <w:right w:w="108" w:type="dxa"/>
        </w:tblCellMar>
      </w:tblPr>
      <w:tblGrid>
        <w:gridCol w:w="419"/>
        <w:gridCol w:w="827"/>
        <w:gridCol w:w="1240"/>
        <w:gridCol w:w="471"/>
        <w:gridCol w:w="1260"/>
        <w:gridCol w:w="417"/>
        <w:gridCol w:w="771"/>
        <w:gridCol w:w="1142"/>
        <w:gridCol w:w="349"/>
        <w:gridCol w:w="292"/>
        <w:gridCol w:w="516"/>
        <w:gridCol w:w="130"/>
        <w:gridCol w:w="747"/>
        <w:gridCol w:w="777"/>
      </w:tblGrid>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平安建设会议经费</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泗水县委政法委</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县委政法委办公室</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4221423</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7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7.49</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7.49</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7.43</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99%</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r>
      <w:tr>
        <w:tblPrEx>
          <w:tblCellMar>
            <w:top w:w="0" w:type="dxa"/>
            <w:left w:w="108" w:type="dxa"/>
            <w:bottom w:w="0" w:type="dxa"/>
            <w:right w:w="108" w:type="dxa"/>
          </w:tblCellMar>
        </w:tblPrEx>
        <w:trPr>
          <w:trHeight w:val="606"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5</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5</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4.94</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570"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2.49</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2.49</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通过举办平安建设相关会议，重点推进我县平安建设工作，增强全县政法综治干部的工作能力，用新时代政法工作新要求武装头脑，进一步推动平安泗水建设。</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通过举办平安建设相关会议，重点推进我县平安建设工作，增强全县政法综治干部的工作能力，用新时代政法工作新要求武装头脑，进一步推动平安泗水建设。</w:t>
            </w:r>
          </w:p>
        </w:tc>
      </w:tr>
      <w:tr>
        <w:tblPrEx>
          <w:tblCellMar>
            <w:top w:w="0" w:type="dxa"/>
            <w:left w:w="108" w:type="dxa"/>
            <w:bottom w:w="0" w:type="dxa"/>
            <w:right w:w="108" w:type="dxa"/>
          </w:tblCellMar>
        </w:tblPrEx>
        <w:trPr>
          <w:trHeight w:val="476"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489" w:hRule="exact"/>
          <w:jc w:val="center"/>
        </w:trPr>
        <w:tc>
          <w:tcPr>
            <w:tcW w:w="419" w:type="dxa"/>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40" w:type="dxa"/>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举办会议次数</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≥1次</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77"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会议覆盖率</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≥95%</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98%</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20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20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资金拨付及时率</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会议召开及时率</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≥95%</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05"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成本控制有效率</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32"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用新时代政法工作新要求武装头脑，推动政法工作更上一个新水平</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有效促进</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有效促进</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20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20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56"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有利于维护社会和谐安定</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持续提升</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持续提升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935"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全县政法综治干部满意度</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88"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100</w:t>
            </w:r>
          </w:p>
        </w:tc>
      </w:tr>
      <w:tr>
        <w:tblPrEx>
          <w:tblCellMar>
            <w:top w:w="0" w:type="dxa"/>
            <w:left w:w="108" w:type="dxa"/>
            <w:bottom w:w="0" w:type="dxa"/>
            <w:right w:w="108" w:type="dxa"/>
          </w:tblCellMar>
        </w:tblPrEx>
        <w:trPr>
          <w:trHeight w:val="353"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center"/>
        <w:outlineLvl w:val="0"/>
        <w:rPr>
          <w:rFonts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tbl>
      <w:tblPr>
        <w:tblStyle w:val="11"/>
        <w:tblW w:w="9358" w:type="dxa"/>
        <w:jc w:val="center"/>
        <w:tblLayout w:type="fixed"/>
        <w:tblCellMar>
          <w:top w:w="0" w:type="dxa"/>
          <w:left w:w="108" w:type="dxa"/>
          <w:bottom w:w="0" w:type="dxa"/>
          <w:right w:w="108" w:type="dxa"/>
        </w:tblCellMar>
      </w:tblPr>
      <w:tblGrid>
        <w:gridCol w:w="419"/>
        <w:gridCol w:w="827"/>
        <w:gridCol w:w="1240"/>
        <w:gridCol w:w="471"/>
        <w:gridCol w:w="1260"/>
        <w:gridCol w:w="417"/>
        <w:gridCol w:w="771"/>
        <w:gridCol w:w="1142"/>
        <w:gridCol w:w="349"/>
        <w:gridCol w:w="292"/>
        <w:gridCol w:w="516"/>
        <w:gridCol w:w="130"/>
        <w:gridCol w:w="747"/>
        <w:gridCol w:w="777"/>
      </w:tblGrid>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非访治理工作经费</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泗水县委政法委</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县委政法委执法监督科</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4221423</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7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宋体" w:hAnsi="宋体" w:cs="宋体"/>
                <w:sz w:val="16"/>
                <w:szCs w:val="16"/>
                <w:lang w:val="en-US"/>
              </w:rPr>
            </w:pPr>
            <w:r>
              <w:rPr>
                <w:rFonts w:hint="eastAsia" w:ascii="宋体" w:hAnsi="宋体" w:eastAsia="宋体" w:cs="宋体"/>
                <w:i w:val="0"/>
                <w:iCs w:val="0"/>
                <w:color w:val="000000"/>
                <w:kern w:val="0"/>
                <w:sz w:val="18"/>
                <w:szCs w:val="18"/>
                <w:u w:val="none"/>
                <w:lang w:val="en-US" w:eastAsia="zh-CN" w:bidi="ar"/>
              </w:rPr>
              <w:t>100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r>
      <w:tr>
        <w:tblPrEx>
          <w:tblCellMar>
            <w:top w:w="0" w:type="dxa"/>
            <w:left w:w="108" w:type="dxa"/>
            <w:bottom w:w="0" w:type="dxa"/>
            <w:right w:w="108" w:type="dxa"/>
          </w:tblCellMar>
        </w:tblPrEx>
        <w:trPr>
          <w:trHeight w:val="606"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570"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处理化解非访案件，维护我县信访稳定。</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 xml:space="preserve"> 坚持“事要解决”这个根本，深入开展重复访、信访积案集中化解活动，严格落实“三到位一处理”工作要求，持续加大信访积案化解力度，确保化解率达到100%。坚决防止发生人员失控上行问题，力争实现“减量退位”两连降目标。</w:t>
            </w:r>
          </w:p>
        </w:tc>
      </w:tr>
      <w:tr>
        <w:tblPrEx>
          <w:tblCellMar>
            <w:top w:w="0" w:type="dxa"/>
            <w:left w:w="108" w:type="dxa"/>
            <w:bottom w:w="0" w:type="dxa"/>
            <w:right w:w="108" w:type="dxa"/>
          </w:tblCellMar>
        </w:tblPrEx>
        <w:trPr>
          <w:trHeight w:val="476"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489" w:hRule="exact"/>
          <w:jc w:val="center"/>
        </w:trPr>
        <w:tc>
          <w:tcPr>
            <w:tcW w:w="419" w:type="dxa"/>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40" w:type="dxa"/>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接待非访人数</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≥1人</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77"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非访案件化解数量</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≥1件</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3</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20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20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资金拨付及时率</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非访案件化解及时率</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≥90%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98%</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05"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成本控制有效率</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32"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群众诉求得到解决</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有效促进</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有效促进</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20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20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56"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引导群众通过正常合法途径上访，保护群众切身利益。</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持续提升</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持续提升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935"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14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信访人对案件处理情况满意度</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≥95%</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88"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100</w:t>
            </w:r>
          </w:p>
        </w:tc>
      </w:tr>
      <w:tr>
        <w:tblPrEx>
          <w:tblCellMar>
            <w:top w:w="0" w:type="dxa"/>
            <w:left w:w="108" w:type="dxa"/>
            <w:bottom w:w="0" w:type="dxa"/>
            <w:right w:w="108" w:type="dxa"/>
          </w:tblCellMar>
        </w:tblPrEx>
        <w:trPr>
          <w:trHeight w:val="353" w:hRule="atLeast"/>
          <w:jc w:val="center"/>
        </w:trPr>
        <w:tc>
          <w:tcPr>
            <w:tcW w:w="24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72"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tbl>
      <w:tblPr>
        <w:tblStyle w:val="11"/>
        <w:tblW w:w="9358" w:type="dxa"/>
        <w:jc w:val="center"/>
        <w:tblLayout w:type="fixed"/>
        <w:tblCellMar>
          <w:top w:w="0" w:type="dxa"/>
          <w:left w:w="108" w:type="dxa"/>
          <w:bottom w:w="0" w:type="dxa"/>
          <w:right w:w="108" w:type="dxa"/>
        </w:tblCellMar>
      </w:tblPr>
      <w:tblGrid>
        <w:gridCol w:w="419"/>
        <w:gridCol w:w="827"/>
        <w:gridCol w:w="1291"/>
        <w:gridCol w:w="420"/>
        <w:gridCol w:w="1260"/>
        <w:gridCol w:w="360"/>
        <w:gridCol w:w="828"/>
        <w:gridCol w:w="1142"/>
        <w:gridCol w:w="349"/>
        <w:gridCol w:w="292"/>
        <w:gridCol w:w="516"/>
        <w:gridCol w:w="130"/>
        <w:gridCol w:w="747"/>
        <w:gridCol w:w="777"/>
      </w:tblGrid>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专项接待经费</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泗水县委政法委</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县委政法委办公室</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4221423</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7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15</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20"/>
                <w:szCs w:val="20"/>
                <w:u w:val="none"/>
                <w:lang w:val="en-US" w:eastAsia="zh-CN" w:bidi="ar"/>
              </w:rPr>
              <w:t>15</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20"/>
                <w:szCs w:val="20"/>
                <w:u w:val="none"/>
                <w:lang w:val="en-US" w:eastAsia="zh-CN" w:bidi="ar"/>
              </w:rPr>
              <w:t>3.35</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22%</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85</w:t>
            </w:r>
          </w:p>
        </w:tc>
      </w:tr>
      <w:tr>
        <w:tblPrEx>
          <w:tblCellMar>
            <w:top w:w="0" w:type="dxa"/>
            <w:left w:w="108" w:type="dxa"/>
            <w:bottom w:w="0" w:type="dxa"/>
            <w:right w:w="108" w:type="dxa"/>
          </w:tblCellMar>
        </w:tblPrEx>
        <w:trPr>
          <w:trHeight w:val="325"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20"/>
                <w:szCs w:val="20"/>
                <w:u w:val="none"/>
                <w:lang w:val="en-US" w:eastAsia="zh-CN" w:bidi="ar"/>
              </w:rPr>
              <w:t>15</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20"/>
                <w:szCs w:val="20"/>
                <w:u w:val="none"/>
                <w:lang w:val="en-US" w:eastAsia="zh-CN" w:bidi="ar"/>
              </w:rPr>
              <w:t>15</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0</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0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3.35</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3.35</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接待省市领导调研指导工作及安保维稳、扫黑除恶专项斗争督导组、政法队伍教育整顿督导检查</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做好省市领导调研指导工作及安保维稳、扫黑除恶专项斗争督导组、政法队伍教育整顿督导的接待工作，为我县政法各项工作的开展奠定基础。</w:t>
            </w:r>
          </w:p>
        </w:tc>
      </w:tr>
      <w:tr>
        <w:tblPrEx>
          <w:tblCellMar>
            <w:top w:w="0" w:type="dxa"/>
            <w:left w:w="108" w:type="dxa"/>
            <w:bottom w:w="0" w:type="dxa"/>
            <w:right w:w="108" w:type="dxa"/>
          </w:tblCellMar>
        </w:tblPrEx>
        <w:trPr>
          <w:trHeight w:val="90"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828"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1142"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492" w:hRule="atLeast"/>
          <w:jc w:val="center"/>
        </w:trPr>
        <w:tc>
          <w:tcPr>
            <w:tcW w:w="419" w:type="dxa"/>
            <w:vMerge w:val="restart"/>
            <w:tcBorders>
              <w:top w:val="single" w:color="000000" w:sz="4" w:space="0"/>
              <w:left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91" w:type="dxa"/>
            <w:vMerge w:val="restart"/>
            <w:tcBorders>
              <w:top w:val="single" w:color="000000" w:sz="4" w:space="0"/>
              <w:left w:val="nil"/>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040"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接待省市领导调研指导工作及安保维稳、扫黑除恶专项斗争督导组督导次数</w:t>
            </w:r>
          </w:p>
        </w:tc>
        <w:tc>
          <w:tcPr>
            <w:tcW w:w="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≥3次</w:t>
            </w:r>
          </w:p>
        </w:tc>
        <w:tc>
          <w:tcPr>
            <w:tcW w:w="1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9次</w:t>
            </w:r>
          </w:p>
        </w:tc>
        <w:tc>
          <w:tcPr>
            <w:tcW w:w="64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92" w:hRule="atLeast"/>
          <w:jc w:val="center"/>
        </w:trPr>
        <w:tc>
          <w:tcPr>
            <w:tcW w:w="419" w:type="dxa"/>
            <w:vMerge w:val="continue"/>
            <w:tcBorders>
              <w:left w:val="single" w:color="000000" w:sz="4" w:space="0"/>
              <w:bottom w:val="single" w:color="000000" w:sz="4" w:space="0"/>
              <w:right w:val="nil"/>
            </w:tcBorders>
            <w:vAlign w:val="center"/>
          </w:tcPr>
          <w:p>
            <w:pPr>
              <w:widowControl/>
              <w:spacing w:line="280" w:lineRule="exact"/>
              <w:jc w:val="center"/>
              <w:textAlignment w:val="center"/>
            </w:pPr>
          </w:p>
        </w:tc>
        <w:tc>
          <w:tcPr>
            <w:tcW w:w="827"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pPr>
          </w:p>
        </w:tc>
        <w:tc>
          <w:tcPr>
            <w:tcW w:w="1291" w:type="dxa"/>
            <w:vMerge w:val="continue"/>
            <w:tcBorders>
              <w:left w:val="nil"/>
              <w:bottom w:val="single" w:color="000000" w:sz="4" w:space="0"/>
              <w:right w:val="single" w:color="000000" w:sz="4" w:space="0"/>
            </w:tcBorders>
            <w:vAlign w:val="center"/>
          </w:tcPr>
          <w:p>
            <w:pPr>
              <w:widowControl/>
              <w:spacing w:line="280" w:lineRule="exact"/>
              <w:jc w:val="center"/>
              <w:textAlignment w:val="center"/>
            </w:pPr>
          </w:p>
        </w:tc>
        <w:tc>
          <w:tcPr>
            <w:tcW w:w="2040"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接待省市领导调研指导工作及安保维稳、扫黑除恶专项斗争督导组督导人数</w:t>
            </w:r>
          </w:p>
        </w:tc>
        <w:tc>
          <w:tcPr>
            <w:tcW w:w="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≥20人</w:t>
            </w:r>
          </w:p>
        </w:tc>
        <w:tc>
          <w:tcPr>
            <w:tcW w:w="1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32人</w:t>
            </w:r>
          </w:p>
        </w:tc>
        <w:tc>
          <w:tcPr>
            <w:tcW w:w="64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646"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p>
        </w:tc>
      </w:tr>
      <w:tr>
        <w:tblPrEx>
          <w:tblCellMar>
            <w:top w:w="0" w:type="dxa"/>
            <w:left w:w="108" w:type="dxa"/>
            <w:bottom w:w="0" w:type="dxa"/>
            <w:right w:w="108" w:type="dxa"/>
          </w:tblCellMar>
        </w:tblPrEx>
        <w:trPr>
          <w:trHeight w:val="627"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督导组成员参加接待的覆盖率</w:t>
            </w:r>
          </w:p>
        </w:tc>
        <w:tc>
          <w:tcPr>
            <w:tcW w:w="82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≥95%</w:t>
            </w:r>
          </w:p>
        </w:tc>
        <w:tc>
          <w:tcPr>
            <w:tcW w:w="114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100%</w:t>
            </w:r>
          </w:p>
        </w:tc>
        <w:tc>
          <w:tcPr>
            <w:tcW w:w="641"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646" w:type="dxa"/>
            <w:gridSpan w:val="2"/>
            <w:tcBorders>
              <w:top w:val="single" w:color="auto"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资金拨付及时率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接待工作及时率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05"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公务接待有关标准控制率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kern w:val="0"/>
                <w:sz w:val="16"/>
                <w:szCs w:val="16"/>
                <w:lang w:val="en-US" w:eastAsia="zh-CN" w:bidi="ar-SA"/>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cstheme="minorBidi"/>
                <w:kern w:val="2"/>
                <w:sz w:val="16"/>
                <w:szCs w:val="16"/>
                <w:lang w:val="en-US" w:eastAsia="zh-CN" w:bidi="ar-SA"/>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eastAsiaTheme="minorEastAsia" w:cstheme="minorBidi"/>
                <w:kern w:val="2"/>
                <w:sz w:val="16"/>
                <w:szCs w:val="16"/>
                <w:lang w:val="en-US" w:eastAsia="zh-CN" w:bidi="ar-SA"/>
              </w:rPr>
            </w:pPr>
            <w:r>
              <w:rPr>
                <w:rFonts w:hint="eastAsia" w:ascii="宋体" w:hAnsi="宋体"/>
                <w:sz w:val="16"/>
                <w:szCs w:val="16"/>
                <w:lang w:val="en-US" w:eastAsia="zh-CN"/>
              </w:rPr>
              <w:t>20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32"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为我县政法各项工作开展奠定良好的基础</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有效促进</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有效促进</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56"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促进我县社会稳定和谐</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88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接待服务对象满意度</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≥95%</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44"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85</w:t>
            </w:r>
          </w:p>
        </w:tc>
      </w:tr>
      <w:tr>
        <w:tblPrEx>
          <w:tblCellMar>
            <w:top w:w="0" w:type="dxa"/>
            <w:left w:w="108" w:type="dxa"/>
            <w:bottom w:w="0" w:type="dxa"/>
            <w:right w:w="108" w:type="dxa"/>
          </w:tblCellMar>
        </w:tblPrEx>
        <w:trPr>
          <w:trHeight w:val="166"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tbl>
      <w:tblPr>
        <w:tblStyle w:val="11"/>
        <w:tblW w:w="9358" w:type="dxa"/>
        <w:jc w:val="center"/>
        <w:tblLayout w:type="fixed"/>
        <w:tblCellMar>
          <w:top w:w="0" w:type="dxa"/>
          <w:left w:w="108" w:type="dxa"/>
          <w:bottom w:w="0" w:type="dxa"/>
          <w:right w:w="108" w:type="dxa"/>
        </w:tblCellMar>
      </w:tblPr>
      <w:tblGrid>
        <w:gridCol w:w="419"/>
        <w:gridCol w:w="827"/>
        <w:gridCol w:w="1291"/>
        <w:gridCol w:w="420"/>
        <w:gridCol w:w="1260"/>
        <w:gridCol w:w="360"/>
        <w:gridCol w:w="828"/>
        <w:gridCol w:w="1142"/>
        <w:gridCol w:w="349"/>
        <w:gridCol w:w="292"/>
        <w:gridCol w:w="516"/>
        <w:gridCol w:w="130"/>
        <w:gridCol w:w="747"/>
        <w:gridCol w:w="777"/>
      </w:tblGrid>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90"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610办公室反邪教办公经费</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泗水县委政法委</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县委政法委反邪教协调科</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4237610</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7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5</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5</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20"/>
                <w:szCs w:val="20"/>
                <w:u w:val="none"/>
                <w:lang w:val="en-US" w:eastAsia="zh-CN" w:bidi="ar"/>
              </w:rPr>
              <w:t>0</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85</w:t>
            </w:r>
          </w:p>
        </w:tc>
      </w:tr>
      <w:tr>
        <w:tblPrEx>
          <w:tblCellMar>
            <w:top w:w="0" w:type="dxa"/>
            <w:left w:w="108" w:type="dxa"/>
            <w:bottom w:w="0" w:type="dxa"/>
            <w:right w:w="108" w:type="dxa"/>
          </w:tblCellMar>
        </w:tblPrEx>
        <w:trPr>
          <w:trHeight w:val="325"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5</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5</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20"/>
                <w:szCs w:val="20"/>
                <w:u w:val="none"/>
                <w:lang w:val="en-US" w:eastAsia="zh-CN" w:bidi="ar"/>
              </w:rPr>
              <w:t>0</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0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通过悬挂宣传条幅、发放宣传手册等多种方式开展反邪教宣传，提高群众向邪教行为作斗争的意识。</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通过悬挂宣传条幅、发放宣传手册等多种方式开展反邪教宣传，提高群众向邪教行为作斗争的意识。</w:t>
            </w:r>
          </w:p>
        </w:tc>
      </w:tr>
      <w:tr>
        <w:tblPrEx>
          <w:tblCellMar>
            <w:top w:w="0" w:type="dxa"/>
            <w:left w:w="108" w:type="dxa"/>
            <w:bottom w:w="0" w:type="dxa"/>
            <w:right w:w="108" w:type="dxa"/>
          </w:tblCellMar>
        </w:tblPrEx>
        <w:trPr>
          <w:trHeight w:val="90"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828"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1142"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492" w:hRule="atLeast"/>
          <w:jc w:val="center"/>
        </w:trPr>
        <w:tc>
          <w:tcPr>
            <w:tcW w:w="419" w:type="dxa"/>
            <w:vMerge w:val="restart"/>
            <w:tcBorders>
              <w:top w:val="single" w:color="000000" w:sz="4" w:space="0"/>
              <w:left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91" w:type="dxa"/>
            <w:tcBorders>
              <w:top w:val="single" w:color="000000" w:sz="4" w:space="0"/>
              <w:left w:val="nil"/>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040" w:type="dxa"/>
            <w:gridSpan w:val="3"/>
            <w:tcBorders>
              <w:top w:val="single" w:color="000000" w:sz="4" w:space="0"/>
              <w:left w:val="single" w:color="000000" w:sz="4" w:space="0"/>
              <w:bottom w:val="single" w:color="000000" w:sz="4" w:space="0"/>
              <w:right w:val="single" w:color="auto" w:sz="4" w:space="0"/>
            </w:tcBorders>
            <w:vAlign w:val="center"/>
          </w:tcPr>
          <w:p>
            <w:pPr>
              <w:spacing w:line="280" w:lineRule="exact"/>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开展反邪教宣传次数</w:t>
            </w:r>
          </w:p>
        </w:tc>
        <w:tc>
          <w:tcPr>
            <w:tcW w:w="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≥2次</w:t>
            </w:r>
          </w:p>
        </w:tc>
        <w:tc>
          <w:tcPr>
            <w:tcW w:w="1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2次</w:t>
            </w:r>
          </w:p>
        </w:tc>
        <w:tc>
          <w:tcPr>
            <w:tcW w:w="64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27"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vMerge w:val="restart"/>
            <w:tcBorders>
              <w:top w:val="single" w:color="000000" w:sz="4" w:space="0"/>
              <w:left w:val="nil"/>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悬挂宣传条幅数量</w:t>
            </w:r>
          </w:p>
        </w:tc>
        <w:tc>
          <w:tcPr>
            <w:tcW w:w="82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≥5个</w:t>
            </w:r>
          </w:p>
        </w:tc>
        <w:tc>
          <w:tcPr>
            <w:tcW w:w="114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8个</w:t>
            </w:r>
          </w:p>
        </w:tc>
        <w:tc>
          <w:tcPr>
            <w:tcW w:w="641"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646" w:type="dxa"/>
            <w:gridSpan w:val="2"/>
            <w:tcBorders>
              <w:top w:val="single" w:color="auto"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27"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vMerge w:val="continue"/>
            <w:tcBorders>
              <w:left w:val="nil"/>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rPr>
            </w:pP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发放反邪教宣传手册</w:t>
            </w:r>
          </w:p>
        </w:tc>
        <w:tc>
          <w:tcPr>
            <w:tcW w:w="82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≥5000册</w:t>
            </w:r>
          </w:p>
        </w:tc>
        <w:tc>
          <w:tcPr>
            <w:tcW w:w="114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10000册</w:t>
            </w:r>
          </w:p>
        </w:tc>
        <w:tc>
          <w:tcPr>
            <w:tcW w:w="641"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sz w:val="16"/>
                <w:szCs w:val="16"/>
                <w:lang w:val="en-US" w:eastAsia="zh-CN"/>
              </w:rPr>
            </w:pPr>
          </w:p>
        </w:tc>
        <w:tc>
          <w:tcPr>
            <w:tcW w:w="646" w:type="dxa"/>
            <w:gridSpan w:val="2"/>
            <w:tcBorders>
              <w:top w:val="single" w:color="auto"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hint="eastAsia" w:ascii="宋体" w:hAnsi="宋体" w:cs="宋体"/>
                <w:sz w:val="16"/>
                <w:szCs w:val="16"/>
                <w:lang w:val="en-US" w:eastAsia="zh-CN"/>
              </w:rPr>
            </w:pP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资金拨付及时率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反邪教宣传完成的及时率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≥95%</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05"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成本控制有效率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cstheme="minorBidi"/>
                <w:kern w:val="2"/>
                <w:sz w:val="16"/>
                <w:szCs w:val="16"/>
                <w:lang w:val="en-US" w:eastAsia="zh-CN" w:bidi="ar-SA"/>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eastAsiaTheme="minorEastAsia" w:cstheme="minorBidi"/>
                <w:kern w:val="2"/>
                <w:sz w:val="16"/>
                <w:szCs w:val="16"/>
                <w:lang w:val="en-US" w:eastAsia="zh-CN" w:bidi="ar-SA"/>
              </w:rPr>
            </w:pPr>
            <w:r>
              <w:rPr>
                <w:rFonts w:hint="eastAsia" w:ascii="宋体" w:hAnsi="宋体"/>
                <w:sz w:val="16"/>
                <w:szCs w:val="16"/>
                <w:lang w:val="en-US" w:eastAsia="zh-CN"/>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918"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增强群众对邪教行为的辨别能力，自觉抵制邪教行为</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有效促进</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有效促进</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56"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为我县打击、处理、防范邪教行为奠定基础</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88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城乡居民满意度</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44"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85</w:t>
            </w:r>
          </w:p>
        </w:tc>
      </w:tr>
      <w:tr>
        <w:tblPrEx>
          <w:tblCellMar>
            <w:top w:w="0" w:type="dxa"/>
            <w:left w:w="108" w:type="dxa"/>
            <w:bottom w:w="0" w:type="dxa"/>
            <w:right w:w="108" w:type="dxa"/>
          </w:tblCellMar>
        </w:tblPrEx>
        <w:trPr>
          <w:trHeight w:val="166"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扫黑除恶工作经费</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泗水县委政法委</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县委政法委政治安全办公室</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4221423</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7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115.3</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100</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72.5</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73%</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94</w:t>
            </w:r>
          </w:p>
        </w:tc>
      </w:tr>
      <w:tr>
        <w:tblPrEx>
          <w:tblCellMar>
            <w:top w:w="0" w:type="dxa"/>
            <w:left w:w="108" w:type="dxa"/>
            <w:bottom w:w="0" w:type="dxa"/>
            <w:right w:w="108" w:type="dxa"/>
          </w:tblCellMar>
        </w:tblPrEx>
        <w:trPr>
          <w:trHeight w:val="325"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100</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100</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57.2</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0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15.3</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right"/>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15.3</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扫除黑恶势力，破网打伞，净化我县社会环境。</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扫除黑恶势力，破网打伞，净化我县社会环境。</w:t>
            </w:r>
          </w:p>
        </w:tc>
      </w:tr>
      <w:tr>
        <w:tblPrEx>
          <w:tblCellMar>
            <w:top w:w="0" w:type="dxa"/>
            <w:left w:w="108" w:type="dxa"/>
            <w:bottom w:w="0" w:type="dxa"/>
            <w:right w:w="108" w:type="dxa"/>
          </w:tblCellMar>
        </w:tblPrEx>
        <w:trPr>
          <w:trHeight w:val="90"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828"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1142"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492" w:hRule="atLeast"/>
          <w:jc w:val="center"/>
        </w:trPr>
        <w:tc>
          <w:tcPr>
            <w:tcW w:w="419" w:type="dxa"/>
            <w:vMerge w:val="restart"/>
            <w:tcBorders>
              <w:top w:val="single" w:color="000000" w:sz="4" w:space="0"/>
              <w:left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91" w:type="dxa"/>
            <w:vMerge w:val="restart"/>
            <w:tcBorders>
              <w:top w:val="single" w:color="000000" w:sz="4" w:space="0"/>
              <w:left w:val="nil"/>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040"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开展扫黑除恶宣传次数</w:t>
            </w:r>
          </w:p>
        </w:tc>
        <w:tc>
          <w:tcPr>
            <w:tcW w:w="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≥2次</w:t>
            </w:r>
          </w:p>
        </w:tc>
        <w:tc>
          <w:tcPr>
            <w:tcW w:w="1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2次</w:t>
            </w:r>
          </w:p>
        </w:tc>
        <w:tc>
          <w:tcPr>
            <w:tcW w:w="64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92" w:hRule="atLeast"/>
          <w:jc w:val="center"/>
        </w:trPr>
        <w:tc>
          <w:tcPr>
            <w:tcW w:w="419" w:type="dxa"/>
            <w:vMerge w:val="continue"/>
            <w:tcBorders>
              <w:left w:val="single" w:color="000000" w:sz="4" w:space="0"/>
              <w:bottom w:val="single" w:color="000000" w:sz="4" w:space="0"/>
              <w:right w:val="nil"/>
            </w:tcBorders>
            <w:vAlign w:val="center"/>
          </w:tcPr>
          <w:p>
            <w:pPr>
              <w:widowControl/>
              <w:spacing w:line="280" w:lineRule="exact"/>
              <w:jc w:val="center"/>
              <w:textAlignment w:val="center"/>
            </w:pPr>
          </w:p>
        </w:tc>
        <w:tc>
          <w:tcPr>
            <w:tcW w:w="827"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pPr>
          </w:p>
        </w:tc>
        <w:tc>
          <w:tcPr>
            <w:tcW w:w="1291" w:type="dxa"/>
            <w:vMerge w:val="continue"/>
            <w:tcBorders>
              <w:left w:val="nil"/>
              <w:bottom w:val="single" w:color="000000" w:sz="4" w:space="0"/>
              <w:right w:val="single" w:color="000000" w:sz="4" w:space="0"/>
            </w:tcBorders>
            <w:vAlign w:val="center"/>
          </w:tcPr>
          <w:p>
            <w:pPr>
              <w:widowControl/>
              <w:spacing w:line="280" w:lineRule="exact"/>
              <w:jc w:val="center"/>
              <w:textAlignment w:val="center"/>
            </w:pPr>
          </w:p>
        </w:tc>
        <w:tc>
          <w:tcPr>
            <w:tcW w:w="2040"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更新户外大型宣传牌内容</w:t>
            </w:r>
          </w:p>
        </w:tc>
        <w:tc>
          <w:tcPr>
            <w:tcW w:w="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≥1次</w:t>
            </w:r>
          </w:p>
        </w:tc>
        <w:tc>
          <w:tcPr>
            <w:tcW w:w="1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2次</w:t>
            </w:r>
          </w:p>
        </w:tc>
        <w:tc>
          <w:tcPr>
            <w:tcW w:w="64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646"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p>
        </w:tc>
      </w:tr>
      <w:tr>
        <w:tblPrEx>
          <w:tblCellMar>
            <w:top w:w="0" w:type="dxa"/>
            <w:left w:w="108" w:type="dxa"/>
            <w:bottom w:w="0" w:type="dxa"/>
            <w:right w:w="108" w:type="dxa"/>
          </w:tblCellMar>
        </w:tblPrEx>
        <w:trPr>
          <w:trHeight w:val="627"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扫黑除恶宣传覆盖率</w:t>
            </w:r>
          </w:p>
        </w:tc>
        <w:tc>
          <w:tcPr>
            <w:tcW w:w="82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≥95%</w:t>
            </w:r>
          </w:p>
        </w:tc>
        <w:tc>
          <w:tcPr>
            <w:tcW w:w="114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646" w:type="dxa"/>
            <w:gridSpan w:val="2"/>
            <w:tcBorders>
              <w:top w:val="single" w:color="auto"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14</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72"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资金拨付及时率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8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宣传版面更换及时率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≥95%</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20"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成本控制有效率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cstheme="minorBidi"/>
                <w:kern w:val="2"/>
                <w:sz w:val="16"/>
                <w:szCs w:val="16"/>
                <w:lang w:val="en-US" w:eastAsia="zh-CN" w:bidi="ar-SA"/>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cstheme="minorBidi"/>
                <w:kern w:val="2"/>
                <w:sz w:val="16"/>
                <w:szCs w:val="16"/>
                <w:lang w:val="en-US" w:eastAsia="zh-CN" w:bidi="ar-SA"/>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35"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促进我县扫黑除恶工作的顺利开展</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有效促进</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有效促进</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9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为我县营造和谐稳定的社会环境</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sz w:val="16"/>
                <w:szCs w:val="16"/>
                <w:lang w:val="en-US"/>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88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城乡居民满意度</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28"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94</w:t>
            </w:r>
          </w:p>
        </w:tc>
      </w:tr>
      <w:tr>
        <w:tblPrEx>
          <w:tblCellMar>
            <w:top w:w="0" w:type="dxa"/>
            <w:left w:w="108" w:type="dxa"/>
            <w:bottom w:w="0" w:type="dxa"/>
            <w:right w:w="108" w:type="dxa"/>
          </w:tblCellMar>
        </w:tblPrEx>
        <w:trPr>
          <w:trHeight w:val="906"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tbl>
      <w:tblPr>
        <w:tblStyle w:val="11"/>
        <w:tblW w:w="9358" w:type="dxa"/>
        <w:jc w:val="center"/>
        <w:tblLayout w:type="fixed"/>
        <w:tblCellMar>
          <w:top w:w="0" w:type="dxa"/>
          <w:left w:w="108" w:type="dxa"/>
          <w:bottom w:w="0" w:type="dxa"/>
          <w:right w:w="108" w:type="dxa"/>
        </w:tblCellMar>
      </w:tblPr>
      <w:tblGrid>
        <w:gridCol w:w="419"/>
        <w:gridCol w:w="827"/>
        <w:gridCol w:w="1291"/>
        <w:gridCol w:w="420"/>
        <w:gridCol w:w="1260"/>
        <w:gridCol w:w="360"/>
        <w:gridCol w:w="828"/>
        <w:gridCol w:w="1142"/>
        <w:gridCol w:w="349"/>
        <w:gridCol w:w="292"/>
        <w:gridCol w:w="516"/>
        <w:gridCol w:w="130"/>
        <w:gridCol w:w="747"/>
        <w:gridCol w:w="777"/>
      </w:tblGrid>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安保维稳工作经费</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泗水县委政法委</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县委政法委政治安全办公室</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4221423</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7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216.5</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200</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212.5</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98%</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r>
      <w:tr>
        <w:tblPrEx>
          <w:tblCellMar>
            <w:top w:w="0" w:type="dxa"/>
            <w:left w:w="108" w:type="dxa"/>
            <w:bottom w:w="0" w:type="dxa"/>
            <w:right w:w="108" w:type="dxa"/>
          </w:tblCellMar>
        </w:tblPrEx>
        <w:trPr>
          <w:trHeight w:val="325"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200</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200</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196</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0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16.5</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16.5</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216.5</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200</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212.5</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 xml:space="preserve"> 在建党100周年期间做好重点人员的安保维稳工作，维护我县社会稳定。适时启动战时机制，全面落实重点人员、重点群体“五个一”包保措施，强化重点行业、重点领域安全管控措施，确保社会安全稳定。</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 xml:space="preserve"> 在建党100周年期间做好重点人员的安保维稳工作，维护我县社会稳定。适时启动战时机制，全面落实重点人员、重点群体“五个一”包保措施，强化重点行业、重点领域安全管控措施，确保社会安全稳定。</w:t>
            </w:r>
          </w:p>
        </w:tc>
      </w:tr>
      <w:tr>
        <w:tblPrEx>
          <w:tblCellMar>
            <w:top w:w="0" w:type="dxa"/>
            <w:left w:w="108" w:type="dxa"/>
            <w:bottom w:w="0" w:type="dxa"/>
            <w:right w:w="108" w:type="dxa"/>
          </w:tblCellMar>
        </w:tblPrEx>
        <w:trPr>
          <w:trHeight w:val="90"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828"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1142"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492" w:hRule="atLeast"/>
          <w:jc w:val="center"/>
        </w:trPr>
        <w:tc>
          <w:tcPr>
            <w:tcW w:w="419" w:type="dxa"/>
            <w:vMerge w:val="restart"/>
            <w:tcBorders>
              <w:top w:val="single" w:color="000000" w:sz="4" w:space="0"/>
              <w:left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91" w:type="dxa"/>
            <w:tcBorders>
              <w:top w:val="single" w:color="000000" w:sz="4" w:space="0"/>
              <w:left w:val="nil"/>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040" w:type="dxa"/>
            <w:gridSpan w:val="3"/>
            <w:tcBorders>
              <w:top w:val="single" w:color="000000" w:sz="4" w:space="0"/>
              <w:left w:val="single" w:color="000000" w:sz="4" w:space="0"/>
              <w:bottom w:val="single" w:color="000000" w:sz="4" w:space="0"/>
              <w:right w:val="single" w:color="auto" w:sz="4" w:space="0"/>
            </w:tcBorders>
            <w:vAlign w:val="center"/>
          </w:tcPr>
          <w:p>
            <w:pPr>
              <w:spacing w:line="280" w:lineRule="exact"/>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开展安保维稳应急演练次数</w:t>
            </w:r>
          </w:p>
        </w:tc>
        <w:tc>
          <w:tcPr>
            <w:tcW w:w="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≥1次</w:t>
            </w:r>
          </w:p>
        </w:tc>
        <w:tc>
          <w:tcPr>
            <w:tcW w:w="1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1次</w:t>
            </w:r>
          </w:p>
        </w:tc>
        <w:tc>
          <w:tcPr>
            <w:tcW w:w="64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27"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失控人员</w:t>
            </w:r>
          </w:p>
        </w:tc>
        <w:tc>
          <w:tcPr>
            <w:tcW w:w="82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≤1人</w:t>
            </w:r>
          </w:p>
        </w:tc>
        <w:tc>
          <w:tcPr>
            <w:tcW w:w="114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0人</w:t>
            </w:r>
          </w:p>
        </w:tc>
        <w:tc>
          <w:tcPr>
            <w:tcW w:w="641"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646" w:type="dxa"/>
            <w:gridSpan w:val="2"/>
            <w:tcBorders>
              <w:top w:val="single" w:color="auto"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72"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应急演练开展的及时率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≥95%</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8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资金拨付及时率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default" w:ascii="宋体" w:hAnsi="宋体" w:cs="宋体"/>
                <w:color w:val="000000"/>
                <w:kern w:val="0"/>
                <w:sz w:val="16"/>
                <w:szCs w:val="16"/>
                <w:lang w:val="en-US" w:eastAsia="zh-CN"/>
              </w:rPr>
              <w:t xml:space="preserve"> </w:t>
            </w: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20"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成本控制有效率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default" w:ascii="宋体" w:hAnsi="宋体" w:cs="宋体"/>
                <w:color w:val="000000"/>
                <w:kern w:val="0"/>
                <w:sz w:val="16"/>
                <w:szCs w:val="16"/>
                <w:lang w:val="en-US" w:eastAsia="zh-CN"/>
              </w:rPr>
              <w:t xml:space="preserve"> </w:t>
            </w: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cstheme="minorBidi"/>
                <w:kern w:val="2"/>
                <w:sz w:val="16"/>
                <w:szCs w:val="16"/>
                <w:lang w:val="en-US" w:eastAsia="zh-CN" w:bidi="ar-SA"/>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cstheme="minorBidi"/>
                <w:kern w:val="2"/>
                <w:sz w:val="16"/>
                <w:szCs w:val="16"/>
                <w:lang w:val="en-US" w:eastAsia="zh-CN" w:bidi="ar-SA"/>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35"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确保建党100周年庆祝活动等重大活动绝对安全稳定。</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有效促进</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9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在重要时间节点做好重点人员的安保维稳工作，维护我县社会稳定。</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sz w:val="16"/>
                <w:szCs w:val="16"/>
                <w:lang w:val="en-US"/>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88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城乡居民满意度</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≥95%</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20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sz w:val="16"/>
                <w:szCs w:val="16"/>
                <w:lang w:val="en-US"/>
              </w:rPr>
            </w:pPr>
            <w:r>
              <w:rPr>
                <w:rFonts w:hint="eastAsia" w:ascii="宋体" w:hAnsi="宋体"/>
                <w:sz w:val="16"/>
                <w:szCs w:val="16"/>
                <w:lang w:val="en-US" w:eastAsia="zh-CN"/>
              </w:rPr>
              <w:t>20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28"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100</w:t>
            </w:r>
          </w:p>
        </w:tc>
      </w:tr>
      <w:tr>
        <w:tblPrEx>
          <w:tblCellMar>
            <w:top w:w="0" w:type="dxa"/>
            <w:left w:w="108" w:type="dxa"/>
            <w:bottom w:w="0" w:type="dxa"/>
            <w:right w:w="108" w:type="dxa"/>
          </w:tblCellMar>
        </w:tblPrEx>
        <w:trPr>
          <w:trHeight w:val="906"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both"/>
        <w:outlineLvl w:val="0"/>
        <w:rPr>
          <w:rFonts w:hint="eastAsia" w:ascii="方正小标宋简体" w:hAnsi="方正小标宋简体" w:eastAsia="方正小标宋简体" w:cs="方正小标宋简体"/>
          <w:kern w:val="0"/>
          <w:sz w:val="44"/>
          <w:szCs w:val="44"/>
        </w:rPr>
      </w:pPr>
    </w:p>
    <w:tbl>
      <w:tblPr>
        <w:tblStyle w:val="11"/>
        <w:tblW w:w="9358" w:type="dxa"/>
        <w:jc w:val="center"/>
        <w:tblLayout w:type="fixed"/>
        <w:tblCellMar>
          <w:top w:w="0" w:type="dxa"/>
          <w:left w:w="108" w:type="dxa"/>
          <w:bottom w:w="0" w:type="dxa"/>
          <w:right w:w="108" w:type="dxa"/>
        </w:tblCellMar>
      </w:tblPr>
      <w:tblGrid>
        <w:gridCol w:w="419"/>
        <w:gridCol w:w="827"/>
        <w:gridCol w:w="1291"/>
        <w:gridCol w:w="420"/>
        <w:gridCol w:w="1260"/>
        <w:gridCol w:w="360"/>
        <w:gridCol w:w="828"/>
        <w:gridCol w:w="1142"/>
        <w:gridCol w:w="349"/>
        <w:gridCol w:w="292"/>
        <w:gridCol w:w="516"/>
        <w:gridCol w:w="130"/>
        <w:gridCol w:w="747"/>
        <w:gridCol w:w="777"/>
      </w:tblGrid>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435"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购买社会化服务</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泗水县委政法委</w:t>
            </w:r>
          </w:p>
        </w:tc>
      </w:tr>
      <w:tr>
        <w:tblPrEx>
          <w:tblCellMar>
            <w:top w:w="0" w:type="dxa"/>
            <w:left w:w="108" w:type="dxa"/>
            <w:bottom w:w="0" w:type="dxa"/>
            <w:right w:w="108" w:type="dxa"/>
          </w:tblCellMar>
        </w:tblPrEx>
        <w:trPr>
          <w:trHeight w:val="44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县委政法委综合治理科</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4228647</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7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宋体" w:hAnsi="宋体" w:cs="宋体"/>
                <w:sz w:val="16"/>
                <w:szCs w:val="16"/>
                <w:lang w:val="en-US"/>
              </w:rPr>
            </w:pPr>
            <w:r>
              <w:rPr>
                <w:rFonts w:hint="eastAsia" w:ascii="宋体" w:hAnsi="宋体" w:eastAsia="宋体" w:cs="宋体"/>
                <w:i w:val="0"/>
                <w:iCs w:val="0"/>
                <w:color w:val="000000"/>
                <w:kern w:val="0"/>
                <w:sz w:val="18"/>
                <w:szCs w:val="18"/>
                <w:u w:val="none"/>
                <w:lang w:val="en-US" w:eastAsia="zh-CN" w:bidi="ar"/>
              </w:rPr>
              <w:t>36.68</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36.68</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36.68</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r>
      <w:tr>
        <w:tblPrEx>
          <w:tblCellMar>
            <w:top w:w="0" w:type="dxa"/>
            <w:left w:w="108" w:type="dxa"/>
            <w:bottom w:w="0" w:type="dxa"/>
            <w:right w:w="108" w:type="dxa"/>
          </w:tblCellMar>
        </w:tblPrEx>
        <w:trPr>
          <w:trHeight w:val="325"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宋体" w:hAnsi="宋体" w:cs="宋体"/>
                <w:sz w:val="16"/>
                <w:szCs w:val="16"/>
                <w:lang w:val="en-US"/>
              </w:rPr>
            </w:pPr>
            <w:r>
              <w:rPr>
                <w:rFonts w:hint="eastAsia" w:ascii="宋体" w:hAnsi="宋体" w:eastAsia="宋体" w:cs="宋体"/>
                <w:i w:val="0"/>
                <w:iCs w:val="0"/>
                <w:color w:val="000000"/>
                <w:kern w:val="0"/>
                <w:sz w:val="18"/>
                <w:szCs w:val="18"/>
                <w:u w:val="none"/>
                <w:lang w:val="en-US" w:eastAsia="zh-CN" w:bidi="ar"/>
              </w:rPr>
              <w:t>36.68</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36.68</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36.68</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0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 xml:space="preserve"> 提升我县网格化管理水平。</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 xml:space="preserve"> 提升我县网格化管理水平。</w:t>
            </w:r>
          </w:p>
        </w:tc>
      </w:tr>
      <w:tr>
        <w:tblPrEx>
          <w:tblCellMar>
            <w:top w:w="0" w:type="dxa"/>
            <w:left w:w="108" w:type="dxa"/>
            <w:bottom w:w="0" w:type="dxa"/>
            <w:right w:w="108" w:type="dxa"/>
          </w:tblCellMar>
        </w:tblPrEx>
        <w:trPr>
          <w:trHeight w:val="90"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828"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1142"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492" w:hRule="atLeast"/>
          <w:jc w:val="center"/>
        </w:trPr>
        <w:tc>
          <w:tcPr>
            <w:tcW w:w="419" w:type="dxa"/>
            <w:vMerge w:val="restart"/>
            <w:tcBorders>
              <w:top w:val="single" w:color="000000" w:sz="4" w:space="0"/>
              <w:left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91" w:type="dxa"/>
            <w:tcBorders>
              <w:top w:val="single" w:color="000000" w:sz="4" w:space="0"/>
              <w:left w:val="nil"/>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040" w:type="dxa"/>
            <w:gridSpan w:val="3"/>
            <w:tcBorders>
              <w:top w:val="single" w:color="000000" w:sz="4" w:space="0"/>
              <w:left w:val="single" w:color="000000" w:sz="4" w:space="0"/>
              <w:bottom w:val="single" w:color="000000" w:sz="4" w:space="0"/>
              <w:right w:val="single" w:color="auto" w:sz="4" w:space="0"/>
            </w:tcBorders>
            <w:vAlign w:val="center"/>
          </w:tcPr>
          <w:p>
            <w:pPr>
              <w:spacing w:line="280" w:lineRule="exact"/>
              <w:jc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招聘网格员</w:t>
            </w:r>
          </w:p>
        </w:tc>
        <w:tc>
          <w:tcPr>
            <w:tcW w:w="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≥10人</w:t>
            </w:r>
          </w:p>
        </w:tc>
        <w:tc>
          <w:tcPr>
            <w:tcW w:w="1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w:t>
            </w:r>
          </w:p>
        </w:tc>
        <w:tc>
          <w:tcPr>
            <w:tcW w:w="64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646"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27"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城乡社区、村居纳入网格化管理</w:t>
            </w:r>
          </w:p>
        </w:tc>
        <w:tc>
          <w:tcPr>
            <w:tcW w:w="82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≥90%</w:t>
            </w:r>
          </w:p>
        </w:tc>
        <w:tc>
          <w:tcPr>
            <w:tcW w:w="114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98%</w:t>
            </w:r>
          </w:p>
        </w:tc>
        <w:tc>
          <w:tcPr>
            <w:tcW w:w="641"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646" w:type="dxa"/>
            <w:gridSpan w:val="2"/>
            <w:tcBorders>
              <w:top w:val="single" w:color="auto"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13"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信息平台账号使用率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88"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信息平台管理费用及网格员工资</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不超过30万元</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25.67万元</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cstheme="minorBidi"/>
                <w:kern w:val="2"/>
                <w:sz w:val="16"/>
                <w:szCs w:val="16"/>
                <w:lang w:val="en-US" w:eastAsia="zh-CN" w:bidi="ar-SA"/>
              </w:rPr>
            </w:pPr>
            <w:r>
              <w:rPr>
                <w:rFonts w:hint="eastAsia" w:ascii="宋体" w:hAnsi="宋体"/>
                <w:sz w:val="16"/>
                <w:szCs w:val="16"/>
                <w:lang w:val="en-US" w:eastAsia="zh-CN"/>
              </w:rPr>
              <w:t>20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eastAsiaTheme="minorEastAsia" w:cstheme="minorBidi"/>
                <w:kern w:val="2"/>
                <w:sz w:val="16"/>
                <w:szCs w:val="16"/>
                <w:lang w:val="en-US" w:eastAsia="zh-CN" w:bidi="ar-SA"/>
              </w:rPr>
            </w:pPr>
            <w:r>
              <w:rPr>
                <w:rFonts w:hint="eastAsia" w:ascii="宋体" w:hAnsi="宋体"/>
                <w:sz w:val="16"/>
                <w:szCs w:val="16"/>
                <w:lang w:val="en-US" w:eastAsia="zh-CN"/>
              </w:rPr>
              <w:t>20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78"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推动我县网格化管理工作的发展作更上一个新水平</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有效促进</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有效促进</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942"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有利于第一时间将矛盾化解在网格，为群众提供便民服务。</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sz w:val="16"/>
                <w:szCs w:val="16"/>
                <w:lang w:val="en-US"/>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88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城乡社区居民满意度</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95%</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20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sz w:val="16"/>
                <w:szCs w:val="16"/>
                <w:lang w:val="en-US"/>
              </w:rPr>
            </w:pPr>
            <w:r>
              <w:rPr>
                <w:rFonts w:hint="eastAsia" w:ascii="宋体" w:hAnsi="宋体"/>
                <w:sz w:val="16"/>
                <w:szCs w:val="16"/>
                <w:lang w:val="en-US" w:eastAsia="zh-CN"/>
              </w:rPr>
              <w:t>18</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44"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100</w:t>
            </w:r>
          </w:p>
        </w:tc>
      </w:tr>
      <w:tr>
        <w:tblPrEx>
          <w:tblCellMar>
            <w:top w:w="0" w:type="dxa"/>
            <w:left w:w="108" w:type="dxa"/>
            <w:bottom w:w="0" w:type="dxa"/>
            <w:right w:w="108" w:type="dxa"/>
          </w:tblCellMar>
        </w:tblPrEx>
        <w:trPr>
          <w:trHeight w:val="166"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tbl>
      <w:tblPr>
        <w:tblStyle w:val="11"/>
        <w:tblW w:w="9358" w:type="dxa"/>
        <w:jc w:val="center"/>
        <w:tblLayout w:type="fixed"/>
        <w:tblCellMar>
          <w:top w:w="0" w:type="dxa"/>
          <w:left w:w="108" w:type="dxa"/>
          <w:bottom w:w="0" w:type="dxa"/>
          <w:right w:w="108" w:type="dxa"/>
        </w:tblCellMar>
      </w:tblPr>
      <w:tblGrid>
        <w:gridCol w:w="419"/>
        <w:gridCol w:w="827"/>
        <w:gridCol w:w="1291"/>
        <w:gridCol w:w="420"/>
        <w:gridCol w:w="1260"/>
        <w:gridCol w:w="360"/>
        <w:gridCol w:w="828"/>
        <w:gridCol w:w="1142"/>
        <w:gridCol w:w="349"/>
        <w:gridCol w:w="292"/>
        <w:gridCol w:w="516"/>
        <w:gridCol w:w="130"/>
        <w:gridCol w:w="747"/>
        <w:gridCol w:w="777"/>
      </w:tblGrid>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435"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“以奖代补”资金</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泗水县委政法委</w:t>
            </w:r>
          </w:p>
        </w:tc>
      </w:tr>
      <w:tr>
        <w:tblPrEx>
          <w:tblCellMar>
            <w:top w:w="0" w:type="dxa"/>
            <w:left w:w="108" w:type="dxa"/>
            <w:bottom w:w="0" w:type="dxa"/>
            <w:right w:w="108" w:type="dxa"/>
          </w:tblCellMar>
        </w:tblPrEx>
        <w:trPr>
          <w:trHeight w:val="44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县委政法委综合治理科</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4228647</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7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宋体" w:hAnsi="宋体" w:cs="宋体"/>
                <w:sz w:val="16"/>
                <w:szCs w:val="16"/>
                <w:lang w:val="en-US"/>
              </w:rPr>
            </w:pPr>
            <w:r>
              <w:rPr>
                <w:rFonts w:hint="eastAsia" w:ascii="宋体" w:hAnsi="宋体" w:eastAsia="宋体" w:cs="宋体"/>
                <w:i w:val="0"/>
                <w:iCs w:val="0"/>
                <w:color w:val="000000"/>
                <w:kern w:val="0"/>
                <w:sz w:val="18"/>
                <w:szCs w:val="18"/>
                <w:u w:val="none"/>
                <w:lang w:val="en-US" w:eastAsia="zh-CN" w:bidi="ar"/>
              </w:rPr>
              <w:t>10</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0</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85</w:t>
            </w:r>
          </w:p>
        </w:tc>
      </w:tr>
      <w:tr>
        <w:tblPrEx>
          <w:tblCellMar>
            <w:top w:w="0" w:type="dxa"/>
            <w:left w:w="108" w:type="dxa"/>
            <w:bottom w:w="0" w:type="dxa"/>
            <w:right w:w="108" w:type="dxa"/>
          </w:tblCellMar>
        </w:tblPrEx>
        <w:trPr>
          <w:trHeight w:val="325"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宋体" w:hAnsi="宋体" w:cs="宋体"/>
                <w:sz w:val="16"/>
                <w:szCs w:val="16"/>
                <w:lang w:val="en-US"/>
              </w:rPr>
            </w:pPr>
            <w:r>
              <w:rPr>
                <w:rFonts w:hint="eastAsia" w:ascii="宋体" w:hAnsi="宋体" w:eastAsia="宋体" w:cs="宋体"/>
                <w:i w:val="0"/>
                <w:iCs w:val="0"/>
                <w:color w:val="000000"/>
                <w:kern w:val="0"/>
                <w:sz w:val="18"/>
                <w:szCs w:val="18"/>
                <w:u w:val="none"/>
                <w:lang w:val="en-US" w:eastAsia="zh-CN" w:bidi="ar"/>
              </w:rPr>
              <w:t>10</w:t>
            </w: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iCs w:val="0"/>
                <w:color w:val="000000"/>
                <w:kern w:val="0"/>
                <w:sz w:val="18"/>
                <w:szCs w:val="18"/>
                <w:u w:val="none"/>
                <w:lang w:val="en-US" w:eastAsia="zh-CN" w:bidi="ar"/>
              </w:rPr>
              <w:t>0</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0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7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1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4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159"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 xml:space="preserve"> 提升我县网格化管理水平。</w:t>
            </w:r>
          </w:p>
        </w:tc>
        <w:tc>
          <w:tcPr>
            <w:tcW w:w="3953"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 xml:space="preserve"> 提升我县网格化管理水平。</w:t>
            </w:r>
          </w:p>
        </w:tc>
      </w:tr>
      <w:tr>
        <w:tblPrEx>
          <w:tblCellMar>
            <w:top w:w="0" w:type="dxa"/>
            <w:left w:w="108" w:type="dxa"/>
            <w:bottom w:w="0" w:type="dxa"/>
            <w:right w:w="108" w:type="dxa"/>
          </w:tblCellMar>
        </w:tblPrEx>
        <w:trPr>
          <w:trHeight w:val="90"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828"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1142"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492" w:hRule="atLeast"/>
          <w:jc w:val="center"/>
        </w:trPr>
        <w:tc>
          <w:tcPr>
            <w:tcW w:w="419" w:type="dxa"/>
            <w:vMerge w:val="restart"/>
            <w:tcBorders>
              <w:top w:val="single" w:color="000000" w:sz="4" w:space="0"/>
              <w:left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91" w:type="dxa"/>
            <w:tcBorders>
              <w:top w:val="single" w:color="000000" w:sz="4" w:space="0"/>
              <w:left w:val="nil"/>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040"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上报的信息条数</w:t>
            </w:r>
          </w:p>
        </w:tc>
        <w:tc>
          <w:tcPr>
            <w:tcW w:w="8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≥10条</w:t>
            </w:r>
          </w:p>
        </w:tc>
        <w:tc>
          <w:tcPr>
            <w:tcW w:w="11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30条</w:t>
            </w:r>
          </w:p>
        </w:tc>
        <w:tc>
          <w:tcPr>
            <w:tcW w:w="641"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w:t>
            </w:r>
          </w:p>
        </w:tc>
        <w:tc>
          <w:tcPr>
            <w:tcW w:w="646"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27"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采集报送的有效信息条数，按照一般信息、较大信息、重大信息分类奖补</w:t>
            </w:r>
          </w:p>
        </w:tc>
        <w:tc>
          <w:tcPr>
            <w:tcW w:w="82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≥5条</w:t>
            </w:r>
          </w:p>
        </w:tc>
        <w:tc>
          <w:tcPr>
            <w:tcW w:w="1142"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5条</w:t>
            </w:r>
          </w:p>
        </w:tc>
        <w:tc>
          <w:tcPr>
            <w:tcW w:w="641" w:type="dxa"/>
            <w:gridSpan w:val="2"/>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20</w:t>
            </w:r>
          </w:p>
        </w:tc>
        <w:tc>
          <w:tcPr>
            <w:tcW w:w="646" w:type="dxa"/>
            <w:gridSpan w:val="2"/>
            <w:tcBorders>
              <w:top w:val="single" w:color="auto"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kern w:val="2"/>
                <w:sz w:val="16"/>
                <w:szCs w:val="16"/>
                <w:lang w:val="en-US" w:eastAsia="zh-CN" w:bidi="ar-SA"/>
              </w:rPr>
            </w:pPr>
            <w:r>
              <w:rPr>
                <w:rFonts w:hint="eastAsia" w:ascii="宋体" w:hAnsi="宋体" w:cs="宋体"/>
                <w:sz w:val="16"/>
                <w:szCs w:val="16"/>
                <w:lang w:val="en-US" w:eastAsia="zh-CN"/>
              </w:rPr>
              <w:t>20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13"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信息上报及时率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80" w:lineRule="exact"/>
              <w:jc w:val="center"/>
              <w:rPr>
                <w:rFonts w:ascii="宋体" w:hAnsi="宋体" w:cs="宋体" w:eastAsiaTheme="minorEastAsia"/>
                <w:kern w:val="2"/>
                <w:sz w:val="16"/>
                <w:szCs w:val="16"/>
                <w:lang w:val="en-US" w:eastAsia="zh-CN" w:bidi="ar-SA"/>
              </w:rPr>
            </w:pPr>
            <w:r>
              <w:rPr>
                <w:rFonts w:hint="eastAsia" w:ascii="宋体" w:hAnsi="宋体" w:cs="宋体"/>
                <w:sz w:val="16"/>
                <w:szCs w:val="16"/>
                <w:lang w:val="en-US" w:eastAsia="zh-CN"/>
              </w:rPr>
              <w:t>10</w:t>
            </w:r>
          </w:p>
        </w:tc>
        <w:tc>
          <w:tcPr>
            <w:tcW w:w="1524"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688"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成本控制有效率</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20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eastAsiaTheme="minorEastAsia" w:cstheme="minorBidi"/>
                <w:kern w:val="2"/>
                <w:sz w:val="16"/>
                <w:szCs w:val="16"/>
                <w:lang w:val="en-US" w:eastAsia="zh-CN" w:bidi="ar-SA"/>
              </w:rPr>
            </w:pPr>
            <w:r>
              <w:rPr>
                <w:rFonts w:hint="eastAsia" w:ascii="宋体" w:hAnsi="宋体"/>
                <w:sz w:val="16"/>
                <w:szCs w:val="16"/>
                <w:lang w:val="en-US" w:eastAsia="zh-CN"/>
              </w:rPr>
              <w:t>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88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通过采集有效信息，确定风险级别，进一步减少安全隐患事件的发生。</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有效促进</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有效促进</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942"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有利于维护我县社会稳定，建设平安泗水</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持续提升</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sz w:val="16"/>
                <w:szCs w:val="16"/>
                <w:lang w:val="en-US"/>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88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城乡社区居民满意度</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≥90%</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95%</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44"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85</w:t>
            </w:r>
          </w:p>
        </w:tc>
      </w:tr>
      <w:tr>
        <w:tblPrEx>
          <w:tblCellMar>
            <w:top w:w="0" w:type="dxa"/>
            <w:left w:w="108" w:type="dxa"/>
            <w:bottom w:w="0" w:type="dxa"/>
            <w:right w:w="108" w:type="dxa"/>
          </w:tblCellMar>
        </w:tblPrEx>
        <w:trPr>
          <w:trHeight w:val="166" w:hRule="atLeast"/>
          <w:jc w:val="center"/>
        </w:trPr>
        <w:tc>
          <w:tcPr>
            <w:tcW w:w="25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821"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both"/>
        <w:outlineLvl w:val="0"/>
        <w:rPr>
          <w:rFonts w:hint="eastAsia"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ascii="方正小标宋简体" w:eastAsia="方正小标宋简体"/>
          <w:sz w:val="44"/>
          <w:szCs w:val="44"/>
        </w:rPr>
      </w:pPr>
      <w:r>
        <w:rPr>
          <w:rFonts w:hint="eastAsia" w:ascii="方正小标宋简体" w:hAnsi="方正小标宋简体" w:eastAsia="方正小标宋简体" w:cs="方正小标宋简体"/>
          <w:kern w:val="0"/>
          <w:sz w:val="44"/>
          <w:szCs w:val="44"/>
        </w:rPr>
        <w:t>2020年度</w:t>
      </w:r>
      <w:r>
        <w:rPr>
          <w:rFonts w:hint="eastAsia" w:ascii="方正小标宋简体" w:eastAsia="方正小标宋简体"/>
          <w:sz w:val="44"/>
          <w:szCs w:val="44"/>
          <w:lang w:eastAsia="zh-CN"/>
        </w:rPr>
        <w:t>县委政法委</w:t>
      </w:r>
      <w:r>
        <w:rPr>
          <w:rFonts w:hint="eastAsia" w:ascii="方正小标宋简体" w:eastAsia="方正小标宋简体"/>
          <w:sz w:val="44"/>
          <w:szCs w:val="44"/>
        </w:rPr>
        <w:t>绩效评价报告</w:t>
      </w:r>
    </w:p>
    <w:p>
      <w:pPr>
        <w:spacing w:line="580" w:lineRule="exact"/>
        <w:ind w:firstLine="640" w:firstLineChars="200"/>
        <w:rPr>
          <w:rFonts w:ascii="仿宋" w:hAnsi="仿宋" w:eastAsia="仿宋" w:cs="MS PMincho"/>
          <w:sz w:val="32"/>
          <w:szCs w:val="32"/>
        </w:rPr>
      </w:pPr>
      <w:r>
        <w:rPr>
          <w:rFonts w:hint="eastAsia" w:ascii="仿宋" w:hAnsi="仿宋" w:eastAsia="仿宋"/>
          <w:sz w:val="32"/>
          <w:lang w:eastAsia="zh-CN"/>
        </w:rPr>
        <w:t>县委政法委</w:t>
      </w:r>
      <w:r>
        <w:rPr>
          <w:rFonts w:hint="eastAsia" w:ascii="仿宋" w:hAnsi="仿宋" w:eastAsia="仿宋"/>
          <w:sz w:val="32"/>
        </w:rPr>
        <w:t>高度重</w:t>
      </w:r>
      <w:r>
        <w:rPr>
          <w:rFonts w:hint="eastAsia" w:ascii="仿宋" w:hAnsi="仿宋" w:eastAsia="仿宋" w:cs="宋体"/>
          <w:sz w:val="32"/>
        </w:rPr>
        <w:t>视</w:t>
      </w:r>
      <w:r>
        <w:rPr>
          <w:rFonts w:hint="eastAsia" w:ascii="仿宋" w:hAnsi="仿宋" w:eastAsia="仿宋"/>
          <w:sz w:val="32"/>
          <w:szCs w:val="32"/>
        </w:rPr>
        <w:t>项目</w:t>
      </w:r>
      <w:r>
        <w:rPr>
          <w:rFonts w:hint="eastAsia" w:ascii="仿宋" w:hAnsi="仿宋" w:eastAsia="仿宋" w:cs="宋体"/>
          <w:sz w:val="32"/>
          <w:szCs w:val="32"/>
        </w:rPr>
        <w:t>资</w:t>
      </w:r>
      <w:r>
        <w:rPr>
          <w:rFonts w:hint="eastAsia" w:ascii="仿宋" w:hAnsi="仿宋" w:eastAsia="仿宋" w:cs="MS PMincho"/>
          <w:sz w:val="32"/>
          <w:szCs w:val="32"/>
        </w:rPr>
        <w:t>金</w:t>
      </w:r>
      <w:r>
        <w:rPr>
          <w:rFonts w:hint="eastAsia" w:ascii="仿宋" w:hAnsi="仿宋" w:eastAsia="仿宋"/>
          <w:sz w:val="32"/>
        </w:rPr>
        <w:t>的使用管理，</w:t>
      </w:r>
      <w:r>
        <w:rPr>
          <w:rFonts w:hint="eastAsia" w:ascii="仿宋" w:hAnsi="仿宋" w:eastAsia="仿宋"/>
          <w:color w:val="000000"/>
          <w:sz w:val="32"/>
          <w:szCs w:val="32"/>
          <w:lang w:eastAsia="zh-CN"/>
        </w:rPr>
        <w:t>认真贯彻落实</w:t>
      </w:r>
      <w:r>
        <w:rPr>
          <w:rFonts w:hint="eastAsia" w:ascii="仿宋" w:hAnsi="仿宋" w:eastAsia="仿宋"/>
          <w:color w:val="000000"/>
          <w:sz w:val="32"/>
          <w:szCs w:val="32"/>
        </w:rPr>
        <w:t>省、市、</w:t>
      </w:r>
      <w:r>
        <w:rPr>
          <w:rFonts w:hint="eastAsia" w:ascii="仿宋" w:hAnsi="仿宋" w:eastAsia="仿宋" w:cs="宋体"/>
          <w:color w:val="000000"/>
          <w:sz w:val="32"/>
          <w:szCs w:val="32"/>
        </w:rPr>
        <w:t>县财</w:t>
      </w:r>
      <w:r>
        <w:rPr>
          <w:rFonts w:hint="eastAsia" w:ascii="仿宋" w:hAnsi="仿宋" w:eastAsia="仿宋" w:cs="MS PMincho"/>
          <w:color w:val="000000"/>
          <w:sz w:val="32"/>
          <w:szCs w:val="32"/>
        </w:rPr>
        <w:t>政部</w:t>
      </w:r>
      <w:r>
        <w:rPr>
          <w:rFonts w:hint="eastAsia" w:ascii="仿宋" w:hAnsi="仿宋" w:eastAsia="仿宋" w:cs="宋体"/>
          <w:color w:val="000000"/>
          <w:sz w:val="32"/>
          <w:szCs w:val="32"/>
        </w:rPr>
        <w:t>门</w:t>
      </w:r>
      <w:r>
        <w:rPr>
          <w:rFonts w:hint="eastAsia" w:ascii="仿宋" w:hAnsi="仿宋" w:eastAsia="仿宋" w:cs="MS PMincho"/>
          <w:color w:val="000000"/>
          <w:sz w:val="32"/>
          <w:szCs w:val="32"/>
        </w:rPr>
        <w:t>关于</w:t>
      </w:r>
      <w:r>
        <w:rPr>
          <w:rFonts w:hint="eastAsia" w:ascii="仿宋" w:hAnsi="仿宋" w:eastAsia="仿宋"/>
          <w:sz w:val="32"/>
          <w:szCs w:val="32"/>
        </w:rPr>
        <w:t>项目</w:t>
      </w:r>
      <w:r>
        <w:rPr>
          <w:rFonts w:hint="eastAsia" w:ascii="仿宋" w:hAnsi="仿宋" w:eastAsia="仿宋" w:cs="宋体"/>
          <w:sz w:val="32"/>
          <w:szCs w:val="32"/>
        </w:rPr>
        <w:t>资</w:t>
      </w:r>
      <w:r>
        <w:rPr>
          <w:rFonts w:hint="eastAsia" w:ascii="仿宋" w:hAnsi="仿宋" w:eastAsia="仿宋" w:cs="MS PMincho"/>
          <w:sz w:val="32"/>
          <w:szCs w:val="32"/>
        </w:rPr>
        <w:t>金</w:t>
      </w:r>
      <w:r>
        <w:rPr>
          <w:rFonts w:hint="eastAsia" w:ascii="仿宋" w:hAnsi="仿宋" w:eastAsia="仿宋" w:cs="MS PMincho"/>
          <w:color w:val="000000"/>
          <w:sz w:val="32"/>
          <w:szCs w:val="32"/>
        </w:rPr>
        <w:t>使用</w:t>
      </w:r>
      <w:r>
        <w:rPr>
          <w:rFonts w:hint="eastAsia" w:ascii="仿宋" w:hAnsi="仿宋" w:eastAsia="仿宋"/>
          <w:sz w:val="32"/>
          <w:szCs w:val="32"/>
        </w:rPr>
        <w:t>和指示精神</w:t>
      </w:r>
      <w:r>
        <w:rPr>
          <w:rFonts w:hint="eastAsia" w:ascii="仿宋" w:hAnsi="仿宋" w:eastAsia="仿宋" w:cs="MS PMincho"/>
          <w:sz w:val="32"/>
          <w:szCs w:val="32"/>
        </w:rPr>
        <w:t>，加</w:t>
      </w:r>
      <w:r>
        <w:rPr>
          <w:rFonts w:hint="eastAsia" w:ascii="仿宋" w:hAnsi="仿宋" w:eastAsia="仿宋" w:cs="宋体"/>
          <w:sz w:val="32"/>
          <w:szCs w:val="32"/>
        </w:rPr>
        <w:t>强资金</w:t>
      </w:r>
      <w:r>
        <w:rPr>
          <w:rFonts w:hint="eastAsia" w:ascii="仿宋" w:hAnsi="仿宋" w:eastAsia="仿宋" w:cs="MS PMincho"/>
          <w:sz w:val="32"/>
          <w:szCs w:val="32"/>
        </w:rPr>
        <w:t>管理，</w:t>
      </w:r>
      <w:r>
        <w:rPr>
          <w:rFonts w:hint="eastAsia" w:ascii="仿宋" w:hAnsi="仿宋" w:eastAsia="仿宋" w:cs="宋体"/>
          <w:sz w:val="32"/>
          <w:szCs w:val="32"/>
        </w:rPr>
        <w:t>严</w:t>
      </w:r>
      <w:r>
        <w:rPr>
          <w:rFonts w:hint="eastAsia" w:ascii="仿宋" w:hAnsi="仿宋" w:eastAsia="仿宋" w:cs="MS PMincho"/>
          <w:sz w:val="32"/>
          <w:szCs w:val="32"/>
        </w:rPr>
        <w:t>格控制</w:t>
      </w:r>
      <w:r>
        <w:rPr>
          <w:rFonts w:hint="eastAsia" w:ascii="仿宋" w:hAnsi="仿宋" w:eastAsia="仿宋"/>
          <w:sz w:val="32"/>
          <w:szCs w:val="32"/>
        </w:rPr>
        <w:t>项目</w:t>
      </w:r>
      <w:r>
        <w:rPr>
          <w:rFonts w:hint="eastAsia" w:ascii="仿宋" w:hAnsi="仿宋" w:eastAsia="仿宋" w:cs="宋体"/>
          <w:sz w:val="32"/>
          <w:szCs w:val="32"/>
        </w:rPr>
        <w:t>资</w:t>
      </w:r>
      <w:r>
        <w:rPr>
          <w:rFonts w:hint="eastAsia" w:ascii="仿宋" w:hAnsi="仿宋" w:eastAsia="仿宋" w:cs="MS PMincho"/>
          <w:sz w:val="32"/>
          <w:szCs w:val="32"/>
        </w:rPr>
        <w:t>金的使用，</w:t>
      </w:r>
      <w:r>
        <w:rPr>
          <w:rFonts w:hint="eastAsia" w:ascii="仿宋" w:hAnsi="仿宋" w:eastAsia="仿宋" w:cs="宋体"/>
          <w:sz w:val="32"/>
          <w:szCs w:val="32"/>
        </w:rPr>
        <w:t>严</w:t>
      </w:r>
      <w:r>
        <w:rPr>
          <w:rFonts w:hint="eastAsia" w:ascii="仿宋" w:hAnsi="仿宋" w:eastAsia="仿宋" w:cs="MS PMincho"/>
          <w:sz w:val="32"/>
          <w:szCs w:val="32"/>
        </w:rPr>
        <w:t>禁挪用、它用</w:t>
      </w:r>
      <w:r>
        <w:rPr>
          <w:rFonts w:hint="eastAsia" w:ascii="仿宋" w:hAnsi="仿宋" w:eastAsia="仿宋" w:cs="宋体"/>
          <w:sz w:val="32"/>
          <w:szCs w:val="32"/>
        </w:rPr>
        <w:t>现</w:t>
      </w:r>
      <w:r>
        <w:rPr>
          <w:rFonts w:hint="eastAsia" w:ascii="仿宋" w:hAnsi="仿宋" w:eastAsia="仿宋" w:cs="MS PMincho"/>
          <w:sz w:val="32"/>
          <w:szCs w:val="32"/>
        </w:rPr>
        <w:t>象的</w:t>
      </w:r>
      <w:r>
        <w:rPr>
          <w:rFonts w:hint="eastAsia" w:ascii="仿宋" w:hAnsi="仿宋" w:eastAsia="仿宋" w:cs="宋体"/>
          <w:sz w:val="32"/>
          <w:szCs w:val="32"/>
        </w:rPr>
        <w:t>发</w:t>
      </w:r>
      <w:r>
        <w:rPr>
          <w:rFonts w:hint="eastAsia" w:ascii="仿宋" w:hAnsi="仿宋" w:eastAsia="仿宋" w:cs="MS PMincho"/>
          <w:sz w:val="32"/>
          <w:szCs w:val="32"/>
        </w:rPr>
        <w:t>生，</w:t>
      </w:r>
      <w:r>
        <w:rPr>
          <w:rFonts w:hint="eastAsia" w:ascii="仿宋" w:hAnsi="仿宋" w:eastAsia="仿宋" w:cs="宋体"/>
          <w:sz w:val="32"/>
          <w:szCs w:val="32"/>
        </w:rPr>
        <w:t>对</w:t>
      </w:r>
      <w:r>
        <w:rPr>
          <w:rFonts w:hint="eastAsia" w:ascii="仿宋" w:hAnsi="仿宋" w:eastAsia="仿宋" w:cs="MS PMincho"/>
          <w:sz w:val="32"/>
          <w:szCs w:val="32"/>
        </w:rPr>
        <w:t>所支付的</w:t>
      </w:r>
      <w:r>
        <w:rPr>
          <w:rFonts w:hint="eastAsia" w:ascii="仿宋" w:hAnsi="仿宋" w:eastAsia="仿宋" w:cs="宋体"/>
          <w:sz w:val="32"/>
          <w:szCs w:val="32"/>
        </w:rPr>
        <w:t>项目经费</w:t>
      </w:r>
      <w:r>
        <w:rPr>
          <w:rFonts w:hint="eastAsia" w:ascii="仿宋" w:hAnsi="仿宋" w:eastAsia="仿宋" w:cs="MS PMincho"/>
          <w:sz w:val="32"/>
          <w:szCs w:val="32"/>
        </w:rPr>
        <w:t>、逐</w:t>
      </w:r>
      <w:r>
        <w:rPr>
          <w:rFonts w:hint="eastAsia" w:ascii="仿宋" w:hAnsi="仿宋" w:eastAsia="仿宋" w:cs="宋体"/>
          <w:sz w:val="32"/>
          <w:szCs w:val="32"/>
        </w:rPr>
        <w:t>级审查</w:t>
      </w:r>
      <w:r>
        <w:rPr>
          <w:rFonts w:hint="eastAsia" w:ascii="仿宋" w:hAnsi="仿宋" w:eastAsia="仿宋" w:cs="MS PMincho"/>
          <w:sz w:val="32"/>
          <w:szCs w:val="32"/>
        </w:rPr>
        <w:t>、逐</w:t>
      </w:r>
      <w:r>
        <w:rPr>
          <w:rFonts w:hint="eastAsia" w:ascii="仿宋" w:hAnsi="仿宋" w:eastAsia="仿宋" w:cs="宋体"/>
          <w:sz w:val="32"/>
          <w:szCs w:val="32"/>
        </w:rPr>
        <w:t>级签</w:t>
      </w:r>
      <w:r>
        <w:rPr>
          <w:rFonts w:hint="eastAsia" w:ascii="仿宋" w:hAnsi="仿宋" w:eastAsia="仿宋" w:cs="MS PMincho"/>
          <w:sz w:val="32"/>
          <w:szCs w:val="32"/>
        </w:rPr>
        <w:t>字、</w:t>
      </w:r>
      <w:r>
        <w:rPr>
          <w:rFonts w:hint="eastAsia" w:ascii="仿宋" w:hAnsi="仿宋" w:eastAsia="仿宋" w:cs="宋体"/>
          <w:sz w:val="32"/>
          <w:szCs w:val="32"/>
        </w:rPr>
        <w:t>报销</w:t>
      </w:r>
      <w:r>
        <w:rPr>
          <w:rFonts w:hint="eastAsia" w:ascii="仿宋" w:hAnsi="仿宋" w:eastAsia="仿宋" w:cs="MS PMincho"/>
          <w:sz w:val="32"/>
          <w:szCs w:val="32"/>
        </w:rPr>
        <w:t>。</w:t>
      </w:r>
    </w:p>
    <w:p>
      <w:pPr>
        <w:spacing w:line="580" w:lineRule="exact"/>
        <w:ind w:firstLine="640" w:firstLineChars="200"/>
        <w:rPr>
          <w:rFonts w:eastAsia="黑体"/>
          <w:b/>
          <w:bCs/>
          <w:snapToGrid w:val="0"/>
          <w:kern w:val="0"/>
          <w:sz w:val="32"/>
          <w:szCs w:val="32"/>
        </w:rPr>
      </w:pPr>
      <w:r>
        <w:rPr>
          <w:rFonts w:hint="eastAsia" w:ascii="仿宋" w:hAnsi="仿宋" w:eastAsia="仿宋" w:cs="MS PMincho"/>
          <w:sz w:val="32"/>
          <w:szCs w:val="32"/>
          <w:lang w:eastAsia="zh-CN"/>
        </w:rPr>
        <w:t>县委政法委</w:t>
      </w:r>
      <w:r>
        <w:rPr>
          <w:rFonts w:hint="eastAsia" w:ascii="仿宋" w:hAnsi="仿宋" w:eastAsia="仿宋" w:cs="MS PMincho"/>
          <w:sz w:val="32"/>
          <w:szCs w:val="32"/>
        </w:rPr>
        <w:t>20</w:t>
      </w:r>
      <w:r>
        <w:rPr>
          <w:rFonts w:hint="eastAsia" w:ascii="仿宋" w:hAnsi="仿宋" w:eastAsia="仿宋" w:cs="MS PMincho"/>
          <w:sz w:val="32"/>
          <w:szCs w:val="32"/>
          <w:lang w:val="en-US" w:eastAsia="zh-CN"/>
        </w:rPr>
        <w:t>20</w:t>
      </w:r>
      <w:r>
        <w:rPr>
          <w:rFonts w:hint="eastAsia" w:ascii="仿宋" w:hAnsi="仿宋" w:eastAsia="仿宋" w:cs="MS PMincho"/>
          <w:sz w:val="32"/>
          <w:szCs w:val="32"/>
        </w:rPr>
        <w:t>年项目经费分为</w:t>
      </w:r>
      <w:r>
        <w:rPr>
          <w:rFonts w:hint="eastAsia" w:ascii="仿宋" w:hAnsi="仿宋" w:eastAsia="仿宋" w:cs="MS PMincho"/>
          <w:sz w:val="32"/>
          <w:szCs w:val="32"/>
          <w:lang w:val="en-US" w:eastAsia="zh-CN"/>
        </w:rPr>
        <w:t>8</w:t>
      </w:r>
      <w:r>
        <w:rPr>
          <w:rFonts w:hint="eastAsia" w:ascii="仿宋" w:hAnsi="仿宋" w:eastAsia="仿宋" w:cs="MS PMincho"/>
          <w:sz w:val="32"/>
          <w:szCs w:val="32"/>
        </w:rPr>
        <w:t>项，分别为</w:t>
      </w:r>
      <w:r>
        <w:rPr>
          <w:rFonts w:hint="eastAsia" w:ascii="仿宋" w:hAnsi="仿宋" w:eastAsia="仿宋" w:cs="MS PMincho"/>
          <w:sz w:val="32"/>
          <w:szCs w:val="32"/>
          <w:lang w:eastAsia="zh-CN"/>
        </w:rPr>
        <w:t>平安建设会议经费</w:t>
      </w:r>
      <w:r>
        <w:rPr>
          <w:rFonts w:hint="eastAsia" w:ascii="仿宋" w:hAnsi="仿宋" w:eastAsia="仿宋" w:cs="MS PMincho"/>
          <w:sz w:val="32"/>
          <w:szCs w:val="32"/>
        </w:rPr>
        <w:t>、</w:t>
      </w:r>
      <w:r>
        <w:rPr>
          <w:rFonts w:hint="eastAsia" w:ascii="仿宋" w:hAnsi="仿宋" w:eastAsia="仿宋" w:cs="MS PMincho"/>
          <w:sz w:val="32"/>
          <w:szCs w:val="32"/>
          <w:lang w:eastAsia="zh-CN"/>
        </w:rPr>
        <w:t>非访治理工作经费、专项接待经费、“以奖代补”资金、购买社会化服务经费、</w:t>
      </w:r>
      <w:r>
        <w:rPr>
          <w:rFonts w:hint="eastAsia" w:ascii="仿宋" w:hAnsi="仿宋" w:eastAsia="仿宋" w:cs="MS PMincho"/>
          <w:sz w:val="32"/>
          <w:szCs w:val="32"/>
          <w:lang w:val="en-US" w:eastAsia="zh-CN"/>
        </w:rPr>
        <w:t>610办公室反邪教办公经费、扫黑除恶工作经费、安保维稳工作经费</w:t>
      </w:r>
      <w:r>
        <w:rPr>
          <w:rFonts w:hint="eastAsia" w:ascii="仿宋" w:hAnsi="仿宋" w:eastAsia="仿宋" w:cs="MS PMincho"/>
          <w:sz w:val="32"/>
          <w:szCs w:val="32"/>
        </w:rPr>
        <w:t>，现将具体情况自评如下：</w:t>
      </w:r>
    </w:p>
    <w:p>
      <w:pPr>
        <w:adjustRightInd w:val="0"/>
        <w:snapToGrid w:val="0"/>
        <w:spacing w:line="590" w:lineRule="exact"/>
        <w:ind w:firstLine="640" w:firstLineChars="200"/>
        <w:rPr>
          <w:rFonts w:hint="eastAsia" w:eastAsia="黑体"/>
          <w:snapToGrid w:val="0"/>
          <w:kern w:val="0"/>
          <w:sz w:val="32"/>
          <w:szCs w:val="32"/>
          <w:lang w:eastAsia="zh-CN"/>
        </w:rPr>
      </w:pPr>
      <w:r>
        <w:rPr>
          <w:rFonts w:hint="eastAsia" w:eastAsia="黑体"/>
          <w:snapToGrid w:val="0"/>
          <w:kern w:val="0"/>
          <w:sz w:val="32"/>
          <w:szCs w:val="32"/>
        </w:rPr>
        <w:t>一、</w:t>
      </w:r>
      <w:r>
        <w:rPr>
          <w:rFonts w:hint="eastAsia" w:eastAsia="黑体"/>
          <w:snapToGrid w:val="0"/>
          <w:kern w:val="0"/>
          <w:sz w:val="32"/>
          <w:szCs w:val="32"/>
          <w:lang w:eastAsia="zh-CN"/>
        </w:rPr>
        <w:t>平安建设会议经费</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cs="MS PMincho"/>
          <w:b/>
          <w:sz w:val="32"/>
          <w:szCs w:val="32"/>
        </w:rPr>
        <w:t>（一）</w:t>
      </w:r>
      <w:r>
        <w:rPr>
          <w:rFonts w:ascii="楷体" w:hAnsi="楷体" w:eastAsia="楷体"/>
          <w:b/>
          <w:snapToGrid w:val="0"/>
          <w:kern w:val="0"/>
          <w:sz w:val="32"/>
          <w:szCs w:val="32"/>
        </w:rPr>
        <w:t>项目概况</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平安建设会议经费主要是</w:t>
      </w:r>
      <w:r>
        <w:rPr>
          <w:rFonts w:hint="eastAsia" w:ascii="仿宋" w:hAnsi="仿宋" w:eastAsia="仿宋" w:cs="MS PMincho"/>
          <w:sz w:val="32"/>
          <w:szCs w:val="32"/>
        </w:rPr>
        <w:t>平安建设相关各类会议经费。总体目标为开展平安建设相关会议、培训</w:t>
      </w:r>
      <w:r>
        <w:rPr>
          <w:rFonts w:hint="eastAsia" w:ascii="仿宋" w:hAnsi="仿宋" w:eastAsia="仿宋" w:cs="MS PMincho"/>
          <w:sz w:val="32"/>
          <w:szCs w:val="32"/>
          <w:lang w:eastAsia="zh-CN"/>
        </w:rPr>
        <w:t>，提高我县政法工作水平，加快建设平安泗水进程。</w:t>
      </w:r>
      <w:r>
        <w:rPr>
          <w:rFonts w:hint="eastAsia" w:ascii="仿宋" w:hAnsi="仿宋" w:eastAsia="仿宋" w:cs="MS PMincho"/>
          <w:sz w:val="32"/>
          <w:szCs w:val="32"/>
        </w:rPr>
        <w:t>指标设定包含产出指标、效益指标、满意度指标等。</w:t>
      </w:r>
    </w:p>
    <w:p>
      <w:pPr>
        <w:adjustRightInd w:val="0"/>
        <w:snapToGrid w:val="0"/>
        <w:spacing w:line="590" w:lineRule="exact"/>
        <w:ind w:firstLine="643" w:firstLineChars="200"/>
        <w:rPr>
          <w:rFonts w:ascii="楷体" w:hAnsi="楷体" w:eastAsia="楷体" w:cs="MS PMincho"/>
          <w:b/>
          <w:sz w:val="32"/>
          <w:szCs w:val="32"/>
        </w:rPr>
      </w:pPr>
      <w:r>
        <w:rPr>
          <w:rFonts w:hint="eastAsia" w:ascii="楷体" w:hAnsi="楷体" w:eastAsia="楷体" w:cs="MS PMincho"/>
          <w:b/>
          <w:sz w:val="32"/>
          <w:szCs w:val="32"/>
        </w:rPr>
        <w:t>（二）项目组织实施及绩效目标实现情况</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1.</w:t>
      </w:r>
      <w:r>
        <w:rPr>
          <w:rFonts w:hint="eastAsia" w:ascii="仿宋" w:hAnsi="仿宋" w:eastAsia="仿宋"/>
          <w:b/>
          <w:snapToGrid w:val="0"/>
          <w:kern w:val="0"/>
          <w:sz w:val="32"/>
          <w:szCs w:val="32"/>
        </w:rPr>
        <w:t>项目资金使用及管理情况</w:t>
      </w:r>
    </w:p>
    <w:p>
      <w:pPr>
        <w:adjustRightInd w:val="0"/>
        <w:snapToGrid w:val="0"/>
        <w:spacing w:line="590" w:lineRule="exact"/>
        <w:ind w:firstLine="640" w:firstLineChars="200"/>
        <w:rPr>
          <w:rFonts w:eastAsia="仿宋_GB2312"/>
          <w:snapToGrid w:val="0"/>
          <w:kern w:val="0"/>
          <w:sz w:val="32"/>
          <w:szCs w:val="32"/>
        </w:rPr>
      </w:pPr>
      <w:r>
        <w:rPr>
          <w:rFonts w:hint="eastAsia" w:ascii="仿宋" w:hAnsi="仿宋" w:eastAsia="仿宋" w:cs="MS PMincho"/>
          <w:sz w:val="32"/>
          <w:szCs w:val="32"/>
          <w:lang w:eastAsia="zh-CN"/>
        </w:rPr>
        <w:t>平安建设会议经费</w:t>
      </w:r>
      <w:r>
        <w:rPr>
          <w:rFonts w:hint="eastAsia" w:ascii="仿宋" w:hAnsi="仿宋" w:eastAsia="仿宋" w:cs="MS PMincho"/>
          <w:sz w:val="32"/>
          <w:szCs w:val="32"/>
        </w:rPr>
        <w:t>年初预算为</w:t>
      </w:r>
      <w:r>
        <w:rPr>
          <w:rFonts w:hint="eastAsia" w:ascii="仿宋" w:hAnsi="仿宋" w:eastAsia="仿宋" w:cs="MS PMincho"/>
          <w:sz w:val="32"/>
          <w:szCs w:val="32"/>
          <w:lang w:val="en-US" w:eastAsia="zh-CN"/>
        </w:rPr>
        <w:t>5</w:t>
      </w:r>
      <w:r>
        <w:rPr>
          <w:rFonts w:hint="eastAsia" w:ascii="仿宋" w:hAnsi="仿宋" w:eastAsia="仿宋" w:cs="MS PMincho"/>
          <w:sz w:val="32"/>
          <w:szCs w:val="32"/>
        </w:rPr>
        <w:t>万元，总计拨付为</w:t>
      </w:r>
      <w:r>
        <w:rPr>
          <w:rFonts w:hint="eastAsia" w:ascii="仿宋" w:hAnsi="仿宋" w:eastAsia="仿宋" w:cs="MS PMincho"/>
          <w:sz w:val="32"/>
          <w:szCs w:val="32"/>
          <w:lang w:val="en-US" w:eastAsia="zh-CN"/>
        </w:rPr>
        <w:t>5</w:t>
      </w:r>
      <w:r>
        <w:rPr>
          <w:rFonts w:hint="eastAsia" w:ascii="仿宋" w:hAnsi="仿宋" w:eastAsia="仿宋" w:cs="MS PMincho"/>
          <w:sz w:val="32"/>
          <w:szCs w:val="32"/>
        </w:rPr>
        <w:t>万元，</w:t>
      </w:r>
      <w:r>
        <w:rPr>
          <w:rFonts w:hint="eastAsia" w:ascii="仿宋" w:hAnsi="仿宋" w:eastAsia="仿宋" w:cs="MS PMincho"/>
          <w:sz w:val="32"/>
          <w:szCs w:val="32"/>
          <w:lang w:eastAsia="zh-CN"/>
        </w:rPr>
        <w:t>上年结转</w:t>
      </w:r>
      <w:r>
        <w:rPr>
          <w:rFonts w:hint="eastAsia" w:ascii="仿宋" w:hAnsi="仿宋" w:eastAsia="仿宋" w:cs="MS PMincho"/>
          <w:sz w:val="32"/>
          <w:szCs w:val="32"/>
          <w:lang w:val="en-US" w:eastAsia="zh-CN"/>
        </w:rPr>
        <w:t>2.49万，</w:t>
      </w:r>
      <w:r>
        <w:rPr>
          <w:rFonts w:hint="eastAsia" w:ascii="仿宋" w:hAnsi="仿宋" w:eastAsia="仿宋" w:cs="MS PMincho"/>
          <w:sz w:val="32"/>
          <w:szCs w:val="32"/>
        </w:rPr>
        <w:t>年累计支出为</w:t>
      </w:r>
      <w:r>
        <w:rPr>
          <w:rFonts w:hint="eastAsia" w:ascii="仿宋" w:hAnsi="仿宋" w:eastAsia="仿宋" w:cs="MS PMincho"/>
          <w:sz w:val="32"/>
          <w:szCs w:val="32"/>
          <w:lang w:val="en-US" w:eastAsia="zh-CN"/>
        </w:rPr>
        <w:t>7.43</w:t>
      </w:r>
      <w:r>
        <w:rPr>
          <w:rFonts w:hint="eastAsia" w:ascii="仿宋" w:hAnsi="仿宋" w:eastAsia="仿宋" w:cs="MS PMincho"/>
          <w:sz w:val="32"/>
          <w:szCs w:val="32"/>
        </w:rPr>
        <w:t>万元，实际执行率为</w:t>
      </w:r>
      <w:r>
        <w:rPr>
          <w:rFonts w:hint="eastAsia" w:ascii="仿宋" w:hAnsi="仿宋" w:eastAsia="仿宋" w:cs="MS PMincho"/>
          <w:sz w:val="32"/>
          <w:szCs w:val="32"/>
          <w:lang w:val="en-US" w:eastAsia="zh-CN"/>
        </w:rPr>
        <w:t>99</w:t>
      </w:r>
      <w:r>
        <w:rPr>
          <w:rFonts w:hint="eastAsia" w:ascii="仿宋" w:hAnsi="仿宋" w:eastAsia="仿宋" w:cs="MS PMincho"/>
          <w:sz w:val="32"/>
          <w:szCs w:val="32"/>
        </w:rPr>
        <w:t>%；其中主要使用方向为</w:t>
      </w:r>
      <w:r>
        <w:rPr>
          <w:rFonts w:hint="eastAsia" w:ascii="仿宋" w:hAnsi="仿宋" w:eastAsia="仿宋" w:cs="MS PMincho"/>
          <w:sz w:val="32"/>
          <w:szCs w:val="32"/>
          <w:lang w:eastAsia="zh-CN"/>
        </w:rPr>
        <w:t>举办会议、培训印刷材料、制作条幅</w:t>
      </w:r>
      <w:r>
        <w:rPr>
          <w:rFonts w:hint="eastAsia" w:ascii="仿宋" w:hAnsi="仿宋" w:eastAsia="仿宋" w:cs="MS PMincho"/>
          <w:sz w:val="32"/>
          <w:szCs w:val="32"/>
        </w:rPr>
        <w:t>。</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2.</w:t>
      </w:r>
      <w:r>
        <w:rPr>
          <w:rFonts w:ascii="仿宋" w:hAnsi="仿宋" w:eastAsia="仿宋"/>
          <w:b/>
          <w:snapToGrid w:val="0"/>
          <w:kern w:val="0"/>
          <w:sz w:val="32"/>
          <w:szCs w:val="32"/>
        </w:rPr>
        <w:t>项目绩效目标实现情况</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一是</w:t>
      </w:r>
      <w:r>
        <w:rPr>
          <w:rFonts w:hint="eastAsia" w:ascii="仿宋" w:hAnsi="仿宋" w:eastAsia="仿宋" w:cs="MS PMincho"/>
          <w:sz w:val="32"/>
          <w:szCs w:val="32"/>
        </w:rPr>
        <w:t>产出指标完成情况分析。</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rPr>
        <w:t>（1）数量指标。全年预计</w:t>
      </w:r>
      <w:r>
        <w:rPr>
          <w:rFonts w:hint="eastAsia" w:ascii="仿宋" w:hAnsi="仿宋" w:eastAsia="仿宋" w:cs="MS PMincho"/>
          <w:sz w:val="32"/>
          <w:szCs w:val="32"/>
          <w:lang w:eastAsia="zh-CN"/>
        </w:rPr>
        <w:t>举办会议次数不少于</w:t>
      </w:r>
      <w:r>
        <w:rPr>
          <w:rFonts w:hint="eastAsia" w:ascii="仿宋" w:hAnsi="仿宋" w:eastAsia="仿宋" w:cs="MS PMincho"/>
          <w:sz w:val="32"/>
          <w:szCs w:val="32"/>
          <w:lang w:val="en-US" w:eastAsia="zh-CN"/>
        </w:rPr>
        <w:t>1</w:t>
      </w:r>
      <w:r>
        <w:rPr>
          <w:rFonts w:hint="eastAsia" w:ascii="仿宋" w:hAnsi="仿宋" w:eastAsia="仿宋" w:cs="MS PMincho"/>
          <w:sz w:val="32"/>
          <w:szCs w:val="32"/>
          <w:lang w:eastAsia="zh-CN"/>
        </w:rPr>
        <w:t>次，实际完成</w:t>
      </w:r>
      <w:r>
        <w:rPr>
          <w:rFonts w:hint="eastAsia" w:ascii="仿宋" w:hAnsi="仿宋" w:eastAsia="仿宋" w:cs="MS PMincho"/>
          <w:sz w:val="32"/>
          <w:szCs w:val="32"/>
          <w:lang w:val="en-US" w:eastAsia="zh-CN"/>
        </w:rPr>
        <w:t>1次。</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（2）质量指标。</w:t>
      </w:r>
      <w:r>
        <w:rPr>
          <w:rFonts w:hint="eastAsia" w:ascii="仿宋" w:hAnsi="仿宋" w:eastAsia="仿宋" w:cs="MS PMincho"/>
          <w:sz w:val="32"/>
          <w:szCs w:val="32"/>
          <w:lang w:eastAsia="zh-CN"/>
        </w:rPr>
        <w:t>举办的会议覆盖率大于</w:t>
      </w:r>
      <w:r>
        <w:rPr>
          <w:rFonts w:hint="eastAsia" w:ascii="仿宋" w:hAnsi="仿宋" w:eastAsia="仿宋" w:cs="MS PMincho"/>
          <w:sz w:val="32"/>
          <w:szCs w:val="32"/>
          <w:lang w:val="en-US" w:eastAsia="zh-CN"/>
        </w:rPr>
        <w:t>95%，实际完成覆盖率98%</w:t>
      </w:r>
      <w:r>
        <w:rPr>
          <w:rFonts w:hint="eastAsia" w:ascii="仿宋" w:hAnsi="仿宋" w:eastAsia="仿宋" w:cs="MS PMincho"/>
          <w:sz w:val="32"/>
          <w:szCs w:val="32"/>
          <w:lang w:eastAsia="zh-CN"/>
        </w:rPr>
        <w:t>。</w:t>
      </w:r>
    </w:p>
    <w:p>
      <w:pPr>
        <w:spacing w:line="580" w:lineRule="exact"/>
        <w:ind w:firstLine="640" w:firstLineChars="200"/>
        <w:rPr>
          <w:rFonts w:hint="eastAsia" w:ascii="仿宋" w:hAnsi="仿宋" w:eastAsia="仿宋" w:cs="MS PMincho"/>
          <w:sz w:val="32"/>
          <w:szCs w:val="32"/>
          <w:lang w:val="en-US" w:eastAsia="zh-CN"/>
        </w:rPr>
      </w:pPr>
      <w:r>
        <w:rPr>
          <w:rFonts w:hint="eastAsia" w:ascii="仿宋" w:hAnsi="仿宋" w:eastAsia="仿宋" w:cs="MS PMincho"/>
          <w:sz w:val="32"/>
          <w:szCs w:val="32"/>
        </w:rPr>
        <w:t>（3）时效指标。</w:t>
      </w:r>
      <w:r>
        <w:rPr>
          <w:rFonts w:hint="eastAsia" w:ascii="仿宋" w:hAnsi="仿宋" w:eastAsia="仿宋" w:cs="MS PMincho"/>
          <w:sz w:val="32"/>
          <w:szCs w:val="32"/>
          <w:lang w:eastAsia="zh-CN"/>
        </w:rPr>
        <w:t>资金拨付及时率</w:t>
      </w:r>
      <w:r>
        <w:rPr>
          <w:rFonts w:hint="eastAsia" w:ascii="仿宋" w:hAnsi="仿宋" w:eastAsia="仿宋" w:cs="MS PMincho"/>
          <w:sz w:val="32"/>
          <w:szCs w:val="32"/>
          <w:lang w:val="en-US" w:eastAsia="zh-CN"/>
        </w:rPr>
        <w:t>100%，实际完成100%；会议召开及时率大于95%，实际完成100%。</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val="en-US" w:eastAsia="zh-CN"/>
        </w:rPr>
        <w:t>（4）成本指标。成本控制有效率100%，实际完成100%。</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二是</w:t>
      </w:r>
      <w:r>
        <w:rPr>
          <w:rFonts w:hint="eastAsia" w:ascii="仿宋" w:hAnsi="仿宋" w:eastAsia="仿宋" w:cs="MS PMincho"/>
          <w:sz w:val="32"/>
          <w:szCs w:val="32"/>
        </w:rPr>
        <w:t>效益指标完成情况分析。</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rPr>
        <w:t>（1）社会效益指标。用新时代政法工作新要求武装头脑，推动政法工作更上一个新水平。</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（2）可持续影响指标。</w:t>
      </w:r>
      <w:r>
        <w:rPr>
          <w:rFonts w:hint="eastAsia" w:ascii="仿宋" w:hAnsi="仿宋" w:eastAsia="仿宋" w:cs="MS PMincho"/>
          <w:sz w:val="32"/>
          <w:szCs w:val="32"/>
          <w:lang w:eastAsia="zh-CN"/>
        </w:rPr>
        <w:t>通过开展培训，我县政法干部工作能力进一步提升，</w:t>
      </w:r>
      <w:r>
        <w:rPr>
          <w:rFonts w:hint="eastAsia" w:ascii="仿宋" w:hAnsi="仿宋" w:eastAsia="仿宋" w:cs="MS PMincho"/>
          <w:sz w:val="32"/>
          <w:szCs w:val="32"/>
        </w:rPr>
        <w:t>有利于维护社会和谐安定</w:t>
      </w:r>
      <w:r>
        <w:rPr>
          <w:rFonts w:hint="eastAsia" w:ascii="仿宋" w:hAnsi="仿宋" w:eastAsia="仿宋" w:cs="MS PMincho"/>
          <w:sz w:val="32"/>
          <w:szCs w:val="32"/>
          <w:lang w:eastAsia="zh-CN"/>
        </w:rPr>
        <w:t>。</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三是</w:t>
      </w:r>
      <w:r>
        <w:rPr>
          <w:rFonts w:hint="eastAsia" w:ascii="仿宋" w:hAnsi="仿宋" w:eastAsia="仿宋" w:cs="MS PMincho"/>
          <w:sz w:val="32"/>
          <w:szCs w:val="32"/>
        </w:rPr>
        <w:t>满意度指标完成情况分析。</w:t>
      </w:r>
      <w:r>
        <w:rPr>
          <w:rFonts w:hint="eastAsia" w:ascii="仿宋" w:hAnsi="仿宋" w:eastAsia="仿宋" w:cs="MS PMincho"/>
          <w:sz w:val="32"/>
          <w:szCs w:val="32"/>
          <w:lang w:eastAsia="zh-CN"/>
        </w:rPr>
        <w:t>全县政法综治干部对会议和培训的召开</w:t>
      </w:r>
      <w:r>
        <w:rPr>
          <w:rFonts w:hint="eastAsia" w:ascii="仿宋" w:hAnsi="仿宋" w:eastAsia="仿宋" w:cs="MS PMincho"/>
          <w:sz w:val="32"/>
          <w:szCs w:val="32"/>
        </w:rPr>
        <w:t>满意，下一步继续加强</w:t>
      </w:r>
      <w:r>
        <w:rPr>
          <w:rFonts w:hint="eastAsia" w:ascii="仿宋" w:hAnsi="仿宋" w:eastAsia="仿宋" w:cs="MS PMincho"/>
          <w:sz w:val="32"/>
          <w:szCs w:val="32"/>
          <w:lang w:eastAsia="zh-CN"/>
        </w:rPr>
        <w:t>政法业务培训，提升我县政法工作水平</w:t>
      </w:r>
      <w:r>
        <w:rPr>
          <w:rFonts w:hint="eastAsia" w:ascii="仿宋" w:hAnsi="仿宋" w:eastAsia="仿宋" w:cs="MS PMincho"/>
          <w:sz w:val="32"/>
          <w:szCs w:val="32"/>
        </w:rPr>
        <w:t>。</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b/>
          <w:snapToGrid w:val="0"/>
          <w:kern w:val="0"/>
          <w:sz w:val="32"/>
          <w:szCs w:val="32"/>
        </w:rPr>
        <w:t>（三）综合评价结论</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平安建设会议经费年初预算数为</w:t>
      </w:r>
      <w:r>
        <w:rPr>
          <w:rFonts w:hint="eastAsia" w:ascii="仿宋" w:hAnsi="仿宋" w:eastAsia="仿宋" w:cs="MS PMincho"/>
          <w:sz w:val="32"/>
          <w:szCs w:val="32"/>
          <w:lang w:val="en-US" w:eastAsia="zh-CN"/>
        </w:rPr>
        <w:t>5万元，决算数为7.43万元</w:t>
      </w:r>
      <w:r>
        <w:rPr>
          <w:rFonts w:hint="eastAsia" w:ascii="仿宋" w:hAnsi="仿宋" w:eastAsia="仿宋" w:cs="MS PMincho"/>
          <w:sz w:val="32"/>
          <w:szCs w:val="32"/>
        </w:rPr>
        <w:t>，</w:t>
      </w:r>
      <w:r>
        <w:rPr>
          <w:rFonts w:hint="eastAsia" w:ascii="仿宋" w:hAnsi="仿宋" w:eastAsia="仿宋" w:cs="MS PMincho"/>
          <w:sz w:val="32"/>
          <w:szCs w:val="32"/>
          <w:lang w:eastAsia="zh-CN"/>
        </w:rPr>
        <w:t>认真贯彻落实中央八项规定精神，节约开支，</w:t>
      </w:r>
      <w:r>
        <w:rPr>
          <w:rFonts w:hint="eastAsia" w:ascii="仿宋" w:hAnsi="仿宋" w:eastAsia="仿宋" w:cs="MS PMincho"/>
          <w:sz w:val="32"/>
          <w:szCs w:val="32"/>
        </w:rPr>
        <w:t>各项完成值全部或基本达成预期指标，自我评价为优。</w:t>
      </w:r>
    </w:p>
    <w:p>
      <w:pPr>
        <w:adjustRightInd w:val="0"/>
        <w:snapToGrid w:val="0"/>
        <w:spacing w:line="590" w:lineRule="exact"/>
        <w:ind w:firstLine="640" w:firstLineChars="200"/>
        <w:rPr>
          <w:rFonts w:hint="eastAsia" w:eastAsia="黑体"/>
          <w:snapToGrid w:val="0"/>
          <w:kern w:val="0"/>
          <w:sz w:val="32"/>
          <w:szCs w:val="32"/>
          <w:lang w:eastAsia="zh-CN"/>
        </w:rPr>
      </w:pPr>
      <w:r>
        <w:rPr>
          <w:rFonts w:hint="eastAsia" w:eastAsia="黑体"/>
          <w:snapToGrid w:val="0"/>
          <w:kern w:val="0"/>
          <w:sz w:val="32"/>
          <w:szCs w:val="32"/>
          <w:lang w:eastAsia="zh-CN"/>
        </w:rPr>
        <w:t>二</w:t>
      </w:r>
      <w:r>
        <w:rPr>
          <w:rFonts w:hint="eastAsia" w:eastAsia="黑体"/>
          <w:snapToGrid w:val="0"/>
          <w:kern w:val="0"/>
          <w:sz w:val="32"/>
          <w:szCs w:val="32"/>
        </w:rPr>
        <w:t>、</w:t>
      </w:r>
      <w:r>
        <w:rPr>
          <w:rFonts w:hint="eastAsia" w:eastAsia="黑体"/>
          <w:snapToGrid w:val="0"/>
          <w:kern w:val="0"/>
          <w:sz w:val="32"/>
          <w:szCs w:val="32"/>
          <w:lang w:eastAsia="zh-CN"/>
        </w:rPr>
        <w:t>非访治理工作经费</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cs="MS PMincho"/>
          <w:b/>
          <w:sz w:val="32"/>
          <w:szCs w:val="32"/>
        </w:rPr>
        <w:t>（一）</w:t>
      </w:r>
      <w:r>
        <w:rPr>
          <w:rFonts w:ascii="楷体" w:hAnsi="楷体" w:eastAsia="楷体"/>
          <w:b/>
          <w:snapToGrid w:val="0"/>
          <w:kern w:val="0"/>
          <w:sz w:val="32"/>
          <w:szCs w:val="32"/>
        </w:rPr>
        <w:t>项目概况</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非访治理工作经费主要是处理非访案件的资金，总体目标是化解非访案件，维护我县信访稳定。</w:t>
      </w:r>
      <w:r>
        <w:rPr>
          <w:rFonts w:hint="eastAsia" w:ascii="仿宋" w:hAnsi="仿宋" w:eastAsia="仿宋" w:cs="MS PMincho"/>
          <w:sz w:val="32"/>
          <w:szCs w:val="32"/>
        </w:rPr>
        <w:t>指标设定包含产出指标、效益指标、满意度指标等。</w:t>
      </w:r>
    </w:p>
    <w:p>
      <w:pPr>
        <w:adjustRightInd w:val="0"/>
        <w:snapToGrid w:val="0"/>
        <w:spacing w:line="590" w:lineRule="exact"/>
        <w:ind w:firstLine="643" w:firstLineChars="200"/>
        <w:rPr>
          <w:rFonts w:ascii="楷体" w:hAnsi="楷体" w:eastAsia="楷体" w:cs="MS PMincho"/>
          <w:b/>
          <w:sz w:val="32"/>
          <w:szCs w:val="32"/>
        </w:rPr>
      </w:pPr>
      <w:r>
        <w:rPr>
          <w:rFonts w:hint="eastAsia" w:ascii="楷体" w:hAnsi="楷体" w:eastAsia="楷体" w:cs="MS PMincho"/>
          <w:b/>
          <w:sz w:val="32"/>
          <w:szCs w:val="32"/>
        </w:rPr>
        <w:t>（二）项目组织实施及绩效目标实现情况</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1.</w:t>
      </w:r>
      <w:r>
        <w:rPr>
          <w:rFonts w:hint="eastAsia" w:ascii="仿宋" w:hAnsi="仿宋" w:eastAsia="仿宋"/>
          <w:b/>
          <w:snapToGrid w:val="0"/>
          <w:kern w:val="0"/>
          <w:sz w:val="32"/>
          <w:szCs w:val="32"/>
        </w:rPr>
        <w:t>项目资金使用及管理情况</w:t>
      </w:r>
    </w:p>
    <w:p>
      <w:pPr>
        <w:adjustRightInd w:val="0"/>
        <w:snapToGrid w:val="0"/>
        <w:spacing w:line="590" w:lineRule="exact"/>
        <w:ind w:firstLine="640" w:firstLineChars="200"/>
        <w:rPr>
          <w:rFonts w:eastAsia="仿宋_GB2312"/>
          <w:snapToGrid w:val="0"/>
          <w:kern w:val="0"/>
          <w:sz w:val="32"/>
          <w:szCs w:val="32"/>
        </w:rPr>
      </w:pPr>
      <w:r>
        <w:rPr>
          <w:rFonts w:hint="eastAsia" w:ascii="仿宋" w:hAnsi="仿宋" w:eastAsia="仿宋" w:cs="MS PMincho"/>
          <w:sz w:val="32"/>
          <w:szCs w:val="32"/>
          <w:lang w:eastAsia="zh-CN"/>
        </w:rPr>
        <w:t>非访治理工作经费</w:t>
      </w:r>
      <w:r>
        <w:rPr>
          <w:rFonts w:hint="eastAsia" w:ascii="仿宋" w:hAnsi="仿宋" w:eastAsia="仿宋" w:cs="MS PMincho"/>
          <w:sz w:val="32"/>
          <w:szCs w:val="32"/>
        </w:rPr>
        <w:t>年初预算为</w:t>
      </w:r>
      <w:r>
        <w:rPr>
          <w:rFonts w:hint="eastAsia" w:ascii="仿宋" w:hAnsi="仿宋" w:eastAsia="仿宋" w:cs="MS PMincho"/>
          <w:sz w:val="32"/>
          <w:szCs w:val="32"/>
          <w:lang w:val="en-US" w:eastAsia="zh-CN"/>
        </w:rPr>
        <w:t>10</w:t>
      </w:r>
      <w:r>
        <w:rPr>
          <w:rFonts w:hint="eastAsia" w:ascii="仿宋" w:hAnsi="仿宋" w:eastAsia="仿宋" w:cs="MS PMincho"/>
          <w:sz w:val="32"/>
          <w:szCs w:val="32"/>
        </w:rPr>
        <w:t>万元，总计拨付为</w:t>
      </w:r>
      <w:r>
        <w:rPr>
          <w:rFonts w:hint="eastAsia" w:ascii="仿宋" w:hAnsi="仿宋" w:eastAsia="仿宋" w:cs="MS PMincho"/>
          <w:sz w:val="32"/>
          <w:szCs w:val="32"/>
          <w:lang w:val="en-US" w:eastAsia="zh-CN"/>
        </w:rPr>
        <w:t>10</w:t>
      </w:r>
      <w:r>
        <w:rPr>
          <w:rFonts w:hint="eastAsia" w:ascii="仿宋" w:hAnsi="仿宋" w:eastAsia="仿宋" w:cs="MS PMincho"/>
          <w:sz w:val="32"/>
          <w:szCs w:val="32"/>
        </w:rPr>
        <w:t>万元，年累计支出为</w:t>
      </w:r>
      <w:r>
        <w:rPr>
          <w:rFonts w:hint="eastAsia" w:ascii="仿宋" w:hAnsi="仿宋" w:eastAsia="仿宋" w:cs="MS PMincho"/>
          <w:sz w:val="32"/>
          <w:szCs w:val="32"/>
          <w:lang w:val="en-US" w:eastAsia="zh-CN"/>
        </w:rPr>
        <w:t>10</w:t>
      </w:r>
      <w:r>
        <w:rPr>
          <w:rFonts w:hint="eastAsia" w:ascii="仿宋" w:hAnsi="仿宋" w:eastAsia="仿宋" w:cs="MS PMincho"/>
          <w:sz w:val="32"/>
          <w:szCs w:val="32"/>
        </w:rPr>
        <w:t>万元，实际执行率为</w:t>
      </w:r>
      <w:r>
        <w:rPr>
          <w:rFonts w:hint="eastAsia" w:ascii="仿宋" w:hAnsi="仿宋" w:eastAsia="仿宋" w:cs="MS PMincho"/>
          <w:sz w:val="32"/>
          <w:szCs w:val="32"/>
          <w:lang w:val="en-US" w:eastAsia="zh-CN"/>
        </w:rPr>
        <w:t>100</w:t>
      </w:r>
      <w:r>
        <w:rPr>
          <w:rFonts w:hint="eastAsia" w:ascii="仿宋" w:hAnsi="仿宋" w:eastAsia="仿宋" w:cs="MS PMincho"/>
          <w:sz w:val="32"/>
          <w:szCs w:val="32"/>
        </w:rPr>
        <w:t>%；其中主要使用方向为</w:t>
      </w:r>
      <w:r>
        <w:rPr>
          <w:rFonts w:hint="eastAsia" w:ascii="仿宋" w:hAnsi="仿宋" w:eastAsia="仿宋" w:cs="MS PMincho"/>
          <w:sz w:val="32"/>
          <w:szCs w:val="32"/>
          <w:lang w:eastAsia="zh-CN"/>
        </w:rPr>
        <w:t>处置非访案件化解资金</w:t>
      </w:r>
      <w:r>
        <w:rPr>
          <w:rFonts w:hint="eastAsia" w:ascii="仿宋" w:hAnsi="仿宋" w:eastAsia="仿宋" w:cs="MS PMincho"/>
          <w:sz w:val="32"/>
          <w:szCs w:val="32"/>
        </w:rPr>
        <w:t>。</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2.</w:t>
      </w:r>
      <w:r>
        <w:rPr>
          <w:rFonts w:ascii="仿宋" w:hAnsi="仿宋" w:eastAsia="仿宋"/>
          <w:b/>
          <w:snapToGrid w:val="0"/>
          <w:kern w:val="0"/>
          <w:sz w:val="32"/>
          <w:szCs w:val="32"/>
        </w:rPr>
        <w:t>项目绩效目标实现情况</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一是</w:t>
      </w:r>
      <w:r>
        <w:rPr>
          <w:rFonts w:hint="eastAsia" w:ascii="仿宋" w:hAnsi="仿宋" w:eastAsia="仿宋" w:cs="MS PMincho"/>
          <w:sz w:val="32"/>
          <w:szCs w:val="32"/>
        </w:rPr>
        <w:t>产出指标完成情况分析。</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rPr>
        <w:t>（1）数量指标。</w:t>
      </w:r>
      <w:r>
        <w:rPr>
          <w:rFonts w:hint="eastAsia" w:ascii="仿宋" w:hAnsi="仿宋" w:eastAsia="仿宋" w:cs="MS PMincho"/>
          <w:sz w:val="32"/>
          <w:szCs w:val="32"/>
          <w:lang w:eastAsia="zh-CN"/>
        </w:rPr>
        <w:t>接待非访人数不少于</w:t>
      </w:r>
      <w:r>
        <w:rPr>
          <w:rFonts w:hint="eastAsia" w:ascii="仿宋" w:hAnsi="仿宋" w:eastAsia="仿宋" w:cs="MS PMincho"/>
          <w:sz w:val="32"/>
          <w:szCs w:val="32"/>
          <w:lang w:val="en-US" w:eastAsia="zh-CN"/>
        </w:rPr>
        <w:t>1人</w:t>
      </w:r>
      <w:r>
        <w:rPr>
          <w:rFonts w:hint="eastAsia" w:ascii="仿宋" w:hAnsi="仿宋" w:eastAsia="仿宋" w:cs="MS PMincho"/>
          <w:sz w:val="32"/>
          <w:szCs w:val="32"/>
          <w:lang w:eastAsia="zh-CN"/>
        </w:rPr>
        <w:t>，实际完成</w:t>
      </w:r>
      <w:r>
        <w:rPr>
          <w:rFonts w:hint="eastAsia" w:ascii="仿宋" w:hAnsi="仿宋" w:eastAsia="仿宋" w:cs="MS PMincho"/>
          <w:sz w:val="32"/>
          <w:szCs w:val="32"/>
          <w:lang w:val="en-US" w:eastAsia="zh-CN"/>
        </w:rPr>
        <w:t>2人</w:t>
      </w:r>
      <w:r>
        <w:rPr>
          <w:rFonts w:hint="eastAsia" w:ascii="仿宋" w:hAnsi="仿宋" w:eastAsia="仿宋" w:cs="MS PMincho"/>
          <w:sz w:val="32"/>
          <w:szCs w:val="32"/>
          <w:lang w:eastAsia="zh-CN"/>
        </w:rPr>
        <w:t>。</w:t>
      </w:r>
    </w:p>
    <w:p>
      <w:pPr>
        <w:spacing w:line="580" w:lineRule="exact"/>
        <w:ind w:firstLine="640" w:firstLineChars="200"/>
        <w:rPr>
          <w:rFonts w:hint="eastAsia" w:ascii="仿宋" w:hAnsi="仿宋" w:eastAsia="仿宋" w:cs="MS PMincho"/>
          <w:sz w:val="32"/>
          <w:szCs w:val="32"/>
          <w:lang w:val="en-US" w:eastAsia="zh-CN"/>
        </w:rPr>
      </w:pPr>
      <w:r>
        <w:rPr>
          <w:rFonts w:hint="eastAsia" w:ascii="仿宋" w:hAnsi="仿宋" w:eastAsia="仿宋" w:cs="MS PMincho"/>
          <w:sz w:val="32"/>
          <w:szCs w:val="32"/>
        </w:rPr>
        <w:t>（2）质量指标。</w:t>
      </w:r>
      <w:r>
        <w:rPr>
          <w:rFonts w:hint="eastAsia" w:ascii="仿宋" w:hAnsi="仿宋" w:eastAsia="仿宋" w:cs="MS PMincho"/>
          <w:sz w:val="32"/>
          <w:szCs w:val="32"/>
          <w:lang w:eastAsia="zh-CN"/>
        </w:rPr>
        <w:t>非访案件化解数量不少于</w:t>
      </w:r>
      <w:r>
        <w:rPr>
          <w:rFonts w:hint="eastAsia" w:ascii="仿宋" w:hAnsi="仿宋" w:eastAsia="仿宋" w:cs="MS PMincho"/>
          <w:sz w:val="32"/>
          <w:szCs w:val="32"/>
          <w:lang w:val="en-US" w:eastAsia="zh-CN"/>
        </w:rPr>
        <w:t>1件，实际化解3件。</w:t>
      </w:r>
    </w:p>
    <w:p>
      <w:pPr>
        <w:spacing w:line="580" w:lineRule="exact"/>
        <w:ind w:firstLine="640" w:firstLineChars="200"/>
        <w:rPr>
          <w:rFonts w:hint="eastAsia" w:ascii="仿宋" w:hAnsi="仿宋" w:eastAsia="仿宋" w:cs="MS PMincho"/>
          <w:sz w:val="32"/>
          <w:szCs w:val="32"/>
          <w:lang w:val="en-US" w:eastAsia="zh-CN"/>
        </w:rPr>
      </w:pPr>
      <w:r>
        <w:rPr>
          <w:rFonts w:hint="eastAsia" w:ascii="仿宋" w:hAnsi="仿宋" w:eastAsia="仿宋" w:cs="MS PMincho"/>
          <w:sz w:val="32"/>
          <w:szCs w:val="32"/>
        </w:rPr>
        <w:t>（3）时效指标。非访案件化解</w:t>
      </w:r>
      <w:r>
        <w:rPr>
          <w:rFonts w:hint="eastAsia" w:ascii="仿宋" w:hAnsi="仿宋" w:eastAsia="仿宋" w:cs="MS PMincho"/>
          <w:sz w:val="32"/>
          <w:szCs w:val="32"/>
          <w:lang w:eastAsia="zh-CN"/>
        </w:rPr>
        <w:t>及时率</w:t>
      </w:r>
      <w:r>
        <w:rPr>
          <w:rFonts w:hint="eastAsia" w:ascii="仿宋" w:hAnsi="仿宋" w:eastAsia="仿宋" w:cs="MS PMincho"/>
          <w:sz w:val="32"/>
          <w:szCs w:val="32"/>
        </w:rPr>
        <w:t>率</w:t>
      </w:r>
      <w:r>
        <w:rPr>
          <w:rFonts w:hint="eastAsia" w:ascii="仿宋" w:hAnsi="仿宋" w:eastAsia="仿宋" w:cs="MS PMincho"/>
          <w:sz w:val="32"/>
          <w:szCs w:val="32"/>
          <w:lang w:eastAsia="zh-CN"/>
        </w:rPr>
        <w:t>不低于</w:t>
      </w:r>
      <w:r>
        <w:rPr>
          <w:rFonts w:hint="eastAsia" w:ascii="仿宋" w:hAnsi="仿宋" w:eastAsia="仿宋" w:cs="MS PMincho"/>
          <w:sz w:val="32"/>
          <w:szCs w:val="32"/>
          <w:lang w:val="en-US" w:eastAsia="zh-CN"/>
        </w:rPr>
        <w:t>90%，实际98%。</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二是</w:t>
      </w:r>
      <w:r>
        <w:rPr>
          <w:rFonts w:hint="eastAsia" w:ascii="仿宋" w:hAnsi="仿宋" w:eastAsia="仿宋" w:cs="MS PMincho"/>
          <w:sz w:val="32"/>
          <w:szCs w:val="32"/>
        </w:rPr>
        <w:t>效益指标完成情况分析。</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rPr>
        <w:t>（1）社会效益指标。</w:t>
      </w:r>
      <w:r>
        <w:rPr>
          <w:rFonts w:hint="eastAsia" w:ascii="仿宋" w:hAnsi="仿宋" w:eastAsia="仿宋" w:cs="MS PMincho"/>
          <w:sz w:val="32"/>
          <w:szCs w:val="32"/>
          <w:lang w:eastAsia="zh-CN"/>
        </w:rPr>
        <w:t>让群众知晓通过正常途径进行上访，使</w:t>
      </w:r>
      <w:r>
        <w:rPr>
          <w:rFonts w:hint="eastAsia" w:ascii="仿宋" w:hAnsi="仿宋" w:eastAsia="仿宋" w:cs="MS PMincho"/>
          <w:sz w:val="32"/>
          <w:szCs w:val="32"/>
        </w:rPr>
        <w:t>群众诉求得到解决。</w:t>
      </w:r>
    </w:p>
    <w:p>
      <w:pPr>
        <w:spacing w:line="580" w:lineRule="exact"/>
        <w:ind w:firstLine="640" w:firstLineChars="200"/>
        <w:rPr>
          <w:rFonts w:hint="eastAsia" w:ascii="仿宋" w:hAnsi="仿宋" w:eastAsia="仿宋" w:cs="MS PMincho"/>
          <w:sz w:val="32"/>
          <w:szCs w:val="32"/>
        </w:rPr>
      </w:pPr>
      <w:r>
        <w:rPr>
          <w:rFonts w:hint="eastAsia" w:ascii="仿宋" w:hAnsi="仿宋" w:eastAsia="仿宋" w:cs="MS PMincho"/>
          <w:sz w:val="32"/>
          <w:szCs w:val="32"/>
        </w:rPr>
        <w:t>（2）可持续影响指标。引导群众通过正常合法途径上访，保护群众切身利益。</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eastAsia="zh-CN"/>
        </w:rPr>
        <w:t>三是</w:t>
      </w:r>
      <w:r>
        <w:rPr>
          <w:rFonts w:hint="eastAsia" w:ascii="仿宋" w:hAnsi="仿宋" w:eastAsia="仿宋" w:cs="MS PMincho"/>
          <w:sz w:val="32"/>
          <w:szCs w:val="32"/>
        </w:rPr>
        <w:t>满意度指标完成情况分析。</w:t>
      </w:r>
      <w:r>
        <w:rPr>
          <w:rFonts w:hint="eastAsia" w:ascii="仿宋" w:hAnsi="仿宋" w:eastAsia="仿宋" w:cs="MS PMincho"/>
          <w:sz w:val="32"/>
          <w:szCs w:val="32"/>
          <w:lang w:eastAsia="zh-CN"/>
        </w:rPr>
        <w:t>信访人对案件处理情况满意度为</w:t>
      </w:r>
      <w:r>
        <w:rPr>
          <w:rFonts w:hint="eastAsia" w:ascii="仿宋" w:hAnsi="仿宋" w:eastAsia="仿宋" w:cs="MS PMincho"/>
          <w:sz w:val="32"/>
          <w:szCs w:val="32"/>
          <w:lang w:val="en-US" w:eastAsia="zh-CN"/>
        </w:rPr>
        <w:t>100%。</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b/>
          <w:snapToGrid w:val="0"/>
          <w:kern w:val="0"/>
          <w:sz w:val="32"/>
          <w:szCs w:val="32"/>
        </w:rPr>
        <w:t>（三）综合评价结论</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非访治理工作经费年初预算数为</w:t>
      </w:r>
      <w:r>
        <w:rPr>
          <w:rFonts w:hint="eastAsia" w:ascii="仿宋" w:hAnsi="仿宋" w:eastAsia="仿宋" w:cs="MS PMincho"/>
          <w:sz w:val="32"/>
          <w:szCs w:val="32"/>
          <w:lang w:val="en-US" w:eastAsia="zh-CN"/>
        </w:rPr>
        <w:t>10万元，决算数为10万元</w:t>
      </w:r>
      <w:r>
        <w:rPr>
          <w:rFonts w:hint="eastAsia" w:ascii="仿宋" w:hAnsi="仿宋" w:eastAsia="仿宋" w:cs="MS PMincho"/>
          <w:sz w:val="32"/>
          <w:szCs w:val="32"/>
        </w:rPr>
        <w:t>，</w:t>
      </w:r>
      <w:r>
        <w:rPr>
          <w:rFonts w:hint="default" w:ascii="Times New Roman" w:hAnsi="Times New Roman" w:eastAsia="方正仿宋简体" w:cs="Times New Roman"/>
          <w:b w:val="0"/>
          <w:bCs/>
          <w:sz w:val="32"/>
          <w:szCs w:val="32"/>
        </w:rPr>
        <w:t>今年以来，</w:t>
      </w:r>
      <w:r>
        <w:rPr>
          <w:rFonts w:hint="eastAsia" w:ascii="Times New Roman" w:hAnsi="Times New Roman" w:eastAsia="方正仿宋简体" w:cs="Times New Roman"/>
          <w:b w:val="0"/>
          <w:bCs/>
          <w:sz w:val="32"/>
          <w:szCs w:val="32"/>
          <w:lang w:eastAsia="zh-CN"/>
        </w:rPr>
        <w:t>由</w:t>
      </w:r>
      <w:r>
        <w:rPr>
          <w:rFonts w:hint="default" w:ascii="Times New Roman" w:hAnsi="Times New Roman" w:eastAsia="方正仿宋简体" w:cs="Times New Roman"/>
          <w:b w:val="0"/>
          <w:bCs/>
          <w:sz w:val="32"/>
          <w:szCs w:val="32"/>
        </w:rPr>
        <w:t>县委政法委</w:t>
      </w:r>
      <w:r>
        <w:rPr>
          <w:rFonts w:hint="eastAsia" w:ascii="Times New Roman" w:hAnsi="Times New Roman" w:eastAsia="方正仿宋简体" w:cs="Times New Roman"/>
          <w:b w:val="0"/>
          <w:bCs/>
          <w:sz w:val="32"/>
          <w:szCs w:val="32"/>
          <w:lang w:eastAsia="zh-CN"/>
        </w:rPr>
        <w:t>牵头集中开展非访处置工作，处置了</w:t>
      </w:r>
      <w:r>
        <w:rPr>
          <w:rFonts w:hint="eastAsia" w:eastAsia="方正仿宋简体" w:cs="Times New Roman"/>
          <w:b w:val="0"/>
          <w:bCs/>
          <w:sz w:val="32"/>
          <w:szCs w:val="32"/>
          <w:lang w:val="en-US" w:eastAsia="zh-CN"/>
        </w:rPr>
        <w:t>一批</w:t>
      </w:r>
      <w:r>
        <w:rPr>
          <w:rFonts w:hint="eastAsia" w:ascii="Times New Roman" w:hAnsi="Times New Roman" w:eastAsia="方正仿宋简体" w:cs="Times New Roman"/>
          <w:b w:val="0"/>
          <w:bCs/>
          <w:sz w:val="32"/>
          <w:szCs w:val="32"/>
          <w:lang w:eastAsia="zh-CN"/>
        </w:rPr>
        <w:t>非正常上访案件，信访人对案件处理情况满意，</w:t>
      </w:r>
      <w:r>
        <w:rPr>
          <w:rFonts w:hint="eastAsia" w:ascii="仿宋" w:hAnsi="仿宋" w:eastAsia="仿宋" w:cs="MS PMincho"/>
          <w:sz w:val="32"/>
          <w:szCs w:val="32"/>
        </w:rPr>
        <w:t>各项完成值全部达成预期指标，自我评价为优。</w:t>
      </w:r>
    </w:p>
    <w:p>
      <w:pPr>
        <w:adjustRightInd w:val="0"/>
        <w:snapToGrid w:val="0"/>
        <w:spacing w:line="590" w:lineRule="exact"/>
        <w:ind w:firstLine="640" w:firstLineChars="200"/>
        <w:rPr>
          <w:rFonts w:hint="eastAsia" w:eastAsia="黑体"/>
          <w:snapToGrid w:val="0"/>
          <w:kern w:val="0"/>
          <w:sz w:val="32"/>
          <w:szCs w:val="32"/>
          <w:lang w:eastAsia="zh-CN"/>
        </w:rPr>
      </w:pPr>
      <w:r>
        <w:rPr>
          <w:rFonts w:hint="eastAsia" w:eastAsia="黑体"/>
          <w:snapToGrid w:val="0"/>
          <w:kern w:val="0"/>
          <w:sz w:val="32"/>
          <w:szCs w:val="32"/>
          <w:lang w:eastAsia="zh-CN"/>
        </w:rPr>
        <w:t>三</w:t>
      </w:r>
      <w:r>
        <w:rPr>
          <w:rFonts w:hint="eastAsia" w:eastAsia="黑体"/>
          <w:snapToGrid w:val="0"/>
          <w:kern w:val="0"/>
          <w:sz w:val="32"/>
          <w:szCs w:val="32"/>
        </w:rPr>
        <w:t>、</w:t>
      </w:r>
      <w:r>
        <w:rPr>
          <w:rFonts w:hint="eastAsia" w:eastAsia="黑体"/>
          <w:snapToGrid w:val="0"/>
          <w:kern w:val="0"/>
          <w:sz w:val="32"/>
          <w:szCs w:val="32"/>
          <w:lang w:eastAsia="zh-CN"/>
        </w:rPr>
        <w:t>专项接待经费</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cs="MS PMincho"/>
          <w:b/>
          <w:sz w:val="32"/>
          <w:szCs w:val="32"/>
        </w:rPr>
        <w:t>（一）</w:t>
      </w:r>
      <w:r>
        <w:rPr>
          <w:rFonts w:ascii="楷体" w:hAnsi="楷体" w:eastAsia="楷体"/>
          <w:b/>
          <w:snapToGrid w:val="0"/>
          <w:kern w:val="0"/>
          <w:sz w:val="32"/>
          <w:szCs w:val="32"/>
        </w:rPr>
        <w:t>项目概况</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专项接待经费主要是接待省市领导调研指导工作及安保维稳、扫黑除恶专项斗争督导组的经费，总体目标是做好省市领导调研指导工作及安保维稳、扫黑除恶专项斗争督导组来我县督导调研时的接待工作，促进我县政法各项工作的开展。</w:t>
      </w:r>
      <w:r>
        <w:rPr>
          <w:rFonts w:hint="eastAsia" w:ascii="仿宋" w:hAnsi="仿宋" w:eastAsia="仿宋" w:cs="MS PMincho"/>
          <w:sz w:val="32"/>
          <w:szCs w:val="32"/>
        </w:rPr>
        <w:t>指标设定包含产出指标、效益指标、满意度指标等。</w:t>
      </w:r>
    </w:p>
    <w:p>
      <w:pPr>
        <w:adjustRightInd w:val="0"/>
        <w:snapToGrid w:val="0"/>
        <w:spacing w:line="590" w:lineRule="exact"/>
        <w:ind w:firstLine="643" w:firstLineChars="200"/>
        <w:rPr>
          <w:rFonts w:ascii="楷体" w:hAnsi="楷体" w:eastAsia="楷体" w:cs="MS PMincho"/>
          <w:b/>
          <w:sz w:val="32"/>
          <w:szCs w:val="32"/>
        </w:rPr>
      </w:pPr>
      <w:r>
        <w:rPr>
          <w:rFonts w:hint="eastAsia" w:ascii="楷体" w:hAnsi="楷体" w:eastAsia="楷体" w:cs="MS PMincho"/>
          <w:b/>
          <w:sz w:val="32"/>
          <w:szCs w:val="32"/>
        </w:rPr>
        <w:t>（二）项目组织实施及绩效目标实现情况</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1.</w:t>
      </w:r>
      <w:r>
        <w:rPr>
          <w:rFonts w:hint="eastAsia" w:ascii="仿宋" w:hAnsi="仿宋" w:eastAsia="仿宋"/>
          <w:b/>
          <w:snapToGrid w:val="0"/>
          <w:kern w:val="0"/>
          <w:sz w:val="32"/>
          <w:szCs w:val="32"/>
        </w:rPr>
        <w:t>项目资金使用及管理情况</w:t>
      </w:r>
    </w:p>
    <w:p>
      <w:pPr>
        <w:adjustRightInd w:val="0"/>
        <w:snapToGrid w:val="0"/>
        <w:spacing w:line="590" w:lineRule="exact"/>
        <w:ind w:firstLine="640" w:firstLineChars="200"/>
        <w:rPr>
          <w:rFonts w:eastAsia="仿宋_GB2312"/>
          <w:snapToGrid w:val="0"/>
          <w:kern w:val="0"/>
          <w:sz w:val="32"/>
          <w:szCs w:val="32"/>
        </w:rPr>
      </w:pPr>
      <w:r>
        <w:rPr>
          <w:rFonts w:hint="eastAsia" w:ascii="仿宋" w:hAnsi="仿宋" w:eastAsia="仿宋" w:cs="MS PMincho"/>
          <w:sz w:val="32"/>
          <w:szCs w:val="32"/>
          <w:lang w:eastAsia="zh-CN"/>
        </w:rPr>
        <w:t>专项接待经费</w:t>
      </w:r>
      <w:r>
        <w:rPr>
          <w:rFonts w:hint="eastAsia" w:ascii="仿宋" w:hAnsi="仿宋" w:eastAsia="仿宋" w:cs="MS PMincho"/>
          <w:sz w:val="32"/>
          <w:szCs w:val="32"/>
        </w:rPr>
        <w:t>年初预算为</w:t>
      </w:r>
      <w:r>
        <w:rPr>
          <w:rFonts w:hint="eastAsia" w:ascii="仿宋" w:hAnsi="仿宋" w:eastAsia="仿宋" w:cs="MS PMincho"/>
          <w:sz w:val="32"/>
          <w:szCs w:val="32"/>
          <w:lang w:val="en-US" w:eastAsia="zh-CN"/>
        </w:rPr>
        <w:t>15万</w:t>
      </w:r>
      <w:r>
        <w:rPr>
          <w:rFonts w:hint="eastAsia" w:ascii="仿宋" w:hAnsi="仿宋" w:eastAsia="仿宋" w:cs="MS PMincho"/>
          <w:sz w:val="32"/>
          <w:szCs w:val="32"/>
        </w:rPr>
        <w:t>元</w:t>
      </w:r>
      <w:r>
        <w:rPr>
          <w:rFonts w:hint="eastAsia" w:ascii="仿宋" w:hAnsi="仿宋" w:eastAsia="仿宋" w:cs="MS PMincho"/>
          <w:sz w:val="32"/>
          <w:szCs w:val="32"/>
          <w:lang w:eastAsia="zh-CN"/>
        </w:rPr>
        <w:t>，</w:t>
      </w:r>
      <w:r>
        <w:rPr>
          <w:rFonts w:hint="eastAsia" w:ascii="仿宋" w:hAnsi="仿宋" w:eastAsia="仿宋" w:cs="MS PMincho"/>
          <w:sz w:val="32"/>
          <w:szCs w:val="32"/>
        </w:rPr>
        <w:t>总计拨付为</w:t>
      </w:r>
      <w:r>
        <w:rPr>
          <w:rFonts w:hint="eastAsia" w:ascii="仿宋" w:hAnsi="仿宋" w:eastAsia="仿宋" w:cs="MS PMincho"/>
          <w:sz w:val="32"/>
          <w:szCs w:val="32"/>
          <w:lang w:val="en-US" w:eastAsia="zh-CN"/>
        </w:rPr>
        <w:t>15万</w:t>
      </w:r>
      <w:r>
        <w:rPr>
          <w:rFonts w:hint="eastAsia" w:ascii="仿宋" w:hAnsi="仿宋" w:eastAsia="仿宋" w:cs="MS PMincho"/>
          <w:sz w:val="32"/>
          <w:szCs w:val="32"/>
        </w:rPr>
        <w:t>元，</w:t>
      </w:r>
      <w:r>
        <w:rPr>
          <w:rFonts w:hint="eastAsia" w:ascii="仿宋" w:hAnsi="仿宋" w:eastAsia="仿宋" w:cs="MS PMincho"/>
          <w:sz w:val="32"/>
          <w:szCs w:val="32"/>
          <w:lang w:eastAsia="zh-CN"/>
        </w:rPr>
        <w:t>上年结转资金</w:t>
      </w:r>
      <w:r>
        <w:rPr>
          <w:rFonts w:hint="eastAsia" w:ascii="仿宋" w:hAnsi="仿宋" w:eastAsia="仿宋" w:cs="MS PMincho"/>
          <w:sz w:val="32"/>
          <w:szCs w:val="32"/>
          <w:lang w:val="en-US" w:eastAsia="zh-CN"/>
        </w:rPr>
        <w:t>3.35万元，</w:t>
      </w:r>
      <w:r>
        <w:rPr>
          <w:rFonts w:hint="eastAsia" w:ascii="仿宋" w:hAnsi="仿宋" w:eastAsia="仿宋" w:cs="MS PMincho"/>
          <w:sz w:val="32"/>
          <w:szCs w:val="32"/>
        </w:rPr>
        <w:t>年累计支出为</w:t>
      </w:r>
      <w:r>
        <w:rPr>
          <w:rFonts w:hint="eastAsia" w:ascii="仿宋" w:hAnsi="仿宋" w:eastAsia="仿宋" w:cs="MS PMincho"/>
          <w:sz w:val="32"/>
          <w:szCs w:val="32"/>
          <w:lang w:val="en-US" w:eastAsia="zh-CN"/>
        </w:rPr>
        <w:t>3.35万元</w:t>
      </w:r>
      <w:r>
        <w:rPr>
          <w:rFonts w:hint="eastAsia" w:ascii="仿宋" w:hAnsi="仿宋" w:eastAsia="仿宋" w:cs="MS PMincho"/>
          <w:sz w:val="32"/>
          <w:szCs w:val="32"/>
        </w:rPr>
        <w:t>，实际执行率为</w:t>
      </w:r>
      <w:r>
        <w:rPr>
          <w:rFonts w:hint="eastAsia" w:ascii="仿宋" w:hAnsi="仿宋" w:eastAsia="仿宋" w:cs="MS PMincho"/>
          <w:sz w:val="32"/>
          <w:szCs w:val="32"/>
          <w:lang w:val="en-US" w:eastAsia="zh-CN"/>
        </w:rPr>
        <w:t>22</w:t>
      </w:r>
      <w:r>
        <w:rPr>
          <w:rFonts w:hint="eastAsia" w:ascii="仿宋" w:hAnsi="仿宋" w:eastAsia="仿宋" w:cs="MS PMincho"/>
          <w:sz w:val="32"/>
          <w:szCs w:val="32"/>
        </w:rPr>
        <w:t>%；其中主要使用方向为</w:t>
      </w:r>
      <w:r>
        <w:rPr>
          <w:rFonts w:hint="eastAsia" w:ascii="仿宋" w:hAnsi="仿宋" w:eastAsia="仿宋" w:cs="MS PMincho"/>
          <w:sz w:val="32"/>
          <w:szCs w:val="32"/>
          <w:lang w:eastAsia="zh-CN"/>
        </w:rPr>
        <w:t>接待上级督导和调研</w:t>
      </w:r>
      <w:r>
        <w:rPr>
          <w:rFonts w:hint="eastAsia" w:ascii="仿宋" w:hAnsi="仿宋" w:eastAsia="仿宋" w:cs="MS PMincho"/>
          <w:sz w:val="32"/>
          <w:szCs w:val="32"/>
        </w:rPr>
        <w:t>。</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2.</w:t>
      </w:r>
      <w:r>
        <w:rPr>
          <w:rFonts w:ascii="仿宋" w:hAnsi="仿宋" w:eastAsia="仿宋"/>
          <w:b/>
          <w:snapToGrid w:val="0"/>
          <w:kern w:val="0"/>
          <w:sz w:val="32"/>
          <w:szCs w:val="32"/>
        </w:rPr>
        <w:t>项目绩效目标实现情况</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一是</w:t>
      </w:r>
      <w:r>
        <w:rPr>
          <w:rFonts w:hint="eastAsia" w:ascii="仿宋" w:hAnsi="仿宋" w:eastAsia="仿宋" w:cs="MS PMincho"/>
          <w:sz w:val="32"/>
          <w:szCs w:val="32"/>
        </w:rPr>
        <w:t>产出指标完成情况分析。</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rPr>
        <w:t>（1）数量指标。接待省市领导调研指导工作及安保维稳、扫黑除恶专项斗争督导组、政法队伍教育整顿督导次数</w:t>
      </w:r>
      <w:r>
        <w:rPr>
          <w:rFonts w:hint="eastAsia" w:ascii="仿宋" w:hAnsi="仿宋" w:eastAsia="仿宋" w:cs="MS PMincho"/>
          <w:sz w:val="32"/>
          <w:szCs w:val="32"/>
          <w:lang w:eastAsia="zh-CN"/>
        </w:rPr>
        <w:t>不少于</w:t>
      </w:r>
      <w:r>
        <w:rPr>
          <w:rFonts w:hint="eastAsia" w:ascii="仿宋" w:hAnsi="仿宋" w:eastAsia="仿宋" w:cs="MS PMincho"/>
          <w:sz w:val="32"/>
          <w:szCs w:val="32"/>
          <w:lang w:val="en-US" w:eastAsia="zh-CN"/>
        </w:rPr>
        <w:t>3次</w:t>
      </w:r>
      <w:r>
        <w:rPr>
          <w:rFonts w:hint="eastAsia" w:ascii="仿宋" w:hAnsi="仿宋" w:eastAsia="仿宋" w:cs="MS PMincho"/>
          <w:sz w:val="32"/>
          <w:szCs w:val="32"/>
          <w:lang w:eastAsia="zh-CN"/>
        </w:rPr>
        <w:t>，实际完成</w:t>
      </w:r>
      <w:r>
        <w:rPr>
          <w:rFonts w:hint="eastAsia" w:ascii="仿宋" w:hAnsi="仿宋" w:eastAsia="仿宋" w:cs="MS PMincho"/>
          <w:sz w:val="32"/>
          <w:szCs w:val="32"/>
          <w:lang w:val="en-US" w:eastAsia="zh-CN"/>
        </w:rPr>
        <w:t>9次</w:t>
      </w:r>
      <w:r>
        <w:rPr>
          <w:rFonts w:hint="eastAsia" w:ascii="仿宋" w:hAnsi="仿宋" w:eastAsia="仿宋" w:cs="MS PMincho"/>
          <w:sz w:val="32"/>
          <w:szCs w:val="32"/>
          <w:lang w:eastAsia="zh-CN"/>
        </w:rPr>
        <w:t>。</w:t>
      </w:r>
    </w:p>
    <w:p>
      <w:pPr>
        <w:spacing w:line="580" w:lineRule="exact"/>
        <w:ind w:firstLine="640" w:firstLineChars="200"/>
        <w:rPr>
          <w:rFonts w:hint="eastAsia" w:ascii="仿宋" w:hAnsi="仿宋" w:eastAsia="仿宋" w:cs="MS PMincho"/>
          <w:sz w:val="32"/>
          <w:szCs w:val="32"/>
          <w:lang w:val="en-US" w:eastAsia="zh-CN"/>
        </w:rPr>
      </w:pPr>
      <w:r>
        <w:rPr>
          <w:rFonts w:hint="eastAsia" w:ascii="仿宋" w:hAnsi="仿宋" w:eastAsia="仿宋" w:cs="MS PMincho"/>
          <w:sz w:val="32"/>
          <w:szCs w:val="32"/>
        </w:rPr>
        <w:t>（2）质量指标。接待省市领导调研指导工作及安保维稳、扫黑除恶专项斗争督导组、政法队伍教育整顿督导人数</w:t>
      </w:r>
      <w:r>
        <w:rPr>
          <w:rFonts w:hint="eastAsia" w:ascii="仿宋" w:hAnsi="仿宋" w:eastAsia="仿宋" w:cs="MS PMincho"/>
          <w:sz w:val="32"/>
          <w:szCs w:val="32"/>
          <w:lang w:eastAsia="zh-CN"/>
        </w:rPr>
        <w:t>不少于</w:t>
      </w:r>
      <w:r>
        <w:rPr>
          <w:rFonts w:hint="eastAsia" w:ascii="仿宋" w:hAnsi="仿宋" w:eastAsia="仿宋" w:cs="MS PMincho"/>
          <w:sz w:val="32"/>
          <w:szCs w:val="32"/>
          <w:lang w:val="en-US" w:eastAsia="zh-CN"/>
        </w:rPr>
        <w:t>20人，实际是32人。</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rPr>
        <w:t>（3）时效指标。接待工作及时率</w:t>
      </w:r>
      <w:r>
        <w:rPr>
          <w:rFonts w:hint="eastAsia" w:ascii="仿宋" w:hAnsi="仿宋" w:eastAsia="仿宋" w:cs="MS PMincho"/>
          <w:sz w:val="32"/>
          <w:szCs w:val="32"/>
          <w:lang w:eastAsia="zh-CN"/>
        </w:rPr>
        <w:t>为</w:t>
      </w:r>
      <w:r>
        <w:rPr>
          <w:rFonts w:hint="eastAsia" w:ascii="仿宋" w:hAnsi="仿宋" w:eastAsia="仿宋" w:cs="MS PMincho"/>
          <w:sz w:val="32"/>
          <w:szCs w:val="32"/>
          <w:lang w:val="en-US" w:eastAsia="zh-CN"/>
        </w:rPr>
        <w:t>100%，资金拨付及时率100%</w:t>
      </w:r>
    </w:p>
    <w:p>
      <w:pPr>
        <w:spacing w:line="580" w:lineRule="exact"/>
        <w:ind w:firstLine="640" w:firstLineChars="200"/>
        <w:rPr>
          <w:rFonts w:hint="eastAsia" w:ascii="仿宋" w:hAnsi="仿宋" w:eastAsia="仿宋" w:cs="MS PMincho"/>
          <w:sz w:val="32"/>
          <w:szCs w:val="32"/>
          <w:lang w:val="en-US" w:eastAsia="zh-CN"/>
        </w:rPr>
      </w:pPr>
      <w:r>
        <w:rPr>
          <w:rFonts w:hint="eastAsia" w:ascii="仿宋" w:hAnsi="仿宋" w:eastAsia="仿宋" w:cs="MS PMincho"/>
          <w:sz w:val="32"/>
          <w:szCs w:val="32"/>
          <w:lang w:val="en-US" w:eastAsia="zh-CN"/>
        </w:rPr>
        <w:t>（4）成本指标。公务接待有关标准控制率100%。</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二是</w:t>
      </w:r>
      <w:r>
        <w:rPr>
          <w:rFonts w:hint="eastAsia" w:ascii="仿宋" w:hAnsi="仿宋" w:eastAsia="仿宋" w:cs="MS PMincho"/>
          <w:sz w:val="32"/>
          <w:szCs w:val="32"/>
        </w:rPr>
        <w:t>效益指标完成情况分析。</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rPr>
        <w:t>（1）社会效益指标。为我县政法各项工作开展奠定良好的基础。</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（2）可持续影响指标。</w:t>
      </w:r>
      <w:r>
        <w:rPr>
          <w:rFonts w:hint="eastAsia" w:ascii="仿宋" w:hAnsi="仿宋" w:eastAsia="仿宋" w:cs="MS PMincho"/>
          <w:sz w:val="32"/>
          <w:szCs w:val="32"/>
          <w:lang w:eastAsia="zh-CN"/>
        </w:rPr>
        <w:t>做好上级领导督导调研的接待工作，有利于进一步提升我县政法工作水平。</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eastAsia="zh-CN"/>
        </w:rPr>
        <w:t>三是</w:t>
      </w:r>
      <w:r>
        <w:rPr>
          <w:rFonts w:hint="eastAsia" w:ascii="仿宋" w:hAnsi="仿宋" w:eastAsia="仿宋" w:cs="MS PMincho"/>
          <w:sz w:val="32"/>
          <w:szCs w:val="32"/>
        </w:rPr>
        <w:t>满意度指标完成情况分析。接待服务对象满意度</w:t>
      </w:r>
      <w:r>
        <w:rPr>
          <w:rFonts w:hint="eastAsia" w:ascii="仿宋" w:hAnsi="仿宋" w:eastAsia="仿宋" w:cs="MS PMincho"/>
          <w:sz w:val="32"/>
          <w:szCs w:val="32"/>
          <w:lang w:eastAsia="zh-CN"/>
        </w:rPr>
        <w:t>为</w:t>
      </w:r>
      <w:r>
        <w:rPr>
          <w:rFonts w:hint="eastAsia" w:ascii="仿宋" w:hAnsi="仿宋" w:eastAsia="仿宋" w:cs="MS PMincho"/>
          <w:sz w:val="32"/>
          <w:szCs w:val="32"/>
          <w:lang w:val="en-US" w:eastAsia="zh-CN"/>
        </w:rPr>
        <w:t>100%。</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b/>
          <w:snapToGrid w:val="0"/>
          <w:kern w:val="0"/>
          <w:sz w:val="32"/>
          <w:szCs w:val="32"/>
        </w:rPr>
        <w:t>（三）综合评价结论</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专项接待工作经费年初预算数为</w:t>
      </w:r>
      <w:r>
        <w:rPr>
          <w:rFonts w:hint="eastAsia" w:ascii="仿宋" w:hAnsi="仿宋" w:eastAsia="仿宋" w:cs="MS PMincho"/>
          <w:sz w:val="32"/>
          <w:szCs w:val="32"/>
          <w:lang w:val="en-US" w:eastAsia="zh-CN"/>
        </w:rPr>
        <w:t>15万元，决算数为2.21万元</w:t>
      </w:r>
      <w:r>
        <w:rPr>
          <w:rFonts w:hint="eastAsia" w:ascii="仿宋" w:hAnsi="仿宋" w:eastAsia="仿宋" w:cs="MS PMincho"/>
          <w:sz w:val="32"/>
          <w:szCs w:val="32"/>
        </w:rPr>
        <w:t>，</w:t>
      </w:r>
      <w:r>
        <w:rPr>
          <w:rFonts w:hint="eastAsia" w:ascii="Times New Roman" w:hAnsi="Times New Roman" w:eastAsia="方正仿宋简体" w:cs="Times New Roman"/>
          <w:b w:val="0"/>
          <w:bCs/>
          <w:sz w:val="32"/>
          <w:szCs w:val="32"/>
          <w:lang w:eastAsia="zh-CN"/>
        </w:rPr>
        <w:t>县委政法委严格遵守中央八项规定精神，以及县委出台的财务方面的有关文件精神，按照接待标准和人数要求接待上级领导的督导和调研。</w:t>
      </w:r>
      <w:r>
        <w:rPr>
          <w:rFonts w:hint="eastAsia" w:ascii="仿宋" w:hAnsi="仿宋" w:eastAsia="仿宋" w:cs="MS PMincho"/>
          <w:sz w:val="32"/>
          <w:szCs w:val="32"/>
        </w:rPr>
        <w:t>各项完成值全部达成预期指标，自我评价为</w:t>
      </w:r>
      <w:r>
        <w:rPr>
          <w:rFonts w:hint="eastAsia" w:ascii="仿宋" w:hAnsi="仿宋" w:eastAsia="仿宋" w:cs="MS PMincho"/>
          <w:sz w:val="32"/>
          <w:szCs w:val="32"/>
          <w:lang w:eastAsia="zh-CN"/>
        </w:rPr>
        <w:t>良好</w:t>
      </w:r>
      <w:r>
        <w:rPr>
          <w:rFonts w:hint="eastAsia" w:ascii="仿宋" w:hAnsi="仿宋" w:eastAsia="仿宋" w:cs="MS PMincho"/>
          <w:sz w:val="32"/>
          <w:szCs w:val="32"/>
        </w:rPr>
        <w:t>。</w:t>
      </w:r>
    </w:p>
    <w:p>
      <w:pPr>
        <w:adjustRightInd w:val="0"/>
        <w:snapToGrid w:val="0"/>
        <w:spacing w:line="590" w:lineRule="exact"/>
        <w:ind w:firstLine="640" w:firstLineChars="200"/>
        <w:rPr>
          <w:rFonts w:hint="eastAsia" w:eastAsia="黑体"/>
          <w:snapToGrid w:val="0"/>
          <w:kern w:val="0"/>
          <w:sz w:val="32"/>
          <w:szCs w:val="32"/>
          <w:lang w:eastAsia="zh-CN"/>
        </w:rPr>
      </w:pPr>
      <w:r>
        <w:rPr>
          <w:rFonts w:hint="eastAsia" w:eastAsia="黑体"/>
          <w:snapToGrid w:val="0"/>
          <w:kern w:val="0"/>
          <w:sz w:val="32"/>
          <w:szCs w:val="32"/>
          <w:lang w:eastAsia="zh-CN"/>
        </w:rPr>
        <w:t>四</w:t>
      </w:r>
      <w:r>
        <w:rPr>
          <w:rFonts w:hint="eastAsia" w:eastAsia="黑体"/>
          <w:snapToGrid w:val="0"/>
          <w:kern w:val="0"/>
          <w:sz w:val="32"/>
          <w:szCs w:val="32"/>
        </w:rPr>
        <w:t>、610办公室反邪教办公经费</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cs="MS PMincho"/>
          <w:b/>
          <w:sz w:val="32"/>
          <w:szCs w:val="32"/>
        </w:rPr>
        <w:t>（一）</w:t>
      </w:r>
      <w:r>
        <w:rPr>
          <w:rFonts w:ascii="楷体" w:hAnsi="楷体" w:eastAsia="楷体"/>
          <w:b/>
          <w:snapToGrid w:val="0"/>
          <w:kern w:val="0"/>
          <w:sz w:val="32"/>
          <w:szCs w:val="32"/>
        </w:rPr>
        <w:t>项目概况</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610办公室反邪教办公经费主要是反邪教宣传的工作经费。总体目标是</w:t>
      </w:r>
      <w:r>
        <w:rPr>
          <w:rFonts w:hint="eastAsia" w:ascii="宋体" w:hAnsi="宋体" w:cs="宋体"/>
          <w:color w:val="000000"/>
          <w:sz w:val="20"/>
          <w:szCs w:val="20"/>
        </w:rPr>
        <w:t xml:space="preserve"> </w:t>
      </w:r>
      <w:r>
        <w:rPr>
          <w:rFonts w:hint="eastAsia" w:ascii="仿宋" w:hAnsi="仿宋" w:eastAsia="仿宋" w:cs="MS PMincho"/>
          <w:sz w:val="32"/>
          <w:szCs w:val="32"/>
          <w:lang w:eastAsia="zh-CN"/>
        </w:rPr>
        <w:t>开展反邪教宣传，提高群众向邪教行为作斗争的意识。</w:t>
      </w:r>
      <w:r>
        <w:rPr>
          <w:rFonts w:hint="eastAsia" w:ascii="仿宋" w:hAnsi="仿宋" w:eastAsia="仿宋" w:cs="MS PMincho"/>
          <w:sz w:val="32"/>
          <w:szCs w:val="32"/>
        </w:rPr>
        <w:t>指标设定包含产出指标、效益指标、满意度指标等。</w:t>
      </w:r>
    </w:p>
    <w:p>
      <w:pPr>
        <w:adjustRightInd w:val="0"/>
        <w:snapToGrid w:val="0"/>
        <w:spacing w:line="590" w:lineRule="exact"/>
        <w:ind w:firstLine="643" w:firstLineChars="200"/>
        <w:rPr>
          <w:rFonts w:ascii="楷体" w:hAnsi="楷体" w:eastAsia="楷体" w:cs="MS PMincho"/>
          <w:b/>
          <w:sz w:val="32"/>
          <w:szCs w:val="32"/>
        </w:rPr>
      </w:pPr>
      <w:r>
        <w:rPr>
          <w:rFonts w:hint="eastAsia" w:ascii="楷体" w:hAnsi="楷体" w:eastAsia="楷体" w:cs="MS PMincho"/>
          <w:b/>
          <w:sz w:val="32"/>
          <w:szCs w:val="32"/>
        </w:rPr>
        <w:t>（二）项目组织实施及绩效目标实现情况</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1.</w:t>
      </w:r>
      <w:r>
        <w:rPr>
          <w:rFonts w:hint="eastAsia" w:ascii="仿宋" w:hAnsi="仿宋" w:eastAsia="仿宋"/>
          <w:b/>
          <w:snapToGrid w:val="0"/>
          <w:kern w:val="0"/>
          <w:sz w:val="32"/>
          <w:szCs w:val="32"/>
        </w:rPr>
        <w:t>项目资金使用及管理情况</w:t>
      </w:r>
    </w:p>
    <w:p>
      <w:pPr>
        <w:adjustRightInd w:val="0"/>
        <w:snapToGrid w:val="0"/>
        <w:spacing w:line="590" w:lineRule="exact"/>
        <w:ind w:firstLine="640" w:firstLineChars="200"/>
        <w:rPr>
          <w:rFonts w:eastAsia="仿宋_GB2312"/>
          <w:snapToGrid w:val="0"/>
          <w:kern w:val="0"/>
          <w:sz w:val="32"/>
          <w:szCs w:val="32"/>
        </w:rPr>
      </w:pPr>
      <w:r>
        <w:rPr>
          <w:rFonts w:hint="eastAsia" w:ascii="仿宋" w:hAnsi="仿宋" w:eastAsia="仿宋" w:cs="MS PMincho"/>
          <w:sz w:val="32"/>
          <w:szCs w:val="32"/>
          <w:lang w:eastAsia="zh-CN"/>
        </w:rPr>
        <w:t>610办公室反邪教办公经费</w:t>
      </w:r>
      <w:r>
        <w:rPr>
          <w:rFonts w:hint="eastAsia" w:ascii="仿宋" w:hAnsi="仿宋" w:eastAsia="仿宋" w:cs="MS PMincho"/>
          <w:sz w:val="32"/>
          <w:szCs w:val="32"/>
        </w:rPr>
        <w:t>年初预算为</w:t>
      </w:r>
      <w:r>
        <w:rPr>
          <w:rFonts w:hint="eastAsia" w:ascii="仿宋" w:hAnsi="仿宋" w:eastAsia="仿宋" w:cs="MS PMincho"/>
          <w:sz w:val="32"/>
          <w:szCs w:val="32"/>
          <w:lang w:val="en-US" w:eastAsia="zh-CN"/>
        </w:rPr>
        <w:t>50000</w:t>
      </w:r>
      <w:r>
        <w:rPr>
          <w:rFonts w:hint="eastAsia" w:ascii="仿宋" w:hAnsi="仿宋" w:eastAsia="仿宋" w:cs="MS PMincho"/>
          <w:sz w:val="32"/>
          <w:szCs w:val="32"/>
        </w:rPr>
        <w:t>元，总计拨付为</w:t>
      </w:r>
      <w:r>
        <w:rPr>
          <w:rFonts w:hint="eastAsia" w:ascii="仿宋" w:hAnsi="仿宋" w:eastAsia="仿宋" w:cs="MS PMincho"/>
          <w:sz w:val="32"/>
          <w:szCs w:val="32"/>
          <w:lang w:val="en-US" w:eastAsia="zh-CN"/>
        </w:rPr>
        <w:t>50000</w:t>
      </w:r>
      <w:r>
        <w:rPr>
          <w:rFonts w:hint="eastAsia" w:ascii="仿宋" w:hAnsi="仿宋" w:eastAsia="仿宋" w:cs="MS PMincho"/>
          <w:sz w:val="32"/>
          <w:szCs w:val="32"/>
        </w:rPr>
        <w:t>元，年累计支出为</w:t>
      </w:r>
      <w:r>
        <w:rPr>
          <w:rFonts w:hint="eastAsia" w:ascii="仿宋" w:hAnsi="仿宋" w:eastAsia="仿宋" w:cs="MS PMincho"/>
          <w:sz w:val="32"/>
          <w:szCs w:val="32"/>
          <w:lang w:val="en-US" w:eastAsia="zh-CN"/>
        </w:rPr>
        <w:t>0</w:t>
      </w:r>
      <w:r>
        <w:rPr>
          <w:rFonts w:hint="eastAsia" w:ascii="仿宋" w:hAnsi="仿宋" w:eastAsia="仿宋" w:cs="MS PMincho"/>
          <w:sz w:val="32"/>
          <w:szCs w:val="32"/>
        </w:rPr>
        <w:t>元，实际执行率为</w:t>
      </w:r>
      <w:r>
        <w:rPr>
          <w:rFonts w:hint="eastAsia" w:ascii="仿宋" w:hAnsi="仿宋" w:eastAsia="仿宋" w:cs="MS PMincho"/>
          <w:sz w:val="32"/>
          <w:szCs w:val="32"/>
          <w:lang w:val="en-US" w:eastAsia="zh-CN"/>
        </w:rPr>
        <w:t>0</w:t>
      </w:r>
      <w:r>
        <w:rPr>
          <w:rFonts w:hint="eastAsia" w:ascii="仿宋" w:hAnsi="仿宋" w:eastAsia="仿宋" w:cs="MS PMincho"/>
          <w:sz w:val="32"/>
          <w:szCs w:val="32"/>
        </w:rPr>
        <w:t>%；</w:t>
      </w:r>
      <w:r>
        <w:rPr>
          <w:rFonts w:hint="eastAsia" w:ascii="仿宋" w:hAnsi="仿宋" w:eastAsia="仿宋" w:cs="MS PMincho"/>
          <w:sz w:val="32"/>
          <w:szCs w:val="32"/>
          <w:lang w:eastAsia="zh-CN"/>
        </w:rPr>
        <w:t>由于经费到位时间为</w:t>
      </w:r>
      <w:r>
        <w:rPr>
          <w:rFonts w:hint="eastAsia" w:ascii="仿宋" w:hAnsi="仿宋" w:eastAsia="仿宋" w:cs="MS PMincho"/>
          <w:sz w:val="32"/>
          <w:szCs w:val="32"/>
          <w:lang w:val="en-US" w:eastAsia="zh-CN"/>
        </w:rPr>
        <w:t>2020年12月底，所以未完成支付</w:t>
      </w:r>
      <w:r>
        <w:rPr>
          <w:rFonts w:hint="eastAsia" w:ascii="仿宋" w:hAnsi="仿宋" w:eastAsia="仿宋" w:cs="MS PMincho"/>
          <w:sz w:val="32"/>
          <w:szCs w:val="32"/>
        </w:rPr>
        <w:t>。</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2.</w:t>
      </w:r>
      <w:r>
        <w:rPr>
          <w:rFonts w:ascii="仿宋" w:hAnsi="仿宋" w:eastAsia="仿宋"/>
          <w:b/>
          <w:snapToGrid w:val="0"/>
          <w:kern w:val="0"/>
          <w:sz w:val="32"/>
          <w:szCs w:val="32"/>
        </w:rPr>
        <w:t>项目绩效目标实现情况</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一是</w:t>
      </w:r>
      <w:r>
        <w:rPr>
          <w:rFonts w:hint="eastAsia" w:ascii="仿宋" w:hAnsi="仿宋" w:eastAsia="仿宋" w:cs="MS PMincho"/>
          <w:sz w:val="32"/>
          <w:szCs w:val="32"/>
        </w:rPr>
        <w:t>产出指标完成情况分析。</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rPr>
        <w:t>（1）数量指标。开展反邪教宣传次数</w:t>
      </w:r>
      <w:r>
        <w:rPr>
          <w:rFonts w:hint="eastAsia" w:ascii="仿宋" w:hAnsi="仿宋" w:eastAsia="仿宋" w:cs="MS PMincho"/>
          <w:sz w:val="32"/>
          <w:szCs w:val="32"/>
          <w:lang w:eastAsia="zh-CN"/>
        </w:rPr>
        <w:t>不少于</w:t>
      </w:r>
      <w:r>
        <w:rPr>
          <w:rFonts w:hint="eastAsia" w:ascii="仿宋" w:hAnsi="仿宋" w:eastAsia="仿宋" w:cs="MS PMincho"/>
          <w:sz w:val="32"/>
          <w:szCs w:val="32"/>
          <w:lang w:val="en-US" w:eastAsia="zh-CN"/>
        </w:rPr>
        <w:t>2次</w:t>
      </w:r>
      <w:r>
        <w:rPr>
          <w:rFonts w:hint="eastAsia" w:ascii="仿宋" w:hAnsi="仿宋" w:eastAsia="仿宋" w:cs="MS PMincho"/>
          <w:sz w:val="32"/>
          <w:szCs w:val="32"/>
          <w:lang w:eastAsia="zh-CN"/>
        </w:rPr>
        <w:t>，实际完成</w:t>
      </w:r>
      <w:r>
        <w:rPr>
          <w:rFonts w:hint="eastAsia" w:ascii="仿宋" w:hAnsi="仿宋" w:eastAsia="仿宋" w:cs="MS PMincho"/>
          <w:sz w:val="32"/>
          <w:szCs w:val="32"/>
          <w:lang w:val="en-US" w:eastAsia="zh-CN"/>
        </w:rPr>
        <w:t>2次</w:t>
      </w:r>
      <w:r>
        <w:rPr>
          <w:rFonts w:hint="eastAsia" w:ascii="仿宋" w:hAnsi="仿宋" w:eastAsia="仿宋" w:cs="MS PMincho"/>
          <w:sz w:val="32"/>
          <w:szCs w:val="32"/>
          <w:lang w:eastAsia="zh-CN"/>
        </w:rPr>
        <w:t>。</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rPr>
        <w:t>（2）质量指标。</w:t>
      </w:r>
      <w:r>
        <w:rPr>
          <w:rFonts w:hint="eastAsia" w:ascii="仿宋" w:hAnsi="仿宋" w:eastAsia="仿宋" w:cs="MS PMincho"/>
          <w:sz w:val="32"/>
          <w:szCs w:val="32"/>
          <w:lang w:eastAsia="zh-CN"/>
        </w:rPr>
        <w:t>悬挂宣传条幅数量不少于</w:t>
      </w:r>
      <w:r>
        <w:rPr>
          <w:rFonts w:hint="eastAsia" w:ascii="仿宋" w:hAnsi="仿宋" w:eastAsia="仿宋" w:cs="MS PMincho"/>
          <w:sz w:val="32"/>
          <w:szCs w:val="32"/>
          <w:lang w:val="en-US" w:eastAsia="zh-CN"/>
        </w:rPr>
        <w:t>5个，实际完成8个。发放反邪教宣传手册不少于5000册，实际发放10000册。</w:t>
      </w:r>
    </w:p>
    <w:p>
      <w:pPr>
        <w:spacing w:line="580" w:lineRule="exact"/>
        <w:ind w:firstLine="640" w:firstLineChars="200"/>
        <w:rPr>
          <w:rFonts w:hint="eastAsia" w:ascii="仿宋" w:hAnsi="仿宋" w:eastAsia="仿宋" w:cs="MS PMincho"/>
          <w:sz w:val="32"/>
          <w:szCs w:val="32"/>
          <w:lang w:val="en-US" w:eastAsia="zh-CN"/>
        </w:rPr>
      </w:pPr>
      <w:r>
        <w:rPr>
          <w:rFonts w:hint="eastAsia" w:ascii="仿宋" w:hAnsi="仿宋" w:eastAsia="仿宋" w:cs="MS PMincho"/>
          <w:sz w:val="32"/>
          <w:szCs w:val="32"/>
        </w:rPr>
        <w:t>（3）时效指标。资金拨付及时率</w:t>
      </w:r>
      <w:r>
        <w:rPr>
          <w:rFonts w:hint="eastAsia" w:ascii="仿宋" w:hAnsi="仿宋" w:eastAsia="仿宋" w:cs="MS PMincho"/>
          <w:sz w:val="32"/>
          <w:szCs w:val="32"/>
          <w:lang w:val="en-US" w:eastAsia="zh-CN"/>
        </w:rPr>
        <w:t>100%，反邪教宣传完成的及时率100%.</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val="en-US" w:eastAsia="zh-CN"/>
        </w:rPr>
        <w:t>（4）成本指标。成本控制有效率100%。</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二是</w:t>
      </w:r>
      <w:r>
        <w:rPr>
          <w:rFonts w:hint="eastAsia" w:ascii="仿宋" w:hAnsi="仿宋" w:eastAsia="仿宋" w:cs="MS PMincho"/>
          <w:sz w:val="32"/>
          <w:szCs w:val="32"/>
        </w:rPr>
        <w:t>效益指标完成情况分析。</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（1）社会效益指标。增强群众对邪教行为的辨别能力，自觉抵制邪教行为</w:t>
      </w:r>
      <w:r>
        <w:rPr>
          <w:rFonts w:hint="eastAsia" w:ascii="仿宋" w:hAnsi="仿宋" w:eastAsia="仿宋" w:cs="MS PMincho"/>
          <w:sz w:val="32"/>
          <w:szCs w:val="32"/>
          <w:lang w:eastAsia="zh-CN"/>
        </w:rPr>
        <w:t>。</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（2）可持续影响指标。为我县打击、处理、防范邪教行为奠定基础</w:t>
      </w:r>
      <w:r>
        <w:rPr>
          <w:rFonts w:hint="eastAsia" w:ascii="仿宋" w:hAnsi="仿宋" w:eastAsia="仿宋" w:cs="MS PMincho"/>
          <w:sz w:val="32"/>
          <w:szCs w:val="32"/>
          <w:lang w:eastAsia="zh-CN"/>
        </w:rPr>
        <w:t>。</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eastAsia="zh-CN"/>
        </w:rPr>
        <w:t>三是</w:t>
      </w:r>
      <w:r>
        <w:rPr>
          <w:rFonts w:hint="eastAsia" w:ascii="仿宋" w:hAnsi="仿宋" w:eastAsia="仿宋" w:cs="MS PMincho"/>
          <w:sz w:val="32"/>
          <w:szCs w:val="32"/>
        </w:rPr>
        <w:t>满意度指标完成情况分析。城乡居民</w:t>
      </w:r>
      <w:r>
        <w:rPr>
          <w:rFonts w:hint="eastAsia" w:ascii="仿宋" w:hAnsi="仿宋" w:eastAsia="仿宋" w:cs="MS PMincho"/>
          <w:sz w:val="32"/>
          <w:szCs w:val="32"/>
          <w:lang w:eastAsia="zh-CN"/>
        </w:rPr>
        <w:t>满意度为</w:t>
      </w:r>
      <w:r>
        <w:rPr>
          <w:rFonts w:hint="eastAsia" w:ascii="仿宋" w:hAnsi="仿宋" w:eastAsia="仿宋" w:cs="MS PMincho"/>
          <w:sz w:val="32"/>
          <w:szCs w:val="32"/>
          <w:lang w:val="en-US" w:eastAsia="zh-CN"/>
        </w:rPr>
        <w:t>100%。</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b/>
          <w:snapToGrid w:val="0"/>
          <w:kern w:val="0"/>
          <w:sz w:val="32"/>
          <w:szCs w:val="32"/>
        </w:rPr>
        <w:t>（三）综合评价结论</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610办公室反邪教办公经费年初预算数为</w:t>
      </w:r>
      <w:r>
        <w:rPr>
          <w:rFonts w:hint="eastAsia" w:ascii="仿宋" w:hAnsi="仿宋" w:eastAsia="仿宋" w:cs="MS PMincho"/>
          <w:sz w:val="32"/>
          <w:szCs w:val="32"/>
          <w:lang w:val="en-US" w:eastAsia="zh-CN"/>
        </w:rPr>
        <w:t>5万元，决算数为0元</w:t>
      </w:r>
      <w:r>
        <w:rPr>
          <w:rFonts w:hint="eastAsia" w:ascii="仿宋" w:hAnsi="仿宋" w:eastAsia="仿宋" w:cs="MS PMincho"/>
          <w:sz w:val="32"/>
          <w:szCs w:val="32"/>
        </w:rPr>
        <w:t>。自我评价为</w:t>
      </w:r>
      <w:r>
        <w:rPr>
          <w:rFonts w:hint="eastAsia" w:ascii="仿宋" w:hAnsi="仿宋" w:eastAsia="仿宋" w:cs="MS PMincho"/>
          <w:sz w:val="32"/>
          <w:szCs w:val="32"/>
          <w:lang w:eastAsia="zh-CN"/>
        </w:rPr>
        <w:t>良好</w:t>
      </w:r>
      <w:r>
        <w:rPr>
          <w:rFonts w:hint="eastAsia" w:ascii="仿宋" w:hAnsi="仿宋" w:eastAsia="仿宋" w:cs="MS PMincho"/>
          <w:sz w:val="32"/>
          <w:szCs w:val="32"/>
        </w:rPr>
        <w:t>。</w:t>
      </w:r>
    </w:p>
    <w:p>
      <w:pPr>
        <w:adjustRightInd w:val="0"/>
        <w:snapToGrid w:val="0"/>
        <w:spacing w:line="590" w:lineRule="exact"/>
        <w:ind w:firstLine="640" w:firstLineChars="200"/>
        <w:rPr>
          <w:rFonts w:hint="eastAsia" w:eastAsia="黑体"/>
          <w:snapToGrid w:val="0"/>
          <w:kern w:val="0"/>
          <w:sz w:val="32"/>
          <w:szCs w:val="32"/>
          <w:lang w:eastAsia="zh-CN"/>
        </w:rPr>
      </w:pPr>
      <w:r>
        <w:rPr>
          <w:rFonts w:hint="eastAsia" w:eastAsia="黑体"/>
          <w:snapToGrid w:val="0"/>
          <w:kern w:val="0"/>
          <w:sz w:val="32"/>
          <w:szCs w:val="32"/>
          <w:lang w:eastAsia="zh-CN"/>
        </w:rPr>
        <w:t>五</w:t>
      </w:r>
      <w:r>
        <w:rPr>
          <w:rFonts w:hint="eastAsia" w:eastAsia="黑体"/>
          <w:snapToGrid w:val="0"/>
          <w:kern w:val="0"/>
          <w:sz w:val="32"/>
          <w:szCs w:val="32"/>
        </w:rPr>
        <w:t>、</w:t>
      </w:r>
      <w:r>
        <w:rPr>
          <w:rFonts w:hint="eastAsia" w:eastAsia="黑体"/>
          <w:snapToGrid w:val="0"/>
          <w:kern w:val="0"/>
          <w:sz w:val="32"/>
          <w:szCs w:val="32"/>
          <w:lang w:eastAsia="zh-CN"/>
        </w:rPr>
        <w:t>扫黑除恶工作</w:t>
      </w:r>
      <w:r>
        <w:rPr>
          <w:rFonts w:hint="eastAsia" w:eastAsia="黑体"/>
          <w:snapToGrid w:val="0"/>
          <w:kern w:val="0"/>
          <w:sz w:val="32"/>
          <w:szCs w:val="32"/>
        </w:rPr>
        <w:t>经费</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cs="MS PMincho"/>
          <w:b/>
          <w:sz w:val="32"/>
          <w:szCs w:val="32"/>
        </w:rPr>
        <w:t>（一）</w:t>
      </w:r>
      <w:r>
        <w:rPr>
          <w:rFonts w:ascii="楷体" w:hAnsi="楷体" w:eastAsia="楷体"/>
          <w:b/>
          <w:snapToGrid w:val="0"/>
          <w:kern w:val="0"/>
          <w:sz w:val="32"/>
          <w:szCs w:val="32"/>
        </w:rPr>
        <w:t>项目概况</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扫黑除恶工作经费主要是扫黑除恶宣传、办公等费用。总体目标是扫除黑恶势力，破网打伞，净化我县社会环境。</w:t>
      </w:r>
      <w:r>
        <w:rPr>
          <w:rFonts w:hint="eastAsia" w:ascii="仿宋" w:hAnsi="仿宋" w:eastAsia="仿宋" w:cs="MS PMincho"/>
          <w:sz w:val="32"/>
          <w:szCs w:val="32"/>
        </w:rPr>
        <w:t>指标设定包含产出指标、效益指标、满意度指标等。</w:t>
      </w:r>
    </w:p>
    <w:p>
      <w:pPr>
        <w:adjustRightInd w:val="0"/>
        <w:snapToGrid w:val="0"/>
        <w:spacing w:line="590" w:lineRule="exact"/>
        <w:ind w:firstLine="643" w:firstLineChars="200"/>
        <w:rPr>
          <w:rFonts w:ascii="楷体" w:hAnsi="楷体" w:eastAsia="楷体" w:cs="MS PMincho"/>
          <w:b/>
          <w:sz w:val="32"/>
          <w:szCs w:val="32"/>
        </w:rPr>
      </w:pPr>
      <w:r>
        <w:rPr>
          <w:rFonts w:hint="eastAsia" w:ascii="楷体" w:hAnsi="楷体" w:eastAsia="楷体" w:cs="MS PMincho"/>
          <w:b/>
          <w:sz w:val="32"/>
          <w:szCs w:val="32"/>
        </w:rPr>
        <w:t>（二）项目组织实施及绩效目标实现情况</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1.</w:t>
      </w:r>
      <w:r>
        <w:rPr>
          <w:rFonts w:hint="eastAsia" w:ascii="仿宋" w:hAnsi="仿宋" w:eastAsia="仿宋"/>
          <w:b/>
          <w:snapToGrid w:val="0"/>
          <w:kern w:val="0"/>
          <w:sz w:val="32"/>
          <w:szCs w:val="32"/>
        </w:rPr>
        <w:t>项目资金使用及管理情况</w:t>
      </w:r>
    </w:p>
    <w:p>
      <w:pPr>
        <w:adjustRightInd w:val="0"/>
        <w:snapToGrid w:val="0"/>
        <w:spacing w:line="590" w:lineRule="exact"/>
        <w:ind w:firstLine="640" w:firstLineChars="200"/>
        <w:rPr>
          <w:rFonts w:eastAsia="仿宋_GB2312"/>
          <w:snapToGrid w:val="0"/>
          <w:kern w:val="0"/>
          <w:sz w:val="32"/>
          <w:szCs w:val="32"/>
        </w:rPr>
      </w:pPr>
      <w:r>
        <w:rPr>
          <w:rFonts w:hint="eastAsia" w:ascii="仿宋" w:hAnsi="仿宋" w:eastAsia="仿宋" w:cs="MS PMincho"/>
          <w:sz w:val="32"/>
          <w:szCs w:val="32"/>
          <w:lang w:eastAsia="zh-CN"/>
        </w:rPr>
        <w:t>扫黑除恶工作经费</w:t>
      </w:r>
      <w:r>
        <w:rPr>
          <w:rFonts w:hint="eastAsia" w:ascii="仿宋" w:hAnsi="仿宋" w:eastAsia="仿宋" w:cs="MS PMincho"/>
          <w:sz w:val="32"/>
          <w:szCs w:val="32"/>
        </w:rPr>
        <w:t>年初预算为</w:t>
      </w:r>
      <w:r>
        <w:rPr>
          <w:rFonts w:hint="eastAsia" w:ascii="仿宋" w:hAnsi="仿宋" w:eastAsia="仿宋" w:cs="MS PMincho"/>
          <w:sz w:val="32"/>
          <w:szCs w:val="32"/>
          <w:lang w:val="en-US" w:eastAsia="zh-CN"/>
        </w:rPr>
        <w:t>100万</w:t>
      </w:r>
      <w:r>
        <w:rPr>
          <w:rFonts w:hint="eastAsia" w:ascii="仿宋" w:hAnsi="仿宋" w:eastAsia="仿宋" w:cs="MS PMincho"/>
          <w:sz w:val="32"/>
          <w:szCs w:val="32"/>
        </w:rPr>
        <w:t>元，总计拨付为</w:t>
      </w:r>
      <w:r>
        <w:rPr>
          <w:rFonts w:hint="eastAsia" w:ascii="仿宋" w:hAnsi="仿宋" w:eastAsia="仿宋" w:cs="MS PMincho"/>
          <w:sz w:val="32"/>
          <w:szCs w:val="32"/>
          <w:lang w:val="en-US" w:eastAsia="zh-CN"/>
        </w:rPr>
        <w:t>100万</w:t>
      </w:r>
      <w:r>
        <w:rPr>
          <w:rFonts w:hint="eastAsia" w:ascii="仿宋" w:hAnsi="仿宋" w:eastAsia="仿宋" w:cs="MS PMincho"/>
          <w:sz w:val="32"/>
          <w:szCs w:val="32"/>
        </w:rPr>
        <w:t>元，</w:t>
      </w:r>
      <w:r>
        <w:rPr>
          <w:rFonts w:hint="eastAsia" w:ascii="仿宋" w:hAnsi="仿宋" w:eastAsia="仿宋" w:cs="MS PMincho"/>
          <w:sz w:val="32"/>
          <w:szCs w:val="32"/>
          <w:lang w:eastAsia="zh-CN"/>
        </w:rPr>
        <w:t>上年结转</w:t>
      </w:r>
      <w:r>
        <w:rPr>
          <w:rFonts w:hint="eastAsia" w:ascii="仿宋" w:hAnsi="仿宋" w:eastAsia="仿宋" w:cs="MS PMincho"/>
          <w:sz w:val="32"/>
          <w:szCs w:val="32"/>
          <w:lang w:val="en-US" w:eastAsia="zh-CN"/>
        </w:rPr>
        <w:t>15.3万元，</w:t>
      </w:r>
      <w:r>
        <w:rPr>
          <w:rFonts w:hint="eastAsia" w:ascii="仿宋" w:hAnsi="仿宋" w:eastAsia="仿宋" w:cs="MS PMincho"/>
          <w:sz w:val="32"/>
          <w:szCs w:val="32"/>
        </w:rPr>
        <w:t>年累计支出为</w:t>
      </w:r>
      <w:r>
        <w:rPr>
          <w:rFonts w:hint="eastAsia" w:ascii="仿宋" w:hAnsi="仿宋" w:eastAsia="仿宋" w:cs="MS PMincho"/>
          <w:sz w:val="32"/>
          <w:szCs w:val="32"/>
          <w:lang w:val="en-US" w:eastAsia="zh-CN"/>
        </w:rPr>
        <w:t>72.15</w:t>
      </w:r>
      <w:r>
        <w:rPr>
          <w:rFonts w:hint="eastAsia" w:ascii="仿宋" w:hAnsi="仿宋" w:eastAsia="仿宋" w:cs="MS PMincho"/>
          <w:sz w:val="32"/>
          <w:szCs w:val="32"/>
        </w:rPr>
        <w:t>元，实际执行率为</w:t>
      </w:r>
      <w:r>
        <w:rPr>
          <w:rFonts w:hint="eastAsia" w:ascii="仿宋" w:hAnsi="仿宋" w:eastAsia="仿宋" w:cs="MS PMincho"/>
          <w:sz w:val="32"/>
          <w:szCs w:val="32"/>
          <w:lang w:val="en-US" w:eastAsia="zh-CN"/>
        </w:rPr>
        <w:t>73</w:t>
      </w:r>
      <w:r>
        <w:rPr>
          <w:rFonts w:hint="eastAsia" w:ascii="仿宋" w:hAnsi="仿宋" w:eastAsia="仿宋" w:cs="MS PMincho"/>
          <w:sz w:val="32"/>
          <w:szCs w:val="32"/>
        </w:rPr>
        <w:t>%；其中主要使用方向为</w:t>
      </w:r>
      <w:r>
        <w:rPr>
          <w:rFonts w:hint="eastAsia" w:ascii="仿宋" w:hAnsi="仿宋" w:eastAsia="仿宋" w:cs="MS PMincho"/>
          <w:sz w:val="32"/>
          <w:szCs w:val="32"/>
          <w:lang w:eastAsia="zh-CN"/>
        </w:rPr>
        <w:t>支付扫黑除恶宣传费、办公等费用</w:t>
      </w:r>
      <w:r>
        <w:rPr>
          <w:rFonts w:hint="eastAsia" w:ascii="仿宋" w:hAnsi="仿宋" w:eastAsia="仿宋" w:cs="MS PMincho"/>
          <w:sz w:val="32"/>
          <w:szCs w:val="32"/>
        </w:rPr>
        <w:t>。</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2.</w:t>
      </w:r>
      <w:r>
        <w:rPr>
          <w:rFonts w:ascii="仿宋" w:hAnsi="仿宋" w:eastAsia="仿宋"/>
          <w:b/>
          <w:snapToGrid w:val="0"/>
          <w:kern w:val="0"/>
          <w:sz w:val="32"/>
          <w:szCs w:val="32"/>
        </w:rPr>
        <w:t>项目绩效目标实现情况</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一是</w:t>
      </w:r>
      <w:r>
        <w:rPr>
          <w:rFonts w:hint="eastAsia" w:ascii="仿宋" w:hAnsi="仿宋" w:eastAsia="仿宋" w:cs="MS PMincho"/>
          <w:sz w:val="32"/>
          <w:szCs w:val="32"/>
        </w:rPr>
        <w:t>产出指标完成情况分析。</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rPr>
        <w:t>（1）数量指标。开展宣传次数</w:t>
      </w:r>
      <w:r>
        <w:rPr>
          <w:rFonts w:hint="eastAsia" w:ascii="仿宋" w:hAnsi="仿宋" w:eastAsia="仿宋" w:cs="MS PMincho"/>
          <w:sz w:val="32"/>
          <w:szCs w:val="32"/>
          <w:lang w:eastAsia="zh-CN"/>
        </w:rPr>
        <w:t>不少于</w:t>
      </w:r>
      <w:r>
        <w:rPr>
          <w:rFonts w:hint="eastAsia" w:ascii="仿宋" w:hAnsi="仿宋" w:eastAsia="仿宋" w:cs="MS PMincho"/>
          <w:sz w:val="32"/>
          <w:szCs w:val="32"/>
          <w:lang w:val="en-US" w:eastAsia="zh-CN"/>
        </w:rPr>
        <w:t>2次</w:t>
      </w:r>
      <w:r>
        <w:rPr>
          <w:rFonts w:hint="eastAsia" w:ascii="仿宋" w:hAnsi="仿宋" w:eastAsia="仿宋" w:cs="MS PMincho"/>
          <w:sz w:val="32"/>
          <w:szCs w:val="32"/>
          <w:lang w:eastAsia="zh-CN"/>
        </w:rPr>
        <w:t>，实际完成</w:t>
      </w:r>
      <w:r>
        <w:rPr>
          <w:rFonts w:hint="eastAsia" w:ascii="仿宋" w:hAnsi="仿宋" w:eastAsia="仿宋" w:cs="MS PMincho"/>
          <w:sz w:val="32"/>
          <w:szCs w:val="32"/>
          <w:lang w:val="en-US" w:eastAsia="zh-CN"/>
        </w:rPr>
        <w:t>2次</w:t>
      </w:r>
      <w:r>
        <w:rPr>
          <w:rFonts w:hint="eastAsia" w:ascii="仿宋" w:hAnsi="仿宋" w:eastAsia="仿宋" w:cs="MS PMincho"/>
          <w:sz w:val="32"/>
          <w:szCs w:val="32"/>
          <w:lang w:eastAsia="zh-CN"/>
        </w:rPr>
        <w:t>。更新户外大型宣传牌内容不少于</w:t>
      </w:r>
      <w:r>
        <w:rPr>
          <w:rFonts w:hint="eastAsia" w:ascii="仿宋" w:hAnsi="仿宋" w:eastAsia="仿宋" w:cs="MS PMincho"/>
          <w:sz w:val="32"/>
          <w:szCs w:val="32"/>
          <w:lang w:val="en-US" w:eastAsia="zh-CN"/>
        </w:rPr>
        <w:t>1次，实际2次。</w:t>
      </w:r>
    </w:p>
    <w:p>
      <w:pPr>
        <w:spacing w:line="580" w:lineRule="exact"/>
        <w:ind w:firstLine="640" w:firstLineChars="200"/>
        <w:rPr>
          <w:rFonts w:hint="eastAsia" w:ascii="仿宋" w:hAnsi="仿宋" w:eastAsia="仿宋" w:cs="MS PMincho"/>
          <w:sz w:val="32"/>
          <w:szCs w:val="32"/>
          <w:lang w:val="en-US" w:eastAsia="zh-CN"/>
        </w:rPr>
      </w:pPr>
      <w:r>
        <w:rPr>
          <w:rFonts w:hint="eastAsia" w:ascii="仿宋" w:hAnsi="仿宋" w:eastAsia="仿宋" w:cs="MS PMincho"/>
          <w:sz w:val="32"/>
          <w:szCs w:val="32"/>
        </w:rPr>
        <w:t>（2）质量指标。扫黑除恶宣传覆盖率</w:t>
      </w:r>
      <w:r>
        <w:rPr>
          <w:rFonts w:hint="eastAsia" w:ascii="仿宋" w:hAnsi="仿宋" w:eastAsia="仿宋" w:cs="MS PMincho"/>
          <w:sz w:val="32"/>
          <w:szCs w:val="32"/>
          <w:lang w:eastAsia="zh-CN"/>
        </w:rPr>
        <w:t>不少于</w:t>
      </w:r>
      <w:r>
        <w:rPr>
          <w:rFonts w:hint="eastAsia" w:ascii="仿宋" w:hAnsi="仿宋" w:eastAsia="仿宋" w:cs="MS PMincho"/>
          <w:sz w:val="32"/>
          <w:szCs w:val="32"/>
          <w:lang w:val="en-US" w:eastAsia="zh-CN"/>
        </w:rPr>
        <w:t>95%,实际为100%。</w:t>
      </w:r>
    </w:p>
    <w:p>
      <w:pPr>
        <w:spacing w:line="580" w:lineRule="exact"/>
        <w:ind w:firstLine="640" w:firstLineChars="200"/>
        <w:rPr>
          <w:rFonts w:hint="eastAsia" w:ascii="仿宋" w:hAnsi="仿宋" w:eastAsia="仿宋" w:cs="MS PMincho"/>
          <w:sz w:val="32"/>
          <w:szCs w:val="32"/>
          <w:lang w:val="en-US" w:eastAsia="zh-CN"/>
        </w:rPr>
      </w:pPr>
      <w:r>
        <w:rPr>
          <w:rFonts w:hint="eastAsia" w:ascii="仿宋" w:hAnsi="仿宋" w:eastAsia="仿宋" w:cs="MS PMincho"/>
          <w:sz w:val="32"/>
          <w:szCs w:val="32"/>
        </w:rPr>
        <w:t>（3）时效指标。宣传版面更换及时率</w:t>
      </w:r>
      <w:r>
        <w:rPr>
          <w:rFonts w:hint="eastAsia" w:ascii="仿宋" w:hAnsi="仿宋" w:eastAsia="仿宋" w:cs="MS PMincho"/>
          <w:sz w:val="32"/>
          <w:szCs w:val="32"/>
          <w:lang w:eastAsia="zh-CN"/>
        </w:rPr>
        <w:t>不少于</w:t>
      </w:r>
      <w:r>
        <w:rPr>
          <w:rFonts w:hint="eastAsia" w:ascii="仿宋" w:hAnsi="仿宋" w:eastAsia="仿宋" w:cs="MS PMincho"/>
          <w:sz w:val="32"/>
          <w:szCs w:val="32"/>
          <w:lang w:val="en-US" w:eastAsia="zh-CN"/>
        </w:rPr>
        <w:t>95%，实际为100%,资金拨付及时率100%。</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val="en-US" w:eastAsia="zh-CN"/>
        </w:rPr>
        <w:t>（4）成本指标。成本控制有效率100%。</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二是</w:t>
      </w:r>
      <w:r>
        <w:rPr>
          <w:rFonts w:hint="eastAsia" w:ascii="仿宋" w:hAnsi="仿宋" w:eastAsia="仿宋" w:cs="MS PMincho"/>
          <w:sz w:val="32"/>
          <w:szCs w:val="32"/>
        </w:rPr>
        <w:t>效益指标完成情况分析。</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（1）社会效益指标。促进我县扫黑除恶工作的顺利开展</w:t>
      </w:r>
      <w:r>
        <w:rPr>
          <w:rFonts w:hint="eastAsia" w:ascii="仿宋" w:hAnsi="仿宋" w:eastAsia="仿宋" w:cs="MS PMincho"/>
          <w:sz w:val="32"/>
          <w:szCs w:val="32"/>
          <w:lang w:eastAsia="zh-CN"/>
        </w:rPr>
        <w:t>。</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（2）可持续影响指标。为我县营造和谐稳定的社会环境</w:t>
      </w:r>
      <w:r>
        <w:rPr>
          <w:rFonts w:hint="eastAsia" w:ascii="仿宋" w:hAnsi="仿宋" w:eastAsia="仿宋" w:cs="MS PMincho"/>
          <w:sz w:val="32"/>
          <w:szCs w:val="32"/>
          <w:lang w:eastAsia="zh-CN"/>
        </w:rPr>
        <w:t>。</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eastAsia="zh-CN"/>
        </w:rPr>
        <w:t>三是</w:t>
      </w:r>
      <w:r>
        <w:rPr>
          <w:rFonts w:hint="eastAsia" w:ascii="仿宋" w:hAnsi="仿宋" w:eastAsia="仿宋" w:cs="MS PMincho"/>
          <w:sz w:val="32"/>
          <w:szCs w:val="32"/>
        </w:rPr>
        <w:t>满意度指标完成情况分析。城乡居民</w:t>
      </w:r>
      <w:r>
        <w:rPr>
          <w:rFonts w:hint="eastAsia" w:ascii="仿宋" w:hAnsi="仿宋" w:eastAsia="仿宋" w:cs="MS PMincho"/>
          <w:sz w:val="32"/>
          <w:szCs w:val="32"/>
          <w:lang w:eastAsia="zh-CN"/>
        </w:rPr>
        <w:t>满意度为</w:t>
      </w:r>
      <w:r>
        <w:rPr>
          <w:rFonts w:hint="eastAsia" w:ascii="仿宋" w:hAnsi="仿宋" w:eastAsia="仿宋" w:cs="MS PMincho"/>
          <w:sz w:val="32"/>
          <w:szCs w:val="32"/>
          <w:lang w:val="en-US" w:eastAsia="zh-CN"/>
        </w:rPr>
        <w:t>100%。</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b/>
          <w:snapToGrid w:val="0"/>
          <w:kern w:val="0"/>
          <w:sz w:val="32"/>
          <w:szCs w:val="32"/>
        </w:rPr>
        <w:t>（三）综合评价结论</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扫黑除恶工作经费年初预算数为</w:t>
      </w:r>
      <w:r>
        <w:rPr>
          <w:rFonts w:hint="eastAsia" w:ascii="仿宋" w:hAnsi="仿宋" w:eastAsia="仿宋" w:cs="MS PMincho"/>
          <w:sz w:val="32"/>
          <w:szCs w:val="32"/>
          <w:lang w:val="en-US" w:eastAsia="zh-CN"/>
        </w:rPr>
        <w:t>100万元，决算数为72.5万元</w:t>
      </w:r>
      <w:r>
        <w:rPr>
          <w:rFonts w:hint="eastAsia" w:ascii="仿宋" w:hAnsi="仿宋" w:eastAsia="仿宋" w:cs="MS PMincho"/>
          <w:sz w:val="32"/>
          <w:szCs w:val="32"/>
        </w:rPr>
        <w:t>，各项完成值</w:t>
      </w:r>
      <w:r>
        <w:rPr>
          <w:rFonts w:hint="eastAsia" w:ascii="仿宋" w:hAnsi="仿宋" w:eastAsia="仿宋" w:cs="MS PMincho"/>
          <w:sz w:val="32"/>
          <w:szCs w:val="32"/>
          <w:lang w:eastAsia="zh-CN"/>
        </w:rPr>
        <w:t>基本</w:t>
      </w:r>
      <w:r>
        <w:rPr>
          <w:rFonts w:hint="eastAsia" w:ascii="仿宋" w:hAnsi="仿宋" w:eastAsia="仿宋" w:cs="MS PMincho"/>
          <w:sz w:val="32"/>
          <w:szCs w:val="32"/>
        </w:rPr>
        <w:t>达成预期指标，自我评价为优。</w:t>
      </w:r>
    </w:p>
    <w:p>
      <w:pPr>
        <w:adjustRightInd w:val="0"/>
        <w:snapToGrid w:val="0"/>
        <w:spacing w:line="590" w:lineRule="exact"/>
        <w:ind w:firstLine="640" w:firstLineChars="200"/>
        <w:rPr>
          <w:rFonts w:hint="eastAsia" w:eastAsia="黑体"/>
          <w:snapToGrid w:val="0"/>
          <w:kern w:val="0"/>
          <w:sz w:val="32"/>
          <w:szCs w:val="32"/>
          <w:lang w:eastAsia="zh-CN"/>
        </w:rPr>
      </w:pPr>
      <w:r>
        <w:rPr>
          <w:rFonts w:hint="eastAsia" w:eastAsia="黑体"/>
          <w:snapToGrid w:val="0"/>
          <w:kern w:val="0"/>
          <w:sz w:val="32"/>
          <w:szCs w:val="32"/>
          <w:lang w:eastAsia="zh-CN"/>
        </w:rPr>
        <w:t>六</w:t>
      </w:r>
      <w:r>
        <w:rPr>
          <w:rFonts w:hint="eastAsia" w:eastAsia="黑体"/>
          <w:snapToGrid w:val="0"/>
          <w:kern w:val="0"/>
          <w:sz w:val="32"/>
          <w:szCs w:val="32"/>
        </w:rPr>
        <w:t>、</w:t>
      </w:r>
      <w:r>
        <w:rPr>
          <w:rFonts w:hint="eastAsia" w:eastAsia="黑体"/>
          <w:snapToGrid w:val="0"/>
          <w:kern w:val="0"/>
          <w:sz w:val="32"/>
          <w:szCs w:val="32"/>
          <w:lang w:eastAsia="zh-CN"/>
        </w:rPr>
        <w:t>安保维稳</w:t>
      </w:r>
      <w:r>
        <w:rPr>
          <w:rFonts w:hint="eastAsia" w:eastAsia="黑体"/>
          <w:snapToGrid w:val="0"/>
          <w:kern w:val="0"/>
          <w:sz w:val="32"/>
          <w:szCs w:val="32"/>
        </w:rPr>
        <w:t>经费</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cs="MS PMincho"/>
          <w:b/>
          <w:sz w:val="32"/>
          <w:szCs w:val="32"/>
        </w:rPr>
        <w:t>（一）</w:t>
      </w:r>
      <w:r>
        <w:rPr>
          <w:rFonts w:ascii="楷体" w:hAnsi="楷体" w:eastAsia="楷体"/>
          <w:b/>
          <w:snapToGrid w:val="0"/>
          <w:kern w:val="0"/>
          <w:sz w:val="32"/>
          <w:szCs w:val="32"/>
        </w:rPr>
        <w:t>项目概况</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安保维稳经费主要是建党100周年安保维稳工作经费及指挥部办公经费。总体目标是在建党100周年期间做好重点人员的安保维稳工作，维护我县社会稳定。适时启动战时机制，全面落实重点人员、重点群体“五个一”包保措施，强化重点行业、重点领域安全管控措施，确保社会安全稳定。安保维稳工作经费共计</w:t>
      </w:r>
      <w:r>
        <w:rPr>
          <w:rFonts w:hint="eastAsia" w:ascii="仿宋" w:hAnsi="仿宋" w:eastAsia="仿宋" w:cs="MS PMincho"/>
          <w:sz w:val="32"/>
          <w:szCs w:val="32"/>
          <w:lang w:val="en-US" w:eastAsia="zh-CN"/>
        </w:rPr>
        <w:t>200</w:t>
      </w:r>
      <w:r>
        <w:rPr>
          <w:rFonts w:hint="eastAsia" w:ascii="仿宋" w:hAnsi="仿宋" w:eastAsia="仿宋" w:cs="MS PMincho"/>
          <w:sz w:val="32"/>
          <w:szCs w:val="32"/>
          <w:lang w:eastAsia="zh-CN"/>
        </w:rPr>
        <w:t>万元。</w:t>
      </w:r>
      <w:r>
        <w:rPr>
          <w:rFonts w:hint="eastAsia" w:ascii="仿宋" w:hAnsi="仿宋" w:eastAsia="仿宋" w:cs="MS PMincho"/>
          <w:sz w:val="32"/>
          <w:szCs w:val="32"/>
        </w:rPr>
        <w:t>指标设定包含产出指标、效益指标、满意度指标等。</w:t>
      </w:r>
    </w:p>
    <w:p>
      <w:pPr>
        <w:adjustRightInd w:val="0"/>
        <w:snapToGrid w:val="0"/>
        <w:spacing w:line="590" w:lineRule="exact"/>
        <w:ind w:firstLine="643" w:firstLineChars="200"/>
        <w:rPr>
          <w:rFonts w:ascii="楷体" w:hAnsi="楷体" w:eastAsia="楷体" w:cs="MS PMincho"/>
          <w:b/>
          <w:sz w:val="32"/>
          <w:szCs w:val="32"/>
        </w:rPr>
      </w:pPr>
      <w:r>
        <w:rPr>
          <w:rFonts w:hint="eastAsia" w:ascii="楷体" w:hAnsi="楷体" w:eastAsia="楷体" w:cs="MS PMincho"/>
          <w:b/>
          <w:sz w:val="32"/>
          <w:szCs w:val="32"/>
        </w:rPr>
        <w:t>（二）项目组织实施及绩效目标实现情况</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1.</w:t>
      </w:r>
      <w:r>
        <w:rPr>
          <w:rFonts w:hint="eastAsia" w:ascii="仿宋" w:hAnsi="仿宋" w:eastAsia="仿宋"/>
          <w:b/>
          <w:snapToGrid w:val="0"/>
          <w:kern w:val="0"/>
          <w:sz w:val="32"/>
          <w:szCs w:val="32"/>
        </w:rPr>
        <w:t>项目资金使用及管理情况</w:t>
      </w:r>
    </w:p>
    <w:p>
      <w:pPr>
        <w:adjustRightInd w:val="0"/>
        <w:snapToGrid w:val="0"/>
        <w:spacing w:line="590" w:lineRule="exact"/>
        <w:ind w:firstLine="640" w:firstLineChars="200"/>
        <w:rPr>
          <w:rFonts w:eastAsia="仿宋_GB2312"/>
          <w:snapToGrid w:val="0"/>
          <w:kern w:val="0"/>
          <w:sz w:val="32"/>
          <w:szCs w:val="32"/>
        </w:rPr>
      </w:pPr>
      <w:r>
        <w:rPr>
          <w:rFonts w:hint="eastAsia" w:ascii="仿宋" w:hAnsi="仿宋" w:eastAsia="仿宋" w:cs="MS PMincho"/>
          <w:sz w:val="32"/>
          <w:szCs w:val="32"/>
          <w:lang w:eastAsia="zh-CN"/>
        </w:rPr>
        <w:t>安保维稳工作经费</w:t>
      </w:r>
      <w:r>
        <w:rPr>
          <w:rFonts w:hint="eastAsia" w:ascii="仿宋" w:hAnsi="仿宋" w:eastAsia="仿宋" w:cs="MS PMincho"/>
          <w:sz w:val="32"/>
          <w:szCs w:val="32"/>
        </w:rPr>
        <w:t>年初预算为</w:t>
      </w:r>
      <w:r>
        <w:rPr>
          <w:rFonts w:hint="eastAsia" w:ascii="仿宋" w:hAnsi="仿宋" w:eastAsia="仿宋" w:cs="MS PMincho"/>
          <w:sz w:val="32"/>
          <w:szCs w:val="32"/>
          <w:lang w:val="en-US" w:eastAsia="zh-CN"/>
        </w:rPr>
        <w:t>200万</w:t>
      </w:r>
      <w:r>
        <w:rPr>
          <w:rFonts w:hint="eastAsia" w:ascii="仿宋" w:hAnsi="仿宋" w:eastAsia="仿宋" w:cs="MS PMincho"/>
          <w:sz w:val="32"/>
          <w:szCs w:val="32"/>
        </w:rPr>
        <w:t>元，总计拨付为</w:t>
      </w:r>
      <w:r>
        <w:rPr>
          <w:rFonts w:hint="eastAsia" w:ascii="仿宋" w:hAnsi="仿宋" w:eastAsia="仿宋" w:cs="MS PMincho"/>
          <w:sz w:val="32"/>
          <w:szCs w:val="32"/>
          <w:lang w:val="en-US" w:eastAsia="zh-CN"/>
        </w:rPr>
        <w:t>200万</w:t>
      </w:r>
      <w:r>
        <w:rPr>
          <w:rFonts w:hint="eastAsia" w:ascii="仿宋" w:hAnsi="仿宋" w:eastAsia="仿宋" w:cs="MS PMincho"/>
          <w:sz w:val="32"/>
          <w:szCs w:val="32"/>
        </w:rPr>
        <w:t>元</w:t>
      </w:r>
      <w:r>
        <w:rPr>
          <w:rFonts w:hint="eastAsia" w:ascii="仿宋" w:hAnsi="仿宋" w:eastAsia="仿宋" w:cs="MS PMincho"/>
          <w:sz w:val="32"/>
          <w:szCs w:val="32"/>
          <w:lang w:val="en-US" w:eastAsia="zh-CN"/>
        </w:rPr>
        <w:t>，上年结转16.5万元，</w:t>
      </w:r>
      <w:r>
        <w:rPr>
          <w:rFonts w:hint="eastAsia" w:ascii="仿宋" w:hAnsi="仿宋" w:eastAsia="仿宋" w:cs="MS PMincho"/>
          <w:sz w:val="32"/>
          <w:szCs w:val="32"/>
        </w:rPr>
        <w:t>年累计支出为</w:t>
      </w:r>
      <w:r>
        <w:rPr>
          <w:rFonts w:hint="eastAsia" w:ascii="仿宋" w:hAnsi="仿宋" w:eastAsia="仿宋" w:cs="MS PMincho"/>
          <w:sz w:val="32"/>
          <w:szCs w:val="32"/>
          <w:lang w:val="en-US" w:eastAsia="zh-CN"/>
        </w:rPr>
        <w:t>212.5万</w:t>
      </w:r>
      <w:r>
        <w:rPr>
          <w:rFonts w:hint="eastAsia" w:ascii="仿宋" w:hAnsi="仿宋" w:eastAsia="仿宋" w:cs="MS PMincho"/>
          <w:sz w:val="32"/>
          <w:szCs w:val="32"/>
        </w:rPr>
        <w:t>元，实际执行率为</w:t>
      </w:r>
      <w:r>
        <w:rPr>
          <w:rFonts w:hint="eastAsia" w:ascii="仿宋" w:hAnsi="仿宋" w:eastAsia="仿宋" w:cs="MS PMincho"/>
          <w:sz w:val="32"/>
          <w:szCs w:val="32"/>
          <w:lang w:val="en-US" w:eastAsia="zh-CN"/>
        </w:rPr>
        <w:t>98</w:t>
      </w:r>
      <w:r>
        <w:rPr>
          <w:rFonts w:hint="eastAsia" w:ascii="仿宋" w:hAnsi="仿宋" w:eastAsia="仿宋" w:cs="MS PMincho"/>
          <w:sz w:val="32"/>
          <w:szCs w:val="32"/>
        </w:rPr>
        <w:t>%。</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2.</w:t>
      </w:r>
      <w:r>
        <w:rPr>
          <w:rFonts w:ascii="仿宋" w:hAnsi="仿宋" w:eastAsia="仿宋"/>
          <w:b/>
          <w:snapToGrid w:val="0"/>
          <w:kern w:val="0"/>
          <w:sz w:val="32"/>
          <w:szCs w:val="32"/>
        </w:rPr>
        <w:t>项目绩效目标实现情况</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一是</w:t>
      </w:r>
      <w:r>
        <w:rPr>
          <w:rFonts w:hint="eastAsia" w:ascii="仿宋" w:hAnsi="仿宋" w:eastAsia="仿宋" w:cs="MS PMincho"/>
          <w:sz w:val="32"/>
          <w:szCs w:val="32"/>
        </w:rPr>
        <w:t>产出指标完成情况分析。</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（1）数量指标。开展安保维稳应急演练次数</w:t>
      </w:r>
      <w:r>
        <w:rPr>
          <w:rFonts w:hint="eastAsia" w:ascii="仿宋" w:hAnsi="仿宋" w:eastAsia="仿宋" w:cs="MS PMincho"/>
          <w:sz w:val="32"/>
          <w:szCs w:val="32"/>
          <w:lang w:eastAsia="zh-CN"/>
        </w:rPr>
        <w:t>不少于</w:t>
      </w:r>
      <w:r>
        <w:rPr>
          <w:rFonts w:hint="eastAsia" w:ascii="仿宋" w:hAnsi="仿宋" w:eastAsia="仿宋" w:cs="MS PMincho"/>
          <w:sz w:val="32"/>
          <w:szCs w:val="32"/>
          <w:lang w:val="en-US" w:eastAsia="zh-CN"/>
        </w:rPr>
        <w:t>1次</w:t>
      </w:r>
      <w:r>
        <w:rPr>
          <w:rFonts w:hint="eastAsia" w:ascii="仿宋" w:hAnsi="仿宋" w:eastAsia="仿宋" w:cs="MS PMincho"/>
          <w:sz w:val="32"/>
          <w:szCs w:val="32"/>
          <w:lang w:eastAsia="zh-CN"/>
        </w:rPr>
        <w:t>，实际完成</w:t>
      </w:r>
      <w:r>
        <w:rPr>
          <w:rFonts w:hint="eastAsia" w:ascii="仿宋" w:hAnsi="仿宋" w:eastAsia="仿宋" w:cs="MS PMincho"/>
          <w:sz w:val="32"/>
          <w:szCs w:val="32"/>
          <w:lang w:val="en-US" w:eastAsia="zh-CN"/>
        </w:rPr>
        <w:t>1次</w:t>
      </w:r>
      <w:r>
        <w:rPr>
          <w:rFonts w:hint="eastAsia" w:ascii="仿宋" w:hAnsi="仿宋" w:eastAsia="仿宋" w:cs="MS PMincho"/>
          <w:sz w:val="32"/>
          <w:szCs w:val="32"/>
          <w:lang w:eastAsia="zh-CN"/>
        </w:rPr>
        <w:t>。</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（2）质量指标。失控人员</w:t>
      </w:r>
      <w:r>
        <w:rPr>
          <w:rFonts w:hint="eastAsia" w:ascii="仿宋" w:hAnsi="仿宋" w:eastAsia="仿宋" w:cs="MS PMincho"/>
          <w:sz w:val="32"/>
          <w:szCs w:val="32"/>
          <w:lang w:eastAsia="zh-CN"/>
        </w:rPr>
        <w:t>不超过</w:t>
      </w:r>
      <w:r>
        <w:rPr>
          <w:rFonts w:hint="eastAsia" w:ascii="仿宋" w:hAnsi="仿宋" w:eastAsia="仿宋" w:cs="MS PMincho"/>
          <w:sz w:val="32"/>
          <w:szCs w:val="32"/>
          <w:lang w:val="en-US" w:eastAsia="zh-CN"/>
        </w:rPr>
        <w:t>1人，实际没有失控人员</w:t>
      </w:r>
      <w:r>
        <w:rPr>
          <w:rFonts w:hint="eastAsia" w:ascii="仿宋" w:hAnsi="仿宋" w:eastAsia="仿宋" w:cs="MS PMincho"/>
          <w:sz w:val="32"/>
          <w:szCs w:val="32"/>
          <w:lang w:eastAsia="zh-CN"/>
        </w:rPr>
        <w:t>。</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rPr>
        <w:t>（3）时效指标。资金拨付及时率</w:t>
      </w:r>
      <w:r>
        <w:rPr>
          <w:rFonts w:hint="eastAsia" w:ascii="仿宋" w:hAnsi="仿宋" w:eastAsia="仿宋" w:cs="MS PMincho"/>
          <w:sz w:val="32"/>
          <w:szCs w:val="32"/>
          <w:lang w:val="en-US" w:eastAsia="zh-CN"/>
        </w:rPr>
        <w:t>为100%，成本控制有效率为100%。</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二是</w:t>
      </w:r>
      <w:r>
        <w:rPr>
          <w:rFonts w:hint="eastAsia" w:ascii="仿宋" w:hAnsi="仿宋" w:eastAsia="仿宋" w:cs="MS PMincho"/>
          <w:sz w:val="32"/>
          <w:szCs w:val="32"/>
        </w:rPr>
        <w:t>效益指标完成情况分析。</w:t>
      </w:r>
    </w:p>
    <w:p>
      <w:pPr>
        <w:spacing w:line="580" w:lineRule="exact"/>
        <w:ind w:firstLine="640" w:firstLineChars="200"/>
        <w:rPr>
          <w:rFonts w:hint="eastAsia" w:ascii="仿宋" w:hAnsi="仿宋" w:eastAsia="仿宋" w:cs="MS PMincho"/>
          <w:sz w:val="32"/>
          <w:szCs w:val="32"/>
        </w:rPr>
      </w:pPr>
      <w:r>
        <w:rPr>
          <w:rFonts w:hint="eastAsia" w:ascii="仿宋" w:hAnsi="仿宋" w:eastAsia="仿宋" w:cs="MS PMincho"/>
          <w:sz w:val="32"/>
          <w:szCs w:val="32"/>
        </w:rPr>
        <w:t>（1）社会效益指标。确保建党100周年庆祝活动等重大活动绝对安全稳定。</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（2）可持续影响指标。在重要时间节点做好重点人员的安保维稳工作，维护我县社会稳定。</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eastAsia="zh-CN"/>
        </w:rPr>
        <w:t>三是</w:t>
      </w:r>
      <w:r>
        <w:rPr>
          <w:rFonts w:hint="eastAsia" w:ascii="仿宋" w:hAnsi="仿宋" w:eastAsia="仿宋" w:cs="MS PMincho"/>
          <w:sz w:val="32"/>
          <w:szCs w:val="32"/>
        </w:rPr>
        <w:t>满意度指标完成情况分析。城乡居民</w:t>
      </w:r>
      <w:r>
        <w:rPr>
          <w:rFonts w:hint="eastAsia" w:ascii="仿宋" w:hAnsi="仿宋" w:eastAsia="仿宋" w:cs="MS PMincho"/>
          <w:sz w:val="32"/>
          <w:szCs w:val="32"/>
          <w:lang w:eastAsia="zh-CN"/>
        </w:rPr>
        <w:t>满意度为</w:t>
      </w:r>
      <w:r>
        <w:rPr>
          <w:rFonts w:hint="eastAsia" w:ascii="仿宋" w:hAnsi="仿宋" w:eastAsia="仿宋" w:cs="MS PMincho"/>
          <w:sz w:val="32"/>
          <w:szCs w:val="32"/>
          <w:lang w:val="en-US" w:eastAsia="zh-CN"/>
        </w:rPr>
        <w:t>100%。</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b/>
          <w:snapToGrid w:val="0"/>
          <w:kern w:val="0"/>
          <w:sz w:val="32"/>
          <w:szCs w:val="32"/>
        </w:rPr>
        <w:t>（三）综合评价结论</w:t>
      </w:r>
    </w:p>
    <w:p>
      <w:pPr>
        <w:adjustRightInd w:val="0"/>
        <w:snapToGrid w:val="0"/>
        <w:spacing w:line="590" w:lineRule="exact"/>
        <w:ind w:firstLine="640" w:firstLineChars="200"/>
        <w:rPr>
          <w:b/>
          <w:bCs/>
        </w:rPr>
      </w:pPr>
      <w:r>
        <w:rPr>
          <w:rFonts w:hint="eastAsia" w:ascii="仿宋" w:hAnsi="仿宋" w:eastAsia="仿宋" w:cs="MS PMincho"/>
          <w:sz w:val="32"/>
          <w:szCs w:val="32"/>
          <w:lang w:eastAsia="zh-CN"/>
        </w:rPr>
        <w:t>安保维稳工作经费年初预算数为</w:t>
      </w:r>
      <w:r>
        <w:rPr>
          <w:rFonts w:hint="eastAsia" w:ascii="仿宋" w:hAnsi="仿宋" w:eastAsia="仿宋" w:cs="MS PMincho"/>
          <w:sz w:val="32"/>
          <w:szCs w:val="32"/>
          <w:lang w:val="en-US" w:eastAsia="zh-CN"/>
        </w:rPr>
        <w:t>200万元，决算数为212.5万元</w:t>
      </w:r>
      <w:r>
        <w:rPr>
          <w:rFonts w:hint="eastAsia" w:ascii="仿宋" w:hAnsi="仿宋" w:eastAsia="仿宋" w:cs="MS PMincho"/>
          <w:sz w:val="32"/>
          <w:szCs w:val="32"/>
        </w:rPr>
        <w:t>，各项完成值</w:t>
      </w:r>
      <w:r>
        <w:rPr>
          <w:rFonts w:hint="eastAsia" w:ascii="仿宋" w:hAnsi="仿宋" w:eastAsia="仿宋" w:cs="MS PMincho"/>
          <w:sz w:val="32"/>
          <w:szCs w:val="32"/>
          <w:lang w:eastAsia="zh-CN"/>
        </w:rPr>
        <w:t>基本</w:t>
      </w:r>
      <w:r>
        <w:rPr>
          <w:rFonts w:hint="eastAsia" w:ascii="仿宋" w:hAnsi="仿宋" w:eastAsia="仿宋" w:cs="MS PMincho"/>
          <w:sz w:val="32"/>
          <w:szCs w:val="32"/>
        </w:rPr>
        <w:t>达成预期指标，自我评价为优。</w:t>
      </w:r>
    </w:p>
    <w:p>
      <w:pPr>
        <w:adjustRightInd w:val="0"/>
        <w:snapToGrid w:val="0"/>
        <w:spacing w:line="590" w:lineRule="exact"/>
        <w:ind w:firstLine="640" w:firstLineChars="200"/>
        <w:rPr>
          <w:rFonts w:hint="eastAsia" w:eastAsia="黑体"/>
          <w:snapToGrid w:val="0"/>
          <w:kern w:val="0"/>
          <w:sz w:val="32"/>
          <w:szCs w:val="32"/>
          <w:lang w:eastAsia="zh-CN"/>
        </w:rPr>
      </w:pPr>
      <w:r>
        <w:rPr>
          <w:rFonts w:hint="eastAsia" w:eastAsia="黑体"/>
          <w:snapToGrid w:val="0"/>
          <w:kern w:val="0"/>
          <w:sz w:val="32"/>
          <w:szCs w:val="32"/>
          <w:lang w:eastAsia="zh-CN"/>
        </w:rPr>
        <w:t>七</w:t>
      </w:r>
      <w:r>
        <w:rPr>
          <w:rFonts w:hint="eastAsia" w:eastAsia="黑体"/>
          <w:snapToGrid w:val="0"/>
          <w:kern w:val="0"/>
          <w:sz w:val="32"/>
          <w:szCs w:val="32"/>
        </w:rPr>
        <w:t>、</w:t>
      </w:r>
      <w:r>
        <w:rPr>
          <w:rFonts w:hint="eastAsia" w:eastAsia="黑体"/>
          <w:snapToGrid w:val="0"/>
          <w:kern w:val="0"/>
          <w:sz w:val="32"/>
          <w:szCs w:val="32"/>
          <w:lang w:eastAsia="zh-CN"/>
        </w:rPr>
        <w:t>购买社会化服务经费</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cs="MS PMincho"/>
          <w:b/>
          <w:sz w:val="32"/>
          <w:szCs w:val="32"/>
        </w:rPr>
        <w:t>（一）</w:t>
      </w:r>
      <w:r>
        <w:rPr>
          <w:rFonts w:ascii="楷体" w:hAnsi="楷体" w:eastAsia="楷体"/>
          <w:b/>
          <w:snapToGrid w:val="0"/>
          <w:kern w:val="0"/>
          <w:sz w:val="32"/>
          <w:szCs w:val="32"/>
        </w:rPr>
        <w:t>项目概况</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购买社会化服务经费主要是招聘网格员工资费用。总体目标是加强网格员管理，组织专业化培训，拓宽网格员进步和职级待遇晋升渠道，激发网格员的职业认同感，进一步提升我县网格化管理水平。购买社会化服务经费共计</w:t>
      </w:r>
      <w:r>
        <w:rPr>
          <w:rFonts w:hint="eastAsia" w:ascii="仿宋" w:hAnsi="仿宋" w:eastAsia="仿宋" w:cs="MS PMincho"/>
          <w:sz w:val="32"/>
          <w:szCs w:val="32"/>
          <w:lang w:val="en-US" w:eastAsia="zh-CN"/>
        </w:rPr>
        <w:t>30</w:t>
      </w:r>
      <w:r>
        <w:rPr>
          <w:rFonts w:hint="eastAsia" w:ascii="仿宋" w:hAnsi="仿宋" w:eastAsia="仿宋" w:cs="MS PMincho"/>
          <w:sz w:val="32"/>
          <w:szCs w:val="32"/>
          <w:lang w:eastAsia="zh-CN"/>
        </w:rPr>
        <w:t>万元。</w:t>
      </w:r>
      <w:r>
        <w:rPr>
          <w:rFonts w:hint="eastAsia" w:ascii="仿宋" w:hAnsi="仿宋" w:eastAsia="仿宋" w:cs="MS PMincho"/>
          <w:sz w:val="32"/>
          <w:szCs w:val="32"/>
        </w:rPr>
        <w:t>指标设定包含产出指标、效益指标、满意度指标等。</w:t>
      </w:r>
    </w:p>
    <w:p>
      <w:pPr>
        <w:adjustRightInd w:val="0"/>
        <w:snapToGrid w:val="0"/>
        <w:spacing w:line="590" w:lineRule="exact"/>
        <w:ind w:firstLine="643" w:firstLineChars="200"/>
        <w:rPr>
          <w:rFonts w:ascii="楷体" w:hAnsi="楷体" w:eastAsia="楷体" w:cs="MS PMincho"/>
          <w:b/>
          <w:sz w:val="32"/>
          <w:szCs w:val="32"/>
        </w:rPr>
      </w:pPr>
      <w:r>
        <w:rPr>
          <w:rFonts w:hint="eastAsia" w:ascii="楷体" w:hAnsi="楷体" w:eastAsia="楷体" w:cs="MS PMincho"/>
          <w:b/>
          <w:sz w:val="32"/>
          <w:szCs w:val="32"/>
        </w:rPr>
        <w:t>（二）项目组织实施及绩效目标实现情况</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1.</w:t>
      </w:r>
      <w:r>
        <w:rPr>
          <w:rFonts w:hint="eastAsia" w:ascii="仿宋" w:hAnsi="仿宋" w:eastAsia="仿宋"/>
          <w:b/>
          <w:snapToGrid w:val="0"/>
          <w:kern w:val="0"/>
          <w:sz w:val="32"/>
          <w:szCs w:val="32"/>
        </w:rPr>
        <w:t>项目资金使用及管理情况</w:t>
      </w:r>
    </w:p>
    <w:p>
      <w:pPr>
        <w:adjustRightInd w:val="0"/>
        <w:snapToGrid w:val="0"/>
        <w:spacing w:line="590" w:lineRule="exact"/>
        <w:ind w:firstLine="640" w:firstLineChars="200"/>
        <w:rPr>
          <w:rFonts w:eastAsia="仿宋_GB2312"/>
          <w:snapToGrid w:val="0"/>
          <w:kern w:val="0"/>
          <w:sz w:val="32"/>
          <w:szCs w:val="32"/>
        </w:rPr>
      </w:pPr>
      <w:r>
        <w:rPr>
          <w:rFonts w:hint="eastAsia" w:ascii="仿宋" w:hAnsi="仿宋" w:eastAsia="仿宋" w:cs="MS PMincho"/>
          <w:sz w:val="32"/>
          <w:szCs w:val="32"/>
          <w:lang w:eastAsia="zh-CN"/>
        </w:rPr>
        <w:t>购买社会化经费</w:t>
      </w:r>
      <w:r>
        <w:rPr>
          <w:rFonts w:hint="eastAsia" w:ascii="仿宋" w:hAnsi="仿宋" w:eastAsia="仿宋" w:cs="MS PMincho"/>
          <w:sz w:val="32"/>
          <w:szCs w:val="32"/>
        </w:rPr>
        <w:t>年初预算为</w:t>
      </w:r>
      <w:r>
        <w:rPr>
          <w:rFonts w:hint="eastAsia" w:ascii="仿宋" w:hAnsi="仿宋" w:eastAsia="仿宋" w:cs="MS PMincho"/>
          <w:sz w:val="32"/>
          <w:szCs w:val="32"/>
          <w:lang w:val="en-US" w:eastAsia="zh-CN"/>
        </w:rPr>
        <w:t>30万</w:t>
      </w:r>
      <w:r>
        <w:rPr>
          <w:rFonts w:hint="eastAsia" w:ascii="仿宋" w:hAnsi="仿宋" w:eastAsia="仿宋" w:cs="MS PMincho"/>
          <w:sz w:val="32"/>
          <w:szCs w:val="32"/>
        </w:rPr>
        <w:t>元，总计拨付为</w:t>
      </w:r>
      <w:r>
        <w:rPr>
          <w:rFonts w:hint="eastAsia" w:ascii="仿宋" w:hAnsi="仿宋" w:eastAsia="仿宋" w:cs="MS PMincho"/>
          <w:sz w:val="32"/>
          <w:szCs w:val="32"/>
          <w:lang w:val="en-US" w:eastAsia="zh-CN"/>
        </w:rPr>
        <w:t>30万</w:t>
      </w:r>
      <w:r>
        <w:rPr>
          <w:rFonts w:hint="eastAsia" w:ascii="仿宋" w:hAnsi="仿宋" w:eastAsia="仿宋" w:cs="MS PMincho"/>
          <w:sz w:val="32"/>
          <w:szCs w:val="32"/>
        </w:rPr>
        <w:t>元</w:t>
      </w:r>
      <w:r>
        <w:rPr>
          <w:rFonts w:hint="eastAsia" w:ascii="仿宋" w:hAnsi="仿宋" w:eastAsia="仿宋" w:cs="MS PMincho"/>
          <w:sz w:val="32"/>
          <w:szCs w:val="32"/>
          <w:lang w:val="en-US" w:eastAsia="zh-CN"/>
        </w:rPr>
        <w:t>，</w:t>
      </w:r>
      <w:r>
        <w:rPr>
          <w:rFonts w:hint="eastAsia" w:ascii="仿宋" w:hAnsi="仿宋" w:eastAsia="仿宋" w:cs="MS PMincho"/>
          <w:sz w:val="32"/>
          <w:szCs w:val="32"/>
        </w:rPr>
        <w:t>年累计支出为</w:t>
      </w:r>
      <w:r>
        <w:rPr>
          <w:rFonts w:hint="eastAsia" w:ascii="仿宋" w:hAnsi="仿宋" w:eastAsia="仿宋" w:cs="MS PMincho"/>
          <w:sz w:val="32"/>
          <w:szCs w:val="32"/>
          <w:lang w:val="en-US" w:eastAsia="zh-CN"/>
        </w:rPr>
        <w:t>25.67万</w:t>
      </w:r>
      <w:r>
        <w:rPr>
          <w:rFonts w:hint="eastAsia" w:ascii="仿宋" w:hAnsi="仿宋" w:eastAsia="仿宋" w:cs="MS PMincho"/>
          <w:sz w:val="32"/>
          <w:szCs w:val="32"/>
        </w:rPr>
        <w:t>元，实际执行率为</w:t>
      </w:r>
      <w:r>
        <w:rPr>
          <w:rFonts w:hint="eastAsia" w:ascii="仿宋" w:hAnsi="仿宋" w:eastAsia="仿宋" w:cs="MS PMincho"/>
          <w:sz w:val="32"/>
          <w:szCs w:val="32"/>
          <w:lang w:val="en-US" w:eastAsia="zh-CN"/>
        </w:rPr>
        <w:t>86</w:t>
      </w:r>
      <w:r>
        <w:rPr>
          <w:rFonts w:hint="eastAsia" w:ascii="仿宋" w:hAnsi="仿宋" w:eastAsia="仿宋" w:cs="MS PMincho"/>
          <w:sz w:val="32"/>
          <w:szCs w:val="32"/>
        </w:rPr>
        <w:t>%。</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2.</w:t>
      </w:r>
      <w:r>
        <w:rPr>
          <w:rFonts w:ascii="仿宋" w:hAnsi="仿宋" w:eastAsia="仿宋"/>
          <w:b/>
          <w:snapToGrid w:val="0"/>
          <w:kern w:val="0"/>
          <w:sz w:val="32"/>
          <w:szCs w:val="32"/>
        </w:rPr>
        <w:t>项目绩效目标实现情况</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一是</w:t>
      </w:r>
      <w:r>
        <w:rPr>
          <w:rFonts w:hint="eastAsia" w:ascii="仿宋" w:hAnsi="仿宋" w:eastAsia="仿宋" w:cs="MS PMincho"/>
          <w:sz w:val="32"/>
          <w:szCs w:val="32"/>
        </w:rPr>
        <w:t>产出指标完成情况分析。</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（1）数量指标。招聘网格员</w:t>
      </w:r>
      <w:r>
        <w:rPr>
          <w:rFonts w:hint="eastAsia" w:ascii="仿宋" w:hAnsi="仿宋" w:eastAsia="仿宋" w:cs="MS PMincho"/>
          <w:sz w:val="32"/>
          <w:szCs w:val="32"/>
          <w:lang w:eastAsia="zh-CN"/>
        </w:rPr>
        <w:t>不少于</w:t>
      </w:r>
      <w:r>
        <w:rPr>
          <w:rFonts w:hint="eastAsia" w:ascii="仿宋" w:hAnsi="仿宋" w:eastAsia="仿宋" w:cs="MS PMincho"/>
          <w:sz w:val="32"/>
          <w:szCs w:val="32"/>
          <w:lang w:val="en-US" w:eastAsia="zh-CN"/>
        </w:rPr>
        <w:t>10人</w:t>
      </w:r>
      <w:r>
        <w:rPr>
          <w:rFonts w:hint="eastAsia" w:ascii="仿宋" w:hAnsi="仿宋" w:eastAsia="仿宋" w:cs="MS PMincho"/>
          <w:sz w:val="32"/>
          <w:szCs w:val="32"/>
          <w:lang w:eastAsia="zh-CN"/>
        </w:rPr>
        <w:t>，实际完成</w:t>
      </w:r>
      <w:r>
        <w:rPr>
          <w:rFonts w:hint="eastAsia" w:ascii="仿宋" w:hAnsi="仿宋" w:eastAsia="仿宋" w:cs="MS PMincho"/>
          <w:sz w:val="32"/>
          <w:szCs w:val="32"/>
          <w:lang w:val="en-US" w:eastAsia="zh-CN"/>
        </w:rPr>
        <w:t>10人</w:t>
      </w:r>
      <w:r>
        <w:rPr>
          <w:rFonts w:hint="eastAsia" w:ascii="仿宋" w:hAnsi="仿宋" w:eastAsia="仿宋" w:cs="MS PMincho"/>
          <w:sz w:val="32"/>
          <w:szCs w:val="32"/>
          <w:lang w:eastAsia="zh-CN"/>
        </w:rPr>
        <w:t>。</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（2）质量指标。城乡社区、村居纳入网格化管理</w:t>
      </w:r>
      <w:r>
        <w:rPr>
          <w:rFonts w:hint="eastAsia" w:ascii="仿宋" w:hAnsi="仿宋" w:eastAsia="仿宋" w:cs="MS PMincho"/>
          <w:sz w:val="32"/>
          <w:szCs w:val="32"/>
          <w:lang w:val="en-US" w:eastAsia="zh-CN"/>
        </w:rPr>
        <w:t>90%，实际完成98%</w:t>
      </w:r>
      <w:r>
        <w:rPr>
          <w:rFonts w:hint="eastAsia" w:ascii="仿宋" w:hAnsi="仿宋" w:eastAsia="仿宋" w:cs="MS PMincho"/>
          <w:sz w:val="32"/>
          <w:szCs w:val="32"/>
          <w:lang w:eastAsia="zh-CN"/>
        </w:rPr>
        <w:t>。</w:t>
      </w:r>
    </w:p>
    <w:p>
      <w:pPr>
        <w:spacing w:line="580" w:lineRule="exact"/>
        <w:ind w:firstLine="640" w:firstLineChars="200"/>
        <w:rPr>
          <w:rFonts w:hint="eastAsia" w:ascii="仿宋" w:hAnsi="仿宋" w:eastAsia="仿宋" w:cs="MS PMincho"/>
          <w:sz w:val="32"/>
          <w:szCs w:val="32"/>
          <w:lang w:val="en-US" w:eastAsia="zh-CN"/>
        </w:rPr>
      </w:pPr>
      <w:r>
        <w:rPr>
          <w:rFonts w:hint="eastAsia" w:ascii="仿宋" w:hAnsi="仿宋" w:eastAsia="仿宋" w:cs="MS PMincho"/>
          <w:sz w:val="32"/>
          <w:szCs w:val="32"/>
        </w:rPr>
        <w:t>（3）时效指标。信息平台账号使用率</w:t>
      </w:r>
      <w:r>
        <w:rPr>
          <w:rFonts w:hint="eastAsia" w:ascii="仿宋" w:hAnsi="仿宋" w:eastAsia="仿宋" w:cs="MS PMincho"/>
          <w:sz w:val="32"/>
          <w:szCs w:val="32"/>
          <w:lang w:eastAsia="zh-CN"/>
        </w:rPr>
        <w:t>不低于</w:t>
      </w:r>
      <w:r>
        <w:rPr>
          <w:rFonts w:hint="eastAsia" w:ascii="仿宋" w:hAnsi="仿宋" w:eastAsia="仿宋" w:cs="MS PMincho"/>
          <w:sz w:val="32"/>
          <w:szCs w:val="32"/>
          <w:lang w:val="en-US" w:eastAsia="zh-CN"/>
        </w:rPr>
        <w:t>90%，成本控制有效率为100%。</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val="en-US" w:eastAsia="zh-CN"/>
        </w:rPr>
        <w:t>（4）成本指标。信息平台管理费用及网格员工资不少于30万元，实际拨付30万元。</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二是</w:t>
      </w:r>
      <w:r>
        <w:rPr>
          <w:rFonts w:hint="eastAsia" w:ascii="仿宋" w:hAnsi="仿宋" w:eastAsia="仿宋" w:cs="MS PMincho"/>
          <w:sz w:val="32"/>
          <w:szCs w:val="32"/>
        </w:rPr>
        <w:t>效益指标完成情况分析。</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（1）社会效益指标。推动我县网格化管理工作的发展作更上一个新水平</w:t>
      </w:r>
      <w:r>
        <w:rPr>
          <w:rFonts w:hint="eastAsia" w:ascii="仿宋" w:hAnsi="仿宋" w:eastAsia="仿宋" w:cs="MS PMincho"/>
          <w:sz w:val="32"/>
          <w:szCs w:val="32"/>
          <w:lang w:eastAsia="zh-CN"/>
        </w:rPr>
        <w:t>。</w:t>
      </w:r>
    </w:p>
    <w:p>
      <w:pPr>
        <w:spacing w:line="580" w:lineRule="exact"/>
        <w:ind w:firstLine="640" w:firstLineChars="200"/>
        <w:rPr>
          <w:rFonts w:hint="eastAsia" w:ascii="仿宋" w:hAnsi="仿宋" w:eastAsia="仿宋" w:cs="MS PMincho"/>
          <w:sz w:val="32"/>
          <w:szCs w:val="32"/>
        </w:rPr>
      </w:pPr>
      <w:r>
        <w:rPr>
          <w:rFonts w:hint="eastAsia" w:ascii="仿宋" w:hAnsi="仿宋" w:eastAsia="仿宋" w:cs="MS PMincho"/>
          <w:sz w:val="32"/>
          <w:szCs w:val="32"/>
        </w:rPr>
        <w:t>（2）可持续影响指标。有利于第一时间将矛盾化解在网格，为群众提供便民服务。</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eastAsia="zh-CN"/>
        </w:rPr>
        <w:t>三是</w:t>
      </w:r>
      <w:r>
        <w:rPr>
          <w:rFonts w:hint="eastAsia" w:ascii="仿宋" w:hAnsi="仿宋" w:eastAsia="仿宋" w:cs="MS PMincho"/>
          <w:sz w:val="32"/>
          <w:szCs w:val="32"/>
        </w:rPr>
        <w:t>满意度指标完成情况分析。城乡居民</w:t>
      </w:r>
      <w:r>
        <w:rPr>
          <w:rFonts w:hint="eastAsia" w:ascii="仿宋" w:hAnsi="仿宋" w:eastAsia="仿宋" w:cs="MS PMincho"/>
          <w:sz w:val="32"/>
          <w:szCs w:val="32"/>
          <w:lang w:eastAsia="zh-CN"/>
        </w:rPr>
        <w:t>满意度为</w:t>
      </w:r>
      <w:r>
        <w:rPr>
          <w:rFonts w:hint="eastAsia" w:ascii="仿宋" w:hAnsi="仿宋" w:eastAsia="仿宋" w:cs="MS PMincho"/>
          <w:sz w:val="32"/>
          <w:szCs w:val="32"/>
          <w:lang w:val="en-US" w:eastAsia="zh-CN"/>
        </w:rPr>
        <w:t>100%。</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b/>
          <w:snapToGrid w:val="0"/>
          <w:kern w:val="0"/>
          <w:sz w:val="32"/>
          <w:szCs w:val="32"/>
        </w:rPr>
        <w:t>（三）综合评价结论</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购买社会化服务经费年初预算数为</w:t>
      </w:r>
      <w:r>
        <w:rPr>
          <w:rFonts w:hint="eastAsia" w:ascii="仿宋" w:hAnsi="仿宋" w:eastAsia="仿宋" w:cs="MS PMincho"/>
          <w:sz w:val="32"/>
          <w:szCs w:val="32"/>
          <w:lang w:val="en-US" w:eastAsia="zh-CN"/>
        </w:rPr>
        <w:t>30万元，决算数为25.67万元</w:t>
      </w:r>
      <w:r>
        <w:rPr>
          <w:rFonts w:hint="eastAsia" w:ascii="仿宋" w:hAnsi="仿宋" w:eastAsia="仿宋" w:cs="MS PMincho"/>
          <w:sz w:val="32"/>
          <w:szCs w:val="32"/>
        </w:rPr>
        <w:t>，各项完成值</w:t>
      </w:r>
      <w:r>
        <w:rPr>
          <w:rFonts w:hint="eastAsia" w:ascii="仿宋" w:hAnsi="仿宋" w:eastAsia="仿宋" w:cs="MS PMincho"/>
          <w:sz w:val="32"/>
          <w:szCs w:val="32"/>
          <w:lang w:eastAsia="zh-CN"/>
        </w:rPr>
        <w:t>基本</w:t>
      </w:r>
      <w:r>
        <w:rPr>
          <w:rFonts w:hint="eastAsia" w:ascii="仿宋" w:hAnsi="仿宋" w:eastAsia="仿宋" w:cs="MS PMincho"/>
          <w:sz w:val="32"/>
          <w:szCs w:val="32"/>
        </w:rPr>
        <w:t>达成预期指标，自我评价为优。</w:t>
      </w:r>
    </w:p>
    <w:p>
      <w:pPr>
        <w:adjustRightInd w:val="0"/>
        <w:snapToGrid w:val="0"/>
        <w:spacing w:line="590" w:lineRule="exact"/>
        <w:ind w:firstLine="640" w:firstLineChars="200"/>
        <w:rPr>
          <w:rFonts w:hint="eastAsia" w:eastAsia="黑体"/>
          <w:snapToGrid w:val="0"/>
          <w:kern w:val="0"/>
          <w:sz w:val="32"/>
          <w:szCs w:val="32"/>
          <w:lang w:eastAsia="zh-CN"/>
        </w:rPr>
      </w:pPr>
      <w:r>
        <w:rPr>
          <w:rFonts w:hint="eastAsia" w:eastAsia="黑体"/>
          <w:snapToGrid w:val="0"/>
          <w:kern w:val="0"/>
          <w:sz w:val="32"/>
          <w:szCs w:val="32"/>
          <w:lang w:eastAsia="zh-CN"/>
        </w:rPr>
        <w:t>八</w:t>
      </w:r>
      <w:r>
        <w:rPr>
          <w:rFonts w:hint="eastAsia" w:eastAsia="黑体"/>
          <w:snapToGrid w:val="0"/>
          <w:kern w:val="0"/>
          <w:sz w:val="32"/>
          <w:szCs w:val="32"/>
        </w:rPr>
        <w:t>、</w:t>
      </w:r>
      <w:r>
        <w:rPr>
          <w:rFonts w:hint="eastAsia" w:eastAsia="黑体"/>
          <w:snapToGrid w:val="0"/>
          <w:kern w:val="0"/>
          <w:sz w:val="32"/>
          <w:szCs w:val="32"/>
          <w:lang w:eastAsia="zh-CN"/>
        </w:rPr>
        <w:t>“以奖代补”资金</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cs="MS PMincho"/>
          <w:b/>
          <w:sz w:val="32"/>
          <w:szCs w:val="32"/>
        </w:rPr>
        <w:t>（一）</w:t>
      </w:r>
      <w:r>
        <w:rPr>
          <w:rFonts w:ascii="楷体" w:hAnsi="楷体" w:eastAsia="楷体"/>
          <w:b/>
          <w:snapToGrid w:val="0"/>
          <w:kern w:val="0"/>
          <w:sz w:val="32"/>
          <w:szCs w:val="32"/>
        </w:rPr>
        <w:t>项目概况</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“以奖代补”资金总体目标是通过信息采集、上报，提高网格化信息质量，进一步提升我县网格化管理水平。“以奖代补”资源共计</w:t>
      </w:r>
      <w:r>
        <w:rPr>
          <w:rFonts w:hint="eastAsia" w:ascii="仿宋" w:hAnsi="仿宋" w:eastAsia="仿宋" w:cs="MS PMincho"/>
          <w:sz w:val="32"/>
          <w:szCs w:val="32"/>
          <w:lang w:val="en-US" w:eastAsia="zh-CN"/>
        </w:rPr>
        <w:t>10</w:t>
      </w:r>
      <w:r>
        <w:rPr>
          <w:rFonts w:hint="eastAsia" w:ascii="仿宋" w:hAnsi="仿宋" w:eastAsia="仿宋" w:cs="MS PMincho"/>
          <w:sz w:val="32"/>
          <w:szCs w:val="32"/>
          <w:lang w:eastAsia="zh-CN"/>
        </w:rPr>
        <w:t>万元。</w:t>
      </w:r>
      <w:r>
        <w:rPr>
          <w:rFonts w:hint="eastAsia" w:ascii="仿宋" w:hAnsi="仿宋" w:eastAsia="仿宋" w:cs="MS PMincho"/>
          <w:sz w:val="32"/>
          <w:szCs w:val="32"/>
        </w:rPr>
        <w:t>指标设定包含产出指标、效益指标、满意度指标等。</w:t>
      </w:r>
    </w:p>
    <w:p>
      <w:pPr>
        <w:adjustRightInd w:val="0"/>
        <w:snapToGrid w:val="0"/>
        <w:spacing w:line="590" w:lineRule="exact"/>
        <w:ind w:firstLine="643" w:firstLineChars="200"/>
        <w:rPr>
          <w:rFonts w:ascii="楷体" w:hAnsi="楷体" w:eastAsia="楷体" w:cs="MS PMincho"/>
          <w:b/>
          <w:sz w:val="32"/>
          <w:szCs w:val="32"/>
        </w:rPr>
      </w:pPr>
      <w:r>
        <w:rPr>
          <w:rFonts w:hint="eastAsia" w:ascii="楷体" w:hAnsi="楷体" w:eastAsia="楷体" w:cs="MS PMincho"/>
          <w:b/>
          <w:sz w:val="32"/>
          <w:szCs w:val="32"/>
        </w:rPr>
        <w:t>（二）项目组织实施及绩效目标实现情况</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1.</w:t>
      </w:r>
      <w:r>
        <w:rPr>
          <w:rFonts w:hint="eastAsia" w:ascii="仿宋" w:hAnsi="仿宋" w:eastAsia="仿宋"/>
          <w:b/>
          <w:snapToGrid w:val="0"/>
          <w:kern w:val="0"/>
          <w:sz w:val="32"/>
          <w:szCs w:val="32"/>
        </w:rPr>
        <w:t>项目资金使用及管理情况</w:t>
      </w:r>
    </w:p>
    <w:p>
      <w:pPr>
        <w:adjustRightInd w:val="0"/>
        <w:snapToGrid w:val="0"/>
        <w:spacing w:line="590" w:lineRule="exact"/>
        <w:ind w:firstLine="640" w:firstLineChars="200"/>
        <w:rPr>
          <w:rFonts w:eastAsia="仿宋_GB2312"/>
          <w:snapToGrid w:val="0"/>
          <w:kern w:val="0"/>
          <w:sz w:val="32"/>
          <w:szCs w:val="32"/>
        </w:rPr>
      </w:pPr>
      <w:r>
        <w:rPr>
          <w:rFonts w:hint="eastAsia" w:ascii="仿宋" w:hAnsi="仿宋" w:eastAsia="仿宋" w:cs="MS PMincho"/>
          <w:sz w:val="32"/>
          <w:szCs w:val="32"/>
          <w:lang w:eastAsia="zh-CN"/>
        </w:rPr>
        <w:t>“以奖代补”资金</w:t>
      </w:r>
      <w:r>
        <w:rPr>
          <w:rFonts w:hint="eastAsia" w:ascii="仿宋" w:hAnsi="仿宋" w:eastAsia="仿宋" w:cs="MS PMincho"/>
          <w:sz w:val="32"/>
          <w:szCs w:val="32"/>
        </w:rPr>
        <w:t>年初预算为</w:t>
      </w:r>
      <w:r>
        <w:rPr>
          <w:rFonts w:hint="eastAsia" w:ascii="仿宋" w:hAnsi="仿宋" w:eastAsia="仿宋" w:cs="MS PMincho"/>
          <w:sz w:val="32"/>
          <w:szCs w:val="32"/>
          <w:lang w:val="en-US" w:eastAsia="zh-CN"/>
        </w:rPr>
        <w:t>10万</w:t>
      </w:r>
      <w:r>
        <w:rPr>
          <w:rFonts w:hint="eastAsia" w:ascii="仿宋" w:hAnsi="仿宋" w:eastAsia="仿宋" w:cs="MS PMincho"/>
          <w:sz w:val="32"/>
          <w:szCs w:val="32"/>
        </w:rPr>
        <w:t>元，总计拨付为</w:t>
      </w:r>
      <w:r>
        <w:rPr>
          <w:rFonts w:hint="eastAsia" w:ascii="仿宋" w:hAnsi="仿宋" w:eastAsia="仿宋" w:cs="MS PMincho"/>
          <w:sz w:val="32"/>
          <w:szCs w:val="32"/>
          <w:lang w:val="en-US" w:eastAsia="zh-CN"/>
        </w:rPr>
        <w:t>10万</w:t>
      </w:r>
      <w:r>
        <w:rPr>
          <w:rFonts w:hint="eastAsia" w:ascii="仿宋" w:hAnsi="仿宋" w:eastAsia="仿宋" w:cs="MS PMincho"/>
          <w:sz w:val="32"/>
          <w:szCs w:val="32"/>
        </w:rPr>
        <w:t>元</w:t>
      </w:r>
      <w:r>
        <w:rPr>
          <w:rFonts w:hint="eastAsia" w:ascii="仿宋" w:hAnsi="仿宋" w:eastAsia="仿宋" w:cs="MS PMincho"/>
          <w:sz w:val="32"/>
          <w:szCs w:val="32"/>
          <w:lang w:val="en-US" w:eastAsia="zh-CN"/>
        </w:rPr>
        <w:t>，</w:t>
      </w:r>
      <w:r>
        <w:rPr>
          <w:rFonts w:hint="eastAsia" w:ascii="仿宋" w:hAnsi="仿宋" w:eastAsia="仿宋" w:cs="MS PMincho"/>
          <w:sz w:val="32"/>
          <w:szCs w:val="32"/>
        </w:rPr>
        <w:t>年累计支出为</w:t>
      </w:r>
      <w:r>
        <w:rPr>
          <w:rFonts w:hint="eastAsia" w:ascii="仿宋" w:hAnsi="仿宋" w:eastAsia="仿宋" w:cs="MS PMincho"/>
          <w:sz w:val="32"/>
          <w:szCs w:val="32"/>
          <w:lang w:val="en-US" w:eastAsia="zh-CN"/>
        </w:rPr>
        <w:t>0万</w:t>
      </w:r>
      <w:r>
        <w:rPr>
          <w:rFonts w:hint="eastAsia" w:ascii="仿宋" w:hAnsi="仿宋" w:eastAsia="仿宋" w:cs="MS PMincho"/>
          <w:sz w:val="32"/>
          <w:szCs w:val="32"/>
        </w:rPr>
        <w:t>元，</w:t>
      </w:r>
      <w:r>
        <w:rPr>
          <w:rFonts w:hint="eastAsia" w:ascii="仿宋" w:hAnsi="仿宋" w:eastAsia="仿宋" w:cs="MS PMincho"/>
          <w:sz w:val="32"/>
          <w:szCs w:val="32"/>
          <w:lang w:eastAsia="zh-CN"/>
        </w:rPr>
        <w:t>由于资金到位实际为</w:t>
      </w:r>
      <w:r>
        <w:rPr>
          <w:rFonts w:hint="eastAsia" w:ascii="仿宋" w:hAnsi="仿宋" w:eastAsia="仿宋" w:cs="MS PMincho"/>
          <w:sz w:val="32"/>
          <w:szCs w:val="32"/>
          <w:lang w:val="en-US" w:eastAsia="zh-CN"/>
        </w:rPr>
        <w:t>2020年12月底，所以</w:t>
      </w:r>
      <w:r>
        <w:rPr>
          <w:rFonts w:hint="eastAsia" w:ascii="仿宋" w:hAnsi="仿宋" w:eastAsia="仿宋" w:cs="MS PMincho"/>
          <w:sz w:val="32"/>
          <w:szCs w:val="32"/>
        </w:rPr>
        <w:t>实际执行率为</w:t>
      </w:r>
      <w:r>
        <w:rPr>
          <w:rFonts w:hint="eastAsia" w:ascii="仿宋" w:hAnsi="仿宋" w:eastAsia="仿宋" w:cs="MS PMincho"/>
          <w:sz w:val="32"/>
          <w:szCs w:val="32"/>
          <w:lang w:val="en-US" w:eastAsia="zh-CN"/>
        </w:rPr>
        <w:t>0</w:t>
      </w:r>
      <w:r>
        <w:rPr>
          <w:rFonts w:hint="eastAsia" w:ascii="仿宋" w:hAnsi="仿宋" w:eastAsia="仿宋" w:cs="MS PMincho"/>
          <w:sz w:val="32"/>
          <w:szCs w:val="32"/>
        </w:rPr>
        <w:t>%。</w:t>
      </w:r>
    </w:p>
    <w:p>
      <w:pPr>
        <w:adjustRightInd w:val="0"/>
        <w:snapToGrid w:val="0"/>
        <w:spacing w:line="590" w:lineRule="exact"/>
        <w:ind w:firstLine="643" w:firstLineChars="200"/>
        <w:rPr>
          <w:rFonts w:ascii="仿宋" w:hAnsi="仿宋" w:eastAsia="仿宋"/>
          <w:b/>
          <w:snapToGrid w:val="0"/>
          <w:kern w:val="0"/>
          <w:sz w:val="32"/>
          <w:szCs w:val="32"/>
        </w:rPr>
      </w:pPr>
      <w:r>
        <w:rPr>
          <w:rFonts w:hint="eastAsia" w:ascii="仿宋" w:hAnsi="仿宋" w:eastAsia="仿宋"/>
          <w:b/>
          <w:snapToGrid w:val="0"/>
          <w:kern w:val="0"/>
          <w:sz w:val="32"/>
          <w:szCs w:val="32"/>
          <w:lang w:val="en-US" w:eastAsia="zh-CN"/>
        </w:rPr>
        <w:t>2.</w:t>
      </w:r>
      <w:r>
        <w:rPr>
          <w:rFonts w:ascii="仿宋" w:hAnsi="仿宋" w:eastAsia="仿宋"/>
          <w:b/>
          <w:snapToGrid w:val="0"/>
          <w:kern w:val="0"/>
          <w:sz w:val="32"/>
          <w:szCs w:val="32"/>
        </w:rPr>
        <w:t>项目绩效目标实现情况</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一是</w:t>
      </w:r>
      <w:r>
        <w:rPr>
          <w:rFonts w:hint="eastAsia" w:ascii="仿宋" w:hAnsi="仿宋" w:eastAsia="仿宋" w:cs="MS PMincho"/>
          <w:sz w:val="32"/>
          <w:szCs w:val="32"/>
        </w:rPr>
        <w:t>产出指标完成情况分析。</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（1）数量指标。上报的信息条数</w:t>
      </w:r>
      <w:r>
        <w:rPr>
          <w:rFonts w:hint="eastAsia" w:ascii="仿宋" w:hAnsi="仿宋" w:eastAsia="仿宋" w:cs="MS PMincho"/>
          <w:sz w:val="32"/>
          <w:szCs w:val="32"/>
          <w:lang w:eastAsia="zh-CN"/>
        </w:rPr>
        <w:t>不少于</w:t>
      </w:r>
      <w:r>
        <w:rPr>
          <w:rFonts w:hint="eastAsia" w:ascii="仿宋" w:hAnsi="仿宋" w:eastAsia="仿宋" w:cs="MS PMincho"/>
          <w:sz w:val="32"/>
          <w:szCs w:val="32"/>
          <w:lang w:val="en-US" w:eastAsia="zh-CN"/>
        </w:rPr>
        <w:t>10条</w:t>
      </w:r>
      <w:r>
        <w:rPr>
          <w:rFonts w:hint="eastAsia" w:ascii="仿宋" w:hAnsi="仿宋" w:eastAsia="仿宋" w:cs="MS PMincho"/>
          <w:sz w:val="32"/>
          <w:szCs w:val="32"/>
          <w:lang w:eastAsia="zh-CN"/>
        </w:rPr>
        <w:t>，实际完成</w:t>
      </w:r>
      <w:r>
        <w:rPr>
          <w:rFonts w:hint="eastAsia" w:ascii="仿宋" w:hAnsi="仿宋" w:eastAsia="仿宋" w:cs="MS PMincho"/>
          <w:sz w:val="32"/>
          <w:szCs w:val="32"/>
          <w:lang w:val="en-US" w:eastAsia="zh-CN"/>
        </w:rPr>
        <w:t>30人</w:t>
      </w:r>
      <w:r>
        <w:rPr>
          <w:rFonts w:hint="eastAsia" w:ascii="仿宋" w:hAnsi="仿宋" w:eastAsia="仿宋" w:cs="MS PMincho"/>
          <w:sz w:val="32"/>
          <w:szCs w:val="32"/>
          <w:lang w:eastAsia="zh-CN"/>
        </w:rPr>
        <w:t>。</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rPr>
        <w:t>（2）质量指标。采集报送的有效信息条数，按照一般信息、较大信息、重大信息分类奖补</w:t>
      </w:r>
      <w:r>
        <w:rPr>
          <w:rFonts w:hint="eastAsia" w:ascii="仿宋" w:hAnsi="仿宋" w:eastAsia="仿宋" w:cs="MS PMincho"/>
          <w:sz w:val="32"/>
          <w:szCs w:val="32"/>
          <w:lang w:eastAsia="zh-CN"/>
        </w:rPr>
        <w:t>不少于</w:t>
      </w:r>
      <w:r>
        <w:rPr>
          <w:rFonts w:hint="eastAsia" w:ascii="仿宋" w:hAnsi="仿宋" w:eastAsia="仿宋" w:cs="MS PMincho"/>
          <w:sz w:val="32"/>
          <w:szCs w:val="32"/>
          <w:lang w:val="en-US" w:eastAsia="zh-CN"/>
        </w:rPr>
        <w:t>5条，实际5条。</w:t>
      </w:r>
    </w:p>
    <w:p>
      <w:pPr>
        <w:spacing w:line="580" w:lineRule="exact"/>
        <w:ind w:firstLine="640" w:firstLineChars="200"/>
        <w:rPr>
          <w:rFonts w:hint="eastAsia" w:ascii="仿宋" w:hAnsi="仿宋" w:eastAsia="仿宋" w:cs="MS PMincho"/>
          <w:sz w:val="32"/>
          <w:szCs w:val="32"/>
          <w:lang w:val="en-US" w:eastAsia="zh-CN"/>
        </w:rPr>
      </w:pPr>
      <w:r>
        <w:rPr>
          <w:rFonts w:hint="eastAsia" w:ascii="仿宋" w:hAnsi="仿宋" w:eastAsia="仿宋" w:cs="MS PMincho"/>
          <w:sz w:val="32"/>
          <w:szCs w:val="32"/>
        </w:rPr>
        <w:t>（3）时效指标。信息上报及时率</w:t>
      </w:r>
      <w:r>
        <w:rPr>
          <w:rFonts w:hint="eastAsia" w:ascii="仿宋" w:hAnsi="仿宋" w:eastAsia="仿宋" w:cs="MS PMincho"/>
          <w:sz w:val="32"/>
          <w:szCs w:val="32"/>
          <w:lang w:val="en-US" w:eastAsia="zh-CN"/>
        </w:rPr>
        <w:t>100%。</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val="en-US" w:eastAsia="zh-CN"/>
        </w:rPr>
        <w:t>（4）成本指标。成本控制有效率为100%。</w:t>
      </w:r>
    </w:p>
    <w:p>
      <w:pPr>
        <w:spacing w:line="58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二是</w:t>
      </w:r>
      <w:r>
        <w:rPr>
          <w:rFonts w:hint="eastAsia" w:ascii="仿宋" w:hAnsi="仿宋" w:eastAsia="仿宋" w:cs="MS PMincho"/>
          <w:sz w:val="32"/>
          <w:szCs w:val="32"/>
        </w:rPr>
        <w:t>效益指标完成情况分析。</w:t>
      </w:r>
    </w:p>
    <w:p>
      <w:pPr>
        <w:spacing w:line="580" w:lineRule="exact"/>
        <w:ind w:firstLine="640" w:firstLineChars="200"/>
        <w:rPr>
          <w:rFonts w:hint="eastAsia" w:ascii="仿宋" w:hAnsi="仿宋" w:eastAsia="仿宋" w:cs="MS PMincho"/>
          <w:sz w:val="32"/>
          <w:szCs w:val="32"/>
        </w:rPr>
      </w:pPr>
      <w:r>
        <w:rPr>
          <w:rFonts w:hint="eastAsia" w:ascii="仿宋" w:hAnsi="仿宋" w:eastAsia="仿宋" w:cs="MS PMincho"/>
          <w:sz w:val="32"/>
          <w:szCs w:val="32"/>
        </w:rPr>
        <w:t>（1）社会效益指标。通过采集有效信息，确定风险级别，进一步减少安全隐患事件的发生。</w:t>
      </w:r>
    </w:p>
    <w:p>
      <w:pPr>
        <w:spacing w:line="580" w:lineRule="exact"/>
        <w:ind w:firstLine="640" w:firstLineChars="200"/>
        <w:rPr>
          <w:rFonts w:hint="eastAsia" w:ascii="仿宋" w:hAnsi="仿宋" w:eastAsia="仿宋" w:cs="MS PMincho"/>
          <w:sz w:val="32"/>
          <w:szCs w:val="32"/>
          <w:lang w:eastAsia="zh-CN"/>
        </w:rPr>
      </w:pPr>
      <w:r>
        <w:rPr>
          <w:rFonts w:hint="eastAsia" w:ascii="仿宋" w:hAnsi="仿宋" w:eastAsia="仿宋" w:cs="MS PMincho"/>
          <w:sz w:val="32"/>
          <w:szCs w:val="32"/>
        </w:rPr>
        <w:t>（2）可持续影响指标。有利于维护我县社会稳定，建设平安泗水</w:t>
      </w:r>
      <w:r>
        <w:rPr>
          <w:rFonts w:hint="eastAsia" w:ascii="仿宋" w:hAnsi="仿宋" w:eastAsia="仿宋" w:cs="MS PMincho"/>
          <w:sz w:val="32"/>
          <w:szCs w:val="32"/>
          <w:lang w:eastAsia="zh-CN"/>
        </w:rPr>
        <w:t>。</w:t>
      </w:r>
    </w:p>
    <w:p>
      <w:pPr>
        <w:spacing w:line="580" w:lineRule="exact"/>
        <w:ind w:firstLine="640" w:firstLineChars="200"/>
        <w:rPr>
          <w:rFonts w:hint="default" w:ascii="仿宋" w:hAnsi="仿宋" w:eastAsia="仿宋" w:cs="MS PMincho"/>
          <w:sz w:val="32"/>
          <w:szCs w:val="32"/>
          <w:lang w:val="en-US" w:eastAsia="zh-CN"/>
        </w:rPr>
      </w:pPr>
      <w:r>
        <w:rPr>
          <w:rFonts w:hint="eastAsia" w:ascii="仿宋" w:hAnsi="仿宋" w:eastAsia="仿宋" w:cs="MS PMincho"/>
          <w:sz w:val="32"/>
          <w:szCs w:val="32"/>
          <w:lang w:eastAsia="zh-CN"/>
        </w:rPr>
        <w:t>三是</w:t>
      </w:r>
      <w:r>
        <w:rPr>
          <w:rFonts w:hint="eastAsia" w:ascii="仿宋" w:hAnsi="仿宋" w:eastAsia="仿宋" w:cs="MS PMincho"/>
          <w:sz w:val="32"/>
          <w:szCs w:val="32"/>
        </w:rPr>
        <w:t>满意度指标完成情况分析。城乡居民</w:t>
      </w:r>
      <w:r>
        <w:rPr>
          <w:rFonts w:hint="eastAsia" w:ascii="仿宋" w:hAnsi="仿宋" w:eastAsia="仿宋" w:cs="MS PMincho"/>
          <w:sz w:val="32"/>
          <w:szCs w:val="32"/>
          <w:lang w:eastAsia="zh-CN"/>
        </w:rPr>
        <w:t>满意度为</w:t>
      </w:r>
      <w:r>
        <w:rPr>
          <w:rFonts w:hint="eastAsia" w:ascii="仿宋" w:hAnsi="仿宋" w:eastAsia="仿宋" w:cs="MS PMincho"/>
          <w:sz w:val="32"/>
          <w:szCs w:val="32"/>
          <w:lang w:val="en-US" w:eastAsia="zh-CN"/>
        </w:rPr>
        <w:t>100%。</w:t>
      </w:r>
    </w:p>
    <w:p>
      <w:pPr>
        <w:adjustRightInd w:val="0"/>
        <w:snapToGrid w:val="0"/>
        <w:spacing w:line="590" w:lineRule="exact"/>
        <w:ind w:firstLine="643" w:firstLineChars="200"/>
        <w:rPr>
          <w:rFonts w:ascii="楷体" w:hAnsi="楷体" w:eastAsia="楷体"/>
          <w:b/>
          <w:snapToGrid w:val="0"/>
          <w:kern w:val="0"/>
          <w:sz w:val="32"/>
          <w:szCs w:val="32"/>
        </w:rPr>
      </w:pPr>
      <w:r>
        <w:rPr>
          <w:rFonts w:hint="eastAsia" w:ascii="楷体" w:hAnsi="楷体" w:eastAsia="楷体"/>
          <w:b/>
          <w:snapToGrid w:val="0"/>
          <w:kern w:val="0"/>
          <w:sz w:val="32"/>
          <w:szCs w:val="32"/>
        </w:rPr>
        <w:t>（三）综合评价结论</w:t>
      </w:r>
    </w:p>
    <w:p>
      <w:pPr>
        <w:adjustRightInd w:val="0"/>
        <w:snapToGrid w:val="0"/>
        <w:spacing w:line="590" w:lineRule="exact"/>
        <w:ind w:firstLine="640" w:firstLineChars="200"/>
        <w:rPr>
          <w:rFonts w:ascii="仿宋" w:hAnsi="仿宋" w:eastAsia="仿宋" w:cs="MS PMincho"/>
          <w:sz w:val="32"/>
          <w:szCs w:val="32"/>
        </w:rPr>
      </w:pPr>
      <w:r>
        <w:rPr>
          <w:rFonts w:hint="eastAsia" w:ascii="仿宋" w:hAnsi="仿宋" w:eastAsia="仿宋" w:cs="MS PMincho"/>
          <w:sz w:val="32"/>
          <w:szCs w:val="32"/>
          <w:lang w:eastAsia="zh-CN"/>
        </w:rPr>
        <w:t>“以奖代补”资金年初预算数为</w:t>
      </w:r>
      <w:r>
        <w:rPr>
          <w:rFonts w:hint="eastAsia" w:ascii="仿宋" w:hAnsi="仿宋" w:eastAsia="仿宋" w:cs="MS PMincho"/>
          <w:sz w:val="32"/>
          <w:szCs w:val="32"/>
          <w:lang w:val="en-US" w:eastAsia="zh-CN"/>
        </w:rPr>
        <w:t>10万元，决算数为0万元</w:t>
      </w:r>
      <w:r>
        <w:rPr>
          <w:rFonts w:hint="eastAsia" w:ascii="仿宋" w:hAnsi="仿宋" w:eastAsia="仿宋" w:cs="MS PMincho"/>
          <w:sz w:val="32"/>
          <w:szCs w:val="32"/>
        </w:rPr>
        <w:t>。自我评价为</w:t>
      </w:r>
      <w:r>
        <w:rPr>
          <w:rFonts w:hint="eastAsia" w:ascii="仿宋" w:hAnsi="仿宋" w:eastAsia="仿宋" w:cs="MS PMincho"/>
          <w:sz w:val="32"/>
          <w:szCs w:val="32"/>
          <w:lang w:eastAsia="zh-CN"/>
        </w:rPr>
        <w:t>良好</w:t>
      </w:r>
      <w:r>
        <w:rPr>
          <w:rFonts w:hint="eastAsia" w:ascii="仿宋" w:hAnsi="仿宋" w:eastAsia="仿宋" w:cs="MS PMincho"/>
          <w:sz w:val="32"/>
          <w:szCs w:val="32"/>
        </w:rPr>
        <w:t>。</w:t>
      </w:r>
    </w:p>
    <w:p>
      <w:pPr>
        <w:adjustRightInd w:val="0"/>
        <w:snapToGrid w:val="0"/>
        <w:spacing w:line="590" w:lineRule="exact"/>
        <w:ind w:firstLine="640" w:firstLineChars="200"/>
        <w:rPr>
          <w:rFonts w:ascii="仿宋" w:hAnsi="仿宋" w:eastAsia="仿宋" w:cs="MS PMincho"/>
          <w:sz w:val="32"/>
          <w:szCs w:val="32"/>
        </w:rPr>
      </w:pPr>
    </w:p>
    <w:p>
      <w:pPr>
        <w:adjustRightInd w:val="0"/>
        <w:snapToGrid w:val="0"/>
        <w:spacing w:line="590" w:lineRule="exact"/>
        <w:ind w:firstLine="422" w:firstLineChars="200"/>
        <w:rPr>
          <w:b/>
          <w:bCs/>
        </w:rPr>
      </w:pPr>
    </w:p>
    <w:p>
      <w:pPr>
        <w:jc w:val="center"/>
        <w:rPr>
          <w:rFonts w:ascii="仿宋_GB2312" w:eastAsia="仿宋_GB2312"/>
          <w:sz w:val="32"/>
          <w:szCs w:val="32"/>
        </w:rPr>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MS PMincho">
    <w:panose1 w:val="02020600040205080304"/>
    <w:charset w:val="80"/>
    <w:family w:val="roman"/>
    <w:pitch w:val="default"/>
    <w:sig w:usb0="E00002FF" w:usb1="6AC7FDFB" w:usb2="00000012" w:usb3="00000000" w:csb0="4002009F" w:csb1="DFD7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34440"/>
    <w:rsid w:val="00003E5B"/>
    <w:rsid w:val="00006FF7"/>
    <w:rsid w:val="0001197D"/>
    <w:rsid w:val="00027A87"/>
    <w:rsid w:val="000328FA"/>
    <w:rsid w:val="000345DF"/>
    <w:rsid w:val="00046FD8"/>
    <w:rsid w:val="00066AF4"/>
    <w:rsid w:val="00074B56"/>
    <w:rsid w:val="0009340D"/>
    <w:rsid w:val="000A4A01"/>
    <w:rsid w:val="000B24AD"/>
    <w:rsid w:val="000C668A"/>
    <w:rsid w:val="000F299F"/>
    <w:rsid w:val="000F3B1D"/>
    <w:rsid w:val="00107705"/>
    <w:rsid w:val="001124E9"/>
    <w:rsid w:val="00124F11"/>
    <w:rsid w:val="00124FD4"/>
    <w:rsid w:val="00135D6F"/>
    <w:rsid w:val="00136400"/>
    <w:rsid w:val="001461DD"/>
    <w:rsid w:val="00147D1A"/>
    <w:rsid w:val="00147FE9"/>
    <w:rsid w:val="00150B20"/>
    <w:rsid w:val="00151522"/>
    <w:rsid w:val="00173140"/>
    <w:rsid w:val="00187893"/>
    <w:rsid w:val="001A33D7"/>
    <w:rsid w:val="001B797C"/>
    <w:rsid w:val="001C512A"/>
    <w:rsid w:val="001C7AAD"/>
    <w:rsid w:val="001E156C"/>
    <w:rsid w:val="00203023"/>
    <w:rsid w:val="00211108"/>
    <w:rsid w:val="00211415"/>
    <w:rsid w:val="00230421"/>
    <w:rsid w:val="002332CA"/>
    <w:rsid w:val="002341AC"/>
    <w:rsid w:val="00246365"/>
    <w:rsid w:val="00250D29"/>
    <w:rsid w:val="00252592"/>
    <w:rsid w:val="00287E57"/>
    <w:rsid w:val="00291093"/>
    <w:rsid w:val="002C14BE"/>
    <w:rsid w:val="002C37F7"/>
    <w:rsid w:val="002D3F33"/>
    <w:rsid w:val="002E1DFD"/>
    <w:rsid w:val="002E3EF1"/>
    <w:rsid w:val="003113C7"/>
    <w:rsid w:val="0031641E"/>
    <w:rsid w:val="00324811"/>
    <w:rsid w:val="00336092"/>
    <w:rsid w:val="0035121D"/>
    <w:rsid w:val="00361220"/>
    <w:rsid w:val="00377EFE"/>
    <w:rsid w:val="0039152C"/>
    <w:rsid w:val="0039416A"/>
    <w:rsid w:val="003A6F38"/>
    <w:rsid w:val="003B207E"/>
    <w:rsid w:val="003C149E"/>
    <w:rsid w:val="003F683C"/>
    <w:rsid w:val="00417AB3"/>
    <w:rsid w:val="004251AA"/>
    <w:rsid w:val="00450E1C"/>
    <w:rsid w:val="00457392"/>
    <w:rsid w:val="0046235E"/>
    <w:rsid w:val="004746CA"/>
    <w:rsid w:val="00484012"/>
    <w:rsid w:val="0049167E"/>
    <w:rsid w:val="004B21DB"/>
    <w:rsid w:val="004D7F4B"/>
    <w:rsid w:val="004F6AC3"/>
    <w:rsid w:val="00504CEA"/>
    <w:rsid w:val="00533CEC"/>
    <w:rsid w:val="005370A7"/>
    <w:rsid w:val="00543695"/>
    <w:rsid w:val="00560997"/>
    <w:rsid w:val="00577A60"/>
    <w:rsid w:val="00585CF6"/>
    <w:rsid w:val="005878A1"/>
    <w:rsid w:val="005C5EBA"/>
    <w:rsid w:val="006228B9"/>
    <w:rsid w:val="0065353C"/>
    <w:rsid w:val="006745FA"/>
    <w:rsid w:val="00676262"/>
    <w:rsid w:val="006A4CEC"/>
    <w:rsid w:val="006B0A06"/>
    <w:rsid w:val="006B6B2F"/>
    <w:rsid w:val="006C3684"/>
    <w:rsid w:val="006C79F1"/>
    <w:rsid w:val="006D68CE"/>
    <w:rsid w:val="0070713A"/>
    <w:rsid w:val="00727759"/>
    <w:rsid w:val="00756BB9"/>
    <w:rsid w:val="00762471"/>
    <w:rsid w:val="00762BCE"/>
    <w:rsid w:val="00765553"/>
    <w:rsid w:val="00770D38"/>
    <w:rsid w:val="00772737"/>
    <w:rsid w:val="00772BA7"/>
    <w:rsid w:val="00790286"/>
    <w:rsid w:val="00796669"/>
    <w:rsid w:val="007B2D34"/>
    <w:rsid w:val="007B7872"/>
    <w:rsid w:val="007C5B9D"/>
    <w:rsid w:val="008023CF"/>
    <w:rsid w:val="0081323F"/>
    <w:rsid w:val="00823CDE"/>
    <w:rsid w:val="008241CB"/>
    <w:rsid w:val="00824880"/>
    <w:rsid w:val="008255A2"/>
    <w:rsid w:val="0082653B"/>
    <w:rsid w:val="00834440"/>
    <w:rsid w:val="0084275E"/>
    <w:rsid w:val="008545C6"/>
    <w:rsid w:val="00857E55"/>
    <w:rsid w:val="008857D8"/>
    <w:rsid w:val="008C2CB9"/>
    <w:rsid w:val="0091139F"/>
    <w:rsid w:val="00914BD8"/>
    <w:rsid w:val="00941B09"/>
    <w:rsid w:val="00967BEA"/>
    <w:rsid w:val="00986BB5"/>
    <w:rsid w:val="009B0DA3"/>
    <w:rsid w:val="009C32F1"/>
    <w:rsid w:val="009C5B96"/>
    <w:rsid w:val="009D4DDA"/>
    <w:rsid w:val="009E3107"/>
    <w:rsid w:val="009E4B06"/>
    <w:rsid w:val="00A23A6E"/>
    <w:rsid w:val="00A401E6"/>
    <w:rsid w:val="00A60E3D"/>
    <w:rsid w:val="00A86066"/>
    <w:rsid w:val="00A9359D"/>
    <w:rsid w:val="00AA7833"/>
    <w:rsid w:val="00AC3D9B"/>
    <w:rsid w:val="00AC7F84"/>
    <w:rsid w:val="00AD430D"/>
    <w:rsid w:val="00AF66C3"/>
    <w:rsid w:val="00B0646E"/>
    <w:rsid w:val="00B20EE8"/>
    <w:rsid w:val="00B23C3D"/>
    <w:rsid w:val="00B24E0E"/>
    <w:rsid w:val="00B60B53"/>
    <w:rsid w:val="00B641F1"/>
    <w:rsid w:val="00B64536"/>
    <w:rsid w:val="00B740D0"/>
    <w:rsid w:val="00B83A79"/>
    <w:rsid w:val="00B9411C"/>
    <w:rsid w:val="00BA6768"/>
    <w:rsid w:val="00BB007F"/>
    <w:rsid w:val="00BB0FCA"/>
    <w:rsid w:val="00BE75BF"/>
    <w:rsid w:val="00BF0F72"/>
    <w:rsid w:val="00BF0FAD"/>
    <w:rsid w:val="00C02AEE"/>
    <w:rsid w:val="00C5351E"/>
    <w:rsid w:val="00C57771"/>
    <w:rsid w:val="00C57FB8"/>
    <w:rsid w:val="00C7067D"/>
    <w:rsid w:val="00C7441E"/>
    <w:rsid w:val="00CB679D"/>
    <w:rsid w:val="00CC162C"/>
    <w:rsid w:val="00CC33FB"/>
    <w:rsid w:val="00CC36CA"/>
    <w:rsid w:val="00CC43BE"/>
    <w:rsid w:val="00CC5922"/>
    <w:rsid w:val="00CD35EE"/>
    <w:rsid w:val="00CD380D"/>
    <w:rsid w:val="00CE3890"/>
    <w:rsid w:val="00CF1C91"/>
    <w:rsid w:val="00D01BCA"/>
    <w:rsid w:val="00D15268"/>
    <w:rsid w:val="00D17472"/>
    <w:rsid w:val="00D1769C"/>
    <w:rsid w:val="00D17C29"/>
    <w:rsid w:val="00D516F3"/>
    <w:rsid w:val="00D61F63"/>
    <w:rsid w:val="00D745F7"/>
    <w:rsid w:val="00D86C5A"/>
    <w:rsid w:val="00D94351"/>
    <w:rsid w:val="00DA2B56"/>
    <w:rsid w:val="00DA6582"/>
    <w:rsid w:val="00DC4A12"/>
    <w:rsid w:val="00DC4F2C"/>
    <w:rsid w:val="00DC6101"/>
    <w:rsid w:val="00DC712E"/>
    <w:rsid w:val="00DC76D6"/>
    <w:rsid w:val="00DC7E1B"/>
    <w:rsid w:val="00DF624E"/>
    <w:rsid w:val="00E0706F"/>
    <w:rsid w:val="00E4100E"/>
    <w:rsid w:val="00E43CAE"/>
    <w:rsid w:val="00E702ED"/>
    <w:rsid w:val="00E75ED5"/>
    <w:rsid w:val="00E76695"/>
    <w:rsid w:val="00E952DB"/>
    <w:rsid w:val="00EB656E"/>
    <w:rsid w:val="00EB793C"/>
    <w:rsid w:val="00F0671C"/>
    <w:rsid w:val="00F32ACC"/>
    <w:rsid w:val="00F4023D"/>
    <w:rsid w:val="00F4319D"/>
    <w:rsid w:val="00F50DA7"/>
    <w:rsid w:val="00F70F13"/>
    <w:rsid w:val="00F818F5"/>
    <w:rsid w:val="00F93421"/>
    <w:rsid w:val="00F94037"/>
    <w:rsid w:val="00F94085"/>
    <w:rsid w:val="00FB04A3"/>
    <w:rsid w:val="00FB18F7"/>
    <w:rsid w:val="00FD2501"/>
    <w:rsid w:val="00FE1E6C"/>
    <w:rsid w:val="00FE629B"/>
    <w:rsid w:val="00FE7C77"/>
    <w:rsid w:val="01513380"/>
    <w:rsid w:val="02E63AA9"/>
    <w:rsid w:val="03527522"/>
    <w:rsid w:val="05075FF2"/>
    <w:rsid w:val="052F7896"/>
    <w:rsid w:val="054737C0"/>
    <w:rsid w:val="07CE7352"/>
    <w:rsid w:val="07E95CA5"/>
    <w:rsid w:val="08C42B83"/>
    <w:rsid w:val="09B054EE"/>
    <w:rsid w:val="09B64EC1"/>
    <w:rsid w:val="0A6277E0"/>
    <w:rsid w:val="0B2A66E5"/>
    <w:rsid w:val="0BDB66DB"/>
    <w:rsid w:val="0C82258A"/>
    <w:rsid w:val="0D0E26A9"/>
    <w:rsid w:val="0D164352"/>
    <w:rsid w:val="0E0C4CEB"/>
    <w:rsid w:val="0F4B308B"/>
    <w:rsid w:val="0FF051D5"/>
    <w:rsid w:val="107A4A03"/>
    <w:rsid w:val="11253183"/>
    <w:rsid w:val="12276D3D"/>
    <w:rsid w:val="12C41085"/>
    <w:rsid w:val="143C418E"/>
    <w:rsid w:val="14C97FF6"/>
    <w:rsid w:val="15E4559E"/>
    <w:rsid w:val="16FB1B5C"/>
    <w:rsid w:val="17342000"/>
    <w:rsid w:val="17FC5430"/>
    <w:rsid w:val="18FE25F4"/>
    <w:rsid w:val="18FF7C03"/>
    <w:rsid w:val="1B170957"/>
    <w:rsid w:val="1B354528"/>
    <w:rsid w:val="1B872A53"/>
    <w:rsid w:val="1BB150AD"/>
    <w:rsid w:val="1CDD4B21"/>
    <w:rsid w:val="1CF821D0"/>
    <w:rsid w:val="1D9F5704"/>
    <w:rsid w:val="1DF171E1"/>
    <w:rsid w:val="1E8D49B6"/>
    <w:rsid w:val="1F762559"/>
    <w:rsid w:val="1F8A58B4"/>
    <w:rsid w:val="20F86D1E"/>
    <w:rsid w:val="215D02E3"/>
    <w:rsid w:val="21BA4C7F"/>
    <w:rsid w:val="22230579"/>
    <w:rsid w:val="22426FAA"/>
    <w:rsid w:val="22C04FD3"/>
    <w:rsid w:val="22F90C9D"/>
    <w:rsid w:val="24797A3B"/>
    <w:rsid w:val="259174CE"/>
    <w:rsid w:val="26C9240A"/>
    <w:rsid w:val="26F7753D"/>
    <w:rsid w:val="27944D06"/>
    <w:rsid w:val="27A70F6C"/>
    <w:rsid w:val="2A7F1CED"/>
    <w:rsid w:val="2A993658"/>
    <w:rsid w:val="2B1C1DE9"/>
    <w:rsid w:val="2B593921"/>
    <w:rsid w:val="2B931AAB"/>
    <w:rsid w:val="2C0E78E6"/>
    <w:rsid w:val="2CB057C0"/>
    <w:rsid w:val="2D7B6146"/>
    <w:rsid w:val="2D7C59C7"/>
    <w:rsid w:val="2E2B69F7"/>
    <w:rsid w:val="2ED97B6E"/>
    <w:rsid w:val="2FB30728"/>
    <w:rsid w:val="2FB71A88"/>
    <w:rsid w:val="2FBF567C"/>
    <w:rsid w:val="326B086E"/>
    <w:rsid w:val="328C0644"/>
    <w:rsid w:val="332708C4"/>
    <w:rsid w:val="344B3DEB"/>
    <w:rsid w:val="3492289C"/>
    <w:rsid w:val="34CB1BC2"/>
    <w:rsid w:val="34EB13C5"/>
    <w:rsid w:val="350D24B1"/>
    <w:rsid w:val="35761CE8"/>
    <w:rsid w:val="35B10568"/>
    <w:rsid w:val="362A2342"/>
    <w:rsid w:val="36466F12"/>
    <w:rsid w:val="374215BA"/>
    <w:rsid w:val="379E329E"/>
    <w:rsid w:val="37CE0D41"/>
    <w:rsid w:val="37D75F5F"/>
    <w:rsid w:val="387F6B26"/>
    <w:rsid w:val="38B50A40"/>
    <w:rsid w:val="393F0716"/>
    <w:rsid w:val="39A3194E"/>
    <w:rsid w:val="3AA569AE"/>
    <w:rsid w:val="3B97204A"/>
    <w:rsid w:val="3BBC2E15"/>
    <w:rsid w:val="3DF03593"/>
    <w:rsid w:val="3EA06908"/>
    <w:rsid w:val="3EF87754"/>
    <w:rsid w:val="3F8D0D09"/>
    <w:rsid w:val="3FEA2F13"/>
    <w:rsid w:val="3FEC0974"/>
    <w:rsid w:val="40452990"/>
    <w:rsid w:val="4061783E"/>
    <w:rsid w:val="41BF3A47"/>
    <w:rsid w:val="41E0288E"/>
    <w:rsid w:val="428462AA"/>
    <w:rsid w:val="44970B03"/>
    <w:rsid w:val="45C71ADB"/>
    <w:rsid w:val="46C05C69"/>
    <w:rsid w:val="47DC1881"/>
    <w:rsid w:val="48704822"/>
    <w:rsid w:val="489C7AC9"/>
    <w:rsid w:val="49624118"/>
    <w:rsid w:val="499B3B5C"/>
    <w:rsid w:val="4A51633F"/>
    <w:rsid w:val="4C260A78"/>
    <w:rsid w:val="4EC41584"/>
    <w:rsid w:val="4FB74C9F"/>
    <w:rsid w:val="501E4392"/>
    <w:rsid w:val="514820C1"/>
    <w:rsid w:val="53553298"/>
    <w:rsid w:val="53A5286F"/>
    <w:rsid w:val="53C04830"/>
    <w:rsid w:val="53CA6FF2"/>
    <w:rsid w:val="54066171"/>
    <w:rsid w:val="54CC1497"/>
    <w:rsid w:val="56D86418"/>
    <w:rsid w:val="5754578A"/>
    <w:rsid w:val="57D31153"/>
    <w:rsid w:val="586527DD"/>
    <w:rsid w:val="588C0F45"/>
    <w:rsid w:val="58D7719D"/>
    <w:rsid w:val="59253A5E"/>
    <w:rsid w:val="592D0269"/>
    <w:rsid w:val="59660C23"/>
    <w:rsid w:val="59AE63E2"/>
    <w:rsid w:val="5AAE5BB6"/>
    <w:rsid w:val="5AB101BF"/>
    <w:rsid w:val="5C454B66"/>
    <w:rsid w:val="5C6E6A2C"/>
    <w:rsid w:val="5D8018C2"/>
    <w:rsid w:val="5D806A98"/>
    <w:rsid w:val="5DDA52E8"/>
    <w:rsid w:val="5E4821B0"/>
    <w:rsid w:val="5EBE7D7C"/>
    <w:rsid w:val="5F2968CA"/>
    <w:rsid w:val="605731A9"/>
    <w:rsid w:val="60D25446"/>
    <w:rsid w:val="62347140"/>
    <w:rsid w:val="624C77A2"/>
    <w:rsid w:val="628F6E56"/>
    <w:rsid w:val="62CA5E4E"/>
    <w:rsid w:val="62FF468D"/>
    <w:rsid w:val="63614FED"/>
    <w:rsid w:val="64232AC7"/>
    <w:rsid w:val="642E007C"/>
    <w:rsid w:val="648063E1"/>
    <w:rsid w:val="64BB1199"/>
    <w:rsid w:val="64F74080"/>
    <w:rsid w:val="654D1CB1"/>
    <w:rsid w:val="655F4AB6"/>
    <w:rsid w:val="658D1116"/>
    <w:rsid w:val="67316D97"/>
    <w:rsid w:val="675C32DF"/>
    <w:rsid w:val="682821AC"/>
    <w:rsid w:val="684966B7"/>
    <w:rsid w:val="68DD3F00"/>
    <w:rsid w:val="69543444"/>
    <w:rsid w:val="69EE04B3"/>
    <w:rsid w:val="6C775A78"/>
    <w:rsid w:val="6D790D6F"/>
    <w:rsid w:val="6D895E7E"/>
    <w:rsid w:val="6D8F6DFA"/>
    <w:rsid w:val="6D934136"/>
    <w:rsid w:val="6E696A04"/>
    <w:rsid w:val="6F3A130C"/>
    <w:rsid w:val="6F5E3B6F"/>
    <w:rsid w:val="6F626AC7"/>
    <w:rsid w:val="6F8652B4"/>
    <w:rsid w:val="6FB50910"/>
    <w:rsid w:val="70C448DE"/>
    <w:rsid w:val="70ED6052"/>
    <w:rsid w:val="711D2066"/>
    <w:rsid w:val="71BD60FA"/>
    <w:rsid w:val="72255394"/>
    <w:rsid w:val="74AD1F08"/>
    <w:rsid w:val="756B6857"/>
    <w:rsid w:val="76253510"/>
    <w:rsid w:val="765322B8"/>
    <w:rsid w:val="77B76185"/>
    <w:rsid w:val="77BE75E1"/>
    <w:rsid w:val="77C041FA"/>
    <w:rsid w:val="78095C5D"/>
    <w:rsid w:val="7831377F"/>
    <w:rsid w:val="793756C3"/>
    <w:rsid w:val="79B66D3C"/>
    <w:rsid w:val="7AF24363"/>
    <w:rsid w:val="7F9B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0"/>
    <w:uiPriority w:val="0"/>
    <w:rPr>
      <w:rFonts w:ascii="宋体"/>
      <w:sz w:val="18"/>
      <w:szCs w:val="18"/>
    </w:rPr>
  </w:style>
  <w:style w:type="paragraph" w:styleId="3">
    <w:name w:val="Body Text"/>
    <w:basedOn w:val="1"/>
    <w:link w:val="18"/>
    <w:uiPriority w:val="0"/>
    <w:pPr>
      <w:spacing w:after="120"/>
    </w:pPr>
    <w:rPr>
      <w:rFonts w:ascii="Times New Roman" w:hAnsi="Times New Roman" w:eastAsia="宋体" w:cs="Times New Roman"/>
      <w:szCs w:val="24"/>
    </w:rPr>
  </w:style>
  <w:style w:type="paragraph" w:styleId="4">
    <w:name w:val="Date"/>
    <w:basedOn w:val="1"/>
    <w:next w:val="1"/>
    <w:link w:val="17"/>
    <w:semiHidden/>
    <w:unhideWhenUsed/>
    <w:uiPriority w:val="99"/>
    <w:pPr>
      <w:ind w:left="100" w:leftChars="2500"/>
    </w:pPr>
  </w:style>
  <w:style w:type="paragraph" w:styleId="5">
    <w:name w:val="Body Text Indent 2"/>
    <w:basedOn w:val="1"/>
    <w:link w:val="31"/>
    <w:uiPriority w:val="0"/>
    <w:pPr>
      <w:ind w:firstLine="640" w:firstLineChars="200"/>
    </w:pPr>
    <w:rPr>
      <w:rFonts w:ascii="楷体_GB2312" w:hAnsi="Courier New" w:eastAsia="楷体_GB2312"/>
      <w:sz w:val="32"/>
    </w:rPr>
  </w:style>
  <w:style w:type="paragraph" w:styleId="6">
    <w:name w:val="Balloon Text"/>
    <w:basedOn w:val="1"/>
    <w:link w:val="19"/>
    <w:semiHidden/>
    <w:unhideWhenUsed/>
    <w:uiPriority w:val="0"/>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3"/>
    <w:qFormat/>
    <w:uiPriority w:val="11"/>
    <w:pPr>
      <w:spacing w:before="240" w:after="60" w:line="312" w:lineRule="auto"/>
      <w:jc w:val="center"/>
      <w:outlineLvl w:val="1"/>
    </w:pPr>
    <w:rPr>
      <w:rFonts w:ascii="Cambria" w:hAnsi="Cambria"/>
      <w:b/>
      <w:bCs/>
      <w:kern w:val="28"/>
      <w:sz w:val="32"/>
      <w:szCs w:val="32"/>
    </w:rPr>
  </w:style>
  <w:style w:type="paragraph" w:styleId="10">
    <w:name w:val="Title"/>
    <w:basedOn w:val="1"/>
    <w:next w:val="1"/>
    <w:link w:val="32"/>
    <w:qFormat/>
    <w:uiPriority w:val="0"/>
    <w:pPr>
      <w:spacing w:before="240" w:after="60"/>
      <w:jc w:val="center"/>
      <w:outlineLvl w:val="0"/>
    </w:pPr>
    <w:rPr>
      <w:rFonts w:ascii="Cambria" w:hAnsi="Cambria"/>
      <w:b/>
      <w:bCs/>
      <w:sz w:val="32"/>
      <w:szCs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uiPriority w:val="0"/>
  </w:style>
  <w:style w:type="character" w:customStyle="1" w:styleId="15">
    <w:name w:val="页眉 Char"/>
    <w:basedOn w:val="13"/>
    <w:link w:val="8"/>
    <w:uiPriority w:val="0"/>
    <w:rPr>
      <w:sz w:val="18"/>
      <w:szCs w:val="18"/>
    </w:rPr>
  </w:style>
  <w:style w:type="character" w:customStyle="1" w:styleId="16">
    <w:name w:val="页脚 Char"/>
    <w:basedOn w:val="13"/>
    <w:link w:val="7"/>
    <w:qFormat/>
    <w:uiPriority w:val="0"/>
    <w:rPr>
      <w:sz w:val="18"/>
      <w:szCs w:val="18"/>
    </w:rPr>
  </w:style>
  <w:style w:type="character" w:customStyle="1" w:styleId="17">
    <w:name w:val="日期 Char"/>
    <w:basedOn w:val="13"/>
    <w:link w:val="4"/>
    <w:semiHidden/>
    <w:qFormat/>
    <w:uiPriority w:val="99"/>
  </w:style>
  <w:style w:type="character" w:customStyle="1" w:styleId="18">
    <w:name w:val="正文文本 Char"/>
    <w:basedOn w:val="13"/>
    <w:link w:val="3"/>
    <w:qFormat/>
    <w:uiPriority w:val="0"/>
    <w:rPr>
      <w:rFonts w:ascii="Times New Roman" w:hAnsi="Times New Roman" w:eastAsia="宋体" w:cs="Times New Roman"/>
      <w:szCs w:val="24"/>
    </w:rPr>
  </w:style>
  <w:style w:type="character" w:customStyle="1" w:styleId="19">
    <w:name w:val="批注框文本 Char"/>
    <w:basedOn w:val="13"/>
    <w:link w:val="6"/>
    <w:semiHidden/>
    <w:qFormat/>
    <w:uiPriority w:val="0"/>
    <w:rPr>
      <w:sz w:val="18"/>
      <w:szCs w:val="18"/>
    </w:rPr>
  </w:style>
  <w:style w:type="paragraph" w:styleId="20">
    <w:name w:val="List Paragraph"/>
    <w:basedOn w:val="1"/>
    <w:qFormat/>
    <w:uiPriority w:val="34"/>
    <w:pPr>
      <w:ind w:firstLine="420" w:firstLineChars="200"/>
    </w:pPr>
  </w:style>
  <w:style w:type="paragraph" w:customStyle="1" w:styleId="21">
    <w:name w:val="Char"/>
    <w:basedOn w:val="1"/>
    <w:qFormat/>
    <w:uiPriority w:val="0"/>
    <w:rPr>
      <w:rFonts w:ascii="Tahoma" w:hAnsi="Tahoma" w:eastAsia="宋体" w:cs="Times New Roman"/>
      <w:sz w:val="24"/>
      <w:szCs w:val="20"/>
    </w:rPr>
  </w:style>
  <w:style w:type="paragraph" w:customStyle="1" w:styleId="22">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3">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4">
    <w:name w:val="p0{858D7CFB-ED40-4347-BF05-701D383B685F}"/>
    <w:link w:val="25"/>
    <w:qFormat/>
    <w:uiPriority w:val="0"/>
    <w:rPr>
      <w:szCs w:val="21"/>
    </w:rPr>
  </w:style>
  <w:style w:type="paragraph" w:customStyle="1" w:styleId="25">
    <w:name w:val="p0"/>
    <w:basedOn w:val="1"/>
    <w:link w:val="24"/>
    <w:qFormat/>
    <w:uiPriority w:val="0"/>
    <w:pPr>
      <w:widowControl/>
    </w:pPr>
    <w:rPr>
      <w:szCs w:val="21"/>
    </w:rPr>
  </w:style>
  <w:style w:type="character" w:customStyle="1" w:styleId="26">
    <w:name w:val="标题 Char"/>
    <w:link w:val="10"/>
    <w:qFormat/>
    <w:uiPriority w:val="0"/>
    <w:rPr>
      <w:rFonts w:ascii="Cambria" w:hAnsi="Cambria"/>
      <w:b/>
      <w:bCs/>
      <w:sz w:val="32"/>
      <w:szCs w:val="32"/>
    </w:rPr>
  </w:style>
  <w:style w:type="character" w:customStyle="1" w:styleId="27">
    <w:name w:val="文档结构图 Char"/>
    <w:link w:val="2"/>
    <w:qFormat/>
    <w:uiPriority w:val="0"/>
    <w:rPr>
      <w:rFonts w:ascii="宋体"/>
      <w:sz w:val="18"/>
      <w:szCs w:val="18"/>
    </w:rPr>
  </w:style>
  <w:style w:type="character" w:customStyle="1" w:styleId="28">
    <w:name w:val="副标题 Char"/>
    <w:link w:val="9"/>
    <w:qFormat/>
    <w:uiPriority w:val="11"/>
    <w:rPr>
      <w:rFonts w:ascii="Cambria" w:hAnsi="Cambria"/>
      <w:b/>
      <w:bCs/>
      <w:kern w:val="28"/>
      <w:sz w:val="32"/>
      <w:szCs w:val="32"/>
    </w:rPr>
  </w:style>
  <w:style w:type="character" w:customStyle="1" w:styleId="29">
    <w:name w:val="正文文本缩进 2 Char"/>
    <w:link w:val="5"/>
    <w:qFormat/>
    <w:uiPriority w:val="0"/>
    <w:rPr>
      <w:rFonts w:ascii="楷体_GB2312" w:hAnsi="Courier New" w:eastAsia="楷体_GB2312"/>
      <w:sz w:val="32"/>
    </w:rPr>
  </w:style>
  <w:style w:type="character" w:customStyle="1" w:styleId="30">
    <w:name w:val="文档结构图 Char1"/>
    <w:basedOn w:val="13"/>
    <w:link w:val="2"/>
    <w:semiHidden/>
    <w:qFormat/>
    <w:uiPriority w:val="99"/>
    <w:rPr>
      <w:rFonts w:ascii="宋体" w:eastAsia="宋体"/>
      <w:sz w:val="18"/>
      <w:szCs w:val="18"/>
    </w:rPr>
  </w:style>
  <w:style w:type="character" w:customStyle="1" w:styleId="31">
    <w:name w:val="正文文本缩进 2 Char1"/>
    <w:basedOn w:val="13"/>
    <w:link w:val="5"/>
    <w:semiHidden/>
    <w:qFormat/>
    <w:uiPriority w:val="99"/>
  </w:style>
  <w:style w:type="character" w:customStyle="1" w:styleId="32">
    <w:name w:val="标题 Char1"/>
    <w:basedOn w:val="13"/>
    <w:link w:val="10"/>
    <w:qFormat/>
    <w:uiPriority w:val="10"/>
    <w:rPr>
      <w:rFonts w:eastAsia="宋体" w:asciiTheme="majorHAnsi" w:hAnsiTheme="majorHAnsi" w:cstheme="majorBidi"/>
      <w:b/>
      <w:bCs/>
      <w:sz w:val="32"/>
      <w:szCs w:val="32"/>
    </w:rPr>
  </w:style>
  <w:style w:type="character" w:customStyle="1" w:styleId="33">
    <w:name w:val="副标题 Char1"/>
    <w:basedOn w:val="13"/>
    <w:link w:val="9"/>
    <w:qFormat/>
    <w:uiPriority w:val="11"/>
    <w:rPr>
      <w:rFonts w:eastAsia="宋体" w:asciiTheme="majorHAnsi" w:hAnsiTheme="majorHAnsi" w:cstheme="majorBidi"/>
      <w:b/>
      <w:bCs/>
      <w:kern w:val="28"/>
      <w:sz w:val="32"/>
      <w:szCs w:val="32"/>
    </w:rPr>
  </w:style>
  <w:style w:type="character" w:customStyle="1" w:styleId="34">
    <w:name w:val="font11"/>
    <w:basedOn w:val="1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a:t>收、支决算总计变动情况图</a:t>
            </a:r>
            <a:endParaRPr lang="zh-CN" altLang="en-US" sz="1600"/>
          </a:p>
        </c:rich>
      </c:tx>
      <c:layout/>
      <c:overlay val="0"/>
    </c:title>
    <c:autoTitleDeleted val="0"/>
    <c:plotArea>
      <c:layout/>
      <c:barChart>
        <c:barDir val="col"/>
        <c:grouping val="clustered"/>
        <c:varyColors val="0"/>
        <c:ser>
          <c:idx val="0"/>
          <c:order val="0"/>
          <c:tx>
            <c:strRef>
              <c:f>Sheet1!$B$1</c:f>
              <c:strCache>
                <c:ptCount val="1"/>
                <c:pt idx="0">
                  <c:v>2019年</c:v>
                </c:pt>
              </c:strCache>
            </c:strRef>
          </c:tx>
          <c:invertIfNegative val="0"/>
          <c:dLbls>
            <c:delete val="1"/>
          </c:dLbls>
          <c:cat>
            <c:strRef>
              <c:f>Sheet1!$A$2</c:f>
              <c:strCache>
                <c:ptCount val="1"/>
                <c:pt idx="0">
                  <c:v>收入、支出总计</c:v>
                </c:pt>
              </c:strCache>
            </c:strRef>
          </c:cat>
          <c:val>
            <c:numRef>
              <c:f>Sheet1!$B$2</c:f>
              <c:numCache>
                <c:formatCode>General</c:formatCode>
                <c:ptCount val="1"/>
                <c:pt idx="0">
                  <c:v>1192.95</c:v>
                </c:pt>
              </c:numCache>
            </c:numRef>
          </c:val>
        </c:ser>
        <c:ser>
          <c:idx val="1"/>
          <c:order val="1"/>
          <c:tx>
            <c:strRef>
              <c:f>Sheet1!$C$1</c:f>
              <c:strCache>
                <c:ptCount val="1"/>
                <c:pt idx="0">
                  <c:v>2020年</c:v>
                </c:pt>
              </c:strCache>
            </c:strRef>
          </c:tx>
          <c:invertIfNegative val="0"/>
          <c:dLbls>
            <c:delete val="1"/>
          </c:dLbls>
          <c:cat>
            <c:strRef>
              <c:f>Sheet1!$A$2</c:f>
              <c:strCache>
                <c:ptCount val="1"/>
                <c:pt idx="0">
                  <c:v>收入、支出总计</c:v>
                </c:pt>
              </c:strCache>
            </c:strRef>
          </c:cat>
          <c:val>
            <c:numRef>
              <c:f>Sheet1!$C$2</c:f>
              <c:numCache>
                <c:formatCode>General</c:formatCode>
                <c:ptCount val="1"/>
                <c:pt idx="0">
                  <c:v>577.49</c:v>
                </c:pt>
              </c:numCache>
            </c:numRef>
          </c:val>
        </c:ser>
        <c:dLbls>
          <c:showLegendKey val="0"/>
          <c:showVal val="0"/>
          <c:showCatName val="0"/>
          <c:showSerName val="0"/>
          <c:showPercent val="0"/>
          <c:showBubbleSize val="0"/>
        </c:dLbls>
        <c:gapWidth val="150"/>
        <c:axId val="61757312"/>
        <c:axId val="61807616"/>
      </c:barChart>
      <c:catAx>
        <c:axId val="617573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807616"/>
        <c:crosses val="autoZero"/>
        <c:auto val="1"/>
        <c:lblAlgn val="ctr"/>
        <c:lblOffset val="100"/>
        <c:noMultiLvlLbl val="0"/>
      </c:catAx>
      <c:valAx>
        <c:axId val="618076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7573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a:t>本年收入决算结构图</a:t>
            </a:r>
            <a:endParaRPr lang="zh-CN" altLang="en-US" sz="1600"/>
          </a:p>
        </c:rich>
      </c:tx>
      <c:layout/>
      <c:overlay val="0"/>
    </c:title>
    <c:autoTitleDeleted val="0"/>
    <c:plotArea>
      <c:layout/>
      <c:pieChart>
        <c:varyColors val="1"/>
        <c:ser>
          <c:idx val="0"/>
          <c:order val="0"/>
          <c:tx>
            <c:strRef>
              <c:f>Sheet1!$B$1</c:f>
              <c:strCache>
                <c:ptCount val="1"/>
                <c:pt idx="0">
                  <c:v>本年收入合计</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财政拨款收入</c:v>
                </c:pt>
              </c:strCache>
            </c:strRef>
          </c:cat>
          <c:val>
            <c:numRef>
              <c:f>Sheet1!$B$2</c:f>
              <c:numCache>
                <c:formatCode>General</c:formatCode>
                <c:ptCount val="1"/>
                <c:pt idx="0">
                  <c:v>1094.91</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a:t>本年支出决算结构图</a:t>
            </a:r>
            <a:endParaRPr lang="zh-CN" altLang="en-US" sz="1600"/>
          </a:p>
        </c:rich>
      </c:tx>
      <c:layout/>
      <c:overlay val="0"/>
    </c:title>
    <c:autoTitleDeleted val="0"/>
    <c:plotArea>
      <c:layout/>
      <c:pieChart>
        <c:varyColors val="1"/>
        <c:ser>
          <c:idx val="0"/>
          <c:order val="0"/>
          <c:tx>
            <c:strRef>
              <c:f>Sheet1!$B$1</c:f>
              <c:strCache>
                <c:ptCount val="1"/>
                <c:pt idx="0">
                  <c:v>本年支出合计</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258.85</c:v>
                </c:pt>
                <c:pt idx="1">
                  <c:v>190.44</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a:t>财政拨款收入支出决算总体情况图</a:t>
            </a:r>
            <a:endParaRPr lang="zh-CN" altLang="en-US" sz="1600"/>
          </a:p>
        </c:rich>
      </c:tx>
      <c:layout>
        <c:manualLayout>
          <c:xMode val="edge"/>
          <c:yMode val="edge"/>
          <c:x val="0.182466252085545"/>
          <c:y val="0.0327868852459016"/>
        </c:manualLayout>
      </c:layout>
      <c:overlay val="0"/>
    </c:title>
    <c:autoTitleDeleted val="0"/>
    <c:plotArea>
      <c:layout>
        <c:manualLayout>
          <c:layoutTarget val="inner"/>
          <c:xMode val="edge"/>
          <c:yMode val="edge"/>
          <c:x val="0.133171545578644"/>
          <c:y val="0.390710382513661"/>
          <c:w val="0.862278173820719"/>
          <c:h val="0.478142076502732"/>
        </c:manualLayout>
      </c:layout>
      <c:barChart>
        <c:barDir val="col"/>
        <c:grouping val="clustered"/>
        <c:varyColors val="0"/>
        <c:ser>
          <c:idx val="0"/>
          <c:order val="0"/>
          <c:tx>
            <c:strRef>
              <c:f>Sheet1!$B$1</c:f>
              <c:strCache>
                <c:ptCount val="1"/>
                <c:pt idx="0">
                  <c:v>一般公共预算财政拨款收支（万元）</c:v>
                </c:pt>
              </c:strCache>
            </c:strRef>
          </c:tx>
          <c:invertIfNegative val="0"/>
          <c:dLbls>
            <c:delete val="1"/>
          </c:dLbls>
          <c:cat>
            <c:strRef>
              <c:f>Sheet1!$A$2:$A$3</c:f>
              <c:strCache>
                <c:ptCount val="2"/>
                <c:pt idx="0">
                  <c:v>2019年</c:v>
                </c:pt>
                <c:pt idx="1">
                  <c:v>2020年</c:v>
                </c:pt>
              </c:strCache>
            </c:strRef>
          </c:cat>
          <c:val>
            <c:numRef>
              <c:f>Sheet1!$B$2:$B$3</c:f>
              <c:numCache>
                <c:formatCode>General</c:formatCode>
                <c:ptCount val="2"/>
                <c:pt idx="0">
                  <c:v>1192.95</c:v>
                </c:pt>
                <c:pt idx="1">
                  <c:v>577.49</c:v>
                </c:pt>
              </c:numCache>
            </c:numRef>
          </c:val>
        </c:ser>
        <c:dLbls>
          <c:showLegendKey val="0"/>
          <c:showVal val="0"/>
          <c:showCatName val="0"/>
          <c:showSerName val="0"/>
          <c:showPercent val="0"/>
          <c:showBubbleSize val="0"/>
        </c:dLbls>
        <c:gapWidth val="150"/>
        <c:axId val="55579008"/>
        <c:axId val="55580544"/>
      </c:barChart>
      <c:catAx>
        <c:axId val="555790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580544"/>
        <c:crosses val="autoZero"/>
        <c:auto val="1"/>
        <c:lblAlgn val="ctr"/>
        <c:lblOffset val="100"/>
        <c:noMultiLvlLbl val="0"/>
      </c:catAx>
      <c:valAx>
        <c:axId val="555805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57900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a:t>财政拨款支出决算变动情况图</a:t>
            </a:r>
            <a:endParaRPr lang="zh-CN" altLang="en-US" sz="1600"/>
          </a:p>
        </c:rich>
      </c:tx>
      <c:layout>
        <c:manualLayout>
          <c:xMode val="edge"/>
          <c:yMode val="edge"/>
          <c:x val="0.182466252085545"/>
          <c:y val="0.0327868852459016"/>
        </c:manualLayout>
      </c:layout>
      <c:overlay val="0"/>
    </c:title>
    <c:autoTitleDeleted val="0"/>
    <c:plotArea>
      <c:layout/>
      <c:barChart>
        <c:barDir val="col"/>
        <c:grouping val="clustered"/>
        <c:varyColors val="0"/>
        <c:ser>
          <c:idx val="0"/>
          <c:order val="0"/>
          <c:tx>
            <c:strRef>
              <c:f>Sheet1!$B$1</c:f>
              <c:strCache>
                <c:ptCount val="1"/>
                <c:pt idx="0">
                  <c:v>一般公共预算财政拨款收支（万元）</c:v>
                </c:pt>
              </c:strCache>
            </c:strRef>
          </c:tx>
          <c:invertIfNegative val="0"/>
          <c:dLbls>
            <c:delete val="1"/>
          </c:dLbls>
          <c:cat>
            <c:strRef>
              <c:f>Sheet1!$A$2:$A$3</c:f>
              <c:strCache>
                <c:ptCount val="2"/>
                <c:pt idx="0">
                  <c:v>2019年</c:v>
                </c:pt>
                <c:pt idx="1">
                  <c:v>2020年</c:v>
                </c:pt>
              </c:strCache>
            </c:strRef>
          </c:cat>
          <c:val>
            <c:numRef>
              <c:f>Sheet1!$B$2:$B$3</c:f>
              <c:numCache>
                <c:formatCode>General</c:formatCode>
                <c:ptCount val="2"/>
                <c:pt idx="0">
                  <c:v>893.3</c:v>
                </c:pt>
                <c:pt idx="1">
                  <c:v>449.29</c:v>
                </c:pt>
              </c:numCache>
            </c:numRef>
          </c:val>
        </c:ser>
        <c:dLbls>
          <c:showLegendKey val="0"/>
          <c:showVal val="0"/>
          <c:showCatName val="0"/>
          <c:showSerName val="0"/>
          <c:showPercent val="0"/>
          <c:showBubbleSize val="0"/>
        </c:dLbls>
        <c:gapWidth val="150"/>
        <c:axId val="55579008"/>
        <c:axId val="55580544"/>
      </c:barChart>
      <c:catAx>
        <c:axId val="555790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580544"/>
        <c:crosses val="autoZero"/>
        <c:auto val="1"/>
        <c:lblAlgn val="ctr"/>
        <c:lblOffset val="100"/>
        <c:noMultiLvlLbl val="0"/>
      </c:catAx>
      <c:valAx>
        <c:axId val="555805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579008"/>
        <c:crosses val="autoZero"/>
        <c:crossBetween val="between"/>
      </c:valAx>
    </c:plotArea>
    <c:legend>
      <c:legendPos val="r"/>
      <c:layout>
        <c:manualLayout>
          <c:xMode val="edge"/>
          <c:yMode val="edge"/>
          <c:x val="0.658518705569967"/>
          <c:y val="0.498574579229412"/>
          <c:w val="0.298462874428409"/>
          <c:h val="0.31297629186433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a:t>财政拨款支出决算结构图</a:t>
            </a:r>
            <a:endParaRPr lang="zh-CN" altLang="en-US" sz="1600"/>
          </a:p>
        </c:rich>
      </c:tx>
      <c:layout>
        <c:manualLayout>
          <c:xMode val="edge"/>
          <c:yMode val="edge"/>
          <c:x val="0.230535894843276"/>
          <c:y val="0.0112191473448018"/>
        </c:manualLayout>
      </c:layout>
      <c:overlay val="0"/>
    </c:title>
    <c:autoTitleDeleted val="0"/>
    <c:plotArea>
      <c:layout/>
      <c:pieChart>
        <c:varyColors val="1"/>
        <c:ser>
          <c:idx val="0"/>
          <c:order val="0"/>
          <c:tx>
            <c:strRef>
              <c:f>Sheet1!$B$1</c:f>
              <c:strCache>
                <c:ptCount val="1"/>
                <c:pt idx="0">
                  <c:v>本年支出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一般公共服务支出</c:v>
                </c:pt>
                <c:pt idx="1">
                  <c:v>公共安全支出</c:v>
                </c:pt>
              </c:strCache>
            </c:strRef>
          </c:cat>
          <c:val>
            <c:numRef>
              <c:f>Sheet1!$B$2:$B$3</c:f>
              <c:numCache>
                <c:formatCode>General</c:formatCode>
                <c:ptCount val="2"/>
                <c:pt idx="0">
                  <c:v>43.76</c:v>
                </c:pt>
                <c:pt idx="1">
                  <c:v>405.54</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9C764-D7D0-4648-928A-040154C7F8B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3570</Words>
  <Characters>20349</Characters>
  <Lines>169</Lines>
  <Paragraphs>47</Paragraphs>
  <TotalTime>10</TotalTime>
  <ScaleCrop>false</ScaleCrop>
  <LinksUpToDate>false</LinksUpToDate>
  <CharactersWithSpaces>23872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2013-10-28T04:29:00Z</dcterms:created>
  <dc:creator>微软用户</dc:creator>
  <cp:lastModifiedBy>Administrator</cp:lastModifiedBy>
  <cp:lastPrinted>2021-07-08T06:35:00Z</cp:lastPrinted>
  <dcterms:modified xsi:type="dcterms:W3CDTF">2021-09-02T10:05:33Z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D02D15C19C434276824D77856DA9A978</vt:lpwstr>
  </property>
</Properties>
</file>