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5E0F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center"/>
        <w:rPr>
          <w:rFonts w:hint="default" w:ascii="Times New Roman" w:hAnsi="Times New Roman" w:eastAsia="微软雅黑" w:cs="Times New Roman"/>
          <w:b/>
          <w:bCs/>
          <w:color w:val="auto"/>
          <w:sz w:val="84"/>
          <w:szCs w:val="84"/>
        </w:rPr>
      </w:pPr>
    </w:p>
    <w:p w14:paraId="70A133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center"/>
        <w:rPr>
          <w:rFonts w:hint="default" w:ascii="Times New Roman" w:hAnsi="Times New Roman" w:eastAsia="微软雅黑" w:cs="Times New Roman"/>
          <w:b/>
          <w:bCs/>
          <w:color w:val="auto"/>
          <w:sz w:val="84"/>
          <w:szCs w:val="84"/>
        </w:rPr>
      </w:pPr>
    </w:p>
    <w:p w14:paraId="6980D2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center"/>
        <w:rPr>
          <w:rFonts w:hint="default" w:ascii="Times New Roman" w:hAnsi="Times New Roman" w:eastAsia="微软雅黑" w:cs="Times New Roman"/>
          <w:b/>
          <w:bCs/>
          <w:color w:val="auto"/>
          <w:sz w:val="84"/>
          <w:szCs w:val="84"/>
        </w:rPr>
      </w:pPr>
    </w:p>
    <w:p w14:paraId="72D5AC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center"/>
        <w:rPr>
          <w:rFonts w:hint="default" w:ascii="Times New Roman" w:hAnsi="Times New Roman" w:cs="Times New Roman"/>
          <w:sz w:val="84"/>
          <w:szCs w:val="84"/>
        </w:rPr>
        <w:sectPr>
          <w:pgSz w:w="11906" w:h="16838"/>
          <w:pgMar w:top="1440" w:right="1576" w:bottom="1440" w:left="1576" w:header="851" w:footer="992" w:gutter="0"/>
          <w:cols w:space="425" w:num="1"/>
          <w:docGrid w:type="lines" w:linePitch="312" w:charSpace="0"/>
        </w:sectPr>
      </w:pPr>
      <w:r>
        <w:rPr>
          <w:rFonts w:hint="default" w:ascii="Times New Roman" w:hAnsi="Times New Roman" w:cs="Times New Roman"/>
          <w:sz w:val="84"/>
          <w:szCs w:val="84"/>
        </w:rPr>
        <w:t>202</w:t>
      </w:r>
      <w:r>
        <w:rPr>
          <w:rFonts w:hint="eastAsia" w:cs="Times New Roman"/>
          <w:sz w:val="84"/>
          <w:szCs w:val="84"/>
          <w:lang w:val="en-US" w:eastAsia="zh-CN"/>
        </w:rPr>
        <w:t>6</w:t>
      </w:r>
      <w:r>
        <w:rPr>
          <w:rFonts w:hint="default" w:ascii="Times New Roman" w:hAnsi="Times New Roman" w:cs="Times New Roman"/>
          <w:sz w:val="84"/>
          <w:szCs w:val="84"/>
        </w:rPr>
        <w:t>年</w:t>
      </w:r>
      <w:r>
        <w:rPr>
          <w:rFonts w:hint="default" w:ascii="Times New Roman" w:hAnsi="Times New Roman" w:cs="Times New Roman"/>
          <w:sz w:val="84"/>
          <w:szCs w:val="84"/>
          <w:lang w:eastAsia="zh-CN"/>
        </w:rPr>
        <w:t>泗水县</w:t>
      </w:r>
      <w:r>
        <w:rPr>
          <w:rFonts w:hint="eastAsia" w:cs="Times New Roman"/>
          <w:sz w:val="84"/>
          <w:szCs w:val="84"/>
          <w:lang w:val="en-US" w:eastAsia="zh-CN"/>
        </w:rPr>
        <w:t>金庄镇</w:t>
      </w:r>
      <w:r>
        <w:rPr>
          <w:rFonts w:hint="default" w:ascii="Times New Roman" w:hAnsi="Times New Roman" w:cs="Times New Roman"/>
          <w:sz w:val="84"/>
          <w:szCs w:val="84"/>
        </w:rPr>
        <w:t>部门“三公”经费预算公开</w:t>
      </w:r>
    </w:p>
    <w:p w14:paraId="559D1AA6">
      <w:pPr>
        <w:spacing w:line="360" w:lineRule="auto"/>
        <w:ind w:firstLine="600"/>
        <w:rPr>
          <w:rFonts w:hint="default" w:ascii="Times New Roman" w:hAnsi="Times New Roman" w:eastAsia="黑体" w:cs="Times New Roman"/>
          <w:sz w:val="44"/>
          <w:szCs w:val="44"/>
        </w:rPr>
      </w:pPr>
      <w:r>
        <w:rPr>
          <w:rFonts w:hint="default" w:ascii="Times New Roman" w:hAnsi="Times New Roman" w:eastAsia="黑体" w:cs="Times New Roman"/>
          <w:sz w:val="44"/>
          <w:szCs w:val="44"/>
        </w:rPr>
        <w:t>财政拨款安排的“三公”经费情况</w:t>
      </w:r>
    </w:p>
    <w:p w14:paraId="240ED7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3" w:firstLineChars="200"/>
        <w:jc w:val="left"/>
        <w:textAlignment w:val="auto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 xml:space="preserve">二、“三公”经费支出情况 </w:t>
      </w:r>
    </w:p>
    <w:p w14:paraId="58B10F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jc w:val="left"/>
        <w:textAlignment w:val="auto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z w:val="32"/>
          <w:szCs w:val="32"/>
        </w:rPr>
        <w:t>2026年通过一般公共预算财政拨款安排的“三公”经费预算共1万元，</w:t>
      </w:r>
      <w:bookmarkStart w:id="0" w:name="_GoBack"/>
      <w:bookmarkEnd w:id="0"/>
      <w:r>
        <w:rPr>
          <w:rFonts w:ascii="宋体" w:hAnsi="宋体" w:eastAsia="宋体" w:cs="宋体"/>
          <w:sz w:val="32"/>
          <w:szCs w:val="32"/>
        </w:rPr>
        <w:t xml:space="preserve">与 上年基本持平。 </w:t>
      </w:r>
    </w:p>
    <w:p w14:paraId="2DBE14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jc w:val="left"/>
        <w:textAlignment w:val="auto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z w:val="32"/>
          <w:szCs w:val="32"/>
        </w:rPr>
        <w:t xml:space="preserve">其中： </w:t>
      </w:r>
    </w:p>
    <w:p w14:paraId="41E4A5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jc w:val="left"/>
        <w:textAlignment w:val="auto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z w:val="32"/>
          <w:szCs w:val="32"/>
        </w:rPr>
        <w:t xml:space="preserve">1.因公出国（境）费0万元，与上年基本持平。 </w:t>
      </w:r>
    </w:p>
    <w:p w14:paraId="560F13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jc w:val="left"/>
        <w:textAlignment w:val="auto"/>
        <w:rPr>
          <w:rFonts w:ascii="宋体" w:hAnsi="宋体" w:eastAsia="宋体" w:cs="宋体"/>
          <w:sz w:val="32"/>
          <w:szCs w:val="32"/>
        </w:rPr>
      </w:pPr>
      <w:r>
        <w:rPr>
          <w:rFonts w:ascii="宋体" w:hAnsi="宋体" w:eastAsia="宋体" w:cs="宋体"/>
          <w:sz w:val="32"/>
          <w:szCs w:val="32"/>
        </w:rPr>
        <w:t>2.公务用车购置及运行费1万元，包括公务用车购置费0万元，与上年基 本持平；公务用车运行维护费1万元，与上年基本持平。</w:t>
      </w:r>
    </w:p>
    <w:p w14:paraId="3BBA1A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640" w:firstLineChars="200"/>
        <w:jc w:val="left"/>
        <w:textAlignment w:val="auto"/>
        <w:rPr>
          <w:rFonts w:hint="eastAsia" w:ascii="Times New Roman" w:hAnsi="Times New Roman" w:eastAsia="微软雅黑" w:cs="Times New Roman"/>
          <w:b/>
          <w:bCs/>
          <w:color w:val="auto"/>
          <w:sz w:val="32"/>
          <w:szCs w:val="32"/>
          <w:lang w:eastAsia="zh-CN"/>
        </w:rPr>
      </w:pPr>
      <w:r>
        <w:rPr>
          <w:rFonts w:ascii="宋体" w:hAnsi="宋体" w:eastAsia="宋体" w:cs="宋体"/>
          <w:sz w:val="32"/>
          <w:szCs w:val="32"/>
        </w:rPr>
        <w:t xml:space="preserve"> 3.公务接待费0万元，与上年基本持平。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CE5E5C6-5C20-467C-9596-D42E88D1684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rasaGothicSC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var(--yth-font-family-regular)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汉仪仿宋简">
    <w:panose1 w:val="02010600000101010101"/>
    <w:charset w:val="80"/>
    <w:family w:val="auto"/>
    <w:pitch w:val="default"/>
    <w:sig w:usb0="800002BF" w:usb1="184F6CF8" w:usb2="00000012" w:usb3="00000000" w:csb0="0002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2" w:fontKey="{82763E65-3333-4942-BCC8-7EE5992E56B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69103B"/>
    <w:rsid w:val="174E5FF8"/>
    <w:rsid w:val="1F363CFA"/>
    <w:rsid w:val="1F385C1C"/>
    <w:rsid w:val="2ABF7AE4"/>
    <w:rsid w:val="319B4BC5"/>
    <w:rsid w:val="38EB36BC"/>
    <w:rsid w:val="3F5B0CC7"/>
    <w:rsid w:val="40016D99"/>
    <w:rsid w:val="40274A0C"/>
    <w:rsid w:val="49AB3E02"/>
    <w:rsid w:val="5451178C"/>
    <w:rsid w:val="55081D8A"/>
    <w:rsid w:val="5F2751EE"/>
    <w:rsid w:val="69FB573C"/>
    <w:rsid w:val="6C3A079D"/>
    <w:rsid w:val="70481A5F"/>
    <w:rsid w:val="744B6E86"/>
    <w:rsid w:val="79FF3FFE"/>
    <w:rsid w:val="7DB50B6A"/>
    <w:rsid w:val="7EB02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67</Words>
  <Characters>71</Characters>
  <Lines>0</Lines>
  <Paragraphs>0</Paragraphs>
  <TotalTime>6</TotalTime>
  <ScaleCrop>false</ScaleCrop>
  <LinksUpToDate>false</LinksUpToDate>
  <CharactersWithSpaces>71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2025-08-06T09:13:00Z</dcterms:created>
  <dc:creator>Administrator</dc:creator>
  <cp:lastModifiedBy>Administrator</cp:lastModifiedBy>
  <dcterms:modified xsi:type="dcterms:W3CDTF">2026-05-29T07:01:39Z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eyJoZGlkIjoiMDI5ZmQ2MzRkMzY5Y2JiMTE5MGM3NDgyZGU1MzU5M2QifQ==</vt:lpwstr>
  </property>
  <property fmtid="{D5CDD505-2E9C-101B-9397-08002B2CF9AE}" pid="4" name="ICV">
    <vt:lpwstr>256B0C13D41446C784F3C4549C0CFD77_13</vt:lpwstr>
  </property>
</Properties>
</file>