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10"/>
          <w:tab w:val="left" w:pos="5880"/>
        </w:tabs>
        <w:spacing w:after="109" w:afterLines="35" w:line="940" w:lineRule="exact"/>
        <w:ind w:firstLine="48" w:firstLineChars="16"/>
        <w:jc w:val="center"/>
        <w:rPr>
          <w:rFonts w:ascii="Times New Roman" w:hAnsi="Times New Roman" w:eastAsia="方正仿宋简体"/>
          <w:b/>
          <w:color w:val="000000" w:themeColor="text1"/>
          <w:sz w:val="32"/>
          <w:szCs w:val="32"/>
          <w14:textFill>
            <w14:solidFill>
              <w14:schemeClr w14:val="tx1"/>
            </w14:solidFill>
          </w14:textFill>
        </w:rPr>
      </w:pPr>
      <w:r>
        <w:rPr>
          <w:rFonts w:eastAsia="宋体"/>
          <w:bCs/>
          <w:sz w:val="30"/>
        </w:rPr>
        <w:t xml:space="preserve"> </w:t>
      </w:r>
      <w:r>
        <w:rPr>
          <w:rFonts w:hint="eastAsia" w:ascii="宋体" w:hAnsi="宋体" w:eastAsia="方正小标宋简体"/>
          <w:bCs/>
          <w:color w:val="FF0000"/>
          <w:spacing w:val="-11"/>
          <w:sz w:val="52"/>
          <w:szCs w:val="52"/>
        </w:rPr>
        <mc:AlternateContent>
          <mc:Choice Requires="wps">
            <w:drawing>
              <wp:anchor distT="0" distB="0" distL="114300" distR="114300" simplePos="0" relativeHeight="251659264" behindDoc="0" locked="0" layoutInCell="1" allowOverlap="1">
                <wp:simplePos x="0" y="0"/>
                <wp:positionH relativeFrom="column">
                  <wp:posOffset>-287020</wp:posOffset>
                </wp:positionH>
                <wp:positionV relativeFrom="paragraph">
                  <wp:posOffset>698500</wp:posOffset>
                </wp:positionV>
                <wp:extent cx="5831840" cy="0"/>
                <wp:effectExtent l="0" t="25400" r="16510" b="31750"/>
                <wp:wrapNone/>
                <wp:docPr id="2" name="直接连接符 2"/>
                <wp:cNvGraphicFramePr/>
                <a:graphic xmlns:a="http://schemas.openxmlformats.org/drawingml/2006/main">
                  <a:graphicData uri="http://schemas.microsoft.com/office/word/2010/wordprocessingShape">
                    <wps:wsp>
                      <wps:cNvCnPr/>
                      <wps:spPr>
                        <a:xfrm>
                          <a:off x="0" y="0"/>
                          <a:ext cx="5831840"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6pt;margin-top:55pt;height:0pt;width:459.2pt;z-index:251659264;mso-width-relative:page;mso-height-relative:page;" filled="f" stroked="t" coordsize="21600,21600" o:gfxdata="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LBC82gAAAAsBAAAPAAAAAAAAAAEAIAAAACIAAABkcnMvZG93&#10;bnJldi54bWxQSwECFAAUAAAACACHTuJAs3V5bv4BAAD5AwAADgAAAAAAAAABACAAAAApAQAAZHJz&#10;L2Uyb0RvYy54bWxQSwUGAAAAAAYABgBZAQAAmQUAAAAA&#10;">
                <v:fill on="f" focussize="0,0"/>
                <v:stroke weight="4pt" color="#FF0000" linestyle="thickThin" joinstyle="round"/>
                <v:imagedata o:title=""/>
                <o:lock v:ext="edit" aspectratio="f"/>
              </v:line>
            </w:pict>
          </mc:Fallback>
        </mc:AlternateContent>
      </w:r>
      <w:r>
        <w:rPr>
          <w:rFonts w:hint="eastAsia" w:ascii="宋体" w:hAnsi="宋体" w:eastAsia="方正小标宋简体"/>
          <w:bCs/>
          <w:color w:val="FF0000"/>
          <w:spacing w:val="-11"/>
          <w:sz w:val="52"/>
          <w:szCs w:val="52"/>
        </w:rPr>
        <w:t>泗 水 县 住 房 和 城 乡 建 设 局</w:t>
      </w:r>
      <w:r>
        <w:rPr>
          <w:rFonts w:hint="eastAsia" w:ascii="Times New Roman" w:hAnsi="Times New Roman" w:eastAsia="方正小标宋简体"/>
          <w:b/>
          <w:color w:val="000000" w:themeColor="text1"/>
          <w:sz w:val="44"/>
          <w:szCs w:val="44"/>
          <w14:textFill>
            <w14:solidFill>
              <w14:schemeClr w14:val="tx1"/>
            </w14:solidFill>
          </w14:textFill>
        </w:rPr>
        <w:t>202</w:t>
      </w:r>
      <w:r>
        <w:rPr>
          <w:rFonts w:hint="eastAsia" w:ascii="Times New Roman" w:hAnsi="Times New Roman" w:eastAsia="方正小标宋简体"/>
          <w:b/>
          <w:color w:val="000000" w:themeColor="text1"/>
          <w:sz w:val="44"/>
          <w:szCs w:val="44"/>
          <w:lang w:val="en-US" w:eastAsia="zh-CN"/>
          <w14:textFill>
            <w14:solidFill>
              <w14:schemeClr w14:val="tx1"/>
            </w14:solidFill>
          </w14:textFill>
        </w:rPr>
        <w:t>3</w:t>
      </w:r>
      <w:r>
        <w:rPr>
          <w:rFonts w:hint="eastAsia" w:ascii="Times New Roman" w:hAnsi="Times New Roman" w:eastAsia="方正小标宋简体"/>
          <w:b/>
          <w:color w:val="000000" w:themeColor="text1"/>
          <w:sz w:val="44"/>
          <w:szCs w:val="44"/>
          <w14:textFill>
            <w14:solidFill>
              <w14:schemeClr w14:val="tx1"/>
            </w14:solidFill>
          </w14:textFill>
        </w:rPr>
        <w:t>年政府信息公开工作年度报告</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泗水县住建局</w:t>
      </w:r>
      <w:r>
        <w:rPr>
          <w:rFonts w:hint="eastAsia" w:ascii="Times New Roman" w:hAnsi="Times New Roman"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本报告所列数据的统计期限自202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年1月1日起至202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年12月31日止。本报告电子版可在“</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中国·泗水</w:t>
      </w:r>
      <w:r>
        <w:rPr>
          <w:rFonts w:hint="eastAsia" w:ascii="Times New Roman" w:hAnsi="Times New Roman" w:eastAsia="方正仿宋简体"/>
          <w:b/>
          <w:color w:val="000000" w:themeColor="text1"/>
          <w:sz w:val="32"/>
          <w:szCs w:val="32"/>
          <w14:textFill>
            <w14:solidFill>
              <w14:schemeClr w14:val="tx1"/>
            </w14:solidFill>
          </w14:textFill>
        </w:rPr>
        <w:t>”政府门户网站（http://www.sishui.gov.cn/）查阅或下载。如对本报告有疑问，请与</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w:t>
      </w:r>
      <w:r>
        <w:rPr>
          <w:rFonts w:hint="eastAsia" w:ascii="Times New Roman" w:hAnsi="Times New Roman" w:eastAsia="方正仿宋简体"/>
          <w:b/>
          <w:color w:val="000000" w:themeColor="text1"/>
          <w:sz w:val="32"/>
          <w:szCs w:val="32"/>
          <w14:textFill>
            <w14:solidFill>
              <w14:schemeClr w14:val="tx1"/>
            </w14:solidFill>
          </w14:textFill>
        </w:rPr>
        <w:t>联系（地址：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泉衍路3号</w:t>
      </w:r>
      <w:r>
        <w:rPr>
          <w:rFonts w:hint="eastAsia" w:ascii="Times New Roman" w:hAnsi="Times New Roman" w:eastAsia="方正仿宋简体"/>
          <w:b/>
          <w:color w:val="000000" w:themeColor="text1"/>
          <w:sz w:val="32"/>
          <w:szCs w:val="32"/>
          <w14:textFill>
            <w14:solidFill>
              <w14:schemeClr w14:val="tx1"/>
            </w14:solidFill>
          </w14:textFill>
        </w:rPr>
        <w:t>，联系电话：0537-</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3745975</w:t>
      </w:r>
      <w:r>
        <w:rPr>
          <w:rFonts w:hint="eastAsia" w:ascii="Times New Roman" w:hAnsi="Times New Roman" w:eastAsia="方正仿宋简体"/>
          <w:b/>
          <w:color w:val="000000" w:themeColor="text1"/>
          <w:sz w:val="32"/>
          <w:szCs w:val="32"/>
          <w14:textFill>
            <w14:solidFill>
              <w14:schemeClr w14:val="tx1"/>
            </w14:solidFill>
          </w14:textFill>
        </w:rPr>
        <w:t>）。</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一、总体情况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2023年，我局始终坚持贯彻落实《中华人民共和国政府信息公开条例》，坚守公开、透明、民主的原则，全面深化政府信息公开工作，持续完善政府信息公开制度，进一步推进行政决策公开、执行公开、管理公开、服务公开和结果公开，努力构建阳光型政府、服务型政府</w:t>
      </w:r>
      <w:r>
        <w:rPr>
          <w:rFonts w:hint="eastAsia" w:eastAsia="方正仿宋简体"/>
          <w:b/>
          <w:color w:val="000000" w:themeColor="text1"/>
          <w:sz w:val="32"/>
          <w:szCs w:val="32"/>
          <w:lang w:eastAsia="zh-CN"/>
          <w14:textFill>
            <w14:solidFill>
              <w14:schemeClr w14:val="tx1"/>
            </w14:solidFill>
          </w14:textFill>
        </w:rPr>
        <w:t>。</w:t>
      </w:r>
    </w:p>
    <w:p>
      <w:pPr>
        <w:spacing w:line="590" w:lineRule="exact"/>
        <w:ind w:right="-105" w:rightChars="-50" w:firstLine="643" w:firstLineChars="200"/>
        <w:rPr>
          <w:rFonts w:hint="eastAsia" w:ascii="Times New Roman" w:hAnsi="Times New Roman" w:eastAsia="方正楷体简体"/>
          <w:b/>
          <w:color w:val="000000" w:themeColor="text1"/>
          <w:sz w:val="32"/>
          <w:szCs w:val="32"/>
          <w:lang w:eastAsia="zh-CN"/>
          <w14:textFill>
            <w14:solidFill>
              <w14:schemeClr w14:val="tx1"/>
            </w14:solidFill>
          </w14:textFill>
        </w:rPr>
      </w:pPr>
      <w:r>
        <w:rPr>
          <w:rFonts w:hint="eastAsia" w:ascii="Times New Roman" w:hAnsi="Times New Roman" w:eastAsia="方正楷体简体"/>
          <w:b/>
          <w:color w:val="000000" w:themeColor="text1"/>
          <w:sz w:val="32"/>
          <w:szCs w:val="32"/>
          <w14:textFill>
            <w14:solidFill>
              <w14:schemeClr w14:val="tx1"/>
            </w14:solidFill>
          </w14:textFill>
        </w:rPr>
        <w:t>（一）主动公开</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left"/>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及时更新单位信息，根据实际情况，调整部门职能职责、机构设置、班子成员分工等信息。主动公开重要信息，全面推进政务公开，截至2023年12月31日，我局通过泗水县政府门户网站主动公开信息347条，通过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泗水县住房和城乡建设局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微信公众号发布信息800余篇。</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center"/>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drawing>
          <wp:inline distT="0" distB="0" distL="114300" distR="114300">
            <wp:extent cx="5080000" cy="5009515"/>
            <wp:effectExtent l="4445" t="4445" r="2095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5" w:rightChars="-50" w:firstLine="643" w:firstLineChars="200"/>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（二）依申请公开</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高度重视公众知情权，不断完善依申请公开的受理、处理和反馈机制，确保公众的合法权益得到有效保障，2023年度共收到依申请公开7件，较2022年增加3件，涉及施工许可、房屋征收、工程质量、农村改厕等内容。其中本机关不掌握相关政府信息5件，补正后申请内容仍不明确1件，予以部分公开1件。</w:t>
      </w:r>
    </w:p>
    <w:p>
      <w:pPr>
        <w:pStyle w:val="2"/>
        <w:ind w:left="0" w:leftChars="0" w:firstLine="0" w:firstLineChars="0"/>
        <w:jc w:val="center"/>
        <w:rPr>
          <w:rFonts w:hint="eastAsia"/>
          <w:lang w:val="en-US" w:eastAsia="zh-CN"/>
        </w:rPr>
      </w:pPr>
      <w:r>
        <w:rPr>
          <w:rFonts w:hint="eastAsia"/>
          <w:lang w:val="en-US"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590" w:lineRule="exact"/>
        <w:ind w:right="-105" w:rightChars="-50" w:firstLine="643" w:firstLineChars="200"/>
        <w:jc w:val="left"/>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（三）政府信息管理</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一是建立信息管理机制，从信息收集、整理、审核到发布，明确审批流程和各环节责任人。二是明确任务分配，根据县级下发任务数量和实际工作需要，制定信息公开年度任务，确保信息公开任务按时完成。三是加强学习，将本级政务公开网站平台与市住建局政务公开平台整体对比，找准问题，查缺补差，不断完善。</w:t>
      </w:r>
    </w:p>
    <w:p>
      <w:pPr>
        <w:spacing w:line="590" w:lineRule="exact"/>
        <w:ind w:right="-105" w:rightChars="-50" w:firstLine="643" w:firstLineChars="200"/>
        <w:jc w:val="left"/>
        <w:rPr>
          <w:rFonts w:hint="default"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w:t>
      </w:r>
      <w:r>
        <w:rPr>
          <w:rFonts w:hint="eastAsia" w:eastAsia="方正楷体简体"/>
          <w:b/>
          <w:color w:val="000000" w:themeColor="text1"/>
          <w:sz w:val="32"/>
          <w:szCs w:val="32"/>
          <w:lang w:val="en-US" w:eastAsia="zh-CN"/>
          <w14:textFill>
            <w14:solidFill>
              <w14:schemeClr w14:val="tx1"/>
            </w14:solidFill>
          </w14:textFill>
        </w:rPr>
        <w:t>四</w:t>
      </w:r>
      <w:r>
        <w:rPr>
          <w:rFonts w:hint="eastAsia" w:ascii="Times New Roman" w:hAnsi="Times New Roman" w:eastAsia="方正楷体简体"/>
          <w:b/>
          <w:color w:val="000000" w:themeColor="text1"/>
          <w:sz w:val="32"/>
          <w:szCs w:val="32"/>
          <w:lang w:val="en-US" w:eastAsia="zh-CN"/>
          <w14:textFill>
            <w14:solidFill>
              <w14:schemeClr w14:val="tx1"/>
            </w14:solidFill>
          </w14:textFill>
        </w:rPr>
        <w:t>）政府信息</w:t>
      </w:r>
      <w:r>
        <w:rPr>
          <w:rFonts w:hint="eastAsia" w:eastAsia="方正楷体简体"/>
          <w:b/>
          <w:color w:val="000000" w:themeColor="text1"/>
          <w:sz w:val="32"/>
          <w:szCs w:val="32"/>
          <w:lang w:val="en-US" w:eastAsia="zh-CN"/>
          <w14:textFill>
            <w14:solidFill>
              <w14:schemeClr w14:val="tx1"/>
            </w14:solidFill>
          </w14:textFill>
        </w:rPr>
        <w:t>公开平台建设</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为更好地提供政府信息公开服务，便于公民、法人或者其他组织依法获取泗水县住房和城乡建设局的政府信息，提高政府工作透明度，助力法治政府建设，根据《条例》</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县住建局在泗水县人民政府门户网站（http://www.sishui.gov.cn/col/col17474/index.html）开设信息公开专栏，并在</w:t>
      </w:r>
      <w:r>
        <w:rPr>
          <w:rFonts w:hint="eastAsia" w:ascii="Times New Roman" w:hAnsi="Times New Roman" w:eastAsia="方正仿宋简体"/>
          <w:b/>
          <w:color w:val="000000" w:themeColor="text1"/>
          <w:sz w:val="32"/>
          <w:szCs w:val="32"/>
          <w14:textFill>
            <w14:solidFill>
              <w14:schemeClr w14:val="tx1"/>
            </w14:solidFill>
          </w14:textFill>
        </w:rPr>
        <w:t>泗水县住房和城乡建设局( 地址:济河街道泉衍路3号)</w:t>
      </w:r>
      <w:r>
        <w:rPr>
          <w:rFonts w:hint="eastAsia" w:ascii="Times New Roman" w:hAnsi="Times New Roman" w:eastAsia="方正仿宋简体"/>
          <w:b/>
          <w:color w:val="000000" w:themeColor="text1"/>
          <w:sz w:val="32"/>
          <w:szCs w:val="32"/>
          <w:lang w:val="en-US" w:eastAsia="zh-CN"/>
          <w14:textFill>
            <w14:solidFill>
              <w14:schemeClr w14:val="tx1"/>
            </w14:solidFill>
          </w14:textFill>
        </w:rPr>
        <w:t xml:space="preserve">办公室908设置政府信息公开查阅点。 </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（五）监督保障</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一是</w:t>
      </w:r>
      <w:r>
        <w:rPr>
          <w:rFonts w:hint="eastAsia" w:ascii="Times New Roman" w:hAnsi="Times New Roman" w:eastAsia="方正仿宋简体"/>
          <w:b/>
          <w:color w:val="000000" w:themeColor="text1"/>
          <w:sz w:val="32"/>
          <w:szCs w:val="32"/>
          <w:lang w:val="en-US" w:eastAsia="zh-CN"/>
          <w14:textFill>
            <w14:solidFill>
              <w14:schemeClr w14:val="tx1"/>
            </w14:solidFill>
          </w14:textFill>
        </w:rPr>
        <w:t>设立</w:t>
      </w:r>
      <w:r>
        <w:rPr>
          <w:rFonts w:hint="eastAsia" w:ascii="Times New Roman" w:hAnsi="Times New Roman" w:eastAsia="方正仿宋简体"/>
          <w:b/>
          <w:color w:val="000000" w:themeColor="text1"/>
          <w:sz w:val="32"/>
          <w:szCs w:val="32"/>
          <w14:textFill>
            <w14:solidFill>
              <w14:schemeClr w14:val="tx1"/>
            </w14:solidFill>
          </w14:textFill>
        </w:rPr>
        <w:t>政府公开领导小组，</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从事政务公开工作人员 4名，局办公室作为政府信息公开工作牵头部门，负责日常指导和监督检查，定期进行自查自纠，确保信息发布无差错</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二</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是加强对微信公众号、微信工作群、管理和清理，及时取消非必要的工作群，禁止随意创建工作群；严禁在微信公众号和工作群上发布违反国家法律、法规等的言论</w:t>
      </w:r>
      <w:r>
        <w:rPr>
          <w:rFonts w:hint="eastAsia" w:eastAsia="方正仿宋简体"/>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2023年度未发现违规信息。</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黑体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本年制发件数</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本年废止件数</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规章</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行政规范性文件</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行政许可</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行政处罚</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5</w:t>
            </w:r>
            <w:r>
              <w:rPr>
                <w:rFonts w:hint="eastAsia" w:eastAsia="方正仿宋简体" w:cs="宋体"/>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行政强制</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行政事业性收费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before="62" w:beforeLines="10" w:after="62" w:afterLines="10" w:line="600" w:lineRule="exact"/>
        <w:ind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restart"/>
            <w:shd w:val="clear" w:color="auto" w:fill="FFFFFF" w:themeFill="background1"/>
            <w:noWrap w:val="0"/>
            <w:tcMar>
              <w:left w:w="108" w:type="dxa"/>
              <w:right w:w="108"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楷体"/>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p>
        </w:tc>
        <w:tc>
          <w:tcPr>
            <w:tcW w:w="79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自然人</w:t>
            </w:r>
          </w:p>
        </w:tc>
        <w:tc>
          <w:tcPr>
            <w:tcW w:w="2917" w:type="dxa"/>
            <w:gridSpan w:val="5"/>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法人或其他组织</w:t>
            </w:r>
          </w:p>
        </w:tc>
        <w:tc>
          <w:tcPr>
            <w:tcW w:w="52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79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商业</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企业</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科研</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机构</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社会公益组织</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法律服务机构</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其他</w:t>
            </w:r>
          </w:p>
        </w:tc>
        <w:tc>
          <w:tcPr>
            <w:tcW w:w="52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4"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一、本年新收政府信息公开申请数量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7</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96"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二、上年结转政府信息公开申请数量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三、本年度办理结果</w:t>
            </w: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（一）予以公开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（二）部分公开</w:t>
            </w:r>
            <w:r>
              <w:rPr>
                <w:rFonts w:hint="eastAsia" w:ascii="Times New Roman" w:hAnsi="Times New Roman" w:eastAsia="方正仿宋简体" w:cs="楷体"/>
                <w:b/>
                <w:color w:val="000000" w:themeColor="text1"/>
                <w:sz w:val="21"/>
                <w:szCs w:val="21"/>
                <w:lang w:bidi="ar"/>
                <w14:textFill>
                  <w14:solidFill>
                    <w14:schemeClr w14:val="tx1"/>
                  </w14:solidFill>
                </w14:textFill>
              </w:rPr>
              <w:t>（区分处理的，只计这一情形，不计其他情形）</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eastAsia="方正仿宋简体" w:cs="Calibri"/>
                <w:b/>
                <w:color w:val="000000" w:themeColor="text1"/>
                <w:sz w:val="21"/>
                <w:szCs w:val="21"/>
                <w:lang w:val="en-US" w:eastAsia="zh-CN"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（三）不予公开</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1.属于国家秘密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2.其他法律行政法规禁止公开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3.危及“三安全一稳定”</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4.保护第三方合法权益</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5.属于三类内部事务信息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6.属于四类过程性信息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7.属于行政执法案卷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8.属于行政查询事项</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（四）无法提供</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1.本机关不掌握相关政府信息</w:t>
            </w:r>
          </w:p>
        </w:tc>
        <w:tc>
          <w:tcPr>
            <w:tcW w:w="79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5</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2.没有现成信息需要另行制作</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3.补正后申请内容仍不明确</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eastAsia="方正仿宋简体" w:cs="Calibri"/>
                <w:b/>
                <w:color w:val="000000" w:themeColor="text1"/>
                <w:sz w:val="21"/>
                <w:szCs w:val="21"/>
                <w:lang w:val="en-US" w:eastAsia="zh-CN"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（五）不予处理</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1.信访举报投诉类申请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3.要求提供公开出版物</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4.无正当理由大量反复申请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5.要求行政机关确认或重新出具已获取信息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（六）其他处理</w:t>
            </w: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3.其他</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（七）总计</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7</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eastAsia="zh-CN"/>
                <w14:textFill>
                  <w14:solidFill>
                    <w14:schemeClr w14:val="tx1"/>
                  </w14:solidFill>
                </w14:textFill>
              </w:rPr>
            </w:pPr>
            <w:r>
              <w:rPr>
                <w:rFonts w:hint="eastAsia" w:eastAsia="方正仿宋简体" w:cs="Calibri"/>
                <w:b/>
                <w:color w:val="000000" w:themeColor="text1"/>
                <w:szCs w:val="21"/>
                <w:lang w:val="en-US" w:eastAsia="zh-CN" w:bidi="ar"/>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四、结转下年度继续办理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五、存在的主要问题及改进情况</w:t>
      </w:r>
    </w:p>
    <w:p>
      <w:p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信息公开意识不强，未能形成主动完成信息任务的责任意识，易出现工作断档脱节。下步工作中，将持续加强信息公开意识，通过多种形式组织和参加信息写作培训会，培养一批会写、想写、主动写的信息员，不断提高信息人员捕捉信息的能力，充实和丰富政府信息公开内容，增强信息实效性。</w:t>
      </w:r>
    </w:p>
    <w:p>
      <w:pPr>
        <w:numPr>
          <w:ilvl w:val="0"/>
          <w:numId w:val="1"/>
        </w:numPr>
        <w:spacing w:line="590" w:lineRule="exact"/>
        <w:ind w:right="-105" w:rightChars="-50" w:firstLine="643" w:firstLineChars="200"/>
        <w:rPr>
          <w:rFonts w:hint="eastAsia"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其他需要报告的事项</w:t>
      </w:r>
    </w:p>
    <w:p>
      <w:pPr>
        <w:numPr>
          <w:ilvl w:val="0"/>
          <w:numId w:val="0"/>
        </w:num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（1）依据《政府信息公开信息处理费管理办法》，本单位2023年度未收取信息处理费。</w:t>
      </w:r>
    </w:p>
    <w:p>
      <w:pPr>
        <w:numPr>
          <w:ilvl w:val="0"/>
          <w:numId w:val="0"/>
        </w:num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（2）本行政机关落实上级年度政务公开工作要点情况。县</w:t>
      </w:r>
      <w:r>
        <w:rPr>
          <w:rFonts w:hint="default" w:ascii="Times New Roman" w:hAnsi="Times New Roman" w:eastAsia="方正仿宋简体"/>
          <w:b/>
          <w:color w:val="000000" w:themeColor="text1"/>
          <w:sz w:val="32"/>
          <w:szCs w:val="32"/>
          <w:lang w:val="en-US" w:eastAsia="zh-CN"/>
          <w14:textFill>
            <w14:solidFill>
              <w14:schemeClr w14:val="tx1"/>
            </w14:solidFill>
          </w14:textFill>
        </w:rPr>
        <w:t>住建局严格按照区政府安排部署落实各项工作任务，对政府工作报告落实情况等领域信息及时有效公开。</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人大代表</w:t>
      </w:r>
      <w:r>
        <w:rPr>
          <w:rFonts w:hint="eastAsia" w:ascii="Times New Roman" w:hAnsi="Times New Roman" w:eastAsia="方正仿宋简体"/>
          <w:b/>
          <w:color w:val="000000" w:themeColor="text1"/>
          <w:sz w:val="32"/>
          <w:szCs w:val="32"/>
          <w14:textFill>
            <w14:solidFill>
              <w14:schemeClr w14:val="tx1"/>
            </w14:solidFill>
          </w14:textFill>
        </w:rPr>
        <w:t>建议</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和政协</w:t>
      </w:r>
      <w:r>
        <w:rPr>
          <w:rFonts w:hint="eastAsia" w:ascii="Times New Roman" w:hAnsi="Times New Roman" w:eastAsia="方正仿宋简体"/>
          <w:b/>
          <w:color w:val="000000" w:themeColor="text1"/>
          <w:sz w:val="32"/>
          <w:szCs w:val="32"/>
          <w14:textFill>
            <w14:solidFill>
              <w14:schemeClr w14:val="tx1"/>
            </w14:solidFill>
          </w14:textFill>
        </w:rPr>
        <w:t>提案办理情况公开。202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年住建局共承办人大政协建议提案共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30</w:t>
      </w:r>
      <w:r>
        <w:rPr>
          <w:rFonts w:hint="eastAsia" w:ascii="Times New Roman" w:hAnsi="Times New Roman" w:eastAsia="方正仿宋简体"/>
          <w:b/>
          <w:color w:val="000000" w:themeColor="text1"/>
          <w:sz w:val="32"/>
          <w:szCs w:val="32"/>
          <w14:textFill>
            <w14:solidFill>
              <w14:schemeClr w14:val="tx1"/>
            </w14:solidFill>
          </w14:textFill>
        </w:rPr>
        <w:t>件，其中人大代表建议提案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10</w:t>
      </w:r>
      <w:r>
        <w:rPr>
          <w:rFonts w:hint="eastAsia" w:ascii="Times New Roman" w:hAnsi="Times New Roman" w:eastAsia="方正仿宋简体"/>
          <w:b/>
          <w:color w:val="000000" w:themeColor="text1"/>
          <w:sz w:val="32"/>
          <w:szCs w:val="32"/>
          <w14:textFill>
            <w14:solidFill>
              <w14:schemeClr w14:val="tx1"/>
            </w14:solidFill>
          </w14:textFill>
        </w:rPr>
        <w:t>件、政协委员提案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w:t>
      </w:r>
      <w:r>
        <w:rPr>
          <w:rFonts w:hint="eastAsia" w:ascii="Times New Roman" w:hAnsi="Times New Roman" w:eastAsia="方正仿宋简体"/>
          <w:b/>
          <w:color w:val="000000" w:themeColor="text1"/>
          <w:sz w:val="32"/>
          <w:szCs w:val="32"/>
          <w14:textFill>
            <w14:solidFill>
              <w14:schemeClr w14:val="tx1"/>
            </w14:solidFill>
          </w14:textFill>
        </w:rPr>
        <w:t>件，均按时保质办结。</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4</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本行政机关年度政务公开工作创新情况</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组建住建局政务公开工作交流微信群，及时推送区政府政务公开工作，确保有情况及时汇报、有问题及时解决、有困难及时协调。</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5</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本行政机关政府信息公开工作年度报告数据统计需要说明的事项，无。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6</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本行政机关认为需要报告的其他事项</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7</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pStyle w:val="6"/>
        <w:rPr>
          <w:rStyle w:val="10"/>
          <w:rFonts w:hint="eastAsia" w:ascii="Times New Roman" w:hAnsi="Times New Roman" w:eastAsia="仿宋_GB2312" w:cs="仿宋_GB2312"/>
          <w:i w:val="0"/>
          <w:iCs w:val="0"/>
          <w:caps w:val="0"/>
          <w:color w:val="333333"/>
          <w:spacing w:val="0"/>
          <w:sz w:val="31"/>
          <w:szCs w:val="31"/>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33E12C-8758-4FB5-851A-AC760A8F57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0193C1E4-34E0-406E-B58C-010126F66801}"/>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269C5BF9-EDCE-49B7-9FFA-03FF98DB9239}"/>
  </w:font>
  <w:font w:name="仿宋_GB2312">
    <w:panose1 w:val="02010609030101010101"/>
    <w:charset w:val="86"/>
    <w:family w:val="auto"/>
    <w:pitch w:val="default"/>
    <w:sig w:usb0="00000001" w:usb1="080E0000" w:usb2="00000000" w:usb3="00000000" w:csb0="00040000" w:csb1="00000000"/>
    <w:embedRegular r:id="rId4" w:fontKey="{F4DA18E1-3BEB-40EF-9F56-34DC5FAF1A9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A3E36"/>
    <w:multiLevelType w:val="singleLevel"/>
    <w:tmpl w:val="DE3A3E3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46E4517"/>
    <w:rsid w:val="0D4F2DEF"/>
    <w:rsid w:val="0DA775C8"/>
    <w:rsid w:val="0EEF3211"/>
    <w:rsid w:val="0F0B191D"/>
    <w:rsid w:val="0F4D2C92"/>
    <w:rsid w:val="12700700"/>
    <w:rsid w:val="14A456CB"/>
    <w:rsid w:val="181E7899"/>
    <w:rsid w:val="20F9358F"/>
    <w:rsid w:val="217F4A1E"/>
    <w:rsid w:val="2197576F"/>
    <w:rsid w:val="27BE3550"/>
    <w:rsid w:val="27DC3B79"/>
    <w:rsid w:val="28533519"/>
    <w:rsid w:val="2A69074A"/>
    <w:rsid w:val="30EA7B2A"/>
    <w:rsid w:val="31B5604E"/>
    <w:rsid w:val="328E671A"/>
    <w:rsid w:val="33EB5BEB"/>
    <w:rsid w:val="35A46590"/>
    <w:rsid w:val="38697764"/>
    <w:rsid w:val="3977163E"/>
    <w:rsid w:val="3BD86BA8"/>
    <w:rsid w:val="3C1D696F"/>
    <w:rsid w:val="42623A06"/>
    <w:rsid w:val="44E06D4E"/>
    <w:rsid w:val="464962FF"/>
    <w:rsid w:val="491312CB"/>
    <w:rsid w:val="49EC6413"/>
    <w:rsid w:val="4A7820A1"/>
    <w:rsid w:val="4D3701A9"/>
    <w:rsid w:val="4ECD324A"/>
    <w:rsid w:val="4FAE1D52"/>
    <w:rsid w:val="4FC95480"/>
    <w:rsid w:val="55627FA5"/>
    <w:rsid w:val="556C3A51"/>
    <w:rsid w:val="56217AC6"/>
    <w:rsid w:val="58EB3BB5"/>
    <w:rsid w:val="5BC613D0"/>
    <w:rsid w:val="5C9340C3"/>
    <w:rsid w:val="600A4010"/>
    <w:rsid w:val="601D0538"/>
    <w:rsid w:val="6B31052E"/>
    <w:rsid w:val="6CF522AF"/>
    <w:rsid w:val="6FD25F8B"/>
    <w:rsid w:val="73D77B4A"/>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1"/>
    <w:autoRedefine/>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5">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99"/>
    <w:pPr>
      <w:ind w:firstLine="420" w:firstLineChars="200"/>
    </w:pPr>
  </w:style>
  <w:style w:type="paragraph" w:styleId="3">
    <w:name w:val="Body Text Indent"/>
    <w:basedOn w:val="1"/>
    <w:autoRedefine/>
    <w:qFormat/>
    <w:uiPriority w:val="99"/>
    <w:pPr>
      <w:spacing w:after="120"/>
      <w:ind w:left="420" w:leftChars="200"/>
    </w:pPr>
  </w:style>
  <w:style w:type="paragraph" w:styleId="6">
    <w:name w:val="footnote text"/>
    <w:basedOn w:val="1"/>
    <w:autoRedefine/>
    <w:qFormat/>
    <w:uiPriority w:val="0"/>
    <w:pPr>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0"/>
    <w:rPr>
      <w:b/>
    </w:rPr>
  </w:style>
  <w:style w:type="character" w:customStyle="1" w:styleId="11">
    <w:name w:val="标题 2 Char"/>
    <w:link w:val="4"/>
    <w:autoRedefine/>
    <w:qFormat/>
    <w:uiPriority w:val="0"/>
    <w:rPr>
      <w:rFonts w:ascii="Arial" w:hAnsi="Arial" w:eastAsia="方正黑体简体"/>
      <w:b/>
      <w:sz w:val="32"/>
    </w:rPr>
  </w:style>
  <w:style w:type="paragraph" w:customStyle="1" w:styleId="12">
    <w:name w:val="文件格式"/>
    <w:autoRedefine/>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charset="-122"/>
                <a:ea typeface="方正小标宋简体" panose="02010601030101010101" charset="-122"/>
                <a:cs typeface="方正小标宋简体" panose="02010601030101010101" charset="-122"/>
              </a:rPr>
              <a:t>2023</a:t>
            </a:r>
            <a:r>
              <a:rPr altLang="en-US">
                <a:latin typeface="方正小标宋简体" panose="02010601030101010101" charset="-122"/>
                <a:ea typeface="方正小标宋简体" panose="02010601030101010101" charset="-122"/>
                <a:cs typeface="方正小标宋简体" panose="02010601030101010101" charset="-122"/>
              </a:rPr>
              <a:t>年泗水县住房和城乡建设局主动公开政府信息情况统计表</a:t>
            </a:r>
            <a:endParaRPr>
              <a:latin typeface="方正小标宋简体" panose="02010601030101010101" charset="-122"/>
              <a:ea typeface="方正小标宋简体" panose="02010601030101010101" charset="-122"/>
              <a:cs typeface="方正小标宋简体" panose="0201060103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信息数</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Pt>
            <c:idx val="8"/>
            <c:bubble3D val="0"/>
            <c:spPr>
              <a:solidFill>
                <a:schemeClr val="accent3">
                  <a:lumMod val="60000"/>
                </a:schemeClr>
              </a:solidFill>
              <a:ln w="25400">
                <a:solidFill>
                  <a:schemeClr val="lt1"/>
                </a:solidFill>
              </a:ln>
              <a:effectLst/>
              <a:scene3d>
                <a:camera prst="orthographicFront"/>
                <a:lightRig rig="threePt" dir="t"/>
              </a:scene3d>
              <a:sp3d contourW="25400"/>
            </c:spPr>
          </c:dPt>
          <c:dPt>
            <c:idx val="9"/>
            <c:bubble3D val="0"/>
            <c:spPr>
              <a:solidFill>
                <a:schemeClr val="accent4">
                  <a:lumMod val="60000"/>
                </a:schemeClr>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公开机构职能、内设机构、办公地址等基础信息</c:v>
                </c:pt>
                <c:pt idx="1">
                  <c:v>部门动态</c:v>
                </c:pt>
                <c:pt idx="2">
                  <c:v>部门文件</c:v>
                </c:pt>
                <c:pt idx="3">
                  <c:v>重点工作解读</c:v>
                </c:pt>
                <c:pt idx="4">
                  <c:v>住房保障信息</c:v>
                </c:pt>
                <c:pt idx="5">
                  <c:v>市政建设信息</c:v>
                </c:pt>
                <c:pt idx="6">
                  <c:v>人大议案、政协提案答复</c:v>
                </c:pt>
                <c:pt idx="7">
                  <c:v>信息公开指南</c:v>
                </c:pt>
                <c:pt idx="8">
                  <c:v>行政执法公示</c:v>
                </c:pt>
                <c:pt idx="9">
                  <c:v>其他信息</c:v>
                </c:pt>
              </c:strCache>
            </c:strRef>
          </c:cat>
          <c:val>
            <c:numRef>
              <c:f>Sheet1!$B$2:$B$11</c:f>
              <c:numCache>
                <c:formatCode>General</c:formatCode>
                <c:ptCount val="10"/>
                <c:pt idx="0">
                  <c:v>1</c:v>
                </c:pt>
                <c:pt idx="1">
                  <c:v>26</c:v>
                </c:pt>
                <c:pt idx="2">
                  <c:v>4</c:v>
                </c:pt>
                <c:pt idx="3">
                  <c:v>7</c:v>
                </c:pt>
                <c:pt idx="4">
                  <c:v>21</c:v>
                </c:pt>
                <c:pt idx="5">
                  <c:v>14</c:v>
                </c:pt>
                <c:pt idx="6">
                  <c:v>16</c:v>
                </c:pt>
                <c:pt idx="7">
                  <c:v>1</c:v>
                </c:pt>
                <c:pt idx="8">
                  <c:v>38</c:v>
                </c:pt>
                <c:pt idx="9">
                  <c:v>219</c:v>
                </c:pt>
              </c:numCache>
            </c:numRef>
          </c:val>
        </c:ser>
        <c:dLbls>
          <c:showLegendKey val="0"/>
          <c:showVal val="0"/>
          <c:showCatName val="0"/>
          <c:showSerName val="0"/>
          <c:showPercent val="1"/>
          <c:showBubbleSize val="0"/>
        </c:dLbls>
      </c:pie3DChart>
      <c:spPr>
        <a:noFill/>
        <a:ln>
          <a:noFill/>
        </a:ln>
        <a:effectLst/>
      </c:spPr>
    </c:plotArea>
    <c:legend>
      <c:legendPos val="t"/>
      <c:layout>
        <c:manualLayout>
          <c:xMode val="edge"/>
          <c:yMode val="edge"/>
          <c:x val="0.1856875"/>
          <c:y val="0.158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c:f>
              <c:strCache>
                <c:ptCount val="1"/>
                <c:pt idx="0">
                  <c:v>数量</c:v>
                </c:pt>
              </c:strCache>
            </c:strRef>
          </c:cat>
          <c:val>
            <c:numRef>
              <c:f>Sheet1!$B$2</c:f>
              <c:numCache>
                <c:formatCode>General</c:formatCode>
                <c:ptCount val="1"/>
                <c:pt idx="0">
                  <c:v>4</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c:f>
              <c:strCache>
                <c:ptCount val="1"/>
                <c:pt idx="0">
                  <c:v>数量</c:v>
                </c:pt>
              </c:strCache>
            </c:strRef>
          </c:cat>
          <c:val>
            <c:numRef>
              <c:f>Sheet1!$C$2</c:f>
              <c:numCache>
                <c:formatCode>General</c:formatCode>
                <c:ptCount val="1"/>
                <c:pt idx="0">
                  <c:v>7</c:v>
                </c:pt>
              </c:numCache>
            </c:numRef>
          </c:val>
        </c:ser>
        <c:dLbls>
          <c:showLegendKey val="0"/>
          <c:showVal val="0"/>
          <c:showCatName val="0"/>
          <c:showSerName val="0"/>
          <c:showPercent val="0"/>
          <c:showBubbleSize val="0"/>
        </c:dLbls>
        <c:gapWidth val="246"/>
        <c:overlap val="-28"/>
        <c:axId val="592760293"/>
        <c:axId val="219522098"/>
      </c:barChart>
      <c:catAx>
        <c:axId val="5927602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522098"/>
        <c:crosses val="autoZero"/>
        <c:auto val="1"/>
        <c:lblAlgn val="ctr"/>
        <c:lblOffset val="100"/>
        <c:noMultiLvlLbl val="0"/>
      </c:catAx>
      <c:valAx>
        <c:axId val="2195220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7602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2548</Words>
  <Characters>2697</Characters>
  <Lines>0</Lines>
  <Paragraphs>0</Paragraphs>
  <TotalTime>9</TotalTime>
  <ScaleCrop>false</ScaleCrop>
  <LinksUpToDate>false</LinksUpToDate>
  <CharactersWithSpaces>2856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2024-01-29T08:09:22Z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60720B0C13984A16B8C42EF3757E6E15</vt:lpwstr>
  </property>
</Properties>
</file>