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710"/>
          <w:tab w:val="left" w:pos="5880"/>
        </w:tabs>
        <w:spacing w:after="109" w:afterLines="35" w:line="940" w:lineRule="exact"/>
        <w:ind w:firstLine="48" w:firstLineChars="16"/>
        <w:jc w:val="center"/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宋体"/>
          <w:bCs/>
          <w:sz w:val="30"/>
        </w:rPr>
        <w:t xml:space="preserve"> </w:t>
      </w:r>
      <w:r>
        <w:rPr>
          <w:rFonts w:hint="eastAsia" w:ascii="宋体" w:hAnsi="宋体" w:eastAsia="方正小标宋简体"/>
          <w:bCs/>
          <w:color w:val="FF0000"/>
          <w:spacing w:val="-11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-287020</wp:posOffset>
                </wp:positionH>
                <wp:positionV relativeFrom="paragraph">
                  <wp:posOffset>698500</wp:posOffset>
                </wp:positionV>
                <wp:extent cx="5831840" cy="0"/>
                <wp:effectExtent l="0" t="25400" r="16510" b="3175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31840" cy="0"/>
                        </a:xfrm>
                        <a:prstGeom prst="line">
                          <a:avLst/>
                        </a:prstGeom>
                        <a:ln w="50800" cap="flat" cmpd="thickThin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2.6pt;margin-top:55pt;height:0pt;width:459.2pt;z-index:251659264;mso-width-relative:page;mso-height-relative:page;" filled="f" stroked="t" coordsize="21600,21600" o:gfxdata="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XLBC82gAAAAsBAAAPAAAAAAAAAAEAIAAAACIAAABkcnMvZG93&#10;bnJldi54bWxQSwECFAAUAAAACACHTuJAs3V5bv4BAAD5AwAADgAAAAAAAAABACAAAAApAQAAZHJz&#10;L2Uyb0RvYy54bWxQSwUGAAAAAAYABgBZAQAAmQUAAAAA&#10;">
                <v:fill on="f" focussize="0,0"/>
                <v:stroke weight="4pt" color="#FF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方正小标宋简体"/>
          <w:bCs/>
          <w:color w:val="FF0000"/>
          <w:spacing w:val="-11"/>
          <w:sz w:val="52"/>
          <w:szCs w:val="52"/>
        </w:rPr>
        <w:t>泗 水 县 住 房 和 城 乡 建 设 局</w:t>
      </w:r>
      <w:bookmarkStart w:id="0" w:name="_GoBack"/>
      <w:r>
        <w:rPr>
          <w:rFonts w:hint="eastAsia" w:ascii="方正小标宋简体" w:eastAsia="方正小标宋简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eastAsia="方正小标宋简体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方正小标宋简体" w:eastAsia="方正小标宋简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年政府信息公开工作年度报告</w:t>
      </w:r>
      <w:bookmarkEnd w:id="0"/>
    </w:p>
    <w:p>
      <w:pPr>
        <w:spacing w:line="590" w:lineRule="exact"/>
        <w:ind w:right="-105" w:rightChars="-50" w:firstLine="643" w:firstLineChars="200"/>
        <w:jc w:val="left"/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本报告由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泗水县住建局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spacing w:line="590" w:lineRule="exact"/>
        <w:ind w:right="-105" w:rightChars="-50" w:firstLine="643" w:firstLineChars="200"/>
        <w:jc w:val="left"/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spacing w:line="590" w:lineRule="exact"/>
        <w:ind w:right="-105" w:rightChars="-50" w:firstLine="643" w:firstLineChars="200"/>
        <w:jc w:val="left"/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本报告所列数据的统计期限自202</w:t>
      </w: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年1月1日起至202</w:t>
      </w: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年12月31日止。本报告电子版可在“</w:t>
      </w: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中国·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泗水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”政府门户网站（http://www.sishui.gov.cn/）查阅或下载。如对本报告有疑问，请与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县住建局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联系（地址：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泉衍路3号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，联系电话：0537-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3745975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）。</w:t>
      </w:r>
    </w:p>
    <w:p>
      <w:pPr>
        <w:spacing w:line="590" w:lineRule="exact"/>
        <w:ind w:right="-105" w:rightChars="-50" w:firstLine="643" w:firstLineChars="200"/>
        <w:rPr>
          <w:rFonts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一、总体情况</w:t>
      </w:r>
    </w:p>
    <w:p>
      <w:pPr>
        <w:spacing w:line="590" w:lineRule="exact"/>
        <w:ind w:right="-105" w:rightChars="-50" w:firstLine="643" w:firstLineChars="200"/>
        <w:jc w:val="left"/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年，</w:t>
      </w: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县住建局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严格按照《中华人民共和国政府信息公开条例》的规定和上级有关文件要求，加强对部门信息的规范管理，主动、及时地通过多种途径对外公开，有力推动了</w:t>
      </w: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城乡建设各项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工作顺利开展。</w:t>
      </w:r>
    </w:p>
    <w:p>
      <w:pPr>
        <w:spacing w:line="590" w:lineRule="exact"/>
        <w:ind w:right="-105" w:rightChars="-50" w:firstLine="643" w:firstLineChars="200"/>
        <w:rPr>
          <w:rFonts w:hint="eastAsia" w:ascii="方正楷体简体" w:eastAsia="方正楷体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（一）主动公开</w:t>
      </w:r>
      <w:r>
        <w:rPr>
          <w:rFonts w:hint="eastAsia" w:ascii="方正楷体简体" w:eastAsia="方正楷体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方面</w:t>
      </w:r>
    </w:p>
    <w:p>
      <w:pPr>
        <w:spacing w:line="590" w:lineRule="exact"/>
        <w:ind w:right="-105" w:rightChars="-50" w:firstLine="643" w:firstLineChars="200"/>
        <w:jc w:val="left"/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1.政府信息主动公开情况。截至2022年12月31日，我局主动公开政府信息27条，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22年度通过泗水县政府门户网站主动公开信息285条，通过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泗水县住房和城乡建设局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微信公众号发布信息300余篇。</w:t>
      </w:r>
    </w:p>
    <w:p>
      <w:pPr>
        <w:spacing w:line="590" w:lineRule="exact"/>
        <w:ind w:right="-105" w:rightChars="-50" w:firstLine="643" w:firstLineChars="200"/>
        <w:jc w:val="left"/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依申请公开工作方面。2022年度共收到依申请公开4件，较2021年减少4件，涉及竣工验收备案、机构职责、建设项目档案、老旧小区改造信息等内容。其中不属本机关负责的公开信息1件，移交档案查询1件，予以公开2件。</w:t>
      </w:r>
    </w:p>
    <w:p>
      <w:pPr>
        <w:spacing w:line="590" w:lineRule="exact"/>
        <w:ind w:right="-105" w:rightChars="-50" w:firstLine="643" w:firstLineChars="200"/>
        <w:jc w:val="left"/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政府信息管理方面。一是成立泗水县住建局政务信息公开工作领导小组。充分认识推进政务公开的重要性，确定专职人员，并积极开展传帮带活动，对专职人员加强培训、指导，全面完善政务公开工作，提升政务公开工作质量。加强对政府信息的合法性和保密性审核，按照“以公开为常态、不公开为例外”的原则，确保应公开尽公开。二是加强学习，提升能力。主动安排职人员通过在线指导、面对面辅导等方式，学习了解政务公开平台信息发布的工作流程和具体要求。三是对照标准，逐项整改。参照县政府信息公开工作考核指标的具体点位，确保每项指标都搞清楚、弄明白、整规范。同时，该局拓宽视野，主动学习，将本级政务公开网站平台与市住建局政务公开平台整体对比，找准问题，查缺补差，不断完善。</w:t>
      </w:r>
    </w:p>
    <w:p>
      <w:pPr>
        <w:spacing w:line="590" w:lineRule="exact"/>
        <w:ind w:right="-105" w:rightChars="-50" w:firstLine="643" w:firstLineChars="200"/>
        <w:jc w:val="left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4.平台建设方面。通过泗水县人民政府网站、“泗水县住房和城乡建设局”微信公众号、“爱泗水”APP等对外发布相关信息。</w:t>
      </w:r>
    </w:p>
    <w:p>
      <w:pPr>
        <w:spacing w:line="590" w:lineRule="exact"/>
        <w:ind w:right="-105" w:rightChars="-50" w:firstLine="643" w:firstLineChars="200"/>
        <w:jc w:val="left"/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.监督保障</w:t>
      </w: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方面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。一是加强对微信公众号、微信工作群、管理和清理，及时取消非必要的工作群，禁止随意创建工作群；二是严禁在微信公众号和工作群上发布违反国家法律、法规等的言论，2022年度未发现违规信息。</w:t>
      </w:r>
    </w:p>
    <w:p>
      <w:pPr>
        <w:spacing w:line="590" w:lineRule="exact"/>
        <w:ind w:right="-105" w:rightChars="-50" w:firstLine="643" w:firstLineChars="200"/>
        <w:rPr>
          <w:rFonts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方正楷体简体" w:eastAsia="方正楷体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）政府信息管理情况</w:t>
      </w:r>
    </w:p>
    <w:p>
      <w:pPr>
        <w:spacing w:line="590" w:lineRule="exact"/>
        <w:ind w:right="-105" w:rightChars="-50" w:firstLine="643" w:firstLineChars="200"/>
        <w:jc w:val="left"/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住建局进一步完善了政府信息公开保密审查机制，按照相关保密要求对预公开信息进行分级审查，并对政府信息公开保密工作情况进行了自查，确保了信息公开工作的保密安全。通过审查及实时监督，未发生计算机泄密事件。</w:t>
      </w:r>
    </w:p>
    <w:p>
      <w:pPr>
        <w:spacing w:line="590" w:lineRule="exact"/>
        <w:ind w:right="-105" w:rightChars="-50" w:firstLine="643" w:firstLineChars="200"/>
        <w:rPr>
          <w:rFonts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方正楷体简体" w:eastAsia="方正楷体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）政府信息公开平台建设情况</w:t>
      </w:r>
    </w:p>
    <w:p>
      <w:pPr>
        <w:spacing w:line="590" w:lineRule="exact"/>
        <w:ind w:right="-105" w:rightChars="-50" w:firstLine="643" w:firstLineChars="200"/>
        <w:jc w:val="left"/>
        <w:rPr>
          <w:rStyle w:val="10"/>
          <w:rFonts w:hint="eastAsia" w:ascii="仿宋_GB2312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为更好地提供政府信息公开服务，便于公民、法人或者其他组织依法获取泗水县住房和城乡建设局的政府信息，提高政府工作透明度，助力法治政府建设，根据《条例》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县住建局在泗水县人民政府门户网站（http://www.sishui.gov.cn/col/col17474/index.html）开设信息公开专栏，开设“泗水县住房和城乡建设局”微信公众号（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微信号：ssxzjj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），并在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泗水县住房和城乡建设局( 地址:济河街道泉衍路3号)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办公室908设置政府信息公开查阅点。 </w:t>
      </w:r>
      <w:r>
        <w:rPr>
          <w:rStyle w:val="10"/>
          <w:rFonts w:hint="eastAsia" w:ascii="仿宋_GB2312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</w:p>
    <w:p>
      <w:pPr>
        <w:spacing w:line="590" w:lineRule="exact"/>
        <w:ind w:right="-105" w:rightChars="-50" w:firstLine="643" w:firstLineChars="200"/>
        <w:rPr>
          <w:rFonts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方正楷体简体" w:eastAsia="方正楷体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）监督保障情况</w:t>
      </w:r>
    </w:p>
    <w:p>
      <w:pPr>
        <w:spacing w:line="590" w:lineRule="exact"/>
        <w:ind w:right="-105" w:rightChars="-50" w:firstLine="643" w:firstLineChars="200"/>
        <w:jc w:val="left"/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根据上级相关要求，为切实做好政务公开工作，对政府公开领导小组进行了调整，并下设办公室在局办公室，</w:t>
      </w: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从事政务公开工作人员3名，开展政务公开集中培训活动2次，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进一步强化了政务公开工作的领导和管理。各科室实行目标责任管理，落实</w:t>
      </w:r>
      <w:r>
        <w:rPr>
          <w:rFonts w:hint="default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主体责任</w:t>
      </w:r>
      <w:r>
        <w:rPr>
          <w:rFonts w:hint="default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，做到了领导、机构、人员</w:t>
      </w:r>
      <w:r>
        <w:rPr>
          <w:rFonts w:hint="default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三到位</w:t>
      </w:r>
      <w:r>
        <w:rPr>
          <w:rFonts w:hint="default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，形成纵到底、横到边、上下联动、整体推进的工作体系，使政府信息公开工作规范化、制度化。</w:t>
      </w:r>
    </w:p>
    <w:p>
      <w:pPr>
        <w:spacing w:line="590" w:lineRule="exact"/>
        <w:ind w:right="-105" w:rightChars="-50" w:firstLine="643" w:firstLineChars="200"/>
        <w:rPr>
          <w:rFonts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二、主动公开政府信息情况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93"/>
        <w:gridCol w:w="2193"/>
        <w:gridCol w:w="2193"/>
        <w:gridCol w:w="21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黑体简体" w:eastAsia="方正黑体简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19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eastAsia="方正仿宋简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219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eastAsia="方正仿宋简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本年制发件数</w:t>
            </w:r>
          </w:p>
        </w:tc>
        <w:tc>
          <w:tcPr>
            <w:tcW w:w="219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eastAsia="方正仿宋简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本年废止件数</w:t>
            </w:r>
          </w:p>
        </w:tc>
        <w:tc>
          <w:tcPr>
            <w:tcW w:w="2194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eastAsia="方正仿宋简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19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方正仿宋简体" w:eastAsia="方正仿宋简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规章</w:t>
            </w:r>
          </w:p>
        </w:tc>
        <w:tc>
          <w:tcPr>
            <w:tcW w:w="219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方正仿宋简体" w:eastAsia="方正仿宋简体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19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方正仿宋简体" w:eastAsia="方正仿宋简体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194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方正仿宋简体" w:eastAsia="方正仿宋简体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19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方正仿宋简体" w:eastAsia="方正仿宋简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行政规范性文件</w:t>
            </w:r>
          </w:p>
        </w:tc>
        <w:tc>
          <w:tcPr>
            <w:tcW w:w="219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方正仿宋简体" w:eastAsia="方正仿宋简体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19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方正仿宋简体" w:eastAsia="方正仿宋简体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194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方正仿宋简体" w:eastAsia="方正仿宋简体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eastAsia="方正仿宋简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19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eastAsia="方正仿宋简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580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eastAsia="方正仿宋简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19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方正仿宋简体" w:eastAsia="方正仿宋简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行政许可</w:t>
            </w:r>
          </w:p>
        </w:tc>
        <w:tc>
          <w:tcPr>
            <w:tcW w:w="6580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default" w:ascii="方正仿宋简体" w:eastAsia="方正仿宋简体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eastAsia="方正仿宋简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19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eastAsia="方正仿宋简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580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eastAsia="方正仿宋简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19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方正仿宋简体" w:eastAsia="方正仿宋简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行政处罚</w:t>
            </w:r>
          </w:p>
        </w:tc>
        <w:tc>
          <w:tcPr>
            <w:tcW w:w="6580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default" w:ascii="方正仿宋简体" w:eastAsia="方正仿宋简体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　</w:t>
            </w:r>
            <w:r>
              <w:rPr>
                <w:rFonts w:hint="eastAsia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19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方正仿宋简体" w:eastAsia="方正仿宋简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行政强制</w:t>
            </w:r>
          </w:p>
        </w:tc>
        <w:tc>
          <w:tcPr>
            <w:tcW w:w="6580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ascii="方正仿宋简体" w:eastAsia="方正仿宋简体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　</w:t>
            </w:r>
            <w:r>
              <w:rPr>
                <w:rFonts w:hint="eastAsia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eastAsia="方正仿宋简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19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eastAsia="方正仿宋简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580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方正仿宋简体" w:eastAsia="方正仿宋简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19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方正仿宋简体" w:eastAsia="方正仿宋简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行政事业性收费</w:t>
            </w:r>
          </w:p>
        </w:tc>
        <w:tc>
          <w:tcPr>
            <w:tcW w:w="6580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default" w:ascii="方正仿宋简体" w:eastAsia="方正仿宋简体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　0</w:t>
            </w:r>
          </w:p>
        </w:tc>
      </w:tr>
    </w:tbl>
    <w:p>
      <w:pPr>
        <w:spacing w:before="62" w:beforeLines="10" w:after="62" w:afterLines="10" w:line="600" w:lineRule="exact"/>
        <w:ind w:firstLine="643" w:firstLineChars="200"/>
        <w:rPr>
          <w:rFonts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三、收到和处理政府信息公开申请情况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</w:tblPrEx>
        <w:trPr>
          <w:jc w:val="center"/>
        </w:trPr>
        <w:tc>
          <w:tcPr>
            <w:tcW w:w="4588" w:type="dxa"/>
            <w:gridSpan w:val="3"/>
            <w:vMerge w:val="restart"/>
            <w:shd w:val="clear" w:color="auto" w:fill="FFFFFF" w:themeFill="background1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楷体" w:eastAsia="方正黑体简体" w:cs="楷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宋体" w:eastAsia="方正黑体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shd w:val="clear" w:color="auto" w:fill="FFFFFF" w:themeFill="background1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黑体简体" w:eastAsia="方正黑体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1" w:type="dxa"/>
            <w:vMerge w:val="restart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宋体" w:eastAsia="方正黑体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自然人</w:t>
            </w:r>
          </w:p>
        </w:tc>
        <w:tc>
          <w:tcPr>
            <w:tcW w:w="2917" w:type="dxa"/>
            <w:gridSpan w:val="5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宋体" w:eastAsia="方正黑体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法人或其他组织</w:t>
            </w:r>
          </w:p>
        </w:tc>
        <w:tc>
          <w:tcPr>
            <w:tcW w:w="521" w:type="dxa"/>
            <w:vMerge w:val="restart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宋体" w:eastAsia="方正黑体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shd w:val="clear" w:color="auto" w:fill="FFFFFF" w:themeFill="background1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1" w:type="dxa"/>
            <w:vMerge w:val="continue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9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宋体" w:eastAsia="方正黑体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宋体" w:eastAsia="方正黑体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企业</w:t>
            </w:r>
          </w:p>
        </w:tc>
        <w:tc>
          <w:tcPr>
            <w:tcW w:w="590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宋体" w:eastAsia="方正黑体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宋体" w:eastAsia="方正黑体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机构</w:t>
            </w:r>
          </w:p>
        </w:tc>
        <w:tc>
          <w:tcPr>
            <w:tcW w:w="598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宋体" w:eastAsia="方正黑体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社会公益组织</w:t>
            </w:r>
          </w:p>
        </w:tc>
        <w:tc>
          <w:tcPr>
            <w:tcW w:w="57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宋体" w:eastAsia="方正黑体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法律服务机构</w:t>
            </w:r>
          </w:p>
        </w:tc>
        <w:tc>
          <w:tcPr>
            <w:tcW w:w="559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宋体" w:eastAsia="方正黑体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521" w:type="dxa"/>
            <w:vMerge w:val="continue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一、本年新收政府信息公开申请数量</w:t>
            </w:r>
          </w:p>
        </w:tc>
        <w:tc>
          <w:tcPr>
            <w:tcW w:w="79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599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90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2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二、上年结转政府信息公开申请数量</w:t>
            </w:r>
          </w:p>
        </w:tc>
        <w:tc>
          <w:tcPr>
            <w:tcW w:w="79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98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7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59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三、本年度办理结果</w:t>
            </w:r>
          </w:p>
        </w:tc>
        <w:tc>
          <w:tcPr>
            <w:tcW w:w="3820" w:type="dxa"/>
            <w:gridSpan w:val="2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（一）予以公开</w:t>
            </w:r>
          </w:p>
        </w:tc>
        <w:tc>
          <w:tcPr>
            <w:tcW w:w="79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99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7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59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2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0" w:type="dxa"/>
            <w:gridSpan w:val="2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（二）部分公开</w:t>
            </w:r>
            <w:r>
              <w:rPr>
                <w:rFonts w:hint="eastAsia" w:ascii="方正仿宋简体" w:hAnsi="楷体" w:eastAsia="方正仿宋简体" w:cs="楷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（区分处理的，只计这一情形，不计其他情形）</w:t>
            </w:r>
          </w:p>
        </w:tc>
        <w:tc>
          <w:tcPr>
            <w:tcW w:w="79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98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7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59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restart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（三）不予公开</w:t>
            </w:r>
          </w:p>
        </w:tc>
        <w:tc>
          <w:tcPr>
            <w:tcW w:w="2878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1.属于国家秘密</w:t>
            </w:r>
          </w:p>
        </w:tc>
        <w:tc>
          <w:tcPr>
            <w:tcW w:w="79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98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7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59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2.其他法律行政法规禁止公开</w:t>
            </w:r>
          </w:p>
        </w:tc>
        <w:tc>
          <w:tcPr>
            <w:tcW w:w="79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98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7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59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3.危及“三安全一稳定”</w:t>
            </w:r>
          </w:p>
        </w:tc>
        <w:tc>
          <w:tcPr>
            <w:tcW w:w="79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98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7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59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4.保护第三方合法权益</w:t>
            </w:r>
          </w:p>
        </w:tc>
        <w:tc>
          <w:tcPr>
            <w:tcW w:w="79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98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7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59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5.属于三类内部事务信息</w:t>
            </w:r>
          </w:p>
        </w:tc>
        <w:tc>
          <w:tcPr>
            <w:tcW w:w="79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98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7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59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6.属于四类过程性信息</w:t>
            </w:r>
          </w:p>
        </w:tc>
        <w:tc>
          <w:tcPr>
            <w:tcW w:w="79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98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7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59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7.属于行政执法案卷</w:t>
            </w:r>
          </w:p>
        </w:tc>
        <w:tc>
          <w:tcPr>
            <w:tcW w:w="79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98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7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59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8.属于行政查询事项</w:t>
            </w:r>
          </w:p>
        </w:tc>
        <w:tc>
          <w:tcPr>
            <w:tcW w:w="79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98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7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59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restart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（四）无法提供</w:t>
            </w:r>
          </w:p>
        </w:tc>
        <w:tc>
          <w:tcPr>
            <w:tcW w:w="2878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1.本机关不掌握相关政府信息</w:t>
            </w:r>
          </w:p>
        </w:tc>
        <w:tc>
          <w:tcPr>
            <w:tcW w:w="79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方正仿宋简体" w:hAnsi="Calibri" w:eastAsia="方正仿宋简体" w:cs="Calibri"/>
                <w:b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99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方正仿宋简体" w:hAnsi="Calibri" w:eastAsia="方正仿宋简体" w:cs="Calibri"/>
                <w:b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2.没有现成信息需要另行制作</w:t>
            </w:r>
          </w:p>
        </w:tc>
        <w:tc>
          <w:tcPr>
            <w:tcW w:w="79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98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7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59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3.补正后申请内容仍不明确</w:t>
            </w:r>
          </w:p>
        </w:tc>
        <w:tc>
          <w:tcPr>
            <w:tcW w:w="79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98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7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59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restart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（五）不予处理</w:t>
            </w:r>
          </w:p>
        </w:tc>
        <w:tc>
          <w:tcPr>
            <w:tcW w:w="2878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1.信访举报投诉类申请</w:t>
            </w:r>
          </w:p>
        </w:tc>
        <w:tc>
          <w:tcPr>
            <w:tcW w:w="79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98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7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59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2.重复申请</w:t>
            </w:r>
          </w:p>
        </w:tc>
        <w:tc>
          <w:tcPr>
            <w:tcW w:w="79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98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7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59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3.要求提供公开出版物</w:t>
            </w:r>
          </w:p>
        </w:tc>
        <w:tc>
          <w:tcPr>
            <w:tcW w:w="79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98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7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59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4.无正当理由大量反复申请</w:t>
            </w:r>
          </w:p>
        </w:tc>
        <w:tc>
          <w:tcPr>
            <w:tcW w:w="79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98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7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59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5.要求行政机关确认或重新出具已获取信息</w:t>
            </w:r>
          </w:p>
        </w:tc>
        <w:tc>
          <w:tcPr>
            <w:tcW w:w="79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98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7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59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restart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（六）其他处理</w:t>
            </w:r>
          </w:p>
        </w:tc>
        <w:tc>
          <w:tcPr>
            <w:tcW w:w="2878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98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7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59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98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7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59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3.其他</w:t>
            </w:r>
          </w:p>
        </w:tc>
        <w:tc>
          <w:tcPr>
            <w:tcW w:w="79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方正仿宋简体" w:hAnsi="Calibri" w:eastAsia="方正仿宋简体" w:cs="Calibri"/>
                <w:b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99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方正仿宋简体" w:hAnsi="Calibri" w:eastAsia="方正仿宋简体" w:cs="Calibri"/>
                <w:b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0" w:type="dxa"/>
            <w:gridSpan w:val="2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（七）总计</w:t>
            </w:r>
          </w:p>
        </w:tc>
        <w:tc>
          <w:tcPr>
            <w:tcW w:w="79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方正仿宋简体" w:hAnsi="Calibri" w:eastAsia="方正仿宋简体" w:cs="Calibri"/>
                <w:b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599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方正仿宋简体" w:hAnsi="Calibri" w:eastAsia="方正仿宋简体" w:cs="Calibri"/>
                <w:b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方正仿宋简体" w:hAnsi="Calibri" w:eastAsia="方正仿宋简体" w:cs="Calibri"/>
                <w:b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四、结转下年度继续办理</w:t>
            </w:r>
          </w:p>
        </w:tc>
        <w:tc>
          <w:tcPr>
            <w:tcW w:w="79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shd w:val="clear" w:color="auto" w:fill="FFFFFF" w:themeFill="background1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spacing w:line="590" w:lineRule="exact"/>
        <w:ind w:right="-105" w:rightChars="-50" w:firstLine="643" w:firstLineChars="200"/>
        <w:rPr>
          <w:rFonts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四、政府信息公开行政复议、行政诉讼情况</w:t>
      </w:r>
    </w:p>
    <w:tbl>
      <w:tblPr>
        <w:tblStyle w:val="8"/>
        <w:tblW w:w="0" w:type="auto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FFFFF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宋体" w:eastAsia="方正黑体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宋体" w:eastAsia="方正黑体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宋体" w:eastAsia="方正黑体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hAnsi="宋体" w:eastAsia="方正黑体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宋体" w:eastAsia="方正黑体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宋体" w:eastAsia="方正黑体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宋体" w:eastAsia="方正黑体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宋体" w:eastAsia="方正黑体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宋体" w:eastAsia="方正黑体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宋体" w:eastAsia="方正黑体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宋体" w:eastAsia="方正黑体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ascii="方正黑体简体" w:eastAsia="方正黑体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ascii="方正黑体简体" w:eastAsia="方正黑体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ascii="方正黑体简体" w:eastAsia="方正黑体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ascii="方正黑体简体" w:eastAsia="方正黑体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ascii="方正黑体简体" w:eastAsia="方正黑体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宋体" w:eastAsia="方正黑体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宋体" w:eastAsia="方正黑体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宋体" w:eastAsia="方正黑体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宋体" w:eastAsia="方正黑体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宋体" w:eastAsia="方正黑体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宋体" w:eastAsia="方正黑体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宋体" w:eastAsia="方正黑体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宋体" w:eastAsia="方正黑体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宋体" w:eastAsia="方正黑体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宋体" w:eastAsia="方正黑体简体" w:cs="宋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宋体" w:eastAsia="方正黑体简体" w:cs="黑体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黑体简体" w:hAnsi="宋体" w:eastAsia="方正黑体简体" w:cs="黑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eastAsia="方正黑体简体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宋体" w:eastAsia="方正黑体简体" w:cs="黑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黑体简体" w:hAnsi="宋体" w:eastAsia="方正黑体简体" w:cs="黑体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eastAsia="方正黑体简体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宋体" w:eastAsia="方正黑体简体" w:cs="黑体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宋体" w:eastAsia="方正黑体简体" w:cs="黑体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黑体简体" w:hAnsi="宋体" w:eastAsia="方正黑体简体" w:cs="黑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eastAsia="方正黑体简体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宋体" w:eastAsia="方正黑体简体" w:cs="黑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黑体简体" w:hAnsi="宋体" w:eastAsia="方正黑体简体" w:cs="黑体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eastAsia="方正黑体简体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宋体" w:eastAsia="方正黑体简体" w:cs="黑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黑体简体" w:hAnsi="宋体" w:eastAsia="方正黑体简体" w:cs="黑体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宋体" w:eastAsia="方正黑体简体" w:cs="黑体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黑体简体" w:hAnsi="宋体" w:eastAsia="方正黑体简体" w:cs="黑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宋体" w:eastAsia="方正黑体简体" w:cs="黑体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黑体简体" w:hAnsi="宋体" w:eastAsia="方正黑体简体" w:cs="黑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eastAsia="方正黑体简体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宋体" w:eastAsia="方正黑体简体" w:cs="黑体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黑体简体" w:hAnsi="宋体" w:eastAsia="方正黑体简体" w:cs="黑体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</w:tbl>
    <w:p>
      <w:pPr>
        <w:spacing w:line="590" w:lineRule="exact"/>
        <w:ind w:right="-105" w:rightChars="-50" w:firstLine="643" w:firstLineChars="200"/>
        <w:rPr>
          <w:rFonts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五、存在的主要问题及改进情况</w:t>
      </w:r>
    </w:p>
    <w:p>
      <w:pPr>
        <w:spacing w:line="590" w:lineRule="exact"/>
        <w:ind w:right="-105" w:rightChars="-50" w:firstLine="643" w:firstLineChars="200"/>
        <w:jc w:val="left"/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信息公开及时性和全面性有待进一步加强、政务公开工作人员整体业务水平还需提高等问题，采取了以下改进措施：</w:t>
      </w:r>
    </w:p>
    <w:p>
      <w:pPr>
        <w:spacing w:line="590" w:lineRule="exact"/>
        <w:ind w:right="-105" w:rightChars="-50" w:firstLine="643" w:firstLineChars="200"/>
        <w:jc w:val="left"/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一是加强指导管理，加强对政府信息公开工作的督导，推进政府信息公开工作常态化、规范化。政府信息公开工作不是一个科室的事，需要全局相关的大力配合。</w:t>
      </w:r>
    </w:p>
    <w:p>
      <w:pPr>
        <w:spacing w:line="590" w:lineRule="exact"/>
        <w:ind w:right="-105" w:rightChars="-50" w:firstLine="643" w:firstLineChars="200"/>
        <w:jc w:val="left"/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二是加强对政府信息公开工作人员的业务知识和技能培训，增强业务能力和政务公开意识，提升政府信息公开质效。</w:t>
      </w:r>
    </w:p>
    <w:p>
      <w:pPr>
        <w:numPr>
          <w:ilvl w:val="0"/>
          <w:numId w:val="1"/>
        </w:numPr>
        <w:spacing w:line="590" w:lineRule="exact"/>
        <w:ind w:right="-105" w:rightChars="-50" w:firstLine="643" w:firstLineChars="200"/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其他需要报告的事项</w:t>
      </w:r>
    </w:p>
    <w:p>
      <w:pPr>
        <w:spacing w:line="590" w:lineRule="exact"/>
        <w:ind w:right="-105" w:rightChars="-50" w:firstLine="643" w:firstLineChars="200"/>
        <w:jc w:val="left"/>
        <w:rPr>
          <w:rFonts w:hint="default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依据《政府信息公开信息处理费管理办法》，本单位2022年度未收取信息处理费。</w:t>
      </w:r>
    </w:p>
    <w:p>
      <w:pPr>
        <w:spacing w:line="590" w:lineRule="exact"/>
        <w:ind w:right="-105" w:rightChars="-50" w:firstLine="643" w:firstLineChars="200"/>
        <w:jc w:val="left"/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（2）</w:t>
      </w: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人大代表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建议</w:t>
      </w: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和政协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提案办理情况公开。202</w:t>
      </w: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年住建局共承办人大政协建议提案共</w:t>
      </w: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43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件，其中人大代表建议提案</w:t>
      </w: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件、政协委员提案</w:t>
      </w: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38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件，均按时保质办结。</w:t>
      </w:r>
    </w:p>
    <w:p>
      <w:pPr>
        <w:pStyle w:val="6"/>
        <w:rPr>
          <w:rStyle w:val="10"/>
          <w:rFonts w:hint="eastAsia" w:ascii="仿宋_GB2312" w:hAnsi="微软雅黑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</w:pPr>
    </w:p>
    <w:p>
      <w:pPr>
        <w:pStyle w:val="6"/>
        <w:rPr>
          <w:rStyle w:val="10"/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</w:rPr>
      </w:pPr>
    </w:p>
    <w:sectPr>
      <w:pgSz w:w="11906" w:h="16838"/>
      <w:pgMar w:top="1440" w:right="158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536A5CF-6E4E-4C04-9B94-B4755DBF235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81E8904D-9FEF-43B4-B135-4A9F163D3584}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65A6A2C5-B6AD-4EE4-A6A8-951AEE8C6AC1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873CC5AC-7616-457E-935D-DB1AB91438F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5" w:fontKey="{9061F961-9E33-4633-BC16-D30D1A3253E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3A3E36"/>
    <w:multiLevelType w:val="singleLevel"/>
    <w:tmpl w:val="DE3A3E36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lmMGEzNmE1MWFkYTJkMWU1MDY1YTU3OTU0ZmY2YTgifQ=="/>
  </w:docVars>
  <w:rsids>
    <w:rsidRoot w:val="00000000"/>
    <w:rsid w:val="046E4517"/>
    <w:rsid w:val="0DA775C8"/>
    <w:rsid w:val="0F4D2C92"/>
    <w:rsid w:val="12700700"/>
    <w:rsid w:val="14A456CB"/>
    <w:rsid w:val="181E7899"/>
    <w:rsid w:val="20F9358F"/>
    <w:rsid w:val="217F4A1E"/>
    <w:rsid w:val="2197576F"/>
    <w:rsid w:val="27BE3550"/>
    <w:rsid w:val="27DC3B79"/>
    <w:rsid w:val="2A69074A"/>
    <w:rsid w:val="38697764"/>
    <w:rsid w:val="3977163E"/>
    <w:rsid w:val="3BD86BA8"/>
    <w:rsid w:val="3C1D696F"/>
    <w:rsid w:val="42623A06"/>
    <w:rsid w:val="464962FF"/>
    <w:rsid w:val="4A7820A1"/>
    <w:rsid w:val="4ECD324A"/>
    <w:rsid w:val="55627FA5"/>
    <w:rsid w:val="556C3A51"/>
    <w:rsid w:val="56217AC6"/>
    <w:rsid w:val="58EB3BB5"/>
    <w:rsid w:val="5BC613D0"/>
    <w:rsid w:val="5C9340C3"/>
    <w:rsid w:val="600A4010"/>
    <w:rsid w:val="6B31052E"/>
    <w:rsid w:val="6FD25F8B"/>
    <w:rsid w:val="754605A1"/>
    <w:rsid w:val="77B358A8"/>
    <w:rsid w:val="77B36750"/>
    <w:rsid w:val="7CFD39E2"/>
    <w:rsid w:val="7E751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link w:val="11"/>
    <w:semiHidden/>
    <w:unhideWhenUsed/>
    <w:qFormat/>
    <w:uiPriority w:val="0"/>
    <w:pPr>
      <w:keepNext/>
      <w:keepLines/>
      <w:spacing w:beforeLines="0" w:beforeAutospacing="0" w:afterLines="0" w:afterAutospacing="0" w:line="580" w:lineRule="exact"/>
      <w:ind w:firstLine="0" w:firstLineChars="0"/>
      <w:outlineLvl w:val="1"/>
    </w:pPr>
    <w:rPr>
      <w:rFonts w:ascii="Arial" w:hAnsi="Arial" w:eastAsia="方正黑体简体"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80" w:lineRule="exact"/>
      <w:outlineLvl w:val="2"/>
    </w:pPr>
    <w:rPr>
      <w:rFonts w:ascii="Times New Roman" w:hAnsi="Times New Roman" w:eastAsia="方正楷体简体"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firstLine="420" w:firstLineChars="200"/>
    </w:pPr>
  </w:style>
  <w:style w:type="paragraph" w:styleId="3">
    <w:name w:val="Body Text Indent"/>
    <w:basedOn w:val="1"/>
    <w:qFormat/>
    <w:uiPriority w:val="99"/>
    <w:pPr>
      <w:spacing w:after="120"/>
      <w:ind w:left="420" w:leftChars="200"/>
    </w:pPr>
  </w:style>
  <w:style w:type="paragraph" w:styleId="6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标题 2 Char"/>
    <w:link w:val="4"/>
    <w:qFormat/>
    <w:uiPriority w:val="0"/>
    <w:rPr>
      <w:rFonts w:ascii="Arial" w:hAnsi="Arial" w:eastAsia="方正黑体简体"/>
      <w:b/>
      <w:sz w:val="32"/>
    </w:rPr>
  </w:style>
  <w:style w:type="paragraph" w:customStyle="1" w:styleId="12">
    <w:name w:val="文件格式"/>
    <w:qFormat/>
    <w:uiPriority w:val="99"/>
    <w:pPr>
      <w:spacing w:line="460" w:lineRule="atLeast"/>
      <w:ind w:left="1" w:firstLine="419"/>
      <w:jc w:val="both"/>
      <w:textAlignment w:val="bottom"/>
    </w:pPr>
    <w:rPr>
      <w:rFonts w:ascii="Times New Roman" w:hAnsi="Times New Roman" w:eastAsia="宋体" w:cs="Times New Roman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2730</Words>
  <Characters>2897</Characters>
  <Lines>0</Lines>
  <Paragraphs>0</Paragraphs>
  <TotalTime>30</TotalTime>
  <ScaleCrop>false</ScaleCrop>
  <LinksUpToDate>false</LinksUpToDate>
  <CharactersWithSpaces>3077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苍白的岁月</cp:lastModifiedBy>
  <dcterms:modified xsi:type="dcterms:W3CDTF">2023-01-29T02:21:15Z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60720B0C13984A16B8C42EF3757E6E15</vt:lpwstr>
  </property>
</Properties>
</file>