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7B01DC">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泗水县卫生健康局</w:t>
      </w:r>
    </w:p>
    <w:p w14:paraId="52145D88">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2024年政府信息公开工作年度报告</w:t>
      </w:r>
    </w:p>
    <w:p w14:paraId="248815D2">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color w:val="auto"/>
          <w:sz w:val="44"/>
          <w:szCs w:val="44"/>
        </w:rPr>
      </w:pPr>
    </w:p>
    <w:p w14:paraId="422DB786">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0" w:lineRule="atLeast"/>
        <w:ind w:left="0" w:firstLine="643" w:firstLineChars="200"/>
        <w:jc w:val="both"/>
        <w:textAlignment w:val="auto"/>
        <w:rPr>
          <w:rFonts w:hint="default" w:ascii="Times New Roman" w:hAnsi="Times New Roman" w:eastAsia="方正仿宋简体" w:cs="Times New Roman"/>
          <w:b/>
          <w:bCs/>
          <w:color w:val="auto"/>
          <w:sz w:val="32"/>
          <w:szCs w:val="32"/>
        </w:rPr>
      </w:pPr>
      <w:r>
        <w:rPr>
          <w:rFonts w:hint="default" w:ascii="Times New Roman" w:hAnsi="Times New Roman" w:eastAsia="方正仿宋简体" w:cs="Times New Roman"/>
          <w:b/>
          <w:bCs/>
          <w:color w:val="auto"/>
          <w:sz w:val="32"/>
          <w:szCs w:val="32"/>
        </w:rPr>
        <w:t>本报告由泗水县卫生健康局按照《中华人民共和国政府信息公开条例》（以下简称《条例》）和《中华人民共和国政府信息公开工作年度报告格式》（国办公开办函〔2021〕30号）要求编制。</w:t>
      </w:r>
    </w:p>
    <w:p w14:paraId="61E8273E">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0" w:lineRule="atLeast"/>
        <w:ind w:left="0" w:firstLine="643" w:firstLineChars="200"/>
        <w:jc w:val="both"/>
        <w:textAlignment w:val="auto"/>
        <w:rPr>
          <w:rFonts w:hint="default" w:ascii="Times New Roman" w:hAnsi="Times New Roman" w:eastAsia="方正仿宋简体" w:cs="Times New Roman"/>
          <w:b/>
          <w:bCs/>
          <w:color w:val="auto"/>
          <w:sz w:val="32"/>
          <w:szCs w:val="32"/>
        </w:rPr>
      </w:pPr>
      <w:r>
        <w:rPr>
          <w:rFonts w:hint="eastAsia" w:ascii="Times New Roman" w:hAnsi="Times New Roman" w:eastAsia="方正仿宋简体" w:cs="Times New Roman"/>
          <w:b/>
          <w:bCs/>
          <w:color w:val="auto"/>
          <w:sz w:val="32"/>
          <w:szCs w:val="32"/>
          <w:lang w:val="en-US" w:eastAsia="zh-CN"/>
        </w:rPr>
        <w:t>本报告</w:t>
      </w:r>
      <w:r>
        <w:rPr>
          <w:rFonts w:hint="default" w:ascii="Times New Roman" w:hAnsi="Times New Roman" w:eastAsia="方正仿宋简体" w:cs="Times New Roman"/>
          <w:b/>
          <w:bCs/>
          <w:color w:val="auto"/>
          <w:sz w:val="32"/>
          <w:szCs w:val="32"/>
        </w:rPr>
        <w:t>内容包括总体情况、主动公开政府信息情况、收到和处理政府信息公开申请情况、政府信息公开行政复议和行政诉讼情况、存在的主要问题及改进情况、其他需要报告的事项等六部分内容。</w:t>
      </w:r>
    </w:p>
    <w:p w14:paraId="152E4084">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0" w:lineRule="atLeast"/>
        <w:ind w:left="0" w:firstLine="643" w:firstLineChars="200"/>
        <w:jc w:val="both"/>
        <w:textAlignment w:val="auto"/>
        <w:rPr>
          <w:rFonts w:hint="default" w:ascii="Times New Roman" w:hAnsi="Times New Roman" w:eastAsia="方正仿宋简体" w:cs="Times New Roman"/>
          <w:b/>
          <w:bCs/>
          <w:color w:val="auto"/>
          <w:sz w:val="32"/>
          <w:szCs w:val="32"/>
        </w:rPr>
      </w:pPr>
      <w:r>
        <w:rPr>
          <w:rFonts w:hint="default" w:ascii="Times New Roman" w:hAnsi="Times New Roman" w:eastAsia="方正仿宋简体" w:cs="Times New Roman"/>
          <w:b/>
          <w:bCs/>
          <w:color w:val="auto"/>
          <w:sz w:val="32"/>
          <w:szCs w:val="32"/>
        </w:rPr>
        <w:t>本报告所列数据的统计期限自2024年1月1日起至2024年12月31日止。本报告电子版可在</w:t>
      </w:r>
      <w:r>
        <w:rPr>
          <w:rFonts w:hint="eastAsia" w:ascii="Times New Roman" w:hAnsi="Times New Roman" w:eastAsia="方正仿宋简体" w:cs="Times New Roman"/>
          <w:b/>
          <w:bCs/>
          <w:color w:val="auto"/>
          <w:sz w:val="32"/>
          <w:szCs w:val="32"/>
          <w:lang w:val="en-US" w:eastAsia="zh-CN"/>
        </w:rPr>
        <w:t>“中国•泗水”</w:t>
      </w:r>
      <w:r>
        <w:rPr>
          <w:rFonts w:hint="default" w:ascii="Times New Roman" w:hAnsi="Times New Roman" w:eastAsia="方正仿宋简体" w:cs="Times New Roman"/>
          <w:b/>
          <w:bCs/>
          <w:color w:val="auto"/>
          <w:sz w:val="32"/>
          <w:szCs w:val="32"/>
        </w:rPr>
        <w:t>政府门户网站（具体网址www.sishui.gov.cn）查阅或下载。如对本报告有疑问，请与</w:t>
      </w:r>
      <w:r>
        <w:rPr>
          <w:rFonts w:hint="eastAsia" w:ascii="Times New Roman" w:hAnsi="Times New Roman" w:eastAsia="方正仿宋简体" w:cs="Times New Roman"/>
          <w:b/>
          <w:bCs/>
          <w:color w:val="auto"/>
          <w:sz w:val="32"/>
          <w:szCs w:val="32"/>
          <w:lang w:val="en-US" w:eastAsia="zh-CN"/>
        </w:rPr>
        <w:t>泗水县卫生健康局</w:t>
      </w:r>
      <w:r>
        <w:rPr>
          <w:rFonts w:hint="default" w:ascii="Times New Roman" w:hAnsi="Times New Roman" w:eastAsia="方正仿宋简体" w:cs="Times New Roman"/>
          <w:b/>
          <w:bCs/>
          <w:color w:val="auto"/>
          <w:sz w:val="32"/>
          <w:szCs w:val="32"/>
        </w:rPr>
        <w:t>联系（地址：</w:t>
      </w:r>
      <w:r>
        <w:rPr>
          <w:rFonts w:hint="eastAsia" w:ascii="Times New Roman" w:hAnsi="Times New Roman" w:eastAsia="方正仿宋简体" w:cs="Times New Roman"/>
          <w:b/>
          <w:bCs/>
          <w:color w:val="auto"/>
          <w:sz w:val="32"/>
          <w:szCs w:val="32"/>
          <w:lang w:val="en-US" w:eastAsia="zh-CN"/>
        </w:rPr>
        <w:t>泗水县泉鑫3-1号</w:t>
      </w:r>
      <w:r>
        <w:rPr>
          <w:rFonts w:hint="default" w:ascii="Times New Roman" w:hAnsi="Times New Roman" w:eastAsia="方正仿宋简体" w:cs="Times New Roman"/>
          <w:b/>
          <w:bCs/>
          <w:color w:val="auto"/>
          <w:sz w:val="32"/>
          <w:szCs w:val="32"/>
        </w:rPr>
        <w:t>，联系电话：0537-</w:t>
      </w:r>
      <w:r>
        <w:rPr>
          <w:rFonts w:hint="eastAsia" w:ascii="Times New Roman" w:hAnsi="Times New Roman" w:eastAsia="方正仿宋简体" w:cs="Times New Roman"/>
          <w:b/>
          <w:bCs/>
          <w:color w:val="auto"/>
          <w:sz w:val="32"/>
          <w:szCs w:val="32"/>
          <w:lang w:val="en-US" w:eastAsia="zh-CN"/>
        </w:rPr>
        <w:t>4221148</w:t>
      </w:r>
      <w:r>
        <w:rPr>
          <w:rFonts w:hint="default" w:ascii="Times New Roman" w:hAnsi="Times New Roman" w:eastAsia="方正仿宋简体" w:cs="Times New Roman"/>
          <w:b/>
          <w:bCs/>
          <w:color w:val="auto"/>
          <w:sz w:val="32"/>
          <w:szCs w:val="32"/>
        </w:rPr>
        <w:t>）。</w:t>
      </w:r>
    </w:p>
    <w:p w14:paraId="32AE3E09">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0" w:afterAutospacing="0" w:line="570" w:lineRule="atLeast"/>
        <w:ind w:left="0" w:firstLine="643" w:firstLineChars="200"/>
        <w:jc w:val="both"/>
        <w:textAlignment w:val="auto"/>
        <w:rPr>
          <w:rFonts w:hint="eastAsia" w:ascii="方正黑体简体" w:hAnsi="方正黑体简体" w:eastAsia="方正黑体简体" w:cs="方正黑体简体"/>
          <w:b/>
          <w:bCs/>
          <w:color w:val="auto"/>
          <w:sz w:val="32"/>
          <w:szCs w:val="32"/>
          <w:lang w:val="en-US" w:eastAsia="zh-CN"/>
        </w:rPr>
      </w:pPr>
      <w:r>
        <w:rPr>
          <w:rFonts w:hint="eastAsia" w:ascii="方正黑体简体" w:hAnsi="方正黑体简体" w:eastAsia="方正黑体简体" w:cs="方正黑体简体"/>
          <w:b/>
          <w:bCs/>
          <w:color w:val="auto"/>
          <w:sz w:val="32"/>
          <w:szCs w:val="32"/>
          <w:lang w:val="en-US" w:eastAsia="zh-CN"/>
        </w:rPr>
        <w:t>总体情况</w:t>
      </w:r>
    </w:p>
    <w:p w14:paraId="7CBFAF4A">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0" w:lineRule="atLeast"/>
        <w:ind w:left="0" w:firstLine="643" w:firstLineChars="200"/>
        <w:jc w:val="both"/>
        <w:textAlignment w:val="auto"/>
        <w:rPr>
          <w:rFonts w:hint="default" w:ascii="Times New Roman" w:hAnsi="Times New Roman" w:eastAsia="方正仿宋简体" w:cs="Times New Roman"/>
          <w:b/>
          <w:bCs/>
          <w:color w:val="auto"/>
          <w:sz w:val="32"/>
          <w:szCs w:val="32"/>
        </w:rPr>
      </w:pPr>
      <w:r>
        <w:rPr>
          <w:rFonts w:hint="default" w:ascii="Times New Roman" w:hAnsi="Times New Roman" w:eastAsia="方正仿宋简体" w:cs="Times New Roman"/>
          <w:b/>
          <w:bCs/>
          <w:color w:val="auto"/>
          <w:sz w:val="32"/>
          <w:szCs w:val="32"/>
        </w:rPr>
        <w:t>202</w:t>
      </w:r>
      <w:r>
        <w:rPr>
          <w:rFonts w:hint="eastAsia" w:ascii="Times New Roman" w:hAnsi="Times New Roman" w:eastAsia="方正仿宋简体" w:cs="Times New Roman"/>
          <w:b/>
          <w:bCs/>
          <w:color w:val="auto"/>
          <w:sz w:val="32"/>
          <w:szCs w:val="32"/>
          <w:lang w:val="en-US" w:eastAsia="zh-CN"/>
        </w:rPr>
        <w:t>4</w:t>
      </w:r>
      <w:r>
        <w:rPr>
          <w:rFonts w:hint="default" w:ascii="Times New Roman" w:hAnsi="Times New Roman" w:eastAsia="方正仿宋简体" w:cs="Times New Roman"/>
          <w:b/>
          <w:bCs/>
          <w:color w:val="auto"/>
          <w:sz w:val="32"/>
          <w:szCs w:val="32"/>
        </w:rPr>
        <w:t>年</w:t>
      </w:r>
      <w:r>
        <w:rPr>
          <w:rFonts w:hint="eastAsia" w:ascii="Times New Roman" w:hAnsi="Times New Roman" w:eastAsia="方正仿宋简体" w:cs="Times New Roman"/>
          <w:b/>
          <w:bCs/>
          <w:color w:val="auto"/>
          <w:sz w:val="32"/>
          <w:szCs w:val="32"/>
          <w:lang w:eastAsia="zh-CN"/>
        </w:rPr>
        <w:t>，</w:t>
      </w:r>
      <w:r>
        <w:rPr>
          <w:rFonts w:hint="default" w:ascii="Times New Roman" w:hAnsi="Times New Roman" w:eastAsia="方正仿宋简体" w:cs="Times New Roman"/>
          <w:b/>
          <w:bCs/>
          <w:color w:val="auto"/>
          <w:sz w:val="32"/>
          <w:szCs w:val="32"/>
        </w:rPr>
        <w:t>泗水县卫生健康局在</w:t>
      </w:r>
      <w:r>
        <w:rPr>
          <w:rFonts w:hint="eastAsia" w:ascii="Times New Roman" w:hAnsi="Times New Roman" w:eastAsia="方正仿宋简体" w:cs="Times New Roman"/>
          <w:b/>
          <w:bCs/>
          <w:color w:val="auto"/>
          <w:sz w:val="32"/>
          <w:szCs w:val="32"/>
          <w:lang w:val="en-US" w:eastAsia="zh-CN"/>
        </w:rPr>
        <w:t>县</w:t>
      </w:r>
      <w:r>
        <w:rPr>
          <w:rFonts w:hint="default" w:ascii="Times New Roman" w:hAnsi="Times New Roman" w:eastAsia="方正仿宋简体" w:cs="Times New Roman"/>
          <w:b/>
          <w:bCs/>
          <w:color w:val="auto"/>
          <w:sz w:val="32"/>
          <w:szCs w:val="32"/>
        </w:rPr>
        <w:t>委</w:t>
      </w:r>
      <w:r>
        <w:rPr>
          <w:rFonts w:hint="eastAsia" w:ascii="Times New Roman" w:hAnsi="Times New Roman" w:eastAsia="方正仿宋简体" w:cs="Times New Roman"/>
          <w:b/>
          <w:bCs/>
          <w:color w:val="auto"/>
          <w:sz w:val="32"/>
          <w:szCs w:val="32"/>
          <w:lang w:val="en-US" w:eastAsia="zh-CN"/>
        </w:rPr>
        <w:t>县</w:t>
      </w:r>
      <w:r>
        <w:rPr>
          <w:rFonts w:hint="default" w:ascii="Times New Roman" w:hAnsi="Times New Roman" w:eastAsia="方正仿宋简体" w:cs="Times New Roman"/>
          <w:b/>
          <w:bCs/>
          <w:color w:val="auto"/>
          <w:sz w:val="32"/>
          <w:szCs w:val="32"/>
        </w:rPr>
        <w:t>政府的</w:t>
      </w:r>
      <w:r>
        <w:rPr>
          <w:rFonts w:hint="eastAsia" w:ascii="Times New Roman" w:hAnsi="Times New Roman" w:eastAsia="方正仿宋简体" w:cs="Times New Roman"/>
          <w:b/>
          <w:bCs/>
          <w:color w:val="auto"/>
          <w:sz w:val="32"/>
          <w:szCs w:val="32"/>
          <w:lang w:val="en-US" w:eastAsia="zh-CN"/>
        </w:rPr>
        <w:t>正确</w:t>
      </w:r>
      <w:r>
        <w:rPr>
          <w:rFonts w:hint="default" w:ascii="Times New Roman" w:hAnsi="Times New Roman" w:eastAsia="方正仿宋简体" w:cs="Times New Roman"/>
          <w:b/>
          <w:bCs/>
          <w:color w:val="auto"/>
          <w:sz w:val="32"/>
          <w:szCs w:val="32"/>
        </w:rPr>
        <w:t>领导下，认真落实《中华人民共和国政府信息公开条例》各项规定，扎实开展政务公开工作，各项任务有序推进，工作取得积极成效。</w:t>
      </w:r>
    </w:p>
    <w:p w14:paraId="5858F2B4">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0" w:lineRule="atLeast"/>
        <w:ind w:firstLine="643" w:firstLineChars="200"/>
        <w:jc w:val="both"/>
        <w:textAlignment w:val="auto"/>
        <w:rPr>
          <w:rFonts w:hint="eastAsia" w:ascii="方正楷体简体" w:hAnsi="方正楷体简体" w:eastAsia="方正楷体简体" w:cs="方正楷体简体"/>
          <w:b/>
          <w:bCs/>
          <w:color w:val="auto"/>
          <w:sz w:val="32"/>
          <w:szCs w:val="32"/>
        </w:rPr>
      </w:pPr>
      <w:r>
        <w:rPr>
          <w:rFonts w:hint="eastAsia" w:ascii="方正楷体简体" w:hAnsi="方正楷体简体" w:eastAsia="方正楷体简体" w:cs="方正楷体简体"/>
          <w:b/>
          <w:bCs/>
          <w:color w:val="auto"/>
          <w:sz w:val="32"/>
          <w:szCs w:val="32"/>
        </w:rPr>
        <w:t>（一）主动公开情况</w:t>
      </w:r>
    </w:p>
    <w:p w14:paraId="124E71C1">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0" w:lineRule="atLeast"/>
        <w:ind w:left="0" w:firstLine="643" w:firstLineChars="200"/>
        <w:jc w:val="both"/>
        <w:textAlignment w:val="auto"/>
        <w:rPr>
          <w:rFonts w:hint="eastAsia"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2024年我局共主动公开政府信息189条，主要涉及行政执法、医疗服务、人事工作、公共卫生公共企事业单位、重点领域等方面。公示人大建议6件、政协提案11件，均已在“泗水县人民政府”门户网站上公布。</w:t>
      </w:r>
    </w:p>
    <w:p w14:paraId="699FED3C">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0" w:lineRule="atLeast"/>
        <w:ind w:left="0" w:firstLine="480" w:firstLineChars="200"/>
        <w:jc w:val="both"/>
        <w:textAlignment w:val="auto"/>
        <w:rPr>
          <w:color w:val="auto"/>
        </w:rPr>
      </w:pPr>
      <w:r>
        <w:rPr>
          <w:color w:val="auto"/>
        </w:rPr>
        <w:drawing>
          <wp:inline distT="0" distB="0" distL="114300" distR="114300">
            <wp:extent cx="4826000" cy="2743200"/>
            <wp:effectExtent l="4445" t="4445" r="825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7C2E1A58">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0" w:lineRule="atLeast"/>
        <w:ind w:left="0" w:firstLine="643" w:firstLineChars="200"/>
        <w:jc w:val="both"/>
        <w:textAlignment w:val="auto"/>
        <w:rPr>
          <w:rFonts w:hint="default" w:ascii="方正楷体简体" w:hAnsi="方正楷体简体" w:eastAsia="方正楷体简体" w:cs="方正楷体简体"/>
          <w:b/>
          <w:bCs/>
          <w:color w:val="auto"/>
          <w:sz w:val="32"/>
          <w:szCs w:val="32"/>
        </w:rPr>
      </w:pPr>
      <w:r>
        <w:rPr>
          <w:rFonts w:hint="eastAsia" w:ascii="方正楷体简体" w:hAnsi="方正楷体简体" w:eastAsia="方正楷体简体" w:cs="方正楷体简体"/>
          <w:b/>
          <w:bCs/>
          <w:color w:val="auto"/>
          <w:sz w:val="32"/>
          <w:szCs w:val="32"/>
        </w:rPr>
        <w:t>（二）依申请公开情况</w:t>
      </w:r>
    </w:p>
    <w:p w14:paraId="2CC5A790">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0" w:lineRule="atLeast"/>
        <w:ind w:left="0" w:firstLine="643" w:firstLineChars="200"/>
        <w:jc w:val="both"/>
        <w:textAlignment w:val="auto"/>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rPr>
        <w:t>202</w:t>
      </w:r>
      <w:r>
        <w:rPr>
          <w:rFonts w:hint="eastAsia" w:ascii="Times New Roman" w:hAnsi="Times New Roman" w:eastAsia="方正仿宋简体" w:cs="Times New Roman"/>
          <w:b/>
          <w:bCs/>
          <w:color w:val="auto"/>
          <w:sz w:val="32"/>
          <w:szCs w:val="32"/>
          <w:lang w:val="en-US" w:eastAsia="zh-CN"/>
        </w:rPr>
        <w:t>4</w:t>
      </w:r>
      <w:r>
        <w:rPr>
          <w:rFonts w:hint="eastAsia" w:ascii="Times New Roman" w:hAnsi="Times New Roman" w:eastAsia="方正仿宋简体" w:cs="Times New Roman"/>
          <w:b/>
          <w:bCs/>
          <w:color w:val="auto"/>
          <w:sz w:val="32"/>
          <w:szCs w:val="32"/>
        </w:rPr>
        <w:t>年收到</w:t>
      </w:r>
      <w:r>
        <w:rPr>
          <w:rFonts w:hint="eastAsia" w:ascii="Times New Roman" w:hAnsi="Times New Roman" w:eastAsia="方正仿宋简体" w:cs="Times New Roman"/>
          <w:b/>
          <w:bCs/>
          <w:color w:val="auto"/>
          <w:sz w:val="32"/>
          <w:szCs w:val="32"/>
          <w:lang w:val="en-US" w:eastAsia="zh-CN"/>
        </w:rPr>
        <w:t>2件</w:t>
      </w:r>
      <w:r>
        <w:rPr>
          <w:rFonts w:hint="eastAsia" w:ascii="Times New Roman" w:hAnsi="Times New Roman" w:eastAsia="方正仿宋简体" w:cs="Times New Roman"/>
          <w:b/>
          <w:bCs/>
          <w:color w:val="auto"/>
          <w:sz w:val="32"/>
          <w:szCs w:val="32"/>
        </w:rPr>
        <w:t>依申请公开信息申请</w:t>
      </w:r>
      <w:r>
        <w:rPr>
          <w:rFonts w:hint="eastAsia" w:ascii="Times New Roman" w:hAnsi="Times New Roman" w:eastAsia="方正仿宋简体" w:cs="Times New Roman"/>
          <w:b/>
          <w:bCs/>
          <w:color w:val="auto"/>
          <w:sz w:val="32"/>
          <w:szCs w:val="32"/>
          <w:lang w:eastAsia="zh-CN"/>
        </w:rPr>
        <w:t>，</w:t>
      </w:r>
      <w:r>
        <w:rPr>
          <w:rFonts w:hint="eastAsia" w:ascii="Times New Roman" w:hAnsi="Times New Roman" w:eastAsia="方正仿宋简体" w:cs="Times New Roman"/>
          <w:b/>
          <w:bCs/>
          <w:color w:val="auto"/>
          <w:sz w:val="32"/>
          <w:szCs w:val="32"/>
          <w:lang w:val="en-US" w:eastAsia="zh-CN"/>
        </w:rPr>
        <w:t>均已在规定期限内完成办理。</w:t>
      </w:r>
    </w:p>
    <w:p w14:paraId="2E5266FA">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0" w:lineRule="atLeast"/>
        <w:ind w:left="0" w:firstLine="643" w:firstLineChars="200"/>
        <w:jc w:val="both"/>
        <w:textAlignment w:val="auto"/>
        <w:rPr>
          <w:rFonts w:hint="default" w:ascii="方正楷体简体" w:hAnsi="方正楷体简体" w:eastAsia="方正楷体简体" w:cs="方正楷体简体"/>
          <w:b/>
          <w:bCs/>
          <w:color w:val="auto"/>
          <w:sz w:val="32"/>
          <w:szCs w:val="32"/>
        </w:rPr>
      </w:pPr>
      <w:r>
        <w:rPr>
          <w:rFonts w:hint="eastAsia" w:ascii="方正楷体简体" w:hAnsi="方正楷体简体" w:eastAsia="方正楷体简体" w:cs="方正楷体简体"/>
          <w:b/>
          <w:bCs/>
          <w:color w:val="auto"/>
          <w:sz w:val="32"/>
          <w:szCs w:val="32"/>
        </w:rPr>
        <w:t>（三）政府信息管理情况</w:t>
      </w:r>
    </w:p>
    <w:p w14:paraId="6034B6B5">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0" w:lineRule="atLeast"/>
        <w:ind w:left="0" w:firstLine="643" w:firstLineChars="200"/>
        <w:jc w:val="both"/>
        <w:textAlignment w:val="auto"/>
        <w:rPr>
          <w:rFonts w:hint="eastAsia" w:ascii="Times New Roman" w:hAnsi="Times New Roman" w:eastAsia="方正仿宋简体" w:cs="Times New Roman"/>
          <w:b/>
          <w:bCs/>
          <w:color w:val="auto"/>
          <w:sz w:val="32"/>
          <w:szCs w:val="32"/>
        </w:rPr>
      </w:pPr>
      <w:r>
        <w:rPr>
          <w:rFonts w:hint="eastAsia" w:ascii="Times New Roman" w:hAnsi="Times New Roman" w:eastAsia="方正仿宋简体" w:cs="Times New Roman"/>
          <w:b/>
          <w:bCs/>
          <w:color w:val="auto"/>
          <w:sz w:val="32"/>
          <w:szCs w:val="32"/>
        </w:rPr>
        <w:t>县卫生健康局按照政府信息公开工作的要求，进一步健全政府信息发布保密审查机制，严格坚持“先审查、后公开”原则，要求公开信息必须经过科室分管、办公室经办、主要领导确认等内部审核流程，并不定期地开展工作自查，不断完善工作流程。202</w:t>
      </w:r>
      <w:r>
        <w:rPr>
          <w:rFonts w:hint="eastAsia" w:ascii="Times New Roman" w:hAnsi="Times New Roman" w:eastAsia="方正仿宋简体" w:cs="Times New Roman"/>
          <w:b/>
          <w:bCs/>
          <w:color w:val="auto"/>
          <w:sz w:val="32"/>
          <w:szCs w:val="32"/>
          <w:lang w:val="en-US" w:eastAsia="zh-CN"/>
        </w:rPr>
        <w:t>4</w:t>
      </w:r>
      <w:r>
        <w:rPr>
          <w:rFonts w:hint="eastAsia" w:ascii="Times New Roman" w:hAnsi="Times New Roman" w:eastAsia="方正仿宋简体" w:cs="Times New Roman"/>
          <w:b/>
          <w:bCs/>
          <w:color w:val="auto"/>
          <w:sz w:val="32"/>
          <w:szCs w:val="32"/>
        </w:rPr>
        <w:t>年全年未发生过信息泄密事故。</w:t>
      </w:r>
    </w:p>
    <w:p w14:paraId="0410ECCB">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0" w:lineRule="atLeast"/>
        <w:ind w:left="0" w:firstLine="643" w:firstLineChars="200"/>
        <w:jc w:val="both"/>
        <w:textAlignment w:val="auto"/>
        <w:rPr>
          <w:rFonts w:hint="eastAsia" w:ascii="方正楷体简体" w:hAnsi="方正楷体简体" w:eastAsia="方正楷体简体" w:cs="方正楷体简体"/>
          <w:b/>
          <w:bCs/>
          <w:color w:val="auto"/>
          <w:sz w:val="32"/>
          <w:szCs w:val="32"/>
        </w:rPr>
      </w:pPr>
      <w:r>
        <w:rPr>
          <w:rFonts w:hint="eastAsia" w:ascii="方正楷体简体" w:hAnsi="方正楷体简体" w:eastAsia="方正楷体简体" w:cs="方正楷体简体"/>
          <w:b/>
          <w:bCs/>
          <w:color w:val="auto"/>
          <w:sz w:val="32"/>
          <w:szCs w:val="32"/>
        </w:rPr>
        <w:t>（四）政府信息公开平台建设情况</w:t>
      </w:r>
    </w:p>
    <w:p w14:paraId="57DA24D6">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0" w:lineRule="atLeast"/>
        <w:ind w:left="0" w:firstLine="643" w:firstLineChars="200"/>
        <w:jc w:val="both"/>
        <w:textAlignment w:val="auto"/>
        <w:rPr>
          <w:rFonts w:hint="eastAsia" w:ascii="Times New Roman" w:hAnsi="Times New Roman" w:eastAsia="方正仿宋简体" w:cs="Times New Roman"/>
          <w:b/>
          <w:bCs/>
          <w:color w:val="auto"/>
          <w:sz w:val="32"/>
          <w:szCs w:val="32"/>
        </w:rPr>
      </w:pPr>
    </w:p>
    <w:p w14:paraId="140C7756">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0" w:lineRule="atLeast"/>
        <w:ind w:left="0" w:firstLine="643" w:firstLineChars="200"/>
        <w:jc w:val="both"/>
        <w:textAlignment w:val="auto"/>
        <w:rPr>
          <w:rFonts w:hint="eastAsia" w:ascii="Times New Roman" w:hAnsi="Times New Roman" w:eastAsia="方正仿宋简体" w:cs="Times New Roman"/>
          <w:b/>
          <w:bCs/>
          <w:color w:val="auto"/>
          <w:sz w:val="32"/>
          <w:szCs w:val="32"/>
        </w:rPr>
      </w:pPr>
      <w:r>
        <w:rPr>
          <w:rFonts w:hint="eastAsia" w:ascii="Times New Roman" w:hAnsi="Times New Roman" w:eastAsia="方正仿宋简体" w:cs="Times New Roman"/>
          <w:b/>
          <w:bCs/>
          <w:color w:val="auto"/>
          <w:sz w:val="32"/>
          <w:szCs w:val="32"/>
        </w:rPr>
        <w:t>泗水县</w:t>
      </w:r>
      <w:r>
        <w:rPr>
          <w:rFonts w:hint="eastAsia" w:ascii="Times New Roman" w:hAnsi="Times New Roman" w:eastAsia="方正仿宋简体" w:cs="Times New Roman"/>
          <w:b/>
          <w:bCs/>
          <w:color w:val="auto"/>
          <w:sz w:val="32"/>
          <w:szCs w:val="32"/>
          <w:lang w:val="en-US" w:eastAsia="zh-CN"/>
        </w:rPr>
        <w:t>卫生健康局不断加强政务新媒体内部管理，明确专人对政府网站信息、微信公众号信息等进行管理和内容维护，</w:t>
      </w:r>
      <w:r>
        <w:rPr>
          <w:rFonts w:hint="eastAsia" w:ascii="Times New Roman" w:hAnsi="Times New Roman" w:eastAsia="方正仿宋简体" w:cs="Times New Roman"/>
          <w:b/>
          <w:bCs/>
          <w:color w:val="auto"/>
          <w:sz w:val="32"/>
          <w:szCs w:val="32"/>
        </w:rPr>
        <w:t>严格落实信息内容发布审核制度，切实防范网络意识形态风险。</w:t>
      </w:r>
    </w:p>
    <w:p w14:paraId="5FF2DD1A">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0" w:lineRule="atLeast"/>
        <w:ind w:left="0" w:firstLine="643" w:firstLineChars="200"/>
        <w:jc w:val="both"/>
        <w:textAlignment w:val="auto"/>
        <w:rPr>
          <w:rFonts w:hint="eastAsia" w:ascii="Times New Roman" w:hAnsi="Times New Roman" w:eastAsia="方正仿宋简体" w:cs="Times New Roman"/>
          <w:b/>
          <w:bCs/>
          <w:color w:val="auto"/>
          <w:sz w:val="32"/>
          <w:szCs w:val="32"/>
        </w:rPr>
      </w:pPr>
      <w:r>
        <w:rPr>
          <w:rFonts w:hint="eastAsia" w:ascii="方正楷体简体" w:hAnsi="方正楷体简体" w:eastAsia="方正楷体简体" w:cs="方正楷体简体"/>
          <w:b/>
          <w:bCs/>
          <w:color w:val="auto"/>
          <w:sz w:val="32"/>
          <w:szCs w:val="32"/>
        </w:rPr>
        <w:t>（五）监督保障情况</w:t>
      </w:r>
    </w:p>
    <w:p w14:paraId="50E87FAA">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0" w:lineRule="atLeast"/>
        <w:ind w:left="0" w:firstLine="643" w:firstLineChars="200"/>
        <w:jc w:val="both"/>
        <w:textAlignment w:val="auto"/>
        <w:rPr>
          <w:rFonts w:hint="eastAsia" w:ascii="Times New Roman" w:hAnsi="Times New Roman" w:eastAsia="方正仿宋简体" w:cs="Times New Roman"/>
          <w:b/>
          <w:bCs/>
          <w:color w:val="auto"/>
          <w:sz w:val="32"/>
          <w:szCs w:val="32"/>
        </w:rPr>
      </w:pPr>
      <w:r>
        <w:rPr>
          <w:rFonts w:hint="eastAsia" w:ascii="Times New Roman" w:hAnsi="Times New Roman" w:eastAsia="方正仿宋简体" w:cs="Times New Roman"/>
          <w:b/>
          <w:bCs/>
          <w:color w:val="auto"/>
          <w:sz w:val="32"/>
          <w:szCs w:val="32"/>
          <w:lang w:val="en-US" w:eastAsia="zh-CN"/>
        </w:rPr>
        <w:t>泗水县卫生健康局不断</w:t>
      </w:r>
      <w:r>
        <w:rPr>
          <w:rFonts w:hint="eastAsia" w:ascii="Times New Roman" w:hAnsi="Times New Roman" w:eastAsia="方正仿宋简体" w:cs="Times New Roman"/>
          <w:b/>
          <w:bCs/>
          <w:color w:val="auto"/>
          <w:sz w:val="32"/>
          <w:szCs w:val="32"/>
        </w:rPr>
        <w:t>强化政务公开队伍建设，</w:t>
      </w:r>
      <w:r>
        <w:rPr>
          <w:rFonts w:hint="eastAsia" w:ascii="Times New Roman" w:hAnsi="Times New Roman" w:eastAsia="方正仿宋简体" w:cs="Times New Roman"/>
          <w:b/>
          <w:bCs/>
          <w:color w:val="auto"/>
          <w:sz w:val="32"/>
          <w:szCs w:val="32"/>
          <w:lang w:val="en-US" w:eastAsia="zh-CN"/>
        </w:rPr>
        <w:t>及时</w:t>
      </w:r>
      <w:r>
        <w:rPr>
          <w:rFonts w:hint="eastAsia" w:ascii="Times New Roman" w:hAnsi="Times New Roman" w:eastAsia="方正仿宋简体" w:cs="Times New Roman"/>
          <w:b/>
          <w:bCs/>
          <w:color w:val="auto"/>
          <w:sz w:val="32"/>
          <w:szCs w:val="32"/>
        </w:rPr>
        <w:t>调整局政务公开领导小组成员，</w:t>
      </w:r>
      <w:r>
        <w:rPr>
          <w:rFonts w:hint="eastAsia" w:ascii="Times New Roman" w:hAnsi="Times New Roman" w:eastAsia="方正仿宋简体" w:cs="Times New Roman"/>
          <w:b/>
          <w:bCs/>
          <w:color w:val="auto"/>
          <w:sz w:val="32"/>
          <w:szCs w:val="32"/>
          <w:lang w:val="en-US" w:eastAsia="zh-CN"/>
        </w:rPr>
        <w:t>成立了系统内各单位政务公开领导小组，确保系统内政务公开及时有效</w:t>
      </w:r>
      <w:r>
        <w:rPr>
          <w:rFonts w:hint="eastAsia" w:ascii="Times New Roman" w:hAnsi="Times New Roman" w:eastAsia="方正仿宋简体" w:cs="Times New Roman"/>
          <w:b/>
          <w:bCs/>
          <w:color w:val="auto"/>
          <w:sz w:val="32"/>
          <w:szCs w:val="32"/>
        </w:rPr>
        <w:t>。</w:t>
      </w:r>
      <w:r>
        <w:rPr>
          <w:rFonts w:hint="eastAsia" w:ascii="Times New Roman" w:hAnsi="Times New Roman" w:eastAsia="方正仿宋简体" w:cs="Times New Roman"/>
          <w:b/>
          <w:bCs/>
          <w:color w:val="auto"/>
          <w:sz w:val="32"/>
          <w:szCs w:val="32"/>
          <w:lang w:val="en-US" w:eastAsia="zh-CN"/>
        </w:rPr>
        <w:t>同时</w:t>
      </w:r>
      <w:r>
        <w:rPr>
          <w:rFonts w:hint="eastAsia" w:ascii="Times New Roman" w:hAnsi="Times New Roman" w:eastAsia="方正仿宋简体" w:cs="Times New Roman"/>
          <w:b/>
          <w:bCs/>
          <w:color w:val="auto"/>
          <w:sz w:val="32"/>
          <w:szCs w:val="32"/>
        </w:rPr>
        <w:t>积极组织开展政府信息公开业务培训，</w:t>
      </w:r>
      <w:r>
        <w:rPr>
          <w:rFonts w:hint="eastAsia" w:ascii="Times New Roman" w:hAnsi="Times New Roman" w:eastAsia="方正仿宋简体" w:cs="Times New Roman"/>
          <w:b/>
          <w:bCs/>
          <w:color w:val="auto"/>
          <w:sz w:val="32"/>
          <w:szCs w:val="32"/>
          <w:lang w:val="en-US" w:eastAsia="zh-CN"/>
        </w:rPr>
        <w:t>及时</w:t>
      </w:r>
      <w:r>
        <w:rPr>
          <w:rFonts w:hint="eastAsia" w:ascii="Times New Roman" w:hAnsi="Times New Roman" w:eastAsia="方正仿宋简体" w:cs="Times New Roman"/>
          <w:b/>
          <w:bCs/>
          <w:color w:val="auto"/>
          <w:sz w:val="32"/>
          <w:szCs w:val="32"/>
        </w:rPr>
        <w:t>查找短板弱点，不断提升信息公开水平，确保政府信息公开工作规范、有序开展。</w:t>
      </w:r>
      <w:bookmarkStart w:id="10" w:name="_GoBack"/>
      <w:bookmarkEnd w:id="10"/>
    </w:p>
    <w:p w14:paraId="07ECCFF0">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0" w:afterAutospacing="0" w:line="570" w:lineRule="atLeast"/>
        <w:ind w:left="0" w:leftChars="0" w:firstLine="643" w:firstLineChars="200"/>
        <w:jc w:val="both"/>
        <w:textAlignment w:val="auto"/>
        <w:rPr>
          <w:rFonts w:hint="eastAsia" w:ascii="方正黑体简体" w:hAnsi="方正黑体简体" w:eastAsia="方正黑体简体" w:cs="方正黑体简体"/>
          <w:b/>
          <w:bCs/>
          <w:color w:val="auto"/>
          <w:sz w:val="32"/>
          <w:szCs w:val="32"/>
        </w:rPr>
      </w:pPr>
      <w:r>
        <w:rPr>
          <w:rFonts w:hint="eastAsia" w:ascii="方正黑体简体" w:hAnsi="方正黑体简体" w:eastAsia="方正黑体简体" w:cs="方正黑体简体"/>
          <w:b/>
          <w:bCs/>
          <w:color w:val="auto"/>
          <w:sz w:val="32"/>
          <w:szCs w:val="32"/>
        </w:rPr>
        <w:t>主动公开政府信息情况</w:t>
      </w:r>
    </w:p>
    <w:p w14:paraId="439264E7">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70" w:lineRule="atLeast"/>
        <w:ind w:leftChars="200" w:right="0" w:rightChars="0"/>
        <w:jc w:val="both"/>
        <w:textAlignment w:val="auto"/>
        <w:rPr>
          <w:rFonts w:hint="eastAsia" w:ascii="方正黑体简体" w:hAnsi="方正黑体简体" w:eastAsia="方正黑体简体" w:cs="方正黑体简体"/>
          <w:b/>
          <w:bCs/>
          <w:color w:val="auto"/>
          <w:sz w:val="32"/>
          <w:szCs w:val="32"/>
        </w:rPr>
      </w:pPr>
    </w:p>
    <w:tbl>
      <w:tblPr>
        <w:tblStyle w:val="3"/>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435"/>
        <w:gridCol w:w="2435"/>
        <w:gridCol w:w="2435"/>
        <w:gridCol w:w="2435"/>
      </w:tblGrid>
      <w:tr w14:paraId="5E1B1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60F06C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第二十条第（一）项</w:t>
            </w:r>
          </w:p>
        </w:tc>
      </w:tr>
      <w:tr w14:paraId="796D1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6155FC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7646A1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2E6FFC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3C8BDB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现行有效件数</w:t>
            </w:r>
          </w:p>
        </w:tc>
      </w:tr>
      <w:tr w14:paraId="183A7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5B41E3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4C263A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64EB9F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75C632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eastAsiaTheme="minorEastAsia"/>
                <w:b/>
                <w:bCs w:val="0"/>
                <w:color w:val="auto"/>
                <w:lang w:val="en-US" w:eastAsia="zh-CN"/>
              </w:rPr>
            </w:pPr>
            <w:r>
              <w:rPr>
                <w:rFonts w:hint="eastAsia"/>
                <w:b/>
                <w:bCs w:val="0"/>
                <w:color w:val="auto"/>
                <w:lang w:val="en-US" w:eastAsia="zh-CN"/>
              </w:rPr>
              <w:t>0</w:t>
            </w:r>
          </w:p>
        </w:tc>
      </w:tr>
      <w:tr w14:paraId="601EA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088422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1DF251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78EF97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2249B0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Calibri" w:hAnsi="Calibri" w:eastAsia="宋体" w:cs="Calibri"/>
                <w:b/>
                <w:bCs w:val="0"/>
                <w:color w:val="auto"/>
                <w:kern w:val="0"/>
                <w:sz w:val="21"/>
                <w:szCs w:val="21"/>
                <w:lang w:val="en-US" w:eastAsia="zh-CN" w:bidi="ar"/>
              </w:rPr>
              <w:t>0</w:t>
            </w:r>
          </w:p>
        </w:tc>
      </w:tr>
      <w:tr w14:paraId="4EAE8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41BD0D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第二十条第（五）项</w:t>
            </w:r>
          </w:p>
        </w:tc>
      </w:tr>
      <w:tr w14:paraId="57B58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306212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20904F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本年处理决定数量</w:t>
            </w:r>
          </w:p>
        </w:tc>
      </w:tr>
      <w:tr w14:paraId="7FA5B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0F2EEC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6CF64B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eastAsiaTheme="minorEastAsia"/>
                <w:b/>
                <w:bCs w:val="0"/>
                <w:color w:val="auto"/>
                <w:lang w:val="en-US" w:eastAsia="zh-CN"/>
              </w:rPr>
            </w:pPr>
            <w:r>
              <w:rPr>
                <w:rFonts w:hint="eastAsia"/>
                <w:b/>
                <w:bCs w:val="0"/>
                <w:color w:val="auto"/>
                <w:lang w:val="en-US" w:eastAsia="zh-CN"/>
              </w:rPr>
              <w:t>0</w:t>
            </w:r>
          </w:p>
        </w:tc>
      </w:tr>
      <w:tr w14:paraId="1C791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526BA0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第二十条第（六）项</w:t>
            </w:r>
          </w:p>
        </w:tc>
      </w:tr>
      <w:tr w14:paraId="36B93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6BEFE4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14:paraId="5EBD1D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本年处理决定数量</w:t>
            </w:r>
          </w:p>
        </w:tc>
      </w:tr>
      <w:tr w14:paraId="29BE0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76E43B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5386B4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b/>
                <w:bCs w:val="0"/>
                <w:color w:val="auto"/>
                <w:lang w:val="en-US"/>
              </w:rPr>
            </w:pPr>
            <w:r>
              <w:rPr>
                <w:rFonts w:hint="eastAsia" w:ascii="宋体" w:hAnsi="宋体" w:eastAsia="宋体" w:cs="宋体"/>
                <w:b/>
                <w:bCs w:val="0"/>
                <w:color w:val="auto"/>
                <w:kern w:val="0"/>
                <w:sz w:val="20"/>
                <w:szCs w:val="20"/>
                <w:lang w:val="en-US" w:eastAsia="zh-CN" w:bidi="ar"/>
              </w:rPr>
              <w:t>104</w:t>
            </w:r>
          </w:p>
        </w:tc>
      </w:tr>
      <w:tr w14:paraId="2DC54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3F8A13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0256EC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eastAsiaTheme="minorEastAsia"/>
                <w:b/>
                <w:bCs w:val="0"/>
                <w:color w:val="auto"/>
                <w:lang w:val="en-US" w:eastAsia="zh-CN"/>
              </w:rPr>
            </w:pPr>
            <w:r>
              <w:rPr>
                <w:rFonts w:hint="eastAsia"/>
                <w:b/>
                <w:bCs w:val="0"/>
                <w:color w:val="auto"/>
                <w:lang w:val="en-US" w:eastAsia="zh-CN"/>
              </w:rPr>
              <w:t>0</w:t>
            </w:r>
          </w:p>
        </w:tc>
      </w:tr>
      <w:tr w14:paraId="314E6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0F3C62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第二十条第（八）项</w:t>
            </w:r>
          </w:p>
        </w:tc>
      </w:tr>
      <w:tr w14:paraId="125F4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1027B5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14:paraId="3BE425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本年收费金额（单位：万元）</w:t>
            </w:r>
          </w:p>
        </w:tc>
      </w:tr>
      <w:tr w14:paraId="548D3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1B8C25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14:paraId="6BB19472">
            <w:pPr>
              <w:rPr>
                <w:rFonts w:hint="eastAsia" w:ascii="宋体" w:eastAsiaTheme="minorEastAsia"/>
                <w:b/>
                <w:bCs w:val="0"/>
                <w:color w:val="auto"/>
                <w:sz w:val="24"/>
                <w:szCs w:val="24"/>
                <w:lang w:val="en-US" w:eastAsia="zh-CN"/>
              </w:rPr>
            </w:pPr>
            <w:r>
              <w:rPr>
                <w:rFonts w:hint="eastAsia" w:ascii="宋体"/>
                <w:b/>
                <w:bCs w:val="0"/>
                <w:color w:val="auto"/>
                <w:sz w:val="24"/>
                <w:szCs w:val="24"/>
                <w:lang w:val="en-US" w:eastAsia="zh-CN"/>
              </w:rPr>
              <w:t>0</w:t>
            </w:r>
          </w:p>
        </w:tc>
      </w:tr>
    </w:tbl>
    <w:p w14:paraId="20E9275A">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70" w:lineRule="atLeast"/>
        <w:ind w:leftChars="200" w:right="0" w:rightChars="0"/>
        <w:jc w:val="both"/>
        <w:textAlignment w:val="auto"/>
        <w:rPr>
          <w:rFonts w:hint="eastAsia" w:ascii="方正黑体简体" w:hAnsi="方正黑体简体" w:eastAsia="方正黑体简体" w:cs="方正黑体简体"/>
          <w:b/>
          <w:bCs/>
          <w:color w:val="auto"/>
          <w:sz w:val="32"/>
          <w:szCs w:val="32"/>
        </w:rPr>
      </w:pPr>
    </w:p>
    <w:p w14:paraId="6731D4DB">
      <w:pPr>
        <w:pStyle w:val="2"/>
        <w:keepNext w:val="0"/>
        <w:keepLines w:val="0"/>
        <w:widowControl/>
        <w:numPr>
          <w:ilvl w:val="0"/>
          <w:numId w:val="0"/>
        </w:numPr>
        <w:suppressLineNumbers w:val="0"/>
        <w:spacing w:after="75" w:afterAutospacing="0" w:line="315" w:lineRule="atLeast"/>
        <w:ind w:left="0" w:leftChars="0" w:right="0" w:rightChars="0" w:firstLine="420" w:firstLineChars="0"/>
        <w:rPr>
          <w:rFonts w:hint="eastAsia" w:ascii="方正黑体简体" w:hAnsi="方正黑体简体" w:eastAsia="方正黑体简体" w:cs="方正黑体简体"/>
          <w:color w:val="auto"/>
          <w:sz w:val="32"/>
          <w:szCs w:val="32"/>
        </w:rPr>
      </w:pPr>
      <w:r>
        <w:rPr>
          <w:rFonts w:hint="eastAsia" w:ascii="方正黑体简体" w:hAnsi="方正黑体简体" w:eastAsia="方正黑体简体" w:cs="方正黑体简体"/>
          <w:color w:val="auto"/>
          <w:kern w:val="0"/>
          <w:sz w:val="32"/>
          <w:szCs w:val="32"/>
          <w:lang w:val="en-US" w:eastAsia="zh-CN" w:bidi="ar"/>
        </w:rPr>
        <w:t>三、</w:t>
      </w:r>
      <w:r>
        <w:rPr>
          <w:rFonts w:hint="eastAsia" w:ascii="方正黑体简体" w:hAnsi="方正黑体简体" w:eastAsia="方正黑体简体" w:cs="方正黑体简体"/>
          <w:color w:val="auto"/>
          <w:sz w:val="32"/>
          <w:szCs w:val="32"/>
        </w:rPr>
        <w:t>收到和处理政府信息公开申请情况</w:t>
      </w:r>
    </w:p>
    <w:tbl>
      <w:tblPr>
        <w:tblStyle w:val="3"/>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14:paraId="41ED0E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14:paraId="4FA4DCB4">
            <w:pPr>
              <w:widowControl/>
              <w:jc w:val="center"/>
              <w:rPr>
                <w:rFonts w:ascii="楷体_GB2312" w:hAnsi="黑体" w:eastAsia="楷体_GB2312"/>
                <w:b/>
                <w:bCs/>
                <w:color w:val="auto"/>
                <w:kern w:val="0"/>
                <w:szCs w:val="21"/>
              </w:rPr>
            </w:pPr>
            <w:r>
              <w:rPr>
                <w:rFonts w:hint="eastAsia" w:ascii="楷体_GB2312" w:hAnsi="黑体" w:eastAsia="楷体_GB2312"/>
                <w:b/>
                <w:bCs/>
                <w:color w:val="auto"/>
                <w:kern w:val="0"/>
                <w:szCs w:val="21"/>
              </w:rPr>
              <w:t>（本列数据的勾稽关系为：第一项加第二项之和，</w:t>
            </w:r>
          </w:p>
          <w:p w14:paraId="341B0531">
            <w:pPr>
              <w:widowControl/>
              <w:jc w:val="center"/>
              <w:rPr>
                <w:rFonts w:ascii="仿宋_GB2312" w:hAnsi="Times New Roman" w:eastAsia="仿宋_GB2312"/>
                <w:b/>
                <w:bCs/>
                <w:color w:val="auto"/>
                <w:szCs w:val="21"/>
              </w:rPr>
            </w:pPr>
            <w:r>
              <w:rPr>
                <w:rFonts w:hint="eastAsia" w:ascii="楷体_GB2312" w:hAnsi="黑体" w:eastAsia="楷体_GB2312"/>
                <w:b/>
                <w:bCs/>
                <w:color w:val="auto"/>
                <w:kern w:val="0"/>
                <w:szCs w:val="21"/>
              </w:rPr>
              <w:t>等于第三项加第四项之和）</w:t>
            </w:r>
          </w:p>
        </w:tc>
        <w:tc>
          <w:tcPr>
            <w:tcW w:w="4820" w:type="dxa"/>
            <w:gridSpan w:val="7"/>
            <w:shd w:val="clear" w:color="auto" w:fill="auto"/>
            <w:tcMar>
              <w:left w:w="108" w:type="dxa"/>
              <w:right w:w="108" w:type="dxa"/>
            </w:tcMar>
            <w:vAlign w:val="center"/>
          </w:tcPr>
          <w:p w14:paraId="6706CA10">
            <w:pPr>
              <w:widowControl/>
              <w:spacing w:line="320" w:lineRule="exact"/>
              <w:jc w:val="center"/>
              <w:rPr>
                <w:rFonts w:ascii="黑体" w:hAnsi="黑体" w:eastAsia="黑体"/>
                <w:b/>
                <w:bCs/>
                <w:color w:val="auto"/>
                <w:szCs w:val="21"/>
              </w:rPr>
            </w:pPr>
            <w:r>
              <w:rPr>
                <w:rFonts w:hint="eastAsia" w:ascii="黑体" w:hAnsi="黑体" w:eastAsia="黑体"/>
                <w:b/>
                <w:bCs/>
                <w:color w:val="auto"/>
                <w:kern w:val="0"/>
                <w:szCs w:val="21"/>
              </w:rPr>
              <w:t>申请人情况</w:t>
            </w:r>
          </w:p>
        </w:tc>
      </w:tr>
      <w:tr w14:paraId="364DCB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14:paraId="714100F2">
            <w:pPr>
              <w:jc w:val="center"/>
              <w:rPr>
                <w:rFonts w:ascii="仿宋_GB2312" w:hAnsi="Times New Roman" w:eastAsia="仿宋_GB2312"/>
                <w:b/>
                <w:bCs/>
                <w:color w:val="auto"/>
                <w:szCs w:val="21"/>
              </w:rPr>
            </w:pPr>
          </w:p>
        </w:tc>
        <w:tc>
          <w:tcPr>
            <w:tcW w:w="829" w:type="dxa"/>
            <w:vMerge w:val="restart"/>
            <w:shd w:val="clear" w:color="auto" w:fill="auto"/>
            <w:tcMar>
              <w:left w:w="108" w:type="dxa"/>
              <w:right w:w="108" w:type="dxa"/>
            </w:tcMar>
            <w:vAlign w:val="center"/>
          </w:tcPr>
          <w:p w14:paraId="3A0F5FA3">
            <w:pPr>
              <w:widowControl/>
              <w:jc w:val="center"/>
              <w:rPr>
                <w:rFonts w:ascii="黑体" w:hAnsi="黑体" w:eastAsia="黑体"/>
                <w:b/>
                <w:bCs/>
                <w:color w:val="auto"/>
                <w:szCs w:val="21"/>
              </w:rPr>
            </w:pPr>
            <w:r>
              <w:rPr>
                <w:rFonts w:hint="eastAsia" w:ascii="黑体" w:hAnsi="黑体" w:eastAsia="黑体"/>
                <w:b/>
                <w:bCs/>
                <w:color w:val="auto"/>
                <w:kern w:val="0"/>
                <w:szCs w:val="21"/>
              </w:rPr>
              <w:t>自然人</w:t>
            </w:r>
          </w:p>
        </w:tc>
        <w:tc>
          <w:tcPr>
            <w:tcW w:w="3140" w:type="dxa"/>
            <w:gridSpan w:val="5"/>
            <w:shd w:val="clear" w:color="auto" w:fill="auto"/>
            <w:tcMar>
              <w:left w:w="108" w:type="dxa"/>
              <w:right w:w="108" w:type="dxa"/>
            </w:tcMar>
            <w:vAlign w:val="center"/>
          </w:tcPr>
          <w:p w14:paraId="7E573D55">
            <w:pPr>
              <w:widowControl/>
              <w:spacing w:line="320" w:lineRule="exact"/>
              <w:jc w:val="center"/>
              <w:rPr>
                <w:rFonts w:ascii="黑体" w:hAnsi="黑体" w:eastAsia="黑体"/>
                <w:b/>
                <w:bCs/>
                <w:color w:val="auto"/>
                <w:szCs w:val="21"/>
              </w:rPr>
            </w:pPr>
            <w:r>
              <w:rPr>
                <w:rFonts w:hint="eastAsia" w:ascii="黑体" w:hAnsi="黑体" w:eastAsia="黑体"/>
                <w:b/>
                <w:bCs/>
                <w:color w:val="auto"/>
                <w:kern w:val="0"/>
                <w:szCs w:val="21"/>
              </w:rPr>
              <w:t>法人或其他组织</w:t>
            </w:r>
          </w:p>
        </w:tc>
        <w:tc>
          <w:tcPr>
            <w:tcW w:w="851" w:type="dxa"/>
            <w:vMerge w:val="restart"/>
            <w:shd w:val="clear" w:color="auto" w:fill="auto"/>
            <w:tcMar>
              <w:left w:w="108" w:type="dxa"/>
              <w:right w:w="108" w:type="dxa"/>
            </w:tcMar>
            <w:vAlign w:val="center"/>
          </w:tcPr>
          <w:p w14:paraId="134D83DE">
            <w:pPr>
              <w:widowControl/>
              <w:jc w:val="center"/>
              <w:rPr>
                <w:rFonts w:ascii="黑体" w:hAnsi="黑体" w:eastAsia="黑体"/>
                <w:b/>
                <w:bCs/>
                <w:color w:val="auto"/>
                <w:szCs w:val="21"/>
              </w:rPr>
            </w:pPr>
            <w:r>
              <w:rPr>
                <w:rFonts w:hint="eastAsia" w:ascii="黑体" w:hAnsi="黑体" w:eastAsia="黑体"/>
                <w:b/>
                <w:bCs/>
                <w:color w:val="auto"/>
                <w:kern w:val="0"/>
                <w:szCs w:val="21"/>
              </w:rPr>
              <w:t>总计</w:t>
            </w:r>
          </w:p>
        </w:tc>
      </w:tr>
      <w:tr w14:paraId="285384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14:paraId="40679B87">
            <w:pPr>
              <w:jc w:val="center"/>
              <w:rPr>
                <w:rFonts w:ascii="仿宋_GB2312" w:hAnsi="Times New Roman" w:eastAsia="仿宋_GB2312"/>
                <w:b/>
                <w:bCs/>
                <w:color w:val="auto"/>
                <w:szCs w:val="21"/>
              </w:rPr>
            </w:pPr>
          </w:p>
        </w:tc>
        <w:tc>
          <w:tcPr>
            <w:tcW w:w="829" w:type="dxa"/>
            <w:vMerge w:val="continue"/>
            <w:shd w:val="clear" w:color="auto" w:fill="auto"/>
            <w:tcMar>
              <w:left w:w="108" w:type="dxa"/>
              <w:right w:w="108" w:type="dxa"/>
            </w:tcMar>
            <w:vAlign w:val="center"/>
          </w:tcPr>
          <w:p w14:paraId="7D5B7BB1">
            <w:pPr>
              <w:jc w:val="center"/>
              <w:rPr>
                <w:rFonts w:ascii="黑体" w:hAnsi="黑体" w:eastAsia="黑体"/>
                <w:b/>
                <w:bCs/>
                <w:color w:val="auto"/>
                <w:szCs w:val="21"/>
              </w:rPr>
            </w:pPr>
          </w:p>
        </w:tc>
        <w:tc>
          <w:tcPr>
            <w:tcW w:w="567" w:type="dxa"/>
            <w:shd w:val="clear" w:color="auto" w:fill="auto"/>
            <w:tcMar>
              <w:left w:w="108" w:type="dxa"/>
              <w:right w:w="108" w:type="dxa"/>
            </w:tcMar>
            <w:vAlign w:val="center"/>
          </w:tcPr>
          <w:p w14:paraId="59084F2B">
            <w:pPr>
              <w:widowControl/>
              <w:spacing w:line="320" w:lineRule="exact"/>
              <w:ind w:left="-106" w:leftChars="-51" w:right="-107" w:rightChars="-51" w:hanging="1"/>
              <w:jc w:val="center"/>
              <w:rPr>
                <w:rFonts w:ascii="黑体" w:hAnsi="黑体" w:eastAsia="黑体"/>
                <w:b/>
                <w:bCs/>
                <w:color w:val="auto"/>
                <w:szCs w:val="21"/>
              </w:rPr>
            </w:pPr>
            <w:r>
              <w:rPr>
                <w:rFonts w:hint="eastAsia" w:ascii="黑体" w:hAnsi="黑体" w:eastAsia="黑体"/>
                <w:b/>
                <w:bCs/>
                <w:color w:val="auto"/>
                <w:kern w:val="0"/>
                <w:szCs w:val="21"/>
              </w:rPr>
              <w:t>商业企业</w:t>
            </w:r>
          </w:p>
        </w:tc>
        <w:tc>
          <w:tcPr>
            <w:tcW w:w="567" w:type="dxa"/>
            <w:shd w:val="clear" w:color="auto" w:fill="auto"/>
            <w:tcMar>
              <w:left w:w="108" w:type="dxa"/>
              <w:right w:w="108" w:type="dxa"/>
            </w:tcMar>
            <w:vAlign w:val="center"/>
          </w:tcPr>
          <w:p w14:paraId="3036251C">
            <w:pPr>
              <w:widowControl/>
              <w:spacing w:line="320" w:lineRule="exact"/>
              <w:ind w:left="-107" w:leftChars="-51" w:right="-107" w:rightChars="-51"/>
              <w:jc w:val="center"/>
              <w:rPr>
                <w:rFonts w:ascii="黑体" w:hAnsi="黑体" w:eastAsia="黑体"/>
                <w:b/>
                <w:bCs/>
                <w:color w:val="auto"/>
                <w:szCs w:val="21"/>
              </w:rPr>
            </w:pPr>
            <w:r>
              <w:rPr>
                <w:rFonts w:hint="eastAsia" w:ascii="黑体" w:hAnsi="黑体" w:eastAsia="黑体"/>
                <w:b/>
                <w:bCs/>
                <w:color w:val="auto"/>
                <w:kern w:val="0"/>
                <w:szCs w:val="21"/>
              </w:rPr>
              <w:t>科研机构</w:t>
            </w:r>
          </w:p>
        </w:tc>
        <w:tc>
          <w:tcPr>
            <w:tcW w:w="731" w:type="dxa"/>
            <w:shd w:val="clear" w:color="auto" w:fill="auto"/>
            <w:tcMar>
              <w:left w:w="108" w:type="dxa"/>
              <w:right w:w="108" w:type="dxa"/>
            </w:tcMar>
            <w:vAlign w:val="center"/>
          </w:tcPr>
          <w:p w14:paraId="3A9B203C">
            <w:pPr>
              <w:widowControl/>
              <w:spacing w:line="320" w:lineRule="exact"/>
              <w:ind w:left="-107" w:leftChars="-51" w:right="-107" w:rightChars="-51"/>
              <w:jc w:val="center"/>
              <w:rPr>
                <w:rFonts w:ascii="黑体" w:hAnsi="黑体" w:eastAsia="黑体"/>
                <w:b/>
                <w:bCs/>
                <w:color w:val="auto"/>
                <w:szCs w:val="21"/>
              </w:rPr>
            </w:pPr>
            <w:r>
              <w:rPr>
                <w:rFonts w:hint="eastAsia" w:ascii="黑体" w:hAnsi="黑体" w:eastAsia="黑体"/>
                <w:b/>
                <w:bCs/>
                <w:color w:val="auto"/>
                <w:kern w:val="0"/>
                <w:szCs w:val="21"/>
              </w:rPr>
              <w:t>社会公益组织</w:t>
            </w:r>
          </w:p>
        </w:tc>
        <w:tc>
          <w:tcPr>
            <w:tcW w:w="708" w:type="dxa"/>
            <w:shd w:val="clear" w:color="auto" w:fill="auto"/>
            <w:tcMar>
              <w:left w:w="108" w:type="dxa"/>
              <w:right w:w="108" w:type="dxa"/>
            </w:tcMar>
            <w:vAlign w:val="center"/>
          </w:tcPr>
          <w:p w14:paraId="124494B9">
            <w:pPr>
              <w:widowControl/>
              <w:spacing w:line="320" w:lineRule="exact"/>
              <w:ind w:left="-106" w:leftChars="-51" w:right="-107" w:rightChars="-51" w:hanging="1"/>
              <w:jc w:val="center"/>
              <w:rPr>
                <w:rFonts w:ascii="黑体" w:hAnsi="黑体" w:eastAsia="黑体"/>
                <w:b/>
                <w:bCs/>
                <w:color w:val="auto"/>
                <w:szCs w:val="21"/>
              </w:rPr>
            </w:pPr>
            <w:r>
              <w:rPr>
                <w:rFonts w:hint="eastAsia" w:ascii="黑体" w:hAnsi="黑体" w:eastAsia="黑体"/>
                <w:b/>
                <w:bCs/>
                <w:color w:val="auto"/>
                <w:kern w:val="0"/>
                <w:szCs w:val="21"/>
              </w:rPr>
              <w:t>法律服务机构</w:t>
            </w:r>
          </w:p>
        </w:tc>
        <w:tc>
          <w:tcPr>
            <w:tcW w:w="567" w:type="dxa"/>
            <w:shd w:val="clear" w:color="auto" w:fill="auto"/>
            <w:tcMar>
              <w:left w:w="108" w:type="dxa"/>
              <w:right w:w="108" w:type="dxa"/>
            </w:tcMar>
            <w:vAlign w:val="center"/>
          </w:tcPr>
          <w:p w14:paraId="4F43CC07">
            <w:pPr>
              <w:widowControl/>
              <w:spacing w:line="360" w:lineRule="exact"/>
              <w:ind w:left="-63" w:leftChars="-30" w:right="-134" w:rightChars="-64"/>
              <w:jc w:val="center"/>
              <w:rPr>
                <w:rFonts w:ascii="黑体" w:hAnsi="黑体" w:eastAsia="黑体"/>
                <w:b/>
                <w:bCs/>
                <w:color w:val="auto"/>
                <w:szCs w:val="21"/>
              </w:rPr>
            </w:pPr>
            <w:r>
              <w:rPr>
                <w:rFonts w:hint="eastAsia" w:ascii="黑体" w:hAnsi="黑体" w:eastAsia="黑体"/>
                <w:b/>
                <w:bCs/>
                <w:color w:val="auto"/>
                <w:kern w:val="0"/>
                <w:szCs w:val="21"/>
              </w:rPr>
              <w:t>其他</w:t>
            </w:r>
          </w:p>
        </w:tc>
        <w:tc>
          <w:tcPr>
            <w:tcW w:w="851" w:type="dxa"/>
            <w:vMerge w:val="continue"/>
            <w:shd w:val="clear" w:color="auto" w:fill="auto"/>
            <w:tcMar>
              <w:left w:w="108" w:type="dxa"/>
              <w:right w:w="108" w:type="dxa"/>
            </w:tcMar>
            <w:vAlign w:val="center"/>
          </w:tcPr>
          <w:p w14:paraId="6190E418">
            <w:pPr>
              <w:jc w:val="center"/>
              <w:rPr>
                <w:rFonts w:ascii="仿宋_GB2312" w:hAnsi="Times New Roman" w:eastAsia="仿宋_GB2312"/>
                <w:b/>
                <w:bCs/>
                <w:color w:val="auto"/>
                <w:szCs w:val="21"/>
              </w:rPr>
            </w:pPr>
          </w:p>
        </w:tc>
      </w:tr>
      <w:tr w14:paraId="6AD958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635473D7">
            <w:pPr>
              <w:widowControl/>
              <w:rPr>
                <w:rFonts w:ascii="黑体" w:hAnsi="黑体" w:eastAsia="黑体"/>
                <w:b/>
                <w:bCs/>
                <w:color w:val="auto"/>
                <w:szCs w:val="21"/>
              </w:rPr>
            </w:pPr>
            <w:r>
              <w:rPr>
                <w:rFonts w:hint="eastAsia" w:ascii="黑体" w:hAnsi="黑体" w:eastAsia="黑体"/>
                <w:b/>
                <w:bCs/>
                <w:color w:val="auto"/>
                <w:kern w:val="0"/>
                <w:szCs w:val="21"/>
              </w:rPr>
              <w:t>一、</w:t>
            </w:r>
            <w:bookmarkStart w:id="0" w:name="_Hlk66973412"/>
            <w:r>
              <w:rPr>
                <w:rFonts w:hint="eastAsia" w:ascii="黑体" w:hAnsi="黑体" w:eastAsia="黑体"/>
                <w:b/>
                <w:bCs/>
                <w:color w:val="auto"/>
                <w:kern w:val="0"/>
                <w:szCs w:val="21"/>
              </w:rPr>
              <w:t>本年新收政府信息公开申请数量</w:t>
            </w:r>
            <w:bookmarkEnd w:id="0"/>
          </w:p>
        </w:tc>
        <w:tc>
          <w:tcPr>
            <w:tcW w:w="829" w:type="dxa"/>
            <w:shd w:val="clear" w:color="auto" w:fill="auto"/>
            <w:tcMar>
              <w:left w:w="108" w:type="dxa"/>
              <w:right w:w="108" w:type="dxa"/>
            </w:tcMar>
            <w:vAlign w:val="center"/>
          </w:tcPr>
          <w:p w14:paraId="0E6C9A59">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2</w:t>
            </w:r>
          </w:p>
        </w:tc>
        <w:tc>
          <w:tcPr>
            <w:tcW w:w="567" w:type="dxa"/>
            <w:shd w:val="clear" w:color="auto" w:fill="auto"/>
            <w:tcMar>
              <w:left w:w="108" w:type="dxa"/>
              <w:right w:w="108" w:type="dxa"/>
            </w:tcMar>
            <w:vAlign w:val="center"/>
          </w:tcPr>
          <w:p w14:paraId="3D258050">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14:paraId="274D7C27">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31" w:type="dxa"/>
            <w:shd w:val="clear" w:color="auto" w:fill="auto"/>
            <w:tcMar>
              <w:left w:w="108" w:type="dxa"/>
              <w:right w:w="108" w:type="dxa"/>
            </w:tcMar>
            <w:vAlign w:val="center"/>
          </w:tcPr>
          <w:p w14:paraId="4225BB15">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08" w:type="dxa"/>
            <w:shd w:val="clear" w:color="auto" w:fill="auto"/>
            <w:tcMar>
              <w:left w:w="108" w:type="dxa"/>
              <w:right w:w="108" w:type="dxa"/>
            </w:tcMar>
            <w:vAlign w:val="center"/>
          </w:tcPr>
          <w:p w14:paraId="186EB01E">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14:paraId="5E25176E">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851" w:type="dxa"/>
            <w:shd w:val="clear" w:color="auto" w:fill="auto"/>
            <w:tcMar>
              <w:left w:w="108" w:type="dxa"/>
              <w:right w:w="108" w:type="dxa"/>
            </w:tcMar>
            <w:vAlign w:val="center"/>
          </w:tcPr>
          <w:p w14:paraId="22E9B912">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2</w:t>
            </w:r>
          </w:p>
        </w:tc>
      </w:tr>
      <w:tr w14:paraId="611158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38672B1E">
            <w:pPr>
              <w:widowControl/>
              <w:rPr>
                <w:rFonts w:ascii="黑体" w:hAnsi="黑体" w:eastAsia="黑体"/>
                <w:b/>
                <w:bCs/>
                <w:color w:val="auto"/>
                <w:szCs w:val="21"/>
              </w:rPr>
            </w:pPr>
            <w:r>
              <w:rPr>
                <w:rFonts w:hint="eastAsia" w:ascii="黑体" w:hAnsi="黑体" w:eastAsia="黑体"/>
                <w:b/>
                <w:bCs/>
                <w:color w:val="auto"/>
                <w:kern w:val="0"/>
                <w:szCs w:val="21"/>
              </w:rPr>
              <w:t>二、上年结转政府信息公开申请数量</w:t>
            </w:r>
          </w:p>
        </w:tc>
        <w:tc>
          <w:tcPr>
            <w:tcW w:w="829" w:type="dxa"/>
            <w:shd w:val="clear" w:color="auto" w:fill="auto"/>
            <w:tcMar>
              <w:left w:w="108" w:type="dxa"/>
              <w:right w:w="108" w:type="dxa"/>
            </w:tcMar>
            <w:vAlign w:val="center"/>
          </w:tcPr>
          <w:p w14:paraId="7D028378">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14:paraId="193377B6">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14:paraId="359EBE76">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31" w:type="dxa"/>
            <w:shd w:val="clear" w:color="auto" w:fill="auto"/>
            <w:tcMar>
              <w:left w:w="108" w:type="dxa"/>
              <w:right w:w="108" w:type="dxa"/>
            </w:tcMar>
            <w:vAlign w:val="center"/>
          </w:tcPr>
          <w:p w14:paraId="1D405704">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08" w:type="dxa"/>
            <w:shd w:val="clear" w:color="auto" w:fill="auto"/>
            <w:tcMar>
              <w:left w:w="108" w:type="dxa"/>
              <w:right w:w="108" w:type="dxa"/>
            </w:tcMar>
            <w:vAlign w:val="center"/>
          </w:tcPr>
          <w:p w14:paraId="3CC22C61">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14:paraId="4F26A31D">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851" w:type="dxa"/>
            <w:shd w:val="clear" w:color="auto" w:fill="auto"/>
            <w:tcMar>
              <w:left w:w="108" w:type="dxa"/>
              <w:right w:w="108" w:type="dxa"/>
            </w:tcMar>
            <w:vAlign w:val="center"/>
          </w:tcPr>
          <w:p w14:paraId="6B2BE6D7">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r>
      <w:tr w14:paraId="653A47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14:paraId="5D674ABA">
            <w:pPr>
              <w:widowControl/>
              <w:spacing w:after="180"/>
              <w:rPr>
                <w:rFonts w:ascii="黑体" w:hAnsi="黑体" w:eastAsia="黑体"/>
                <w:b/>
                <w:bCs/>
                <w:color w:val="auto"/>
                <w:szCs w:val="21"/>
              </w:rPr>
            </w:pPr>
            <w:r>
              <w:rPr>
                <w:rFonts w:hint="eastAsia" w:ascii="黑体" w:hAnsi="黑体" w:eastAsia="黑体"/>
                <w:b/>
                <w:bCs/>
                <w:color w:val="auto"/>
                <w:kern w:val="0"/>
                <w:szCs w:val="21"/>
              </w:rPr>
              <w:t>三、本年度办理结果</w:t>
            </w:r>
          </w:p>
        </w:tc>
        <w:tc>
          <w:tcPr>
            <w:tcW w:w="4677" w:type="dxa"/>
            <w:gridSpan w:val="2"/>
            <w:shd w:val="clear" w:color="auto" w:fill="auto"/>
            <w:tcMar>
              <w:left w:w="108" w:type="dxa"/>
              <w:right w:w="108" w:type="dxa"/>
            </w:tcMar>
            <w:vAlign w:val="center"/>
          </w:tcPr>
          <w:p w14:paraId="54D35733">
            <w:pPr>
              <w:widowControl/>
              <w:rPr>
                <w:rFonts w:ascii="黑体" w:hAnsi="黑体" w:eastAsia="黑体"/>
                <w:b/>
                <w:bCs/>
                <w:color w:val="auto"/>
                <w:szCs w:val="21"/>
              </w:rPr>
            </w:pPr>
            <w:r>
              <w:rPr>
                <w:rFonts w:hint="eastAsia" w:ascii="黑体" w:hAnsi="黑体" w:eastAsia="黑体"/>
                <w:b/>
                <w:bCs/>
                <w:color w:val="auto"/>
                <w:kern w:val="0"/>
                <w:szCs w:val="21"/>
              </w:rPr>
              <w:t>（一）予以公开</w:t>
            </w:r>
          </w:p>
        </w:tc>
        <w:tc>
          <w:tcPr>
            <w:tcW w:w="829" w:type="dxa"/>
            <w:shd w:val="clear" w:color="auto" w:fill="auto"/>
            <w:tcMar>
              <w:left w:w="108" w:type="dxa"/>
              <w:right w:w="108" w:type="dxa"/>
            </w:tcMar>
            <w:vAlign w:val="center"/>
          </w:tcPr>
          <w:p w14:paraId="19D4E0D8">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2</w:t>
            </w:r>
          </w:p>
        </w:tc>
        <w:tc>
          <w:tcPr>
            <w:tcW w:w="567" w:type="dxa"/>
            <w:shd w:val="clear" w:color="auto" w:fill="auto"/>
            <w:tcMar>
              <w:left w:w="108" w:type="dxa"/>
              <w:right w:w="108" w:type="dxa"/>
            </w:tcMar>
            <w:vAlign w:val="center"/>
          </w:tcPr>
          <w:p w14:paraId="266BFAC0">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14:paraId="73D8CA36">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31" w:type="dxa"/>
            <w:shd w:val="clear" w:color="auto" w:fill="auto"/>
            <w:tcMar>
              <w:left w:w="108" w:type="dxa"/>
              <w:right w:w="108" w:type="dxa"/>
            </w:tcMar>
            <w:vAlign w:val="center"/>
          </w:tcPr>
          <w:p w14:paraId="4E77AAF2">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08" w:type="dxa"/>
            <w:shd w:val="clear" w:color="auto" w:fill="auto"/>
            <w:tcMar>
              <w:left w:w="108" w:type="dxa"/>
              <w:right w:w="108" w:type="dxa"/>
            </w:tcMar>
            <w:vAlign w:val="center"/>
          </w:tcPr>
          <w:p w14:paraId="202883AD">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14:paraId="61BE3C5A">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851" w:type="dxa"/>
            <w:shd w:val="clear" w:color="auto" w:fill="auto"/>
            <w:tcMar>
              <w:left w:w="108" w:type="dxa"/>
              <w:right w:w="108" w:type="dxa"/>
            </w:tcMar>
            <w:vAlign w:val="center"/>
          </w:tcPr>
          <w:p w14:paraId="38C43DB3">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2</w:t>
            </w:r>
          </w:p>
        </w:tc>
      </w:tr>
      <w:tr w14:paraId="544FFA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384D4A06">
            <w:pPr>
              <w:rPr>
                <w:rFonts w:ascii="黑体" w:hAnsi="黑体" w:eastAsia="黑体"/>
                <w:b/>
                <w:bCs/>
                <w:color w:val="auto"/>
                <w:szCs w:val="21"/>
              </w:rPr>
            </w:pPr>
          </w:p>
        </w:tc>
        <w:tc>
          <w:tcPr>
            <w:tcW w:w="4677" w:type="dxa"/>
            <w:gridSpan w:val="2"/>
            <w:shd w:val="clear" w:color="auto" w:fill="auto"/>
            <w:tcMar>
              <w:left w:w="108" w:type="dxa"/>
              <w:right w:w="108" w:type="dxa"/>
            </w:tcMar>
            <w:vAlign w:val="center"/>
          </w:tcPr>
          <w:p w14:paraId="746FF39D">
            <w:pPr>
              <w:widowControl/>
              <w:rPr>
                <w:rFonts w:ascii="黑体" w:hAnsi="黑体" w:eastAsia="黑体"/>
                <w:b/>
                <w:bCs/>
                <w:color w:val="auto"/>
                <w:szCs w:val="21"/>
              </w:rPr>
            </w:pPr>
            <w:r>
              <w:rPr>
                <w:rFonts w:hint="eastAsia" w:ascii="黑体" w:hAnsi="黑体" w:eastAsia="黑体"/>
                <w:b/>
                <w:bCs/>
                <w:color w:val="auto"/>
                <w:kern w:val="0"/>
                <w:szCs w:val="21"/>
              </w:rPr>
              <w:t>（二）部分公开（</w:t>
            </w:r>
            <w:bookmarkStart w:id="1" w:name="_Hlk66973981"/>
            <w:r>
              <w:rPr>
                <w:rFonts w:hint="eastAsia" w:ascii="黑体" w:hAnsi="黑体" w:eastAsia="黑体"/>
                <w:b/>
                <w:bCs/>
                <w:color w:val="auto"/>
                <w:kern w:val="0"/>
                <w:szCs w:val="21"/>
              </w:rPr>
              <w:t>区分处理的，只计这一情形，不计其他情形</w:t>
            </w:r>
            <w:bookmarkEnd w:id="1"/>
            <w:r>
              <w:rPr>
                <w:rFonts w:hint="eastAsia" w:ascii="黑体" w:hAnsi="黑体" w:eastAsia="黑体"/>
                <w:b/>
                <w:bCs/>
                <w:color w:val="auto"/>
                <w:kern w:val="0"/>
                <w:szCs w:val="21"/>
              </w:rPr>
              <w:t>）</w:t>
            </w:r>
          </w:p>
        </w:tc>
        <w:tc>
          <w:tcPr>
            <w:tcW w:w="829" w:type="dxa"/>
            <w:shd w:val="clear" w:color="auto" w:fill="auto"/>
            <w:tcMar>
              <w:left w:w="108" w:type="dxa"/>
              <w:right w:w="108" w:type="dxa"/>
            </w:tcMar>
            <w:vAlign w:val="center"/>
          </w:tcPr>
          <w:p w14:paraId="5208C9A4">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14:paraId="5C840019">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14:paraId="6DED0A8C">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31" w:type="dxa"/>
            <w:shd w:val="clear" w:color="auto" w:fill="auto"/>
            <w:tcMar>
              <w:left w:w="108" w:type="dxa"/>
              <w:right w:w="108" w:type="dxa"/>
            </w:tcMar>
            <w:vAlign w:val="center"/>
          </w:tcPr>
          <w:p w14:paraId="001AD743">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08" w:type="dxa"/>
            <w:shd w:val="clear" w:color="auto" w:fill="auto"/>
            <w:tcMar>
              <w:left w:w="108" w:type="dxa"/>
              <w:right w:w="108" w:type="dxa"/>
            </w:tcMar>
            <w:vAlign w:val="center"/>
          </w:tcPr>
          <w:p w14:paraId="6FC77D1C">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14:paraId="0EC19A3B">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851" w:type="dxa"/>
            <w:shd w:val="clear" w:color="auto" w:fill="auto"/>
            <w:tcMar>
              <w:left w:w="108" w:type="dxa"/>
              <w:right w:w="108" w:type="dxa"/>
            </w:tcMar>
            <w:vAlign w:val="center"/>
          </w:tcPr>
          <w:p w14:paraId="2182639E">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r>
      <w:tr w14:paraId="668234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49E5190">
            <w:pPr>
              <w:rPr>
                <w:rFonts w:ascii="黑体" w:hAnsi="黑体" w:eastAsia="黑体"/>
                <w:b/>
                <w:bCs/>
                <w:color w:val="auto"/>
                <w:szCs w:val="21"/>
              </w:rPr>
            </w:pPr>
          </w:p>
        </w:tc>
        <w:tc>
          <w:tcPr>
            <w:tcW w:w="1701" w:type="dxa"/>
            <w:vMerge w:val="restart"/>
            <w:shd w:val="clear" w:color="auto" w:fill="auto"/>
            <w:tcMar>
              <w:left w:w="108" w:type="dxa"/>
              <w:right w:w="108" w:type="dxa"/>
            </w:tcMar>
            <w:vAlign w:val="center"/>
          </w:tcPr>
          <w:p w14:paraId="3EF5FD54">
            <w:pPr>
              <w:widowControl/>
              <w:spacing w:line="200" w:lineRule="exact"/>
              <w:ind w:left="-107" w:leftChars="-51"/>
              <w:rPr>
                <w:rFonts w:ascii="黑体" w:hAnsi="黑体" w:eastAsia="黑体"/>
                <w:b/>
                <w:bCs/>
                <w:color w:val="auto"/>
                <w:szCs w:val="21"/>
              </w:rPr>
            </w:pPr>
            <w:r>
              <w:rPr>
                <w:rFonts w:hint="eastAsia" w:ascii="黑体" w:hAnsi="黑体" w:eastAsia="黑体"/>
                <w:b/>
                <w:bCs/>
                <w:color w:val="auto"/>
                <w:kern w:val="0"/>
                <w:szCs w:val="21"/>
              </w:rPr>
              <w:t>（三）不予公开</w:t>
            </w:r>
          </w:p>
        </w:tc>
        <w:tc>
          <w:tcPr>
            <w:tcW w:w="2976" w:type="dxa"/>
            <w:shd w:val="clear" w:color="auto" w:fill="auto"/>
            <w:tcMar>
              <w:left w:w="108" w:type="dxa"/>
              <w:right w:w="108" w:type="dxa"/>
            </w:tcMar>
            <w:vAlign w:val="center"/>
          </w:tcPr>
          <w:p w14:paraId="0BF99BCE">
            <w:pPr>
              <w:widowControl/>
              <w:spacing w:line="200" w:lineRule="exact"/>
              <w:rPr>
                <w:rFonts w:ascii="仿宋_GB2312" w:hAnsi="黑体" w:eastAsia="仿宋_GB2312"/>
                <w:b/>
                <w:bCs/>
                <w:color w:val="auto"/>
                <w:kern w:val="0"/>
                <w:szCs w:val="21"/>
              </w:rPr>
            </w:pPr>
            <w:r>
              <w:rPr>
                <w:rFonts w:hint="eastAsia" w:ascii="仿宋_GB2312" w:hAnsi="黑体" w:eastAsia="仿宋_GB2312"/>
                <w:b/>
                <w:bCs/>
                <w:color w:val="auto"/>
                <w:kern w:val="0"/>
                <w:szCs w:val="21"/>
              </w:rPr>
              <w:t>1.属于国家秘密</w:t>
            </w:r>
          </w:p>
        </w:tc>
        <w:tc>
          <w:tcPr>
            <w:tcW w:w="829" w:type="dxa"/>
            <w:shd w:val="clear" w:color="auto" w:fill="auto"/>
            <w:tcMar>
              <w:left w:w="108" w:type="dxa"/>
              <w:right w:w="108" w:type="dxa"/>
            </w:tcMar>
            <w:vAlign w:val="center"/>
          </w:tcPr>
          <w:p w14:paraId="55E5B7FC">
            <w:pPr>
              <w:widowControl/>
              <w:spacing w:after="180" w:line="200" w:lineRule="exact"/>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14:paraId="08FB1DFF">
            <w:pPr>
              <w:widowControl/>
              <w:spacing w:after="180" w:line="200" w:lineRule="exact"/>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14:paraId="2F17B632">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31" w:type="dxa"/>
            <w:shd w:val="clear" w:color="auto" w:fill="auto"/>
            <w:tcMar>
              <w:left w:w="108" w:type="dxa"/>
              <w:right w:w="108" w:type="dxa"/>
            </w:tcMar>
            <w:vAlign w:val="center"/>
          </w:tcPr>
          <w:p w14:paraId="32EAA5EC">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08" w:type="dxa"/>
            <w:shd w:val="clear" w:color="auto" w:fill="auto"/>
            <w:tcMar>
              <w:left w:w="108" w:type="dxa"/>
              <w:right w:w="108" w:type="dxa"/>
            </w:tcMar>
            <w:vAlign w:val="center"/>
          </w:tcPr>
          <w:p w14:paraId="247009EA">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14:paraId="299A33FA">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851" w:type="dxa"/>
            <w:shd w:val="clear" w:color="auto" w:fill="auto"/>
            <w:tcMar>
              <w:left w:w="108" w:type="dxa"/>
              <w:right w:w="108" w:type="dxa"/>
            </w:tcMar>
            <w:vAlign w:val="center"/>
          </w:tcPr>
          <w:p w14:paraId="4B0468CD">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r>
      <w:tr w14:paraId="6F4747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ED63E53">
            <w:pPr>
              <w:rPr>
                <w:rFonts w:ascii="黑体" w:hAnsi="黑体" w:eastAsia="黑体"/>
                <w:b/>
                <w:bCs/>
                <w:color w:val="auto"/>
                <w:szCs w:val="21"/>
              </w:rPr>
            </w:pPr>
          </w:p>
        </w:tc>
        <w:tc>
          <w:tcPr>
            <w:tcW w:w="1701" w:type="dxa"/>
            <w:vMerge w:val="continue"/>
            <w:shd w:val="clear" w:color="auto" w:fill="auto"/>
            <w:tcMar>
              <w:left w:w="108" w:type="dxa"/>
              <w:right w:w="108" w:type="dxa"/>
            </w:tcMar>
            <w:vAlign w:val="center"/>
          </w:tcPr>
          <w:p w14:paraId="79377DB0">
            <w:pPr>
              <w:spacing w:line="200" w:lineRule="exact"/>
              <w:rPr>
                <w:rFonts w:ascii="黑体" w:hAnsi="黑体" w:eastAsia="黑体"/>
                <w:b/>
                <w:bCs/>
                <w:color w:val="auto"/>
                <w:szCs w:val="21"/>
              </w:rPr>
            </w:pPr>
          </w:p>
        </w:tc>
        <w:tc>
          <w:tcPr>
            <w:tcW w:w="2976" w:type="dxa"/>
            <w:shd w:val="clear" w:color="auto" w:fill="auto"/>
            <w:tcMar>
              <w:left w:w="108" w:type="dxa"/>
              <w:right w:w="108" w:type="dxa"/>
            </w:tcMar>
            <w:vAlign w:val="center"/>
          </w:tcPr>
          <w:p w14:paraId="00A394DB">
            <w:pPr>
              <w:widowControl/>
              <w:spacing w:line="200" w:lineRule="exact"/>
              <w:rPr>
                <w:rFonts w:ascii="仿宋_GB2312" w:hAnsi="黑体" w:eastAsia="仿宋_GB2312"/>
                <w:b/>
                <w:bCs/>
                <w:color w:val="auto"/>
                <w:kern w:val="0"/>
                <w:szCs w:val="21"/>
              </w:rPr>
            </w:pPr>
            <w:r>
              <w:rPr>
                <w:rFonts w:hint="eastAsia" w:ascii="仿宋_GB2312" w:hAnsi="黑体" w:eastAsia="仿宋_GB2312"/>
                <w:b/>
                <w:bCs/>
                <w:color w:val="auto"/>
                <w:kern w:val="0"/>
                <w:szCs w:val="21"/>
              </w:rPr>
              <w:t>2.</w:t>
            </w:r>
            <w:bookmarkStart w:id="2" w:name="_Hlk66974104"/>
            <w:r>
              <w:rPr>
                <w:rFonts w:hint="eastAsia" w:ascii="仿宋_GB2312" w:hAnsi="黑体" w:eastAsia="仿宋_GB2312"/>
                <w:b/>
                <w:bCs/>
                <w:color w:val="auto"/>
                <w:kern w:val="0"/>
                <w:szCs w:val="21"/>
              </w:rPr>
              <w:t>其他法律行政法规禁止公开</w:t>
            </w:r>
            <w:bookmarkEnd w:id="2"/>
          </w:p>
        </w:tc>
        <w:tc>
          <w:tcPr>
            <w:tcW w:w="829" w:type="dxa"/>
            <w:shd w:val="clear" w:color="auto" w:fill="auto"/>
            <w:tcMar>
              <w:left w:w="108" w:type="dxa"/>
              <w:right w:w="108" w:type="dxa"/>
            </w:tcMar>
            <w:vAlign w:val="center"/>
          </w:tcPr>
          <w:p w14:paraId="60F1CDAD">
            <w:pPr>
              <w:widowControl/>
              <w:spacing w:after="180" w:line="200" w:lineRule="exact"/>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14:paraId="51160432">
            <w:pPr>
              <w:widowControl/>
              <w:spacing w:after="180" w:line="200" w:lineRule="exact"/>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14:paraId="766F790B">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31" w:type="dxa"/>
            <w:shd w:val="clear" w:color="auto" w:fill="auto"/>
            <w:tcMar>
              <w:left w:w="108" w:type="dxa"/>
              <w:right w:w="108" w:type="dxa"/>
            </w:tcMar>
            <w:vAlign w:val="center"/>
          </w:tcPr>
          <w:p w14:paraId="04D58E07">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08" w:type="dxa"/>
            <w:shd w:val="clear" w:color="auto" w:fill="auto"/>
            <w:tcMar>
              <w:left w:w="108" w:type="dxa"/>
              <w:right w:w="108" w:type="dxa"/>
            </w:tcMar>
            <w:vAlign w:val="center"/>
          </w:tcPr>
          <w:p w14:paraId="7830E3B1">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14:paraId="760A96FA">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851" w:type="dxa"/>
            <w:shd w:val="clear" w:color="auto" w:fill="auto"/>
            <w:tcMar>
              <w:left w:w="108" w:type="dxa"/>
              <w:right w:w="108" w:type="dxa"/>
            </w:tcMar>
            <w:vAlign w:val="center"/>
          </w:tcPr>
          <w:p w14:paraId="5F79297A">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r>
      <w:tr w14:paraId="54C416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1AEE9E61">
            <w:pPr>
              <w:rPr>
                <w:rFonts w:ascii="黑体" w:hAnsi="黑体" w:eastAsia="黑体"/>
                <w:b/>
                <w:bCs/>
                <w:color w:val="auto"/>
                <w:szCs w:val="21"/>
              </w:rPr>
            </w:pPr>
          </w:p>
        </w:tc>
        <w:tc>
          <w:tcPr>
            <w:tcW w:w="1701" w:type="dxa"/>
            <w:vMerge w:val="continue"/>
            <w:shd w:val="clear" w:color="auto" w:fill="auto"/>
            <w:tcMar>
              <w:left w:w="108" w:type="dxa"/>
              <w:right w:w="108" w:type="dxa"/>
            </w:tcMar>
            <w:vAlign w:val="center"/>
          </w:tcPr>
          <w:p w14:paraId="67791D70">
            <w:pPr>
              <w:spacing w:line="200" w:lineRule="exact"/>
              <w:rPr>
                <w:rFonts w:ascii="黑体" w:hAnsi="黑体" w:eastAsia="黑体"/>
                <w:b/>
                <w:bCs/>
                <w:color w:val="auto"/>
                <w:szCs w:val="21"/>
              </w:rPr>
            </w:pPr>
          </w:p>
        </w:tc>
        <w:tc>
          <w:tcPr>
            <w:tcW w:w="2976" w:type="dxa"/>
            <w:shd w:val="clear" w:color="auto" w:fill="auto"/>
            <w:tcMar>
              <w:left w:w="108" w:type="dxa"/>
              <w:right w:w="108" w:type="dxa"/>
            </w:tcMar>
            <w:vAlign w:val="center"/>
          </w:tcPr>
          <w:p w14:paraId="6D1C4D25">
            <w:pPr>
              <w:widowControl/>
              <w:spacing w:line="200" w:lineRule="exact"/>
              <w:rPr>
                <w:rFonts w:ascii="仿宋_GB2312" w:hAnsi="黑体" w:eastAsia="仿宋_GB2312"/>
                <w:b/>
                <w:bCs/>
                <w:color w:val="auto"/>
                <w:kern w:val="0"/>
                <w:szCs w:val="21"/>
              </w:rPr>
            </w:pPr>
            <w:r>
              <w:rPr>
                <w:rFonts w:hint="eastAsia" w:ascii="仿宋_GB2312" w:hAnsi="黑体" w:eastAsia="仿宋_GB2312"/>
                <w:b/>
                <w:bCs/>
                <w:color w:val="auto"/>
                <w:kern w:val="0"/>
                <w:szCs w:val="21"/>
              </w:rPr>
              <w:t>3.危及“三安全一稳定”</w:t>
            </w:r>
          </w:p>
        </w:tc>
        <w:tc>
          <w:tcPr>
            <w:tcW w:w="829" w:type="dxa"/>
            <w:shd w:val="clear" w:color="auto" w:fill="auto"/>
            <w:tcMar>
              <w:left w:w="108" w:type="dxa"/>
              <w:right w:w="108" w:type="dxa"/>
            </w:tcMar>
            <w:vAlign w:val="center"/>
          </w:tcPr>
          <w:p w14:paraId="111C4B7F">
            <w:pPr>
              <w:widowControl/>
              <w:spacing w:after="180" w:line="200" w:lineRule="exact"/>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14:paraId="712E6D47">
            <w:pPr>
              <w:widowControl/>
              <w:spacing w:after="180" w:line="200" w:lineRule="exact"/>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14:paraId="39C0BE28">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31" w:type="dxa"/>
            <w:shd w:val="clear" w:color="auto" w:fill="auto"/>
            <w:tcMar>
              <w:left w:w="108" w:type="dxa"/>
              <w:right w:w="108" w:type="dxa"/>
            </w:tcMar>
            <w:vAlign w:val="center"/>
          </w:tcPr>
          <w:p w14:paraId="30EC0F87">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08" w:type="dxa"/>
            <w:shd w:val="clear" w:color="auto" w:fill="auto"/>
            <w:tcMar>
              <w:left w:w="108" w:type="dxa"/>
              <w:right w:w="108" w:type="dxa"/>
            </w:tcMar>
            <w:vAlign w:val="center"/>
          </w:tcPr>
          <w:p w14:paraId="4F90965D">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14:paraId="080346C2">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851" w:type="dxa"/>
            <w:shd w:val="clear" w:color="auto" w:fill="auto"/>
            <w:tcMar>
              <w:left w:w="108" w:type="dxa"/>
              <w:right w:w="108" w:type="dxa"/>
            </w:tcMar>
            <w:vAlign w:val="center"/>
          </w:tcPr>
          <w:p w14:paraId="7B779486">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r>
      <w:tr w14:paraId="7215EF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7D05605">
            <w:pPr>
              <w:rPr>
                <w:rFonts w:ascii="黑体" w:hAnsi="黑体" w:eastAsia="黑体"/>
                <w:b/>
                <w:bCs/>
                <w:color w:val="auto"/>
                <w:szCs w:val="21"/>
              </w:rPr>
            </w:pPr>
          </w:p>
        </w:tc>
        <w:tc>
          <w:tcPr>
            <w:tcW w:w="1701" w:type="dxa"/>
            <w:vMerge w:val="continue"/>
            <w:shd w:val="clear" w:color="auto" w:fill="auto"/>
            <w:tcMar>
              <w:left w:w="108" w:type="dxa"/>
              <w:right w:w="108" w:type="dxa"/>
            </w:tcMar>
            <w:vAlign w:val="center"/>
          </w:tcPr>
          <w:p w14:paraId="58739A50">
            <w:pPr>
              <w:spacing w:line="200" w:lineRule="exact"/>
              <w:rPr>
                <w:rFonts w:ascii="黑体" w:hAnsi="黑体" w:eastAsia="黑体"/>
                <w:b/>
                <w:bCs/>
                <w:color w:val="auto"/>
                <w:szCs w:val="21"/>
              </w:rPr>
            </w:pPr>
          </w:p>
        </w:tc>
        <w:tc>
          <w:tcPr>
            <w:tcW w:w="2976" w:type="dxa"/>
            <w:shd w:val="clear" w:color="auto" w:fill="auto"/>
            <w:tcMar>
              <w:left w:w="108" w:type="dxa"/>
              <w:right w:w="108" w:type="dxa"/>
            </w:tcMar>
            <w:vAlign w:val="center"/>
          </w:tcPr>
          <w:p w14:paraId="0412CAF8">
            <w:pPr>
              <w:widowControl/>
              <w:spacing w:line="200" w:lineRule="exact"/>
              <w:rPr>
                <w:rFonts w:ascii="仿宋_GB2312" w:hAnsi="黑体" w:eastAsia="仿宋_GB2312"/>
                <w:b/>
                <w:bCs/>
                <w:color w:val="auto"/>
                <w:kern w:val="0"/>
                <w:szCs w:val="21"/>
              </w:rPr>
            </w:pPr>
            <w:r>
              <w:rPr>
                <w:rFonts w:hint="eastAsia" w:ascii="仿宋_GB2312" w:hAnsi="黑体" w:eastAsia="仿宋_GB2312"/>
                <w:b/>
                <w:bCs/>
                <w:color w:val="auto"/>
                <w:kern w:val="0"/>
                <w:szCs w:val="21"/>
              </w:rPr>
              <w:t>4.</w:t>
            </w:r>
            <w:bookmarkStart w:id="3" w:name="_Hlk66974290"/>
            <w:r>
              <w:rPr>
                <w:rFonts w:hint="eastAsia" w:ascii="仿宋_GB2312" w:hAnsi="黑体" w:eastAsia="仿宋_GB2312"/>
                <w:b/>
                <w:bCs/>
                <w:color w:val="auto"/>
                <w:kern w:val="0"/>
                <w:szCs w:val="21"/>
              </w:rPr>
              <w:t>保护第三方合法权益</w:t>
            </w:r>
            <w:bookmarkEnd w:id="3"/>
          </w:p>
        </w:tc>
        <w:tc>
          <w:tcPr>
            <w:tcW w:w="829" w:type="dxa"/>
            <w:shd w:val="clear" w:color="auto" w:fill="auto"/>
            <w:tcMar>
              <w:left w:w="108" w:type="dxa"/>
              <w:right w:w="108" w:type="dxa"/>
            </w:tcMar>
            <w:vAlign w:val="center"/>
          </w:tcPr>
          <w:p w14:paraId="3048B181">
            <w:pPr>
              <w:widowControl/>
              <w:spacing w:after="180" w:line="200" w:lineRule="exact"/>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14:paraId="371592EC">
            <w:pPr>
              <w:widowControl/>
              <w:spacing w:after="180" w:line="200" w:lineRule="exact"/>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14:paraId="2960F99C">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31" w:type="dxa"/>
            <w:shd w:val="clear" w:color="auto" w:fill="auto"/>
            <w:tcMar>
              <w:left w:w="108" w:type="dxa"/>
              <w:right w:w="108" w:type="dxa"/>
            </w:tcMar>
            <w:vAlign w:val="center"/>
          </w:tcPr>
          <w:p w14:paraId="7F430428">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08" w:type="dxa"/>
            <w:shd w:val="clear" w:color="auto" w:fill="auto"/>
            <w:tcMar>
              <w:left w:w="108" w:type="dxa"/>
              <w:right w:w="108" w:type="dxa"/>
            </w:tcMar>
            <w:vAlign w:val="center"/>
          </w:tcPr>
          <w:p w14:paraId="2B3BBFA3">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14:paraId="7B65B00C">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851" w:type="dxa"/>
            <w:shd w:val="clear" w:color="auto" w:fill="auto"/>
            <w:tcMar>
              <w:left w:w="108" w:type="dxa"/>
              <w:right w:w="108" w:type="dxa"/>
            </w:tcMar>
            <w:vAlign w:val="center"/>
          </w:tcPr>
          <w:p w14:paraId="5CB2B672">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r>
      <w:tr w14:paraId="42A06C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AFA5790">
            <w:pPr>
              <w:rPr>
                <w:rFonts w:ascii="黑体" w:hAnsi="黑体" w:eastAsia="黑体"/>
                <w:b/>
                <w:bCs/>
                <w:color w:val="auto"/>
                <w:szCs w:val="21"/>
              </w:rPr>
            </w:pPr>
          </w:p>
        </w:tc>
        <w:tc>
          <w:tcPr>
            <w:tcW w:w="1701" w:type="dxa"/>
            <w:vMerge w:val="continue"/>
            <w:shd w:val="clear" w:color="auto" w:fill="auto"/>
            <w:tcMar>
              <w:left w:w="108" w:type="dxa"/>
              <w:right w:w="108" w:type="dxa"/>
            </w:tcMar>
            <w:vAlign w:val="center"/>
          </w:tcPr>
          <w:p w14:paraId="560DFB3B">
            <w:pPr>
              <w:spacing w:line="200" w:lineRule="exact"/>
              <w:rPr>
                <w:rFonts w:ascii="黑体" w:hAnsi="黑体" w:eastAsia="黑体"/>
                <w:b/>
                <w:bCs/>
                <w:color w:val="auto"/>
                <w:szCs w:val="21"/>
              </w:rPr>
            </w:pPr>
          </w:p>
        </w:tc>
        <w:tc>
          <w:tcPr>
            <w:tcW w:w="2976" w:type="dxa"/>
            <w:shd w:val="clear" w:color="auto" w:fill="auto"/>
            <w:tcMar>
              <w:left w:w="108" w:type="dxa"/>
              <w:right w:w="108" w:type="dxa"/>
            </w:tcMar>
            <w:vAlign w:val="center"/>
          </w:tcPr>
          <w:p w14:paraId="0B542C97">
            <w:pPr>
              <w:widowControl/>
              <w:spacing w:line="200" w:lineRule="exact"/>
              <w:rPr>
                <w:rFonts w:ascii="仿宋_GB2312" w:hAnsi="黑体" w:eastAsia="仿宋_GB2312"/>
                <w:b/>
                <w:bCs/>
                <w:color w:val="auto"/>
                <w:kern w:val="0"/>
                <w:szCs w:val="21"/>
              </w:rPr>
            </w:pPr>
            <w:r>
              <w:rPr>
                <w:rFonts w:hint="eastAsia" w:ascii="仿宋_GB2312" w:hAnsi="黑体" w:eastAsia="仿宋_GB2312"/>
                <w:b/>
                <w:bCs/>
                <w:color w:val="auto"/>
                <w:kern w:val="0"/>
                <w:szCs w:val="21"/>
              </w:rPr>
              <w:t>5.属于三类内部事务信息</w:t>
            </w:r>
          </w:p>
        </w:tc>
        <w:tc>
          <w:tcPr>
            <w:tcW w:w="829" w:type="dxa"/>
            <w:shd w:val="clear" w:color="auto" w:fill="auto"/>
            <w:tcMar>
              <w:left w:w="108" w:type="dxa"/>
              <w:right w:w="108" w:type="dxa"/>
            </w:tcMar>
            <w:vAlign w:val="center"/>
          </w:tcPr>
          <w:p w14:paraId="307A7FA1">
            <w:pPr>
              <w:widowControl/>
              <w:spacing w:after="180" w:line="200" w:lineRule="exact"/>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14:paraId="2B27DA26">
            <w:pPr>
              <w:widowControl/>
              <w:spacing w:after="180" w:line="200" w:lineRule="exact"/>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14:paraId="4AA32353">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31" w:type="dxa"/>
            <w:shd w:val="clear" w:color="auto" w:fill="auto"/>
            <w:tcMar>
              <w:left w:w="108" w:type="dxa"/>
              <w:right w:w="108" w:type="dxa"/>
            </w:tcMar>
            <w:vAlign w:val="center"/>
          </w:tcPr>
          <w:p w14:paraId="45B61A9B">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08" w:type="dxa"/>
            <w:shd w:val="clear" w:color="auto" w:fill="auto"/>
            <w:tcMar>
              <w:left w:w="108" w:type="dxa"/>
              <w:right w:w="108" w:type="dxa"/>
            </w:tcMar>
            <w:vAlign w:val="center"/>
          </w:tcPr>
          <w:p w14:paraId="1A8748D5">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14:paraId="4524FAB6">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851" w:type="dxa"/>
            <w:shd w:val="clear" w:color="auto" w:fill="auto"/>
            <w:tcMar>
              <w:left w:w="108" w:type="dxa"/>
              <w:right w:w="108" w:type="dxa"/>
            </w:tcMar>
            <w:vAlign w:val="center"/>
          </w:tcPr>
          <w:p w14:paraId="2E854E2A">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r>
      <w:tr w14:paraId="2FB7FE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6F64288">
            <w:pPr>
              <w:rPr>
                <w:rFonts w:ascii="黑体" w:hAnsi="黑体" w:eastAsia="黑体"/>
                <w:b/>
                <w:bCs/>
                <w:color w:val="auto"/>
                <w:szCs w:val="21"/>
              </w:rPr>
            </w:pPr>
          </w:p>
        </w:tc>
        <w:tc>
          <w:tcPr>
            <w:tcW w:w="1701" w:type="dxa"/>
            <w:vMerge w:val="continue"/>
            <w:shd w:val="clear" w:color="auto" w:fill="auto"/>
            <w:tcMar>
              <w:left w:w="108" w:type="dxa"/>
              <w:right w:w="108" w:type="dxa"/>
            </w:tcMar>
            <w:vAlign w:val="center"/>
          </w:tcPr>
          <w:p w14:paraId="67E47EC7">
            <w:pPr>
              <w:spacing w:line="200" w:lineRule="exact"/>
              <w:rPr>
                <w:rFonts w:ascii="黑体" w:hAnsi="黑体" w:eastAsia="黑体"/>
                <w:b/>
                <w:bCs/>
                <w:color w:val="auto"/>
                <w:szCs w:val="21"/>
              </w:rPr>
            </w:pPr>
          </w:p>
        </w:tc>
        <w:tc>
          <w:tcPr>
            <w:tcW w:w="2976" w:type="dxa"/>
            <w:shd w:val="clear" w:color="auto" w:fill="auto"/>
            <w:tcMar>
              <w:left w:w="108" w:type="dxa"/>
              <w:right w:w="108" w:type="dxa"/>
            </w:tcMar>
            <w:vAlign w:val="center"/>
          </w:tcPr>
          <w:p w14:paraId="29905B7A">
            <w:pPr>
              <w:widowControl/>
              <w:spacing w:line="200" w:lineRule="exact"/>
              <w:rPr>
                <w:rFonts w:ascii="仿宋_GB2312" w:hAnsi="黑体" w:eastAsia="仿宋_GB2312"/>
                <w:b/>
                <w:bCs/>
                <w:color w:val="auto"/>
                <w:kern w:val="0"/>
                <w:szCs w:val="21"/>
              </w:rPr>
            </w:pPr>
            <w:r>
              <w:rPr>
                <w:rFonts w:hint="eastAsia" w:ascii="仿宋_GB2312" w:hAnsi="黑体" w:eastAsia="仿宋_GB2312"/>
                <w:b/>
                <w:bCs/>
                <w:color w:val="auto"/>
                <w:kern w:val="0"/>
                <w:szCs w:val="21"/>
              </w:rPr>
              <w:t>6.</w:t>
            </w:r>
            <w:bookmarkStart w:id="4" w:name="_Hlk66974555"/>
            <w:r>
              <w:rPr>
                <w:rFonts w:hint="eastAsia" w:ascii="仿宋_GB2312" w:hAnsi="黑体" w:eastAsia="仿宋_GB2312"/>
                <w:b/>
                <w:bCs/>
                <w:color w:val="auto"/>
                <w:kern w:val="0"/>
                <w:szCs w:val="21"/>
              </w:rPr>
              <w:t>属于四类过程性信息</w:t>
            </w:r>
            <w:bookmarkEnd w:id="4"/>
          </w:p>
        </w:tc>
        <w:tc>
          <w:tcPr>
            <w:tcW w:w="829" w:type="dxa"/>
            <w:shd w:val="clear" w:color="auto" w:fill="auto"/>
            <w:tcMar>
              <w:left w:w="108" w:type="dxa"/>
              <w:right w:w="108" w:type="dxa"/>
            </w:tcMar>
            <w:vAlign w:val="center"/>
          </w:tcPr>
          <w:p w14:paraId="360F1C76">
            <w:pPr>
              <w:widowControl/>
              <w:spacing w:after="180" w:line="200" w:lineRule="exact"/>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14:paraId="2F393C49">
            <w:pPr>
              <w:widowControl/>
              <w:spacing w:after="180" w:line="200" w:lineRule="exact"/>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14:paraId="410A0CC4">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31" w:type="dxa"/>
            <w:shd w:val="clear" w:color="auto" w:fill="auto"/>
            <w:tcMar>
              <w:left w:w="108" w:type="dxa"/>
              <w:right w:w="108" w:type="dxa"/>
            </w:tcMar>
            <w:vAlign w:val="center"/>
          </w:tcPr>
          <w:p w14:paraId="11257462">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08" w:type="dxa"/>
            <w:shd w:val="clear" w:color="auto" w:fill="auto"/>
            <w:tcMar>
              <w:left w:w="108" w:type="dxa"/>
              <w:right w:w="108" w:type="dxa"/>
            </w:tcMar>
            <w:vAlign w:val="center"/>
          </w:tcPr>
          <w:p w14:paraId="0F4B6DDF">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14:paraId="256D1126">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851" w:type="dxa"/>
            <w:shd w:val="clear" w:color="auto" w:fill="auto"/>
            <w:tcMar>
              <w:left w:w="108" w:type="dxa"/>
              <w:right w:w="108" w:type="dxa"/>
            </w:tcMar>
            <w:vAlign w:val="center"/>
          </w:tcPr>
          <w:p w14:paraId="48ACAA6F">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r>
      <w:tr w14:paraId="34FB33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0D7FEFB">
            <w:pPr>
              <w:rPr>
                <w:rFonts w:ascii="黑体" w:hAnsi="黑体" w:eastAsia="黑体"/>
                <w:b/>
                <w:bCs/>
                <w:color w:val="auto"/>
                <w:szCs w:val="21"/>
              </w:rPr>
            </w:pPr>
          </w:p>
        </w:tc>
        <w:tc>
          <w:tcPr>
            <w:tcW w:w="1701" w:type="dxa"/>
            <w:vMerge w:val="continue"/>
            <w:shd w:val="clear" w:color="auto" w:fill="auto"/>
            <w:tcMar>
              <w:left w:w="108" w:type="dxa"/>
              <w:right w:w="108" w:type="dxa"/>
            </w:tcMar>
            <w:vAlign w:val="center"/>
          </w:tcPr>
          <w:p w14:paraId="0744928D">
            <w:pPr>
              <w:spacing w:line="200" w:lineRule="exact"/>
              <w:rPr>
                <w:rFonts w:ascii="黑体" w:hAnsi="黑体" w:eastAsia="黑体"/>
                <w:b/>
                <w:bCs/>
                <w:color w:val="auto"/>
                <w:szCs w:val="21"/>
              </w:rPr>
            </w:pPr>
          </w:p>
        </w:tc>
        <w:tc>
          <w:tcPr>
            <w:tcW w:w="2976" w:type="dxa"/>
            <w:shd w:val="clear" w:color="auto" w:fill="auto"/>
            <w:tcMar>
              <w:left w:w="108" w:type="dxa"/>
              <w:right w:w="108" w:type="dxa"/>
            </w:tcMar>
            <w:vAlign w:val="center"/>
          </w:tcPr>
          <w:p w14:paraId="20EAB8AD">
            <w:pPr>
              <w:widowControl/>
              <w:spacing w:line="200" w:lineRule="exact"/>
              <w:rPr>
                <w:rFonts w:ascii="仿宋_GB2312" w:hAnsi="黑体" w:eastAsia="仿宋_GB2312"/>
                <w:b/>
                <w:bCs/>
                <w:color w:val="auto"/>
                <w:kern w:val="0"/>
                <w:szCs w:val="21"/>
              </w:rPr>
            </w:pPr>
            <w:r>
              <w:rPr>
                <w:rFonts w:hint="eastAsia" w:ascii="仿宋_GB2312" w:hAnsi="黑体" w:eastAsia="仿宋_GB2312"/>
                <w:b/>
                <w:bCs/>
                <w:color w:val="auto"/>
                <w:kern w:val="0"/>
                <w:szCs w:val="21"/>
              </w:rPr>
              <w:t>7.属于行政执法案卷</w:t>
            </w:r>
          </w:p>
        </w:tc>
        <w:tc>
          <w:tcPr>
            <w:tcW w:w="829" w:type="dxa"/>
            <w:shd w:val="clear" w:color="auto" w:fill="auto"/>
            <w:tcMar>
              <w:left w:w="108" w:type="dxa"/>
              <w:right w:w="108" w:type="dxa"/>
            </w:tcMar>
            <w:vAlign w:val="center"/>
          </w:tcPr>
          <w:p w14:paraId="7E55FAE4">
            <w:pPr>
              <w:widowControl/>
              <w:spacing w:after="180" w:line="200" w:lineRule="exact"/>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14:paraId="56036992">
            <w:pPr>
              <w:widowControl/>
              <w:spacing w:after="180" w:line="200" w:lineRule="exact"/>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14:paraId="166B9468">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31" w:type="dxa"/>
            <w:shd w:val="clear" w:color="auto" w:fill="auto"/>
            <w:tcMar>
              <w:left w:w="108" w:type="dxa"/>
              <w:right w:w="108" w:type="dxa"/>
            </w:tcMar>
            <w:vAlign w:val="center"/>
          </w:tcPr>
          <w:p w14:paraId="755C7EC8">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08" w:type="dxa"/>
            <w:shd w:val="clear" w:color="auto" w:fill="auto"/>
            <w:tcMar>
              <w:left w:w="108" w:type="dxa"/>
              <w:right w:w="108" w:type="dxa"/>
            </w:tcMar>
            <w:vAlign w:val="center"/>
          </w:tcPr>
          <w:p w14:paraId="5096A10F">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14:paraId="57FBAD1E">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851" w:type="dxa"/>
            <w:shd w:val="clear" w:color="auto" w:fill="auto"/>
            <w:tcMar>
              <w:left w:w="108" w:type="dxa"/>
              <w:right w:w="108" w:type="dxa"/>
            </w:tcMar>
            <w:vAlign w:val="center"/>
          </w:tcPr>
          <w:p w14:paraId="52747C72">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r>
      <w:tr w14:paraId="10DC0D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A23095E">
            <w:pPr>
              <w:rPr>
                <w:rFonts w:ascii="黑体" w:hAnsi="黑体" w:eastAsia="黑体"/>
                <w:b/>
                <w:bCs/>
                <w:color w:val="auto"/>
                <w:szCs w:val="21"/>
              </w:rPr>
            </w:pPr>
          </w:p>
        </w:tc>
        <w:tc>
          <w:tcPr>
            <w:tcW w:w="1701" w:type="dxa"/>
            <w:vMerge w:val="continue"/>
            <w:shd w:val="clear" w:color="auto" w:fill="auto"/>
            <w:tcMar>
              <w:left w:w="108" w:type="dxa"/>
              <w:right w:w="108" w:type="dxa"/>
            </w:tcMar>
            <w:vAlign w:val="center"/>
          </w:tcPr>
          <w:p w14:paraId="63D5EFDC">
            <w:pPr>
              <w:spacing w:line="200" w:lineRule="exact"/>
              <w:rPr>
                <w:rFonts w:ascii="黑体" w:hAnsi="黑体" w:eastAsia="黑体"/>
                <w:b/>
                <w:bCs/>
                <w:color w:val="auto"/>
                <w:szCs w:val="21"/>
              </w:rPr>
            </w:pPr>
          </w:p>
        </w:tc>
        <w:tc>
          <w:tcPr>
            <w:tcW w:w="2976" w:type="dxa"/>
            <w:shd w:val="clear" w:color="auto" w:fill="auto"/>
            <w:tcMar>
              <w:left w:w="108" w:type="dxa"/>
              <w:right w:w="108" w:type="dxa"/>
            </w:tcMar>
            <w:vAlign w:val="center"/>
          </w:tcPr>
          <w:p w14:paraId="72985D5C">
            <w:pPr>
              <w:widowControl/>
              <w:spacing w:line="200" w:lineRule="exact"/>
              <w:rPr>
                <w:rFonts w:ascii="仿宋_GB2312" w:hAnsi="黑体" w:eastAsia="仿宋_GB2312"/>
                <w:b/>
                <w:bCs/>
                <w:color w:val="auto"/>
                <w:kern w:val="0"/>
                <w:szCs w:val="21"/>
              </w:rPr>
            </w:pPr>
            <w:r>
              <w:rPr>
                <w:rFonts w:hint="eastAsia" w:ascii="仿宋_GB2312" w:hAnsi="黑体" w:eastAsia="仿宋_GB2312"/>
                <w:b/>
                <w:bCs/>
                <w:color w:val="auto"/>
                <w:kern w:val="0"/>
                <w:szCs w:val="21"/>
              </w:rPr>
              <w:t>8.</w:t>
            </w:r>
            <w:bookmarkStart w:id="5" w:name="_Hlk66975211"/>
            <w:r>
              <w:rPr>
                <w:rFonts w:hint="eastAsia" w:ascii="仿宋_GB2312" w:hAnsi="黑体" w:eastAsia="仿宋_GB2312"/>
                <w:b/>
                <w:bCs/>
                <w:color w:val="auto"/>
                <w:kern w:val="0"/>
                <w:szCs w:val="21"/>
              </w:rPr>
              <w:t>属于行政查询事项</w:t>
            </w:r>
            <w:bookmarkEnd w:id="5"/>
          </w:p>
        </w:tc>
        <w:tc>
          <w:tcPr>
            <w:tcW w:w="829" w:type="dxa"/>
            <w:shd w:val="clear" w:color="auto" w:fill="auto"/>
            <w:tcMar>
              <w:left w:w="108" w:type="dxa"/>
              <w:right w:w="108" w:type="dxa"/>
            </w:tcMar>
            <w:vAlign w:val="center"/>
          </w:tcPr>
          <w:p w14:paraId="24265451">
            <w:pPr>
              <w:widowControl/>
              <w:spacing w:after="180" w:line="200" w:lineRule="exact"/>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14:paraId="7FD94A8D">
            <w:pPr>
              <w:widowControl/>
              <w:spacing w:after="180" w:line="200" w:lineRule="exact"/>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14:paraId="3A95AB26">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31" w:type="dxa"/>
            <w:shd w:val="clear" w:color="auto" w:fill="auto"/>
            <w:tcMar>
              <w:left w:w="108" w:type="dxa"/>
              <w:right w:w="108" w:type="dxa"/>
            </w:tcMar>
            <w:vAlign w:val="center"/>
          </w:tcPr>
          <w:p w14:paraId="786602F1">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08" w:type="dxa"/>
            <w:shd w:val="clear" w:color="auto" w:fill="auto"/>
            <w:tcMar>
              <w:left w:w="108" w:type="dxa"/>
              <w:right w:w="108" w:type="dxa"/>
            </w:tcMar>
            <w:vAlign w:val="center"/>
          </w:tcPr>
          <w:p w14:paraId="2B8C68E8">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14:paraId="76F5316D">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851" w:type="dxa"/>
            <w:shd w:val="clear" w:color="auto" w:fill="auto"/>
            <w:tcMar>
              <w:left w:w="108" w:type="dxa"/>
              <w:right w:w="108" w:type="dxa"/>
            </w:tcMar>
            <w:vAlign w:val="center"/>
          </w:tcPr>
          <w:p w14:paraId="7E826682">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r>
      <w:tr w14:paraId="2F0027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02E1878">
            <w:pPr>
              <w:rPr>
                <w:rFonts w:ascii="黑体" w:hAnsi="黑体" w:eastAsia="黑体"/>
                <w:b/>
                <w:bCs/>
                <w:color w:val="auto"/>
                <w:szCs w:val="21"/>
              </w:rPr>
            </w:pPr>
          </w:p>
        </w:tc>
        <w:tc>
          <w:tcPr>
            <w:tcW w:w="1701" w:type="dxa"/>
            <w:vMerge w:val="restart"/>
            <w:shd w:val="clear" w:color="auto" w:fill="auto"/>
            <w:tcMar>
              <w:left w:w="108" w:type="dxa"/>
              <w:right w:w="108" w:type="dxa"/>
            </w:tcMar>
            <w:vAlign w:val="center"/>
          </w:tcPr>
          <w:p w14:paraId="39CBE625">
            <w:pPr>
              <w:widowControl/>
              <w:spacing w:line="200" w:lineRule="exact"/>
              <w:ind w:left="-107" w:leftChars="-51"/>
              <w:rPr>
                <w:rFonts w:ascii="黑体" w:hAnsi="黑体" w:eastAsia="黑体"/>
                <w:b/>
                <w:bCs/>
                <w:color w:val="auto"/>
                <w:szCs w:val="21"/>
              </w:rPr>
            </w:pPr>
            <w:r>
              <w:rPr>
                <w:rFonts w:hint="eastAsia" w:ascii="黑体" w:hAnsi="黑体" w:eastAsia="黑体"/>
                <w:b/>
                <w:bCs/>
                <w:color w:val="auto"/>
                <w:kern w:val="0"/>
                <w:szCs w:val="21"/>
              </w:rPr>
              <w:t>（四）无法提供</w:t>
            </w:r>
          </w:p>
        </w:tc>
        <w:tc>
          <w:tcPr>
            <w:tcW w:w="2976" w:type="dxa"/>
            <w:shd w:val="clear" w:color="auto" w:fill="auto"/>
            <w:tcMar>
              <w:left w:w="108" w:type="dxa"/>
              <w:right w:w="108" w:type="dxa"/>
            </w:tcMar>
            <w:vAlign w:val="center"/>
          </w:tcPr>
          <w:p w14:paraId="0D658124">
            <w:pPr>
              <w:widowControl/>
              <w:spacing w:line="200" w:lineRule="exact"/>
              <w:rPr>
                <w:rFonts w:ascii="仿宋_GB2312" w:hAnsi="黑体" w:eastAsia="仿宋_GB2312"/>
                <w:b/>
                <w:bCs/>
                <w:color w:val="auto"/>
                <w:kern w:val="0"/>
                <w:szCs w:val="21"/>
              </w:rPr>
            </w:pPr>
            <w:r>
              <w:rPr>
                <w:rFonts w:hint="eastAsia" w:ascii="仿宋_GB2312" w:hAnsi="黑体" w:eastAsia="仿宋_GB2312"/>
                <w:b/>
                <w:bCs/>
                <w:color w:val="auto"/>
                <w:kern w:val="0"/>
                <w:szCs w:val="21"/>
              </w:rPr>
              <w:t>1.本机关不掌握相关政府信息</w:t>
            </w:r>
          </w:p>
        </w:tc>
        <w:tc>
          <w:tcPr>
            <w:tcW w:w="829" w:type="dxa"/>
            <w:shd w:val="clear" w:color="auto" w:fill="auto"/>
            <w:tcMar>
              <w:left w:w="108" w:type="dxa"/>
              <w:right w:w="108" w:type="dxa"/>
            </w:tcMar>
            <w:vAlign w:val="center"/>
          </w:tcPr>
          <w:p w14:paraId="32C02109">
            <w:pPr>
              <w:widowControl/>
              <w:spacing w:after="180" w:line="200" w:lineRule="exact"/>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14:paraId="31D0D2FB">
            <w:pPr>
              <w:widowControl/>
              <w:spacing w:after="180" w:line="200" w:lineRule="exact"/>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14:paraId="75B8F184">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31" w:type="dxa"/>
            <w:shd w:val="clear" w:color="auto" w:fill="auto"/>
            <w:tcMar>
              <w:left w:w="108" w:type="dxa"/>
              <w:right w:w="108" w:type="dxa"/>
            </w:tcMar>
            <w:vAlign w:val="center"/>
          </w:tcPr>
          <w:p w14:paraId="75CFA70B">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08" w:type="dxa"/>
            <w:shd w:val="clear" w:color="auto" w:fill="auto"/>
            <w:tcMar>
              <w:left w:w="108" w:type="dxa"/>
              <w:right w:w="108" w:type="dxa"/>
            </w:tcMar>
            <w:vAlign w:val="center"/>
          </w:tcPr>
          <w:p w14:paraId="4215936D">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14:paraId="22C0E2FE">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851" w:type="dxa"/>
            <w:shd w:val="clear" w:color="auto" w:fill="auto"/>
            <w:tcMar>
              <w:left w:w="108" w:type="dxa"/>
              <w:right w:w="108" w:type="dxa"/>
            </w:tcMar>
            <w:vAlign w:val="center"/>
          </w:tcPr>
          <w:p w14:paraId="11DE230E">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r>
      <w:tr w14:paraId="170C8C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B290980">
            <w:pPr>
              <w:rPr>
                <w:rFonts w:ascii="黑体" w:hAnsi="黑体" w:eastAsia="黑体"/>
                <w:b/>
                <w:bCs/>
                <w:color w:val="auto"/>
                <w:szCs w:val="21"/>
              </w:rPr>
            </w:pPr>
          </w:p>
        </w:tc>
        <w:tc>
          <w:tcPr>
            <w:tcW w:w="1701" w:type="dxa"/>
            <w:vMerge w:val="continue"/>
            <w:shd w:val="clear" w:color="auto" w:fill="auto"/>
            <w:tcMar>
              <w:left w:w="108" w:type="dxa"/>
              <w:right w:w="108" w:type="dxa"/>
            </w:tcMar>
            <w:vAlign w:val="center"/>
          </w:tcPr>
          <w:p w14:paraId="0175B02B">
            <w:pPr>
              <w:spacing w:line="200" w:lineRule="exact"/>
              <w:ind w:left="-107" w:leftChars="-51"/>
              <w:rPr>
                <w:rFonts w:ascii="黑体" w:hAnsi="黑体" w:eastAsia="黑体"/>
                <w:b/>
                <w:bCs/>
                <w:color w:val="auto"/>
                <w:szCs w:val="21"/>
              </w:rPr>
            </w:pPr>
          </w:p>
        </w:tc>
        <w:tc>
          <w:tcPr>
            <w:tcW w:w="2976" w:type="dxa"/>
            <w:shd w:val="clear" w:color="auto" w:fill="auto"/>
            <w:tcMar>
              <w:left w:w="108" w:type="dxa"/>
              <w:right w:w="108" w:type="dxa"/>
            </w:tcMar>
            <w:vAlign w:val="center"/>
          </w:tcPr>
          <w:p w14:paraId="56224A18">
            <w:pPr>
              <w:widowControl/>
              <w:spacing w:line="200" w:lineRule="exact"/>
              <w:rPr>
                <w:rFonts w:ascii="仿宋_GB2312" w:hAnsi="黑体" w:eastAsia="仿宋_GB2312"/>
                <w:b/>
                <w:bCs/>
                <w:color w:val="auto"/>
                <w:kern w:val="0"/>
                <w:szCs w:val="21"/>
              </w:rPr>
            </w:pPr>
            <w:r>
              <w:rPr>
                <w:rFonts w:hint="eastAsia" w:ascii="仿宋_GB2312" w:hAnsi="黑体" w:eastAsia="仿宋_GB2312"/>
                <w:b/>
                <w:bCs/>
                <w:color w:val="auto"/>
                <w:kern w:val="0"/>
                <w:szCs w:val="21"/>
              </w:rPr>
              <w:t>2.</w:t>
            </w:r>
            <w:bookmarkStart w:id="6" w:name="_Hlk66975392"/>
            <w:r>
              <w:rPr>
                <w:rFonts w:hint="eastAsia" w:ascii="仿宋_GB2312" w:hAnsi="黑体" w:eastAsia="仿宋_GB2312"/>
                <w:b/>
                <w:bCs/>
                <w:color w:val="auto"/>
                <w:kern w:val="0"/>
                <w:szCs w:val="21"/>
              </w:rPr>
              <w:t>没有现成信息需要另行制作</w:t>
            </w:r>
            <w:bookmarkEnd w:id="6"/>
          </w:p>
        </w:tc>
        <w:tc>
          <w:tcPr>
            <w:tcW w:w="829" w:type="dxa"/>
            <w:shd w:val="clear" w:color="auto" w:fill="auto"/>
            <w:tcMar>
              <w:left w:w="108" w:type="dxa"/>
              <w:right w:w="108" w:type="dxa"/>
            </w:tcMar>
            <w:vAlign w:val="center"/>
          </w:tcPr>
          <w:p w14:paraId="7CCB94E2">
            <w:pPr>
              <w:widowControl/>
              <w:spacing w:after="180" w:line="200" w:lineRule="exact"/>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14:paraId="39023C56">
            <w:pPr>
              <w:widowControl/>
              <w:spacing w:after="180" w:line="200" w:lineRule="exact"/>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14:paraId="0198869A">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31" w:type="dxa"/>
            <w:shd w:val="clear" w:color="auto" w:fill="auto"/>
            <w:tcMar>
              <w:left w:w="108" w:type="dxa"/>
              <w:right w:w="108" w:type="dxa"/>
            </w:tcMar>
            <w:vAlign w:val="center"/>
          </w:tcPr>
          <w:p w14:paraId="13717EB7">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08" w:type="dxa"/>
            <w:shd w:val="clear" w:color="auto" w:fill="auto"/>
            <w:tcMar>
              <w:left w:w="108" w:type="dxa"/>
              <w:right w:w="108" w:type="dxa"/>
            </w:tcMar>
            <w:vAlign w:val="center"/>
          </w:tcPr>
          <w:p w14:paraId="497D7813">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14:paraId="1F8D7EA5">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851" w:type="dxa"/>
            <w:shd w:val="clear" w:color="auto" w:fill="auto"/>
            <w:tcMar>
              <w:left w:w="108" w:type="dxa"/>
              <w:right w:w="108" w:type="dxa"/>
            </w:tcMar>
            <w:vAlign w:val="center"/>
          </w:tcPr>
          <w:p w14:paraId="25CAB655">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r>
      <w:tr w14:paraId="7ED2D8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8145A4C">
            <w:pPr>
              <w:rPr>
                <w:rFonts w:ascii="黑体" w:hAnsi="黑体" w:eastAsia="黑体"/>
                <w:b/>
                <w:bCs/>
                <w:color w:val="auto"/>
                <w:szCs w:val="21"/>
              </w:rPr>
            </w:pPr>
          </w:p>
        </w:tc>
        <w:tc>
          <w:tcPr>
            <w:tcW w:w="1701" w:type="dxa"/>
            <w:vMerge w:val="continue"/>
            <w:shd w:val="clear" w:color="auto" w:fill="auto"/>
            <w:tcMar>
              <w:left w:w="108" w:type="dxa"/>
              <w:right w:w="108" w:type="dxa"/>
            </w:tcMar>
            <w:vAlign w:val="center"/>
          </w:tcPr>
          <w:p w14:paraId="7B8041B0">
            <w:pPr>
              <w:spacing w:line="200" w:lineRule="exact"/>
              <w:ind w:left="-107" w:leftChars="-51"/>
              <w:rPr>
                <w:rFonts w:ascii="黑体" w:hAnsi="黑体" w:eastAsia="黑体"/>
                <w:b/>
                <w:bCs/>
                <w:color w:val="auto"/>
                <w:szCs w:val="21"/>
              </w:rPr>
            </w:pPr>
          </w:p>
        </w:tc>
        <w:tc>
          <w:tcPr>
            <w:tcW w:w="2976" w:type="dxa"/>
            <w:shd w:val="clear" w:color="auto" w:fill="auto"/>
            <w:tcMar>
              <w:left w:w="108" w:type="dxa"/>
              <w:right w:w="108" w:type="dxa"/>
            </w:tcMar>
            <w:vAlign w:val="center"/>
          </w:tcPr>
          <w:p w14:paraId="442B178B">
            <w:pPr>
              <w:widowControl/>
              <w:spacing w:line="200" w:lineRule="exact"/>
              <w:rPr>
                <w:rFonts w:ascii="仿宋_GB2312" w:hAnsi="黑体" w:eastAsia="仿宋_GB2312"/>
                <w:b/>
                <w:bCs/>
                <w:color w:val="auto"/>
                <w:kern w:val="0"/>
                <w:szCs w:val="21"/>
              </w:rPr>
            </w:pPr>
            <w:r>
              <w:rPr>
                <w:rFonts w:hint="eastAsia" w:ascii="仿宋_GB2312" w:hAnsi="黑体" w:eastAsia="仿宋_GB2312"/>
                <w:b/>
                <w:bCs/>
                <w:color w:val="auto"/>
                <w:kern w:val="0"/>
                <w:szCs w:val="21"/>
              </w:rPr>
              <w:t>3.</w:t>
            </w:r>
            <w:bookmarkStart w:id="7" w:name="_Hlk66975466"/>
            <w:r>
              <w:rPr>
                <w:rFonts w:hint="eastAsia" w:ascii="仿宋_GB2312" w:hAnsi="黑体" w:eastAsia="仿宋_GB2312"/>
                <w:b/>
                <w:bCs/>
                <w:color w:val="auto"/>
                <w:kern w:val="0"/>
                <w:szCs w:val="21"/>
              </w:rPr>
              <w:t>补正后申请内容仍不明确</w:t>
            </w:r>
            <w:bookmarkEnd w:id="7"/>
          </w:p>
        </w:tc>
        <w:tc>
          <w:tcPr>
            <w:tcW w:w="829" w:type="dxa"/>
            <w:shd w:val="clear" w:color="auto" w:fill="auto"/>
            <w:tcMar>
              <w:left w:w="108" w:type="dxa"/>
              <w:right w:w="108" w:type="dxa"/>
            </w:tcMar>
            <w:vAlign w:val="center"/>
          </w:tcPr>
          <w:p w14:paraId="47BFB7AF">
            <w:pPr>
              <w:widowControl/>
              <w:spacing w:after="180" w:line="200" w:lineRule="exact"/>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14:paraId="6C27167F">
            <w:pPr>
              <w:widowControl/>
              <w:spacing w:after="180" w:line="200" w:lineRule="exact"/>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14:paraId="4BCF9B71">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31" w:type="dxa"/>
            <w:shd w:val="clear" w:color="auto" w:fill="auto"/>
            <w:tcMar>
              <w:left w:w="108" w:type="dxa"/>
              <w:right w:w="108" w:type="dxa"/>
            </w:tcMar>
            <w:vAlign w:val="center"/>
          </w:tcPr>
          <w:p w14:paraId="7F35890A">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08" w:type="dxa"/>
            <w:shd w:val="clear" w:color="auto" w:fill="auto"/>
            <w:tcMar>
              <w:left w:w="108" w:type="dxa"/>
              <w:right w:w="108" w:type="dxa"/>
            </w:tcMar>
            <w:vAlign w:val="center"/>
          </w:tcPr>
          <w:p w14:paraId="5147FF50">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14:paraId="02938C8E">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851" w:type="dxa"/>
            <w:shd w:val="clear" w:color="auto" w:fill="auto"/>
            <w:tcMar>
              <w:left w:w="108" w:type="dxa"/>
              <w:right w:w="108" w:type="dxa"/>
            </w:tcMar>
            <w:vAlign w:val="center"/>
          </w:tcPr>
          <w:p w14:paraId="13ABAFEE">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r>
      <w:tr w14:paraId="0D2512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25448E2">
            <w:pPr>
              <w:rPr>
                <w:rFonts w:ascii="黑体" w:hAnsi="黑体" w:eastAsia="黑体"/>
                <w:b/>
                <w:bCs/>
                <w:color w:val="auto"/>
                <w:szCs w:val="21"/>
              </w:rPr>
            </w:pPr>
          </w:p>
        </w:tc>
        <w:tc>
          <w:tcPr>
            <w:tcW w:w="1701" w:type="dxa"/>
            <w:vMerge w:val="restart"/>
            <w:shd w:val="clear" w:color="auto" w:fill="auto"/>
            <w:tcMar>
              <w:left w:w="108" w:type="dxa"/>
              <w:right w:w="108" w:type="dxa"/>
            </w:tcMar>
            <w:vAlign w:val="center"/>
          </w:tcPr>
          <w:p w14:paraId="53A3AD48">
            <w:pPr>
              <w:widowControl/>
              <w:spacing w:line="200" w:lineRule="exact"/>
              <w:ind w:left="-107" w:leftChars="-51"/>
              <w:rPr>
                <w:rFonts w:ascii="黑体" w:hAnsi="黑体" w:eastAsia="黑体"/>
                <w:b/>
                <w:bCs/>
                <w:color w:val="auto"/>
                <w:szCs w:val="21"/>
              </w:rPr>
            </w:pPr>
            <w:r>
              <w:rPr>
                <w:rFonts w:hint="eastAsia" w:ascii="黑体" w:hAnsi="黑体" w:eastAsia="黑体"/>
                <w:b/>
                <w:bCs/>
                <w:color w:val="auto"/>
                <w:kern w:val="0"/>
                <w:szCs w:val="21"/>
              </w:rPr>
              <w:t>（五）不予处理</w:t>
            </w:r>
          </w:p>
        </w:tc>
        <w:tc>
          <w:tcPr>
            <w:tcW w:w="2976" w:type="dxa"/>
            <w:shd w:val="clear" w:color="auto" w:fill="auto"/>
            <w:tcMar>
              <w:left w:w="108" w:type="dxa"/>
              <w:right w:w="108" w:type="dxa"/>
            </w:tcMar>
            <w:vAlign w:val="center"/>
          </w:tcPr>
          <w:p w14:paraId="795E7252">
            <w:pPr>
              <w:widowControl/>
              <w:spacing w:line="200" w:lineRule="exact"/>
              <w:rPr>
                <w:rFonts w:ascii="仿宋_GB2312" w:hAnsi="黑体" w:eastAsia="仿宋_GB2312"/>
                <w:b/>
                <w:bCs/>
                <w:color w:val="auto"/>
                <w:kern w:val="0"/>
                <w:szCs w:val="21"/>
              </w:rPr>
            </w:pPr>
            <w:r>
              <w:rPr>
                <w:rFonts w:hint="eastAsia" w:ascii="仿宋_GB2312" w:hAnsi="黑体" w:eastAsia="仿宋_GB2312"/>
                <w:b/>
                <w:bCs/>
                <w:color w:val="auto"/>
                <w:kern w:val="0"/>
                <w:szCs w:val="21"/>
              </w:rPr>
              <w:t>1.</w:t>
            </w:r>
            <w:bookmarkStart w:id="8" w:name="_Hlk66975537"/>
            <w:r>
              <w:rPr>
                <w:rFonts w:hint="eastAsia" w:ascii="仿宋_GB2312" w:hAnsi="黑体" w:eastAsia="仿宋_GB2312"/>
                <w:b/>
                <w:bCs/>
                <w:color w:val="auto"/>
                <w:kern w:val="0"/>
                <w:szCs w:val="21"/>
              </w:rPr>
              <w:t>信访举报投诉类申请</w:t>
            </w:r>
            <w:bookmarkEnd w:id="8"/>
          </w:p>
        </w:tc>
        <w:tc>
          <w:tcPr>
            <w:tcW w:w="829" w:type="dxa"/>
            <w:shd w:val="clear" w:color="auto" w:fill="auto"/>
            <w:tcMar>
              <w:left w:w="108" w:type="dxa"/>
              <w:right w:w="108" w:type="dxa"/>
            </w:tcMar>
            <w:vAlign w:val="center"/>
          </w:tcPr>
          <w:p w14:paraId="7B5FE1E7">
            <w:pPr>
              <w:widowControl/>
              <w:spacing w:after="180" w:line="200" w:lineRule="exact"/>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14:paraId="3631E285">
            <w:pPr>
              <w:widowControl/>
              <w:spacing w:after="180" w:line="200" w:lineRule="exact"/>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14:paraId="77896C10">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31" w:type="dxa"/>
            <w:shd w:val="clear" w:color="auto" w:fill="auto"/>
            <w:tcMar>
              <w:left w:w="108" w:type="dxa"/>
              <w:right w:w="108" w:type="dxa"/>
            </w:tcMar>
            <w:vAlign w:val="center"/>
          </w:tcPr>
          <w:p w14:paraId="5C4DB7AF">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08" w:type="dxa"/>
            <w:shd w:val="clear" w:color="auto" w:fill="auto"/>
            <w:tcMar>
              <w:left w:w="108" w:type="dxa"/>
              <w:right w:w="108" w:type="dxa"/>
            </w:tcMar>
            <w:vAlign w:val="center"/>
          </w:tcPr>
          <w:p w14:paraId="4B9BC4DD">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14:paraId="2847F67C">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851" w:type="dxa"/>
            <w:shd w:val="clear" w:color="auto" w:fill="auto"/>
            <w:tcMar>
              <w:left w:w="108" w:type="dxa"/>
              <w:right w:w="108" w:type="dxa"/>
            </w:tcMar>
            <w:vAlign w:val="center"/>
          </w:tcPr>
          <w:p w14:paraId="6406C446">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r>
      <w:tr w14:paraId="5FE36D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045DF87">
            <w:pPr>
              <w:rPr>
                <w:rFonts w:ascii="黑体" w:hAnsi="黑体" w:eastAsia="黑体"/>
                <w:b/>
                <w:bCs/>
                <w:color w:val="auto"/>
                <w:szCs w:val="21"/>
              </w:rPr>
            </w:pPr>
          </w:p>
        </w:tc>
        <w:tc>
          <w:tcPr>
            <w:tcW w:w="1701" w:type="dxa"/>
            <w:vMerge w:val="continue"/>
            <w:shd w:val="clear" w:color="auto" w:fill="auto"/>
            <w:tcMar>
              <w:left w:w="108" w:type="dxa"/>
              <w:right w:w="108" w:type="dxa"/>
            </w:tcMar>
            <w:vAlign w:val="center"/>
          </w:tcPr>
          <w:p w14:paraId="7DC19086">
            <w:pPr>
              <w:spacing w:line="200" w:lineRule="exact"/>
              <w:rPr>
                <w:rFonts w:ascii="黑体" w:hAnsi="黑体" w:eastAsia="黑体"/>
                <w:b/>
                <w:bCs/>
                <w:color w:val="auto"/>
                <w:szCs w:val="21"/>
              </w:rPr>
            </w:pPr>
          </w:p>
        </w:tc>
        <w:tc>
          <w:tcPr>
            <w:tcW w:w="2976" w:type="dxa"/>
            <w:shd w:val="clear" w:color="auto" w:fill="auto"/>
            <w:tcMar>
              <w:left w:w="108" w:type="dxa"/>
              <w:right w:w="108" w:type="dxa"/>
            </w:tcMar>
            <w:vAlign w:val="center"/>
          </w:tcPr>
          <w:p w14:paraId="104CB1F9">
            <w:pPr>
              <w:widowControl/>
              <w:spacing w:line="200" w:lineRule="exact"/>
              <w:rPr>
                <w:rFonts w:ascii="仿宋_GB2312" w:hAnsi="黑体" w:eastAsia="仿宋_GB2312"/>
                <w:b/>
                <w:bCs/>
                <w:color w:val="auto"/>
                <w:kern w:val="0"/>
                <w:szCs w:val="21"/>
              </w:rPr>
            </w:pPr>
            <w:r>
              <w:rPr>
                <w:rFonts w:hint="eastAsia" w:ascii="仿宋_GB2312" w:hAnsi="黑体" w:eastAsia="仿宋_GB2312"/>
                <w:b/>
                <w:bCs/>
                <w:color w:val="auto"/>
                <w:kern w:val="0"/>
                <w:szCs w:val="21"/>
              </w:rPr>
              <w:t>2.重复申请</w:t>
            </w:r>
          </w:p>
        </w:tc>
        <w:tc>
          <w:tcPr>
            <w:tcW w:w="829" w:type="dxa"/>
            <w:shd w:val="clear" w:color="auto" w:fill="auto"/>
            <w:tcMar>
              <w:left w:w="108" w:type="dxa"/>
              <w:right w:w="108" w:type="dxa"/>
            </w:tcMar>
            <w:vAlign w:val="center"/>
          </w:tcPr>
          <w:p w14:paraId="0EA755C7">
            <w:pPr>
              <w:widowControl/>
              <w:spacing w:after="180" w:line="200" w:lineRule="exact"/>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14:paraId="1CC37245">
            <w:pPr>
              <w:widowControl/>
              <w:spacing w:after="180" w:line="200" w:lineRule="exact"/>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14:paraId="7514A821">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31" w:type="dxa"/>
            <w:shd w:val="clear" w:color="auto" w:fill="auto"/>
            <w:tcMar>
              <w:left w:w="108" w:type="dxa"/>
              <w:right w:w="108" w:type="dxa"/>
            </w:tcMar>
            <w:vAlign w:val="center"/>
          </w:tcPr>
          <w:p w14:paraId="46DF6842">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08" w:type="dxa"/>
            <w:shd w:val="clear" w:color="auto" w:fill="auto"/>
            <w:tcMar>
              <w:left w:w="108" w:type="dxa"/>
              <w:right w:w="108" w:type="dxa"/>
            </w:tcMar>
            <w:vAlign w:val="center"/>
          </w:tcPr>
          <w:p w14:paraId="6ADC9EDF">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14:paraId="463A32A2">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851" w:type="dxa"/>
            <w:shd w:val="clear" w:color="auto" w:fill="auto"/>
            <w:tcMar>
              <w:left w:w="108" w:type="dxa"/>
              <w:right w:w="108" w:type="dxa"/>
            </w:tcMar>
            <w:vAlign w:val="center"/>
          </w:tcPr>
          <w:p w14:paraId="1CF41AC4">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r>
      <w:tr w14:paraId="09A456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D94305A">
            <w:pPr>
              <w:rPr>
                <w:rFonts w:ascii="黑体" w:hAnsi="黑体" w:eastAsia="黑体"/>
                <w:b/>
                <w:bCs/>
                <w:color w:val="auto"/>
                <w:szCs w:val="21"/>
              </w:rPr>
            </w:pPr>
          </w:p>
        </w:tc>
        <w:tc>
          <w:tcPr>
            <w:tcW w:w="1701" w:type="dxa"/>
            <w:vMerge w:val="continue"/>
            <w:shd w:val="clear" w:color="auto" w:fill="auto"/>
            <w:tcMar>
              <w:left w:w="108" w:type="dxa"/>
              <w:right w:w="108" w:type="dxa"/>
            </w:tcMar>
            <w:vAlign w:val="center"/>
          </w:tcPr>
          <w:p w14:paraId="6248D433">
            <w:pPr>
              <w:spacing w:line="200" w:lineRule="exact"/>
              <w:rPr>
                <w:rFonts w:ascii="黑体" w:hAnsi="黑体" w:eastAsia="黑体"/>
                <w:b/>
                <w:bCs/>
                <w:color w:val="auto"/>
                <w:szCs w:val="21"/>
              </w:rPr>
            </w:pPr>
          </w:p>
        </w:tc>
        <w:tc>
          <w:tcPr>
            <w:tcW w:w="2976" w:type="dxa"/>
            <w:shd w:val="clear" w:color="auto" w:fill="auto"/>
            <w:tcMar>
              <w:left w:w="108" w:type="dxa"/>
              <w:right w:w="108" w:type="dxa"/>
            </w:tcMar>
            <w:vAlign w:val="center"/>
          </w:tcPr>
          <w:p w14:paraId="5B5C4C03">
            <w:pPr>
              <w:widowControl/>
              <w:spacing w:line="200" w:lineRule="exact"/>
              <w:rPr>
                <w:rFonts w:ascii="仿宋_GB2312" w:hAnsi="黑体" w:eastAsia="仿宋_GB2312"/>
                <w:b/>
                <w:bCs/>
                <w:color w:val="auto"/>
                <w:szCs w:val="21"/>
              </w:rPr>
            </w:pPr>
            <w:r>
              <w:rPr>
                <w:rFonts w:hint="eastAsia" w:ascii="仿宋_GB2312" w:hAnsi="黑体" w:eastAsia="仿宋_GB2312"/>
                <w:b/>
                <w:bCs/>
                <w:color w:val="auto"/>
                <w:kern w:val="0"/>
                <w:szCs w:val="21"/>
              </w:rPr>
              <w:t>3.要求提供公开出版物</w:t>
            </w:r>
          </w:p>
        </w:tc>
        <w:tc>
          <w:tcPr>
            <w:tcW w:w="829" w:type="dxa"/>
            <w:shd w:val="clear" w:color="auto" w:fill="auto"/>
            <w:tcMar>
              <w:left w:w="108" w:type="dxa"/>
              <w:right w:w="108" w:type="dxa"/>
            </w:tcMar>
            <w:vAlign w:val="center"/>
          </w:tcPr>
          <w:p w14:paraId="4CC2DB2B">
            <w:pPr>
              <w:widowControl/>
              <w:spacing w:after="180" w:line="200" w:lineRule="exact"/>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14:paraId="4EAD2E92">
            <w:pPr>
              <w:widowControl/>
              <w:spacing w:after="180" w:line="200" w:lineRule="exact"/>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14:paraId="63A4ABCE">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31" w:type="dxa"/>
            <w:shd w:val="clear" w:color="auto" w:fill="auto"/>
            <w:tcMar>
              <w:left w:w="108" w:type="dxa"/>
              <w:right w:w="108" w:type="dxa"/>
            </w:tcMar>
            <w:vAlign w:val="center"/>
          </w:tcPr>
          <w:p w14:paraId="737A6A26">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08" w:type="dxa"/>
            <w:shd w:val="clear" w:color="auto" w:fill="auto"/>
            <w:tcMar>
              <w:left w:w="108" w:type="dxa"/>
              <w:right w:w="108" w:type="dxa"/>
            </w:tcMar>
            <w:vAlign w:val="center"/>
          </w:tcPr>
          <w:p w14:paraId="499CBA0E">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14:paraId="2CEB32AF">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851" w:type="dxa"/>
            <w:shd w:val="clear" w:color="auto" w:fill="auto"/>
            <w:tcMar>
              <w:left w:w="108" w:type="dxa"/>
              <w:right w:w="108" w:type="dxa"/>
            </w:tcMar>
            <w:vAlign w:val="center"/>
          </w:tcPr>
          <w:p w14:paraId="33B8804F">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r>
      <w:tr w14:paraId="29DD5A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14:paraId="73E5634F">
            <w:pPr>
              <w:rPr>
                <w:rFonts w:ascii="黑体" w:hAnsi="黑体" w:eastAsia="黑体"/>
                <w:b/>
                <w:bCs/>
                <w:color w:val="auto"/>
                <w:szCs w:val="21"/>
              </w:rPr>
            </w:pPr>
          </w:p>
        </w:tc>
        <w:tc>
          <w:tcPr>
            <w:tcW w:w="1701" w:type="dxa"/>
            <w:vMerge w:val="continue"/>
            <w:shd w:val="clear" w:color="auto" w:fill="auto"/>
            <w:tcMar>
              <w:left w:w="108" w:type="dxa"/>
              <w:right w:w="108" w:type="dxa"/>
            </w:tcMar>
            <w:vAlign w:val="center"/>
          </w:tcPr>
          <w:p w14:paraId="500DB020">
            <w:pPr>
              <w:spacing w:line="200" w:lineRule="exact"/>
              <w:rPr>
                <w:rFonts w:ascii="黑体" w:hAnsi="黑体" w:eastAsia="黑体"/>
                <w:b/>
                <w:bCs/>
                <w:color w:val="auto"/>
                <w:szCs w:val="21"/>
              </w:rPr>
            </w:pPr>
          </w:p>
        </w:tc>
        <w:tc>
          <w:tcPr>
            <w:tcW w:w="2976" w:type="dxa"/>
            <w:shd w:val="clear" w:color="auto" w:fill="auto"/>
            <w:tcMar>
              <w:left w:w="108" w:type="dxa"/>
              <w:right w:w="108" w:type="dxa"/>
            </w:tcMar>
            <w:vAlign w:val="center"/>
          </w:tcPr>
          <w:p w14:paraId="0B990CA3">
            <w:pPr>
              <w:widowControl/>
              <w:spacing w:line="200" w:lineRule="exact"/>
              <w:rPr>
                <w:rFonts w:ascii="仿宋_GB2312" w:hAnsi="黑体" w:eastAsia="仿宋_GB2312"/>
                <w:b/>
                <w:bCs/>
                <w:color w:val="auto"/>
                <w:szCs w:val="21"/>
              </w:rPr>
            </w:pPr>
            <w:r>
              <w:rPr>
                <w:rFonts w:hint="eastAsia" w:ascii="仿宋_GB2312" w:hAnsi="黑体" w:eastAsia="仿宋_GB2312"/>
                <w:b/>
                <w:bCs/>
                <w:color w:val="auto"/>
                <w:kern w:val="0"/>
                <w:szCs w:val="21"/>
              </w:rPr>
              <w:t>4.无正当理由大量反复申请</w:t>
            </w:r>
          </w:p>
        </w:tc>
        <w:tc>
          <w:tcPr>
            <w:tcW w:w="829" w:type="dxa"/>
            <w:shd w:val="clear" w:color="auto" w:fill="auto"/>
            <w:tcMar>
              <w:left w:w="108" w:type="dxa"/>
              <w:right w:w="108" w:type="dxa"/>
            </w:tcMar>
            <w:vAlign w:val="center"/>
          </w:tcPr>
          <w:p w14:paraId="78483679">
            <w:pPr>
              <w:widowControl/>
              <w:spacing w:after="180" w:line="200" w:lineRule="exact"/>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14:paraId="25184D91">
            <w:pPr>
              <w:widowControl/>
              <w:spacing w:after="180" w:line="200" w:lineRule="exact"/>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14:paraId="329BC394">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31" w:type="dxa"/>
            <w:shd w:val="clear" w:color="auto" w:fill="auto"/>
            <w:tcMar>
              <w:left w:w="108" w:type="dxa"/>
              <w:right w:w="108" w:type="dxa"/>
            </w:tcMar>
            <w:vAlign w:val="center"/>
          </w:tcPr>
          <w:p w14:paraId="146F831F">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08" w:type="dxa"/>
            <w:shd w:val="clear" w:color="auto" w:fill="auto"/>
            <w:tcMar>
              <w:left w:w="108" w:type="dxa"/>
              <w:right w:w="108" w:type="dxa"/>
            </w:tcMar>
            <w:vAlign w:val="center"/>
          </w:tcPr>
          <w:p w14:paraId="2C02D554">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14:paraId="0C2C06CC">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851" w:type="dxa"/>
            <w:shd w:val="clear" w:color="auto" w:fill="auto"/>
            <w:tcMar>
              <w:left w:w="108" w:type="dxa"/>
              <w:right w:w="108" w:type="dxa"/>
            </w:tcMar>
            <w:vAlign w:val="center"/>
          </w:tcPr>
          <w:p w14:paraId="29DFD4ED">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r>
      <w:tr w14:paraId="7740D8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7B31A3E5">
            <w:pPr>
              <w:rPr>
                <w:rFonts w:ascii="黑体" w:hAnsi="黑体" w:eastAsia="黑体"/>
                <w:b/>
                <w:bCs/>
                <w:color w:val="auto"/>
                <w:szCs w:val="21"/>
              </w:rPr>
            </w:pPr>
          </w:p>
        </w:tc>
        <w:tc>
          <w:tcPr>
            <w:tcW w:w="1701" w:type="dxa"/>
            <w:vMerge w:val="continue"/>
            <w:shd w:val="clear" w:color="auto" w:fill="auto"/>
            <w:tcMar>
              <w:left w:w="108" w:type="dxa"/>
              <w:right w:w="108" w:type="dxa"/>
            </w:tcMar>
            <w:vAlign w:val="center"/>
          </w:tcPr>
          <w:p w14:paraId="7A0CF13F">
            <w:pPr>
              <w:spacing w:line="200" w:lineRule="exact"/>
              <w:rPr>
                <w:rFonts w:ascii="黑体" w:hAnsi="黑体" w:eastAsia="黑体"/>
                <w:b/>
                <w:bCs/>
                <w:color w:val="auto"/>
                <w:szCs w:val="21"/>
              </w:rPr>
            </w:pPr>
          </w:p>
        </w:tc>
        <w:tc>
          <w:tcPr>
            <w:tcW w:w="2976" w:type="dxa"/>
            <w:shd w:val="clear" w:color="auto" w:fill="auto"/>
            <w:tcMar>
              <w:left w:w="108" w:type="dxa"/>
              <w:right w:w="108" w:type="dxa"/>
            </w:tcMar>
            <w:vAlign w:val="center"/>
          </w:tcPr>
          <w:p w14:paraId="7A0E0FF4">
            <w:pPr>
              <w:widowControl/>
              <w:spacing w:line="300" w:lineRule="exact"/>
              <w:rPr>
                <w:rFonts w:ascii="仿宋_GB2312" w:hAnsi="黑体" w:eastAsia="仿宋_GB2312"/>
                <w:b/>
                <w:bCs/>
                <w:color w:val="auto"/>
                <w:kern w:val="0"/>
                <w:szCs w:val="21"/>
              </w:rPr>
            </w:pPr>
            <w:r>
              <w:rPr>
                <w:rFonts w:hint="eastAsia" w:ascii="仿宋_GB2312" w:hAnsi="黑体" w:eastAsia="仿宋_GB2312"/>
                <w:b/>
                <w:bCs/>
                <w:color w:val="auto"/>
                <w:kern w:val="0"/>
                <w:szCs w:val="21"/>
              </w:rPr>
              <w:t>5.要求行政机关确认或重新</w:t>
            </w:r>
          </w:p>
          <w:p w14:paraId="70FFB205">
            <w:pPr>
              <w:widowControl/>
              <w:spacing w:line="300" w:lineRule="exact"/>
              <w:ind w:firstLine="211" w:firstLineChars="100"/>
              <w:rPr>
                <w:rFonts w:ascii="仿宋_GB2312" w:hAnsi="黑体" w:eastAsia="仿宋_GB2312"/>
                <w:b/>
                <w:bCs/>
                <w:color w:val="auto"/>
                <w:szCs w:val="21"/>
              </w:rPr>
            </w:pPr>
            <w:r>
              <w:rPr>
                <w:rFonts w:hint="eastAsia" w:ascii="仿宋_GB2312" w:hAnsi="黑体" w:eastAsia="仿宋_GB2312"/>
                <w:b/>
                <w:bCs/>
                <w:color w:val="auto"/>
                <w:kern w:val="0"/>
                <w:szCs w:val="21"/>
              </w:rPr>
              <w:t>出具已获取信息</w:t>
            </w:r>
          </w:p>
        </w:tc>
        <w:tc>
          <w:tcPr>
            <w:tcW w:w="829" w:type="dxa"/>
            <w:shd w:val="clear" w:color="auto" w:fill="auto"/>
            <w:tcMar>
              <w:left w:w="108" w:type="dxa"/>
              <w:right w:w="108" w:type="dxa"/>
            </w:tcMar>
            <w:vAlign w:val="center"/>
          </w:tcPr>
          <w:p w14:paraId="5D21EE6F">
            <w:pPr>
              <w:widowControl/>
              <w:spacing w:after="180" w:line="200" w:lineRule="exact"/>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14:paraId="0A84F809">
            <w:pPr>
              <w:widowControl/>
              <w:spacing w:after="180" w:line="200" w:lineRule="exact"/>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14:paraId="66DFC478">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31" w:type="dxa"/>
            <w:shd w:val="clear" w:color="auto" w:fill="auto"/>
            <w:tcMar>
              <w:left w:w="108" w:type="dxa"/>
              <w:right w:w="108" w:type="dxa"/>
            </w:tcMar>
            <w:vAlign w:val="center"/>
          </w:tcPr>
          <w:p w14:paraId="4D7AC06C">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08" w:type="dxa"/>
            <w:shd w:val="clear" w:color="auto" w:fill="auto"/>
            <w:tcMar>
              <w:left w:w="108" w:type="dxa"/>
              <w:right w:w="108" w:type="dxa"/>
            </w:tcMar>
            <w:vAlign w:val="center"/>
          </w:tcPr>
          <w:p w14:paraId="2C9FF267">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14:paraId="64DB970B">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851" w:type="dxa"/>
            <w:shd w:val="clear" w:color="auto" w:fill="auto"/>
            <w:tcMar>
              <w:left w:w="108" w:type="dxa"/>
              <w:right w:w="108" w:type="dxa"/>
            </w:tcMar>
            <w:vAlign w:val="center"/>
          </w:tcPr>
          <w:p w14:paraId="31D2E522">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r>
      <w:tr w14:paraId="2CB58A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429145AB">
            <w:pPr>
              <w:rPr>
                <w:rFonts w:ascii="黑体" w:hAnsi="黑体" w:eastAsia="黑体"/>
                <w:b/>
                <w:bCs/>
                <w:color w:val="auto"/>
                <w:szCs w:val="21"/>
              </w:rPr>
            </w:pPr>
          </w:p>
        </w:tc>
        <w:tc>
          <w:tcPr>
            <w:tcW w:w="1701" w:type="dxa"/>
            <w:vMerge w:val="restart"/>
            <w:shd w:val="clear" w:color="auto" w:fill="auto"/>
            <w:tcMar>
              <w:left w:w="108" w:type="dxa"/>
              <w:right w:w="108" w:type="dxa"/>
            </w:tcMar>
            <w:vAlign w:val="center"/>
          </w:tcPr>
          <w:p w14:paraId="7A4C1EE5">
            <w:pPr>
              <w:widowControl/>
              <w:spacing w:line="300" w:lineRule="exact"/>
              <w:rPr>
                <w:rFonts w:ascii="黑体" w:hAnsi="黑体" w:eastAsia="黑体"/>
                <w:b/>
                <w:bCs/>
                <w:color w:val="auto"/>
                <w:kern w:val="0"/>
                <w:szCs w:val="21"/>
              </w:rPr>
            </w:pPr>
            <w:r>
              <w:rPr>
                <w:rFonts w:hint="eastAsia" w:ascii="黑体" w:hAnsi="黑体" w:eastAsia="黑体"/>
                <w:b/>
                <w:bCs/>
                <w:color w:val="auto"/>
                <w:kern w:val="0"/>
                <w:szCs w:val="21"/>
              </w:rPr>
              <w:t>（六）其他处理</w:t>
            </w:r>
          </w:p>
        </w:tc>
        <w:tc>
          <w:tcPr>
            <w:tcW w:w="2976" w:type="dxa"/>
            <w:shd w:val="clear" w:color="auto" w:fill="auto"/>
            <w:vAlign w:val="center"/>
          </w:tcPr>
          <w:p w14:paraId="48365A78">
            <w:pPr>
              <w:widowControl/>
              <w:spacing w:line="300" w:lineRule="exact"/>
              <w:rPr>
                <w:rFonts w:ascii="仿宋_GB2312" w:hAnsi="楷体" w:eastAsia="仿宋_GB2312"/>
                <w:b/>
                <w:bCs/>
                <w:color w:val="auto"/>
              </w:rPr>
            </w:pPr>
            <w:r>
              <w:rPr>
                <w:rFonts w:hint="eastAsia" w:ascii="仿宋_GB2312" w:hAnsi="楷体" w:eastAsia="仿宋_GB2312"/>
                <w:b/>
                <w:bCs/>
                <w:color w:val="auto"/>
              </w:rPr>
              <w:t>1.申请人无正当理由逾期不补正、行政机关不再处理其政府信息公开申请</w:t>
            </w:r>
          </w:p>
        </w:tc>
        <w:tc>
          <w:tcPr>
            <w:tcW w:w="829" w:type="dxa"/>
            <w:shd w:val="clear" w:color="auto" w:fill="auto"/>
            <w:tcMar>
              <w:left w:w="108" w:type="dxa"/>
              <w:right w:w="108" w:type="dxa"/>
            </w:tcMar>
            <w:vAlign w:val="center"/>
          </w:tcPr>
          <w:p w14:paraId="16C00547">
            <w:pPr>
              <w:widowControl/>
              <w:spacing w:after="180" w:line="200" w:lineRule="exact"/>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14:paraId="391DD514">
            <w:pPr>
              <w:widowControl/>
              <w:spacing w:after="180" w:line="200" w:lineRule="exact"/>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14:paraId="36BF8042">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31" w:type="dxa"/>
            <w:shd w:val="clear" w:color="auto" w:fill="auto"/>
            <w:tcMar>
              <w:left w:w="108" w:type="dxa"/>
              <w:right w:w="108" w:type="dxa"/>
            </w:tcMar>
            <w:vAlign w:val="center"/>
          </w:tcPr>
          <w:p w14:paraId="104922C4">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08" w:type="dxa"/>
            <w:shd w:val="clear" w:color="auto" w:fill="auto"/>
            <w:tcMar>
              <w:left w:w="108" w:type="dxa"/>
              <w:right w:w="108" w:type="dxa"/>
            </w:tcMar>
            <w:vAlign w:val="center"/>
          </w:tcPr>
          <w:p w14:paraId="2D420B05">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14:paraId="7CC7A6CB">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851" w:type="dxa"/>
            <w:shd w:val="clear" w:color="auto" w:fill="auto"/>
            <w:tcMar>
              <w:left w:w="108" w:type="dxa"/>
              <w:right w:w="108" w:type="dxa"/>
            </w:tcMar>
            <w:vAlign w:val="center"/>
          </w:tcPr>
          <w:p w14:paraId="5D0EC1D7">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r>
      <w:tr w14:paraId="6F5B88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4CF20107">
            <w:pPr>
              <w:rPr>
                <w:rFonts w:ascii="黑体" w:hAnsi="黑体" w:eastAsia="黑体"/>
                <w:b/>
                <w:bCs/>
                <w:color w:val="auto"/>
                <w:szCs w:val="21"/>
              </w:rPr>
            </w:pPr>
          </w:p>
        </w:tc>
        <w:tc>
          <w:tcPr>
            <w:tcW w:w="1701" w:type="dxa"/>
            <w:vMerge w:val="continue"/>
            <w:shd w:val="clear" w:color="auto" w:fill="auto"/>
            <w:tcMar>
              <w:left w:w="108" w:type="dxa"/>
              <w:right w:w="108" w:type="dxa"/>
            </w:tcMar>
            <w:vAlign w:val="center"/>
          </w:tcPr>
          <w:p w14:paraId="7BD6EBCA">
            <w:pPr>
              <w:widowControl/>
              <w:spacing w:line="300" w:lineRule="exact"/>
              <w:rPr>
                <w:rFonts w:ascii="黑体" w:hAnsi="黑体" w:eastAsia="黑体"/>
                <w:b/>
                <w:bCs/>
                <w:color w:val="auto"/>
                <w:kern w:val="0"/>
                <w:szCs w:val="21"/>
              </w:rPr>
            </w:pPr>
          </w:p>
        </w:tc>
        <w:tc>
          <w:tcPr>
            <w:tcW w:w="2976" w:type="dxa"/>
            <w:shd w:val="clear" w:color="auto" w:fill="auto"/>
            <w:vAlign w:val="center"/>
          </w:tcPr>
          <w:p w14:paraId="75C5C513">
            <w:pPr>
              <w:widowControl/>
              <w:spacing w:line="300" w:lineRule="exact"/>
              <w:rPr>
                <w:rFonts w:ascii="仿宋_GB2312" w:hAnsi="黑体" w:eastAsia="仿宋_GB2312"/>
                <w:b/>
                <w:bCs/>
                <w:color w:val="auto"/>
                <w:kern w:val="0"/>
                <w:szCs w:val="21"/>
              </w:rPr>
            </w:pPr>
            <w:r>
              <w:rPr>
                <w:rFonts w:hint="eastAsia" w:ascii="仿宋_GB2312" w:hAnsi="楷体" w:eastAsia="仿宋_GB2312"/>
                <w:b/>
                <w:bCs/>
                <w:color w:val="auto"/>
              </w:rPr>
              <w:t>2.申请人逾期未按收费通知要求缴纳费用、行政机关不再处理其政府信息公开申请</w:t>
            </w:r>
          </w:p>
        </w:tc>
        <w:tc>
          <w:tcPr>
            <w:tcW w:w="829" w:type="dxa"/>
            <w:shd w:val="clear" w:color="auto" w:fill="auto"/>
            <w:tcMar>
              <w:left w:w="108" w:type="dxa"/>
              <w:right w:w="108" w:type="dxa"/>
            </w:tcMar>
            <w:vAlign w:val="center"/>
          </w:tcPr>
          <w:p w14:paraId="40B73D5F">
            <w:pPr>
              <w:widowControl/>
              <w:spacing w:after="180" w:line="200" w:lineRule="exact"/>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14:paraId="65FC0421">
            <w:pPr>
              <w:widowControl/>
              <w:spacing w:after="180" w:line="200" w:lineRule="exact"/>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14:paraId="5BA34CD7">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31" w:type="dxa"/>
            <w:shd w:val="clear" w:color="auto" w:fill="auto"/>
            <w:tcMar>
              <w:left w:w="108" w:type="dxa"/>
              <w:right w:w="108" w:type="dxa"/>
            </w:tcMar>
            <w:vAlign w:val="center"/>
          </w:tcPr>
          <w:p w14:paraId="4456677F">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08" w:type="dxa"/>
            <w:shd w:val="clear" w:color="auto" w:fill="auto"/>
            <w:tcMar>
              <w:left w:w="108" w:type="dxa"/>
              <w:right w:w="108" w:type="dxa"/>
            </w:tcMar>
            <w:vAlign w:val="center"/>
          </w:tcPr>
          <w:p w14:paraId="0E680E0F">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14:paraId="3BB7D125">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851" w:type="dxa"/>
            <w:shd w:val="clear" w:color="auto" w:fill="auto"/>
            <w:tcMar>
              <w:left w:w="108" w:type="dxa"/>
              <w:right w:w="108" w:type="dxa"/>
            </w:tcMar>
            <w:vAlign w:val="center"/>
          </w:tcPr>
          <w:p w14:paraId="59A22371">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r>
      <w:tr w14:paraId="7A6C30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1ECABC0E">
            <w:pPr>
              <w:rPr>
                <w:rFonts w:ascii="黑体" w:hAnsi="黑体" w:eastAsia="黑体"/>
                <w:b/>
                <w:bCs/>
                <w:color w:val="auto"/>
                <w:szCs w:val="21"/>
              </w:rPr>
            </w:pPr>
          </w:p>
        </w:tc>
        <w:tc>
          <w:tcPr>
            <w:tcW w:w="1701" w:type="dxa"/>
            <w:vMerge w:val="continue"/>
            <w:shd w:val="clear" w:color="auto" w:fill="auto"/>
            <w:tcMar>
              <w:left w:w="108" w:type="dxa"/>
              <w:right w:w="108" w:type="dxa"/>
            </w:tcMar>
            <w:vAlign w:val="center"/>
          </w:tcPr>
          <w:p w14:paraId="47B2969D">
            <w:pPr>
              <w:widowControl/>
              <w:spacing w:line="300" w:lineRule="exact"/>
              <w:rPr>
                <w:rFonts w:ascii="黑体" w:hAnsi="黑体" w:eastAsia="黑体"/>
                <w:b/>
                <w:bCs/>
                <w:color w:val="auto"/>
                <w:kern w:val="0"/>
                <w:szCs w:val="21"/>
              </w:rPr>
            </w:pPr>
          </w:p>
        </w:tc>
        <w:tc>
          <w:tcPr>
            <w:tcW w:w="2976" w:type="dxa"/>
            <w:shd w:val="clear" w:color="auto" w:fill="auto"/>
            <w:vAlign w:val="center"/>
          </w:tcPr>
          <w:p w14:paraId="17B0003F">
            <w:pPr>
              <w:widowControl/>
              <w:spacing w:line="300" w:lineRule="exact"/>
              <w:rPr>
                <w:rFonts w:ascii="仿宋_GB2312" w:hAnsi="黑体" w:eastAsia="仿宋_GB2312"/>
                <w:b/>
                <w:bCs/>
                <w:color w:val="auto"/>
                <w:kern w:val="0"/>
                <w:szCs w:val="21"/>
              </w:rPr>
            </w:pPr>
            <w:r>
              <w:rPr>
                <w:rFonts w:hint="eastAsia" w:ascii="仿宋_GB2312" w:hAnsi="楷体" w:eastAsia="仿宋_GB2312"/>
                <w:b/>
                <w:bCs/>
                <w:color w:val="auto"/>
              </w:rPr>
              <w:t>3.其他</w:t>
            </w:r>
          </w:p>
        </w:tc>
        <w:tc>
          <w:tcPr>
            <w:tcW w:w="829" w:type="dxa"/>
            <w:shd w:val="clear" w:color="auto" w:fill="auto"/>
            <w:tcMar>
              <w:left w:w="108" w:type="dxa"/>
              <w:right w:w="108" w:type="dxa"/>
            </w:tcMar>
            <w:vAlign w:val="center"/>
          </w:tcPr>
          <w:p w14:paraId="2AAD1253">
            <w:pPr>
              <w:widowControl/>
              <w:spacing w:after="180" w:line="200" w:lineRule="exact"/>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14:paraId="1E787402">
            <w:pPr>
              <w:widowControl/>
              <w:spacing w:after="180" w:line="200" w:lineRule="exact"/>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14:paraId="662DCD6C">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31" w:type="dxa"/>
            <w:shd w:val="clear" w:color="auto" w:fill="auto"/>
            <w:tcMar>
              <w:left w:w="108" w:type="dxa"/>
              <w:right w:w="108" w:type="dxa"/>
            </w:tcMar>
            <w:vAlign w:val="center"/>
          </w:tcPr>
          <w:p w14:paraId="4D6DC85E">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08" w:type="dxa"/>
            <w:shd w:val="clear" w:color="auto" w:fill="auto"/>
            <w:tcMar>
              <w:left w:w="108" w:type="dxa"/>
              <w:right w:w="108" w:type="dxa"/>
            </w:tcMar>
            <w:vAlign w:val="center"/>
          </w:tcPr>
          <w:p w14:paraId="4E2711BD">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14:paraId="259C4DF6">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851" w:type="dxa"/>
            <w:shd w:val="clear" w:color="auto" w:fill="auto"/>
            <w:tcMar>
              <w:left w:w="108" w:type="dxa"/>
              <w:right w:w="108" w:type="dxa"/>
            </w:tcMar>
            <w:vAlign w:val="center"/>
          </w:tcPr>
          <w:p w14:paraId="211D8AF4">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r>
      <w:tr w14:paraId="23834B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415E6232">
            <w:pPr>
              <w:rPr>
                <w:rFonts w:ascii="黑体" w:hAnsi="黑体" w:eastAsia="黑体"/>
                <w:b/>
                <w:bCs/>
                <w:color w:val="auto"/>
                <w:szCs w:val="21"/>
              </w:rPr>
            </w:pPr>
          </w:p>
        </w:tc>
        <w:tc>
          <w:tcPr>
            <w:tcW w:w="4677" w:type="dxa"/>
            <w:gridSpan w:val="2"/>
            <w:shd w:val="clear" w:color="auto" w:fill="auto"/>
            <w:tcMar>
              <w:left w:w="108" w:type="dxa"/>
              <w:right w:w="108" w:type="dxa"/>
            </w:tcMar>
            <w:vAlign w:val="center"/>
          </w:tcPr>
          <w:p w14:paraId="2BC7D487">
            <w:pPr>
              <w:widowControl/>
              <w:spacing w:line="300" w:lineRule="exact"/>
              <w:rPr>
                <w:rFonts w:ascii="黑体" w:hAnsi="黑体" w:eastAsia="黑体"/>
                <w:b/>
                <w:bCs/>
                <w:color w:val="auto"/>
                <w:kern w:val="0"/>
                <w:szCs w:val="21"/>
              </w:rPr>
            </w:pPr>
            <w:r>
              <w:rPr>
                <w:rFonts w:hint="eastAsia" w:ascii="黑体" w:hAnsi="黑体" w:eastAsia="黑体"/>
                <w:b/>
                <w:bCs/>
                <w:color w:val="auto"/>
                <w:kern w:val="0"/>
                <w:szCs w:val="21"/>
              </w:rPr>
              <w:t>（七）总计</w:t>
            </w:r>
          </w:p>
        </w:tc>
        <w:tc>
          <w:tcPr>
            <w:tcW w:w="829" w:type="dxa"/>
            <w:shd w:val="clear" w:color="auto" w:fill="auto"/>
            <w:tcMar>
              <w:left w:w="108" w:type="dxa"/>
              <w:right w:w="108" w:type="dxa"/>
            </w:tcMar>
            <w:vAlign w:val="center"/>
          </w:tcPr>
          <w:p w14:paraId="523B4267">
            <w:pPr>
              <w:widowControl/>
              <w:spacing w:after="180" w:line="200" w:lineRule="exact"/>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2</w:t>
            </w:r>
          </w:p>
        </w:tc>
        <w:tc>
          <w:tcPr>
            <w:tcW w:w="567" w:type="dxa"/>
            <w:shd w:val="clear" w:color="auto" w:fill="auto"/>
            <w:tcMar>
              <w:left w:w="108" w:type="dxa"/>
              <w:right w:w="108" w:type="dxa"/>
            </w:tcMar>
            <w:vAlign w:val="center"/>
          </w:tcPr>
          <w:p w14:paraId="4D13418E">
            <w:pPr>
              <w:widowControl/>
              <w:spacing w:after="180" w:line="200" w:lineRule="exact"/>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14:paraId="7C97A2D1">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31" w:type="dxa"/>
            <w:shd w:val="clear" w:color="auto" w:fill="auto"/>
            <w:tcMar>
              <w:left w:w="108" w:type="dxa"/>
              <w:right w:w="108" w:type="dxa"/>
            </w:tcMar>
            <w:vAlign w:val="center"/>
          </w:tcPr>
          <w:p w14:paraId="1999C1E6">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08" w:type="dxa"/>
            <w:shd w:val="clear" w:color="auto" w:fill="auto"/>
            <w:tcMar>
              <w:left w:w="108" w:type="dxa"/>
              <w:right w:w="108" w:type="dxa"/>
            </w:tcMar>
            <w:vAlign w:val="center"/>
          </w:tcPr>
          <w:p w14:paraId="1B1C18B8">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14:paraId="43F34F6F">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851" w:type="dxa"/>
            <w:shd w:val="clear" w:color="auto" w:fill="auto"/>
            <w:tcMar>
              <w:left w:w="108" w:type="dxa"/>
              <w:right w:w="108" w:type="dxa"/>
            </w:tcMar>
            <w:vAlign w:val="center"/>
          </w:tcPr>
          <w:p w14:paraId="32AF11FF">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2</w:t>
            </w:r>
          </w:p>
        </w:tc>
      </w:tr>
      <w:tr w14:paraId="38F51B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14:paraId="1F551F9A">
            <w:pPr>
              <w:widowControl/>
              <w:spacing w:line="300" w:lineRule="exact"/>
              <w:rPr>
                <w:rFonts w:ascii="黑体" w:hAnsi="黑体" w:eastAsia="黑体"/>
                <w:b/>
                <w:bCs/>
                <w:color w:val="auto"/>
                <w:kern w:val="0"/>
                <w:szCs w:val="21"/>
              </w:rPr>
            </w:pPr>
            <w:r>
              <w:rPr>
                <w:rFonts w:hint="eastAsia" w:ascii="黑体" w:hAnsi="黑体" w:eastAsia="黑体"/>
                <w:b/>
                <w:bCs/>
                <w:color w:val="auto"/>
                <w:kern w:val="0"/>
                <w:szCs w:val="21"/>
              </w:rPr>
              <w:t>四、结转下年度继续办理</w:t>
            </w:r>
          </w:p>
        </w:tc>
        <w:tc>
          <w:tcPr>
            <w:tcW w:w="829" w:type="dxa"/>
            <w:shd w:val="clear" w:color="auto" w:fill="auto"/>
            <w:tcMar>
              <w:left w:w="108" w:type="dxa"/>
              <w:right w:w="108" w:type="dxa"/>
            </w:tcMar>
            <w:vAlign w:val="center"/>
          </w:tcPr>
          <w:p w14:paraId="4DE0D8AE">
            <w:pPr>
              <w:widowControl/>
              <w:spacing w:after="180" w:line="200" w:lineRule="exact"/>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14:paraId="160DC828">
            <w:pPr>
              <w:widowControl/>
              <w:spacing w:after="180" w:line="200" w:lineRule="exact"/>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14:paraId="6CD49161">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31" w:type="dxa"/>
            <w:shd w:val="clear" w:color="auto" w:fill="auto"/>
            <w:tcMar>
              <w:left w:w="108" w:type="dxa"/>
              <w:right w:w="108" w:type="dxa"/>
            </w:tcMar>
            <w:vAlign w:val="center"/>
          </w:tcPr>
          <w:p w14:paraId="7CCA3CF0">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08" w:type="dxa"/>
            <w:shd w:val="clear" w:color="auto" w:fill="auto"/>
            <w:tcMar>
              <w:left w:w="108" w:type="dxa"/>
              <w:right w:w="108" w:type="dxa"/>
            </w:tcMar>
            <w:vAlign w:val="center"/>
          </w:tcPr>
          <w:p w14:paraId="2D071AC4">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14:paraId="2401FAF4">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851" w:type="dxa"/>
            <w:shd w:val="clear" w:color="auto" w:fill="auto"/>
            <w:tcMar>
              <w:left w:w="108" w:type="dxa"/>
              <w:right w:w="108" w:type="dxa"/>
            </w:tcMar>
            <w:vAlign w:val="center"/>
          </w:tcPr>
          <w:p w14:paraId="230BE3DA">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r>
    </w:tbl>
    <w:p w14:paraId="3A51D554">
      <w:pPr>
        <w:pStyle w:val="2"/>
        <w:keepNext w:val="0"/>
        <w:keepLines w:val="0"/>
        <w:widowControl/>
        <w:numPr>
          <w:ilvl w:val="0"/>
          <w:numId w:val="0"/>
        </w:numPr>
        <w:suppressLineNumbers w:val="0"/>
        <w:spacing w:after="75" w:afterAutospacing="0" w:line="315" w:lineRule="atLeast"/>
        <w:ind w:left="0" w:leftChars="0" w:right="0" w:rightChars="0" w:firstLine="420" w:firstLineChars="0"/>
        <w:rPr>
          <w:rFonts w:hint="eastAsia" w:ascii="方正黑体简体" w:hAnsi="方正黑体简体" w:eastAsia="方正黑体简体" w:cs="方正黑体简体"/>
          <w:color w:val="auto"/>
          <w:sz w:val="32"/>
          <w:szCs w:val="32"/>
        </w:rPr>
      </w:pPr>
      <w:r>
        <w:rPr>
          <w:rFonts w:hint="eastAsia" w:ascii="方正黑体简体" w:hAnsi="方正黑体简体" w:eastAsia="方正黑体简体" w:cs="方正黑体简体"/>
          <w:color w:val="auto"/>
          <w:kern w:val="0"/>
          <w:sz w:val="32"/>
          <w:szCs w:val="32"/>
          <w:lang w:val="en-US" w:eastAsia="zh-CN" w:bidi="ar"/>
        </w:rPr>
        <w:t>四、</w:t>
      </w:r>
      <w:r>
        <w:rPr>
          <w:rFonts w:hint="eastAsia" w:ascii="方正黑体简体" w:hAnsi="方正黑体简体" w:eastAsia="方正黑体简体" w:cs="方正黑体简体"/>
          <w:color w:val="auto"/>
          <w:sz w:val="32"/>
          <w:szCs w:val="32"/>
        </w:rPr>
        <w:t>政府信息公开行政复议、行政诉讼情况</w:t>
      </w: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36B3B80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C4B5D68">
            <w:pPr>
              <w:widowControl/>
              <w:jc w:val="center"/>
              <w:rPr>
                <w:rFonts w:ascii="黑体" w:hAnsi="黑体" w:eastAsia="黑体"/>
                <w:b/>
                <w:bCs/>
                <w:color w:val="auto"/>
              </w:rPr>
            </w:pPr>
            <w:r>
              <w:rPr>
                <w:rFonts w:ascii="黑体" w:hAnsi="黑体" w:eastAsia="黑体"/>
                <w:b/>
                <w:bCs/>
                <w:color w:val="auto"/>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33034B2">
            <w:pPr>
              <w:widowControl/>
              <w:jc w:val="center"/>
              <w:rPr>
                <w:rFonts w:ascii="黑体" w:hAnsi="黑体" w:eastAsia="黑体"/>
                <w:b/>
                <w:bCs/>
                <w:color w:val="auto"/>
              </w:rPr>
            </w:pPr>
            <w:r>
              <w:rPr>
                <w:rFonts w:ascii="黑体" w:hAnsi="黑体" w:eastAsia="黑体"/>
                <w:b/>
                <w:bCs/>
                <w:color w:val="auto"/>
                <w:kern w:val="0"/>
                <w:sz w:val="20"/>
                <w:szCs w:val="20"/>
              </w:rPr>
              <w:t>行政诉讼</w:t>
            </w:r>
          </w:p>
        </w:tc>
      </w:tr>
      <w:tr w14:paraId="5B66BF1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28E4040">
            <w:pPr>
              <w:widowControl/>
              <w:ind w:left="-149" w:leftChars="-71" w:right="-170" w:rightChars="-81"/>
              <w:jc w:val="center"/>
              <w:rPr>
                <w:rFonts w:ascii="黑体" w:hAnsi="黑体" w:eastAsia="黑体"/>
                <w:b/>
                <w:bCs/>
                <w:color w:val="auto"/>
                <w:kern w:val="0"/>
                <w:sz w:val="20"/>
                <w:szCs w:val="20"/>
              </w:rPr>
            </w:pPr>
            <w:r>
              <w:rPr>
                <w:rFonts w:ascii="黑体" w:hAnsi="黑体" w:eastAsia="黑体"/>
                <w:b/>
                <w:bCs/>
                <w:color w:val="auto"/>
                <w:kern w:val="0"/>
                <w:sz w:val="20"/>
                <w:szCs w:val="20"/>
              </w:rPr>
              <w:t>结果</w:t>
            </w:r>
          </w:p>
          <w:p w14:paraId="0956AEBE">
            <w:pPr>
              <w:widowControl/>
              <w:ind w:left="-149" w:leftChars="-71" w:right="-170" w:rightChars="-81"/>
              <w:jc w:val="center"/>
              <w:rPr>
                <w:rFonts w:ascii="黑体" w:hAnsi="黑体" w:eastAsia="黑体"/>
                <w:b/>
                <w:bCs/>
                <w:color w:val="auto"/>
              </w:rPr>
            </w:pPr>
            <w:r>
              <w:rPr>
                <w:rFonts w:ascii="黑体" w:hAnsi="黑体" w:eastAsia="黑体"/>
                <w:b/>
                <w:bCs/>
                <w:color w:val="auto"/>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4A0B7258">
            <w:pPr>
              <w:widowControl/>
              <w:ind w:left="-43" w:leftChars="-21" w:right="-132" w:rightChars="-63" w:hanging="1"/>
              <w:jc w:val="center"/>
              <w:rPr>
                <w:rFonts w:ascii="黑体" w:hAnsi="黑体" w:eastAsia="黑体"/>
                <w:b/>
                <w:bCs/>
                <w:color w:val="auto"/>
              </w:rPr>
            </w:pPr>
            <w:r>
              <w:rPr>
                <w:rFonts w:ascii="黑体" w:hAnsi="黑体" w:eastAsia="黑体"/>
                <w:b/>
                <w:bCs/>
                <w:color w:val="auto"/>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8991692">
            <w:pPr>
              <w:widowControl/>
              <w:ind w:left="-82" w:leftChars="-39" w:right="-97" w:rightChars="-46"/>
              <w:jc w:val="center"/>
              <w:rPr>
                <w:rFonts w:ascii="黑体" w:hAnsi="黑体" w:eastAsia="黑体"/>
                <w:b/>
                <w:bCs/>
                <w:color w:val="auto"/>
              </w:rPr>
            </w:pPr>
            <w:r>
              <w:rPr>
                <w:rFonts w:ascii="黑体" w:hAnsi="黑体" w:eastAsia="黑体"/>
                <w:b/>
                <w:bCs/>
                <w:color w:val="auto"/>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21A9D13">
            <w:pPr>
              <w:widowControl/>
              <w:ind w:left="-118" w:leftChars="-56" w:right="-118" w:rightChars="-56"/>
              <w:jc w:val="center"/>
              <w:rPr>
                <w:rFonts w:ascii="黑体" w:hAnsi="黑体" w:eastAsia="黑体"/>
                <w:b/>
                <w:bCs/>
                <w:color w:val="auto"/>
                <w:kern w:val="0"/>
                <w:sz w:val="20"/>
                <w:szCs w:val="20"/>
              </w:rPr>
            </w:pPr>
            <w:r>
              <w:rPr>
                <w:rFonts w:ascii="黑体" w:hAnsi="黑体" w:eastAsia="黑体"/>
                <w:b/>
                <w:bCs/>
                <w:color w:val="auto"/>
                <w:kern w:val="0"/>
                <w:sz w:val="20"/>
                <w:szCs w:val="20"/>
              </w:rPr>
              <w:t>尚未</w:t>
            </w:r>
          </w:p>
          <w:p w14:paraId="673A1FC5">
            <w:pPr>
              <w:widowControl/>
              <w:ind w:left="-118" w:leftChars="-56" w:right="-118" w:rightChars="-56"/>
              <w:jc w:val="center"/>
              <w:rPr>
                <w:rFonts w:ascii="黑体" w:hAnsi="黑体" w:eastAsia="黑体"/>
                <w:b/>
                <w:bCs/>
                <w:color w:val="auto"/>
              </w:rPr>
            </w:pPr>
            <w:r>
              <w:rPr>
                <w:rFonts w:ascii="黑体" w:hAnsi="黑体" w:eastAsia="黑体"/>
                <w:b/>
                <w:bCs/>
                <w:color w:val="auto"/>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6135BF9">
            <w:pPr>
              <w:widowControl/>
              <w:spacing w:line="320" w:lineRule="exact"/>
              <w:jc w:val="center"/>
              <w:rPr>
                <w:rFonts w:ascii="黑体" w:hAnsi="黑体" w:eastAsia="黑体"/>
                <w:b/>
                <w:bCs/>
                <w:color w:val="auto"/>
                <w:kern w:val="0"/>
                <w:sz w:val="20"/>
                <w:szCs w:val="20"/>
              </w:rPr>
            </w:pPr>
            <w:r>
              <w:rPr>
                <w:rFonts w:ascii="黑体" w:hAnsi="黑体" w:eastAsia="黑体"/>
                <w:b/>
                <w:bCs/>
                <w:color w:val="auto"/>
                <w:kern w:val="0"/>
                <w:sz w:val="20"/>
                <w:szCs w:val="20"/>
              </w:rPr>
              <w:t>总</w:t>
            </w:r>
          </w:p>
          <w:p w14:paraId="7FE32F7C">
            <w:pPr>
              <w:widowControl/>
              <w:spacing w:line="320" w:lineRule="exact"/>
              <w:jc w:val="center"/>
              <w:rPr>
                <w:rFonts w:ascii="黑体" w:hAnsi="黑体" w:eastAsia="黑体"/>
                <w:b/>
                <w:bCs/>
                <w:color w:val="auto"/>
              </w:rPr>
            </w:pPr>
            <w:r>
              <w:rPr>
                <w:rFonts w:ascii="黑体" w:hAnsi="黑体" w:eastAsia="黑体"/>
                <w:b/>
                <w:bCs/>
                <w:color w:val="auto"/>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9B5EA5A">
            <w:pPr>
              <w:widowControl/>
              <w:jc w:val="center"/>
              <w:rPr>
                <w:rFonts w:ascii="黑体" w:hAnsi="黑体" w:eastAsia="黑体"/>
                <w:b/>
                <w:bCs/>
                <w:color w:val="auto"/>
              </w:rPr>
            </w:pPr>
            <w:r>
              <w:rPr>
                <w:rFonts w:ascii="黑体" w:hAnsi="黑体" w:eastAsia="黑体"/>
                <w:b/>
                <w:bCs/>
                <w:color w:val="auto"/>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335B9CA">
            <w:pPr>
              <w:widowControl/>
              <w:jc w:val="center"/>
              <w:rPr>
                <w:rFonts w:ascii="黑体" w:hAnsi="黑体" w:eastAsia="黑体"/>
                <w:b/>
                <w:bCs/>
                <w:color w:val="auto"/>
              </w:rPr>
            </w:pPr>
            <w:bookmarkStart w:id="9" w:name="_Hlk67039688"/>
            <w:r>
              <w:rPr>
                <w:rFonts w:ascii="黑体" w:hAnsi="黑体" w:eastAsia="黑体"/>
                <w:b/>
                <w:bCs/>
                <w:color w:val="auto"/>
                <w:kern w:val="0"/>
                <w:sz w:val="20"/>
                <w:szCs w:val="20"/>
              </w:rPr>
              <w:t>复议后起诉</w:t>
            </w:r>
            <w:bookmarkEnd w:id="9"/>
          </w:p>
        </w:tc>
      </w:tr>
      <w:tr w14:paraId="2E9250D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85259F8">
            <w:pPr>
              <w:rPr>
                <w:rFonts w:ascii="黑体" w:hAnsi="黑体" w:eastAsia="黑体"/>
                <w:b/>
                <w:bCs/>
                <w:color w:val="auto"/>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0AA88DBB">
            <w:pPr>
              <w:rPr>
                <w:rFonts w:ascii="黑体" w:hAnsi="黑体" w:eastAsia="黑体"/>
                <w:b/>
                <w:bCs/>
                <w:color w:val="auto"/>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0062E77">
            <w:pPr>
              <w:rPr>
                <w:rFonts w:ascii="黑体" w:hAnsi="黑体" w:eastAsia="黑体"/>
                <w:b/>
                <w:bCs/>
                <w:color w:val="auto"/>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98AD104">
            <w:pPr>
              <w:rPr>
                <w:rFonts w:ascii="黑体" w:hAnsi="黑体" w:eastAsia="黑体"/>
                <w:b/>
                <w:bCs/>
                <w:color w:val="auto"/>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58BE86C">
            <w:pPr>
              <w:rPr>
                <w:rFonts w:ascii="黑体" w:hAnsi="黑体" w:eastAsia="黑体"/>
                <w:b/>
                <w:bCs/>
                <w:color w:val="auto"/>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0F92F9F4">
            <w:pPr>
              <w:widowControl/>
              <w:ind w:left="-105" w:leftChars="-50" w:right="-126" w:rightChars="-60"/>
              <w:jc w:val="center"/>
              <w:rPr>
                <w:rFonts w:ascii="黑体" w:hAnsi="黑体" w:eastAsia="黑体"/>
                <w:b/>
                <w:bCs/>
                <w:color w:val="auto"/>
              </w:rPr>
            </w:pPr>
            <w:r>
              <w:rPr>
                <w:rFonts w:ascii="黑体" w:hAnsi="黑体" w:eastAsia="黑体"/>
                <w:b/>
                <w:bCs/>
                <w:color w:val="auto"/>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5296A40">
            <w:pPr>
              <w:widowControl/>
              <w:ind w:left="-86" w:leftChars="-41" w:right="-88" w:rightChars="-42"/>
              <w:jc w:val="center"/>
              <w:rPr>
                <w:rFonts w:ascii="黑体" w:hAnsi="黑体" w:eastAsia="黑体"/>
                <w:b/>
                <w:bCs/>
                <w:color w:val="auto"/>
              </w:rPr>
            </w:pPr>
            <w:r>
              <w:rPr>
                <w:rFonts w:ascii="黑体" w:hAnsi="黑体" w:eastAsia="黑体"/>
                <w:b/>
                <w:bCs/>
                <w:color w:val="auto"/>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8F965E5">
            <w:pPr>
              <w:widowControl/>
              <w:ind w:left="-126" w:leftChars="-60" w:right="-136" w:rightChars="-65"/>
              <w:jc w:val="center"/>
              <w:rPr>
                <w:rFonts w:ascii="黑体" w:hAnsi="黑体" w:eastAsia="黑体"/>
                <w:b/>
                <w:bCs/>
                <w:color w:val="auto"/>
                <w:kern w:val="0"/>
                <w:sz w:val="20"/>
                <w:szCs w:val="20"/>
              </w:rPr>
            </w:pPr>
            <w:r>
              <w:rPr>
                <w:rFonts w:ascii="黑体" w:hAnsi="黑体" w:eastAsia="黑体"/>
                <w:b/>
                <w:bCs/>
                <w:color w:val="auto"/>
                <w:kern w:val="0"/>
                <w:sz w:val="20"/>
                <w:szCs w:val="20"/>
              </w:rPr>
              <w:t>其他</w:t>
            </w:r>
          </w:p>
          <w:p w14:paraId="3AECF6E4">
            <w:pPr>
              <w:widowControl/>
              <w:ind w:left="-126" w:leftChars="-60" w:right="-136" w:rightChars="-65"/>
              <w:jc w:val="center"/>
              <w:rPr>
                <w:rFonts w:ascii="黑体" w:hAnsi="黑体" w:eastAsia="黑体"/>
                <w:b/>
                <w:bCs/>
                <w:color w:val="auto"/>
              </w:rPr>
            </w:pPr>
            <w:r>
              <w:rPr>
                <w:rFonts w:ascii="黑体" w:hAnsi="黑体" w:eastAsia="黑体"/>
                <w:b/>
                <w:bCs/>
                <w:color w:val="auto"/>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BEDB508">
            <w:pPr>
              <w:widowControl/>
              <w:ind w:left="-164" w:leftChars="-78" w:right="-153" w:rightChars="-73"/>
              <w:jc w:val="center"/>
              <w:rPr>
                <w:rFonts w:ascii="黑体" w:hAnsi="黑体" w:eastAsia="黑体"/>
                <w:b/>
                <w:bCs/>
                <w:color w:val="auto"/>
                <w:kern w:val="0"/>
                <w:sz w:val="20"/>
                <w:szCs w:val="20"/>
              </w:rPr>
            </w:pPr>
            <w:r>
              <w:rPr>
                <w:rFonts w:ascii="黑体" w:hAnsi="黑体" w:eastAsia="黑体"/>
                <w:b/>
                <w:bCs/>
                <w:color w:val="auto"/>
                <w:kern w:val="0"/>
                <w:sz w:val="20"/>
                <w:szCs w:val="20"/>
              </w:rPr>
              <w:t>尚未</w:t>
            </w:r>
          </w:p>
          <w:p w14:paraId="44B3BF52">
            <w:pPr>
              <w:widowControl/>
              <w:ind w:left="-164" w:leftChars="-78" w:right="-153" w:rightChars="-73"/>
              <w:jc w:val="center"/>
              <w:rPr>
                <w:rFonts w:ascii="黑体" w:hAnsi="黑体" w:eastAsia="黑体"/>
                <w:b/>
                <w:bCs/>
                <w:color w:val="auto"/>
              </w:rPr>
            </w:pPr>
            <w:r>
              <w:rPr>
                <w:rFonts w:ascii="黑体" w:hAnsi="黑体" w:eastAsia="黑体"/>
                <w:b/>
                <w:bCs/>
                <w:color w:val="auto"/>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18FBFD3">
            <w:pPr>
              <w:widowControl/>
              <w:jc w:val="center"/>
              <w:rPr>
                <w:rFonts w:ascii="黑体" w:hAnsi="黑体" w:eastAsia="黑体"/>
                <w:b/>
                <w:bCs/>
                <w:color w:val="auto"/>
              </w:rPr>
            </w:pPr>
            <w:r>
              <w:rPr>
                <w:rFonts w:ascii="黑体" w:hAnsi="黑体" w:eastAsia="黑体"/>
                <w:b/>
                <w:bCs/>
                <w:color w:val="auto"/>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5CF8CE1">
            <w:pPr>
              <w:widowControl/>
              <w:ind w:left="-99" w:leftChars="-47" w:right="-78" w:rightChars="-37"/>
              <w:jc w:val="center"/>
              <w:rPr>
                <w:rFonts w:ascii="黑体" w:hAnsi="黑体" w:eastAsia="黑体"/>
                <w:b/>
                <w:bCs/>
                <w:color w:val="auto"/>
              </w:rPr>
            </w:pPr>
            <w:r>
              <w:rPr>
                <w:rFonts w:ascii="黑体" w:hAnsi="黑体" w:eastAsia="黑体"/>
                <w:b/>
                <w:bCs/>
                <w:color w:val="auto"/>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D84C2BA">
            <w:pPr>
              <w:widowControl/>
              <w:ind w:left="-136" w:leftChars="-65" w:right="-124" w:rightChars="-59"/>
              <w:jc w:val="center"/>
              <w:rPr>
                <w:rFonts w:ascii="黑体" w:hAnsi="黑体" w:eastAsia="黑体"/>
                <w:b/>
                <w:bCs/>
                <w:color w:val="auto"/>
                <w:kern w:val="0"/>
                <w:sz w:val="20"/>
                <w:szCs w:val="20"/>
              </w:rPr>
            </w:pPr>
            <w:r>
              <w:rPr>
                <w:rFonts w:ascii="黑体" w:hAnsi="黑体" w:eastAsia="黑体"/>
                <w:b/>
                <w:bCs/>
                <w:color w:val="auto"/>
                <w:kern w:val="0"/>
                <w:sz w:val="20"/>
                <w:szCs w:val="20"/>
              </w:rPr>
              <w:t>结果</w:t>
            </w:r>
          </w:p>
          <w:p w14:paraId="1180887D">
            <w:pPr>
              <w:widowControl/>
              <w:ind w:left="-136" w:leftChars="-65" w:right="-124" w:rightChars="-59"/>
              <w:jc w:val="center"/>
              <w:rPr>
                <w:rFonts w:ascii="黑体" w:hAnsi="黑体" w:eastAsia="黑体"/>
                <w:b/>
                <w:bCs/>
                <w:color w:val="auto"/>
              </w:rPr>
            </w:pPr>
            <w:r>
              <w:rPr>
                <w:rFonts w:ascii="黑体" w:hAnsi="黑体" w:eastAsia="黑体"/>
                <w:b/>
                <w:bCs/>
                <w:color w:val="auto"/>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5FB8AD4">
            <w:pPr>
              <w:widowControl/>
              <w:ind w:left="-173" w:leftChars="-83" w:right="-134" w:rightChars="-64" w:hanging="1"/>
              <w:jc w:val="center"/>
              <w:rPr>
                <w:rFonts w:ascii="黑体" w:hAnsi="黑体" w:eastAsia="黑体"/>
                <w:b/>
                <w:bCs/>
                <w:color w:val="auto"/>
                <w:kern w:val="0"/>
                <w:sz w:val="20"/>
                <w:szCs w:val="20"/>
              </w:rPr>
            </w:pPr>
            <w:r>
              <w:rPr>
                <w:rFonts w:ascii="黑体" w:hAnsi="黑体" w:eastAsia="黑体"/>
                <w:b/>
                <w:bCs/>
                <w:color w:val="auto"/>
                <w:kern w:val="0"/>
                <w:sz w:val="20"/>
                <w:szCs w:val="20"/>
              </w:rPr>
              <w:t>其他</w:t>
            </w:r>
          </w:p>
          <w:p w14:paraId="5D3CF434">
            <w:pPr>
              <w:widowControl/>
              <w:ind w:left="-173" w:leftChars="-83" w:right="-134" w:rightChars="-64" w:hanging="1"/>
              <w:jc w:val="center"/>
              <w:rPr>
                <w:rFonts w:ascii="黑体" w:hAnsi="黑体" w:eastAsia="黑体"/>
                <w:b/>
                <w:bCs/>
                <w:color w:val="auto"/>
              </w:rPr>
            </w:pPr>
            <w:r>
              <w:rPr>
                <w:rFonts w:ascii="黑体" w:hAnsi="黑体" w:eastAsia="黑体"/>
                <w:b/>
                <w:bCs/>
                <w:color w:val="auto"/>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1DF6697">
            <w:pPr>
              <w:widowControl/>
              <w:ind w:left="-67" w:leftChars="-33" w:right="-105" w:rightChars="-50" w:hanging="2" w:hangingChars="1"/>
              <w:jc w:val="center"/>
              <w:rPr>
                <w:rFonts w:ascii="黑体" w:hAnsi="黑体" w:eastAsia="黑体"/>
                <w:b/>
                <w:bCs/>
                <w:color w:val="auto"/>
              </w:rPr>
            </w:pPr>
            <w:r>
              <w:rPr>
                <w:rFonts w:ascii="黑体" w:hAnsi="黑体" w:eastAsia="黑体"/>
                <w:b/>
                <w:bCs/>
                <w:color w:val="auto"/>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64ED806">
            <w:pPr>
              <w:widowControl/>
              <w:jc w:val="center"/>
              <w:rPr>
                <w:rFonts w:ascii="黑体" w:hAnsi="黑体" w:eastAsia="黑体"/>
                <w:b/>
                <w:bCs/>
                <w:color w:val="auto"/>
              </w:rPr>
            </w:pPr>
            <w:r>
              <w:rPr>
                <w:rFonts w:ascii="黑体" w:hAnsi="黑体" w:eastAsia="黑体"/>
                <w:b/>
                <w:bCs/>
                <w:color w:val="auto"/>
                <w:kern w:val="0"/>
                <w:sz w:val="20"/>
                <w:szCs w:val="20"/>
              </w:rPr>
              <w:t>总计</w:t>
            </w:r>
          </w:p>
        </w:tc>
      </w:tr>
      <w:tr w14:paraId="2965E49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DE6D7FA">
            <w:pPr>
              <w:widowControl/>
              <w:spacing w:after="180"/>
              <w:jc w:val="center"/>
              <w:rPr>
                <w:rFonts w:hint="eastAsia" w:ascii="Times New Roman" w:hAnsi="Times New Roman" w:eastAsiaTheme="minorEastAsia"/>
                <w:b/>
                <w:bCs/>
                <w:color w:val="auto"/>
                <w:lang w:val="en-US" w:eastAsia="zh-CN"/>
              </w:rPr>
            </w:pPr>
            <w:r>
              <w:rPr>
                <w:rFonts w:hint="eastAsia" w:ascii="Times New Roman" w:hAnsi="Times New Roman"/>
                <w:b/>
                <w:bCs/>
                <w:color w:val="auto"/>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62E00950">
            <w:pPr>
              <w:widowControl/>
              <w:spacing w:after="180"/>
              <w:jc w:val="center"/>
              <w:rPr>
                <w:rFonts w:hint="eastAsia" w:ascii="Times New Roman" w:hAnsi="Times New Roman" w:eastAsiaTheme="minorEastAsia"/>
                <w:b/>
                <w:bCs/>
                <w:color w:val="auto"/>
                <w:lang w:val="en-US" w:eastAsia="zh-CN"/>
              </w:rPr>
            </w:pPr>
            <w:r>
              <w:rPr>
                <w:rFonts w:hint="eastAsia" w:ascii="Times New Roman" w:hAnsi="Times New Roman"/>
                <w:b/>
                <w:bCs/>
                <w:color w:val="auto"/>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1ACFABC2">
            <w:pPr>
              <w:widowControl/>
              <w:spacing w:after="180"/>
              <w:jc w:val="center"/>
              <w:rPr>
                <w:rFonts w:hint="eastAsia" w:ascii="Times New Roman" w:hAnsi="Times New Roman" w:eastAsiaTheme="minorEastAsia"/>
                <w:b/>
                <w:bCs/>
                <w:color w:val="auto"/>
                <w:lang w:val="en-US" w:eastAsia="zh-CN"/>
              </w:rPr>
            </w:pPr>
            <w:r>
              <w:rPr>
                <w:rFonts w:hint="eastAsia" w:ascii="Times New Roman" w:hAnsi="Times New Roman"/>
                <w:b/>
                <w:bCs/>
                <w:color w:val="auto"/>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10C40944">
            <w:pPr>
              <w:widowControl/>
              <w:spacing w:after="180"/>
              <w:jc w:val="center"/>
              <w:rPr>
                <w:rFonts w:hint="eastAsia" w:ascii="Times New Roman" w:hAnsi="Times New Roman" w:eastAsiaTheme="minorEastAsia"/>
                <w:b/>
                <w:bCs/>
                <w:color w:val="auto"/>
                <w:lang w:val="en-US" w:eastAsia="zh-CN"/>
              </w:rPr>
            </w:pPr>
            <w:r>
              <w:rPr>
                <w:rFonts w:hint="eastAsia" w:ascii="Times New Roman" w:hAnsi="Times New Roman"/>
                <w:b/>
                <w:bCs/>
                <w:color w:val="auto"/>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16922D26">
            <w:pPr>
              <w:widowControl/>
              <w:spacing w:after="180"/>
              <w:jc w:val="center"/>
              <w:rPr>
                <w:rFonts w:hint="eastAsia" w:ascii="Times New Roman" w:hAnsi="Times New Roman" w:eastAsiaTheme="minorEastAsia"/>
                <w:b/>
                <w:bCs/>
                <w:color w:val="auto"/>
                <w:lang w:val="en-US" w:eastAsia="zh-CN"/>
              </w:rPr>
            </w:pPr>
            <w:r>
              <w:rPr>
                <w:rFonts w:hint="eastAsia" w:ascii="Times New Roman" w:hAnsi="Times New Roman"/>
                <w:b/>
                <w:bCs/>
                <w:color w:val="auto"/>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7B2F0970">
            <w:pPr>
              <w:widowControl/>
              <w:spacing w:after="180"/>
              <w:jc w:val="center"/>
              <w:rPr>
                <w:rFonts w:hint="eastAsia" w:ascii="Times New Roman" w:hAnsi="Times New Roman" w:eastAsiaTheme="minorEastAsia"/>
                <w:b/>
                <w:bCs/>
                <w:color w:val="auto"/>
                <w:lang w:val="en-US" w:eastAsia="zh-CN"/>
              </w:rPr>
            </w:pPr>
            <w:r>
              <w:rPr>
                <w:rFonts w:hint="eastAsia" w:ascii="Times New Roman" w:hAnsi="Times New Roman"/>
                <w:b/>
                <w:bCs/>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597C75E">
            <w:pPr>
              <w:widowControl/>
              <w:spacing w:after="180"/>
              <w:jc w:val="center"/>
              <w:rPr>
                <w:rFonts w:hint="eastAsia" w:ascii="Times New Roman" w:hAnsi="Times New Roman" w:eastAsiaTheme="minorEastAsia"/>
                <w:b/>
                <w:bCs/>
                <w:color w:val="auto"/>
                <w:lang w:val="en-US" w:eastAsia="zh-CN"/>
              </w:rPr>
            </w:pPr>
            <w:r>
              <w:rPr>
                <w:rFonts w:hint="eastAsia" w:ascii="Times New Roman" w:hAnsi="Times New Roman"/>
                <w:b/>
                <w:bCs/>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BFA87EB">
            <w:pPr>
              <w:widowControl/>
              <w:spacing w:after="180"/>
              <w:jc w:val="center"/>
              <w:rPr>
                <w:rFonts w:hint="eastAsia" w:ascii="Times New Roman" w:hAnsi="Times New Roman" w:eastAsiaTheme="minorEastAsia"/>
                <w:b/>
                <w:bCs/>
                <w:color w:val="auto"/>
                <w:lang w:val="en-US" w:eastAsia="zh-CN"/>
              </w:rPr>
            </w:pPr>
            <w:r>
              <w:rPr>
                <w:rFonts w:hint="eastAsia" w:ascii="Times New Roman" w:hAnsi="Times New Roman"/>
                <w:b/>
                <w:bCs/>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7EFEEFD0">
            <w:pPr>
              <w:widowControl/>
              <w:spacing w:after="180"/>
              <w:jc w:val="center"/>
              <w:rPr>
                <w:rFonts w:hint="eastAsia" w:ascii="Times New Roman" w:hAnsi="Times New Roman" w:eastAsiaTheme="minorEastAsia"/>
                <w:b/>
                <w:bCs/>
                <w:color w:val="auto"/>
                <w:lang w:val="en-US" w:eastAsia="zh-CN"/>
              </w:rPr>
            </w:pPr>
            <w:r>
              <w:rPr>
                <w:rFonts w:hint="eastAsia" w:ascii="Times New Roman" w:hAnsi="Times New Roman"/>
                <w:b/>
                <w:bCs/>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73F574B">
            <w:pPr>
              <w:widowControl/>
              <w:spacing w:after="180"/>
              <w:jc w:val="center"/>
              <w:rPr>
                <w:rFonts w:hint="eastAsia" w:ascii="Times New Roman" w:hAnsi="Times New Roman" w:eastAsiaTheme="minorEastAsia"/>
                <w:b/>
                <w:bCs/>
                <w:color w:val="auto"/>
                <w:lang w:val="en-US" w:eastAsia="zh-CN"/>
              </w:rPr>
            </w:pPr>
            <w:r>
              <w:rPr>
                <w:rFonts w:hint="eastAsia" w:ascii="Times New Roman" w:hAnsi="Times New Roman"/>
                <w:b/>
                <w:bCs/>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85085AA">
            <w:pPr>
              <w:widowControl/>
              <w:spacing w:after="180"/>
              <w:jc w:val="center"/>
              <w:rPr>
                <w:rFonts w:hint="eastAsia" w:ascii="Times New Roman" w:hAnsi="Times New Roman" w:eastAsiaTheme="minorEastAsia"/>
                <w:b/>
                <w:bCs/>
                <w:color w:val="auto"/>
                <w:lang w:val="en-US" w:eastAsia="zh-CN"/>
              </w:rPr>
            </w:pPr>
            <w:r>
              <w:rPr>
                <w:rFonts w:hint="eastAsia" w:ascii="Times New Roman" w:hAnsi="Times New Roman"/>
                <w:b/>
                <w:bCs/>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6814944">
            <w:pPr>
              <w:widowControl/>
              <w:spacing w:after="180"/>
              <w:jc w:val="center"/>
              <w:rPr>
                <w:rFonts w:hint="eastAsia" w:ascii="Times New Roman" w:hAnsi="Times New Roman" w:eastAsiaTheme="minorEastAsia"/>
                <w:b/>
                <w:bCs/>
                <w:color w:val="auto"/>
                <w:lang w:val="en-US" w:eastAsia="zh-CN"/>
              </w:rPr>
            </w:pPr>
            <w:r>
              <w:rPr>
                <w:rFonts w:hint="eastAsia" w:ascii="Times New Roman" w:hAnsi="Times New Roman"/>
                <w:b/>
                <w:bCs/>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7E668B8B">
            <w:pPr>
              <w:widowControl/>
              <w:spacing w:after="180"/>
              <w:jc w:val="center"/>
              <w:rPr>
                <w:rFonts w:hint="eastAsia" w:ascii="Times New Roman" w:hAnsi="Times New Roman" w:eastAsiaTheme="minorEastAsia"/>
                <w:b/>
                <w:bCs/>
                <w:color w:val="auto"/>
                <w:lang w:val="en-US" w:eastAsia="zh-CN"/>
              </w:rPr>
            </w:pPr>
            <w:r>
              <w:rPr>
                <w:rFonts w:hint="eastAsia" w:ascii="Times New Roman" w:hAnsi="Times New Roman"/>
                <w:b/>
                <w:bCs/>
                <w:color w:val="auto"/>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1E9C1435">
            <w:pPr>
              <w:widowControl/>
              <w:spacing w:after="180"/>
              <w:jc w:val="center"/>
              <w:rPr>
                <w:rFonts w:hint="eastAsia" w:ascii="Times New Roman" w:hAnsi="Times New Roman" w:eastAsiaTheme="minorEastAsia"/>
                <w:b/>
                <w:bCs/>
                <w:color w:val="auto"/>
                <w:lang w:val="en-US" w:eastAsia="zh-CN"/>
              </w:rPr>
            </w:pPr>
            <w:r>
              <w:rPr>
                <w:rFonts w:hint="eastAsia" w:ascii="Times New Roman" w:hAnsi="Times New Roman"/>
                <w:b/>
                <w:bCs/>
                <w:color w:val="auto"/>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70569950">
            <w:pPr>
              <w:widowControl/>
              <w:spacing w:after="180"/>
              <w:jc w:val="center"/>
              <w:rPr>
                <w:rFonts w:hint="eastAsia" w:ascii="Times New Roman" w:hAnsi="Times New Roman" w:eastAsiaTheme="minorEastAsia"/>
                <w:b/>
                <w:bCs/>
                <w:color w:val="auto"/>
                <w:lang w:val="en-US" w:eastAsia="zh-CN"/>
              </w:rPr>
            </w:pPr>
            <w:r>
              <w:rPr>
                <w:rFonts w:hint="eastAsia" w:ascii="Times New Roman" w:hAnsi="Times New Roman"/>
                <w:b/>
                <w:bCs/>
                <w:color w:val="auto"/>
                <w:lang w:val="en-US" w:eastAsia="zh-CN"/>
              </w:rPr>
              <w:t>0</w:t>
            </w:r>
          </w:p>
        </w:tc>
      </w:tr>
    </w:tbl>
    <w:p w14:paraId="7927E040">
      <w:pPr>
        <w:pStyle w:val="2"/>
        <w:keepNext w:val="0"/>
        <w:keepLines w:val="0"/>
        <w:widowControl/>
        <w:numPr>
          <w:ilvl w:val="0"/>
          <w:numId w:val="0"/>
        </w:numPr>
        <w:suppressLineNumbers w:val="0"/>
        <w:spacing w:after="75" w:afterAutospacing="0" w:line="315" w:lineRule="atLeast"/>
        <w:ind w:right="0" w:rightChars="0" w:firstLine="640" w:firstLineChars="200"/>
        <w:rPr>
          <w:rFonts w:hint="eastAsia" w:ascii="方正黑体简体" w:hAnsi="方正黑体简体" w:eastAsia="方正黑体简体" w:cs="方正黑体简体"/>
          <w:color w:val="auto"/>
          <w:kern w:val="0"/>
          <w:sz w:val="32"/>
          <w:szCs w:val="32"/>
          <w:lang w:val="en-US" w:eastAsia="zh-CN" w:bidi="ar"/>
        </w:rPr>
      </w:pPr>
      <w:r>
        <w:rPr>
          <w:rFonts w:hint="eastAsia" w:ascii="方正黑体简体" w:hAnsi="方正黑体简体" w:eastAsia="方正黑体简体" w:cs="方正黑体简体"/>
          <w:color w:val="auto"/>
          <w:kern w:val="0"/>
          <w:sz w:val="32"/>
          <w:szCs w:val="32"/>
          <w:lang w:val="en-US" w:eastAsia="zh-CN" w:bidi="ar"/>
        </w:rPr>
        <w:t>五、存在的主要问题及改进情况</w:t>
      </w:r>
    </w:p>
    <w:p w14:paraId="0B7C4C8A">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0" w:lineRule="atLeast"/>
        <w:ind w:left="0" w:firstLine="643" w:firstLineChars="200"/>
        <w:jc w:val="both"/>
        <w:textAlignment w:val="auto"/>
        <w:rPr>
          <w:rFonts w:hint="eastAsia"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2024年，我局政务公开工作取得了一些成绩，但离上级要求和群众期待，还存在短板和不足。一是信息主动公开数量不多，群众关心的医疗政策、公共卫生、健康科普等方面的信息公开力度与群众的期待还有一定差距；二是政府信息公开的时效性不足，政策解读形式单一，政府信息公开质量有待进一步提高，信息公开内容与社会各界的需求相比还有一定差距。三是对下属医疗卫生单位业务培训力度还不够大。</w:t>
      </w:r>
    </w:p>
    <w:p w14:paraId="2490C9E7">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0" w:lineRule="atLeast"/>
        <w:ind w:left="0" w:firstLine="643" w:firstLineChars="200"/>
        <w:jc w:val="both"/>
        <w:textAlignment w:val="auto"/>
        <w:rPr>
          <w:rFonts w:hint="eastAsia"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下一步，将采取以下措施加以改进：一是加强组织领导，完善工作制度，拓展政府信息公开的内容；二是加强卫生健康领域公共企事业单位信息公开工作培训力度，提升医疗卫生单位工作人员受理信息公开申请及公共企事业单位信息公开工作水平。三是丰富信息公开内容，满足公众对卫生健康工作情况的知情权及监督权，促进全县卫生健康工作持续健康发展，更好地服务广大群众。</w:t>
      </w:r>
    </w:p>
    <w:p w14:paraId="7613F02B">
      <w:pPr>
        <w:ind w:firstLine="640" w:firstLineChars="200"/>
        <w:rPr>
          <w:rFonts w:hint="eastAsia" w:ascii="方正黑体简体" w:hAnsi="方正黑体简体" w:eastAsia="方正黑体简体" w:cs="方正黑体简体"/>
          <w:color w:val="auto"/>
          <w:sz w:val="32"/>
          <w:szCs w:val="32"/>
        </w:rPr>
      </w:pPr>
      <w:r>
        <w:rPr>
          <w:rFonts w:hint="eastAsia" w:ascii="方正黑体简体" w:hAnsi="方正黑体简体" w:eastAsia="方正黑体简体" w:cs="方正黑体简体"/>
          <w:color w:val="auto"/>
          <w:sz w:val="32"/>
          <w:szCs w:val="32"/>
        </w:rPr>
        <w:t>六、其他需要报告的事项</w:t>
      </w:r>
    </w:p>
    <w:p w14:paraId="6030F7D2">
      <w:pPr>
        <w:ind w:firstLine="643" w:firstLineChars="200"/>
        <w:rPr>
          <w:rFonts w:hint="eastAsia" w:ascii="Times New Roman" w:hAnsi="Times New Roman" w:eastAsia="方正仿宋简体" w:cs="Times New Roman"/>
          <w:b/>
          <w:bCs/>
          <w:color w:val="auto"/>
          <w:kern w:val="0"/>
          <w:sz w:val="32"/>
          <w:szCs w:val="32"/>
          <w:lang w:val="en-US" w:eastAsia="zh-CN" w:bidi="ar"/>
        </w:rPr>
      </w:pPr>
      <w:r>
        <w:rPr>
          <w:rFonts w:hint="eastAsia" w:ascii="方正楷体简体" w:hAnsi="方正楷体简体" w:eastAsia="方正楷体简体" w:cs="方正楷体简体"/>
          <w:b/>
          <w:bCs/>
          <w:color w:val="auto"/>
          <w:kern w:val="0"/>
          <w:sz w:val="32"/>
          <w:szCs w:val="32"/>
          <w:lang w:val="en-US" w:eastAsia="zh-CN" w:bidi="ar"/>
        </w:rPr>
        <w:t>（一）依申请公开信息处理费收费情况。</w:t>
      </w:r>
      <w:r>
        <w:rPr>
          <w:rFonts w:hint="eastAsia" w:ascii="Times New Roman" w:hAnsi="Times New Roman" w:eastAsia="方正仿宋简体" w:cs="Times New Roman"/>
          <w:b/>
          <w:bCs/>
          <w:color w:val="auto"/>
          <w:kern w:val="0"/>
          <w:sz w:val="32"/>
          <w:szCs w:val="32"/>
          <w:lang w:val="en-US" w:eastAsia="zh-CN" w:bidi="ar"/>
        </w:rPr>
        <w:t>根据《政府信息公开信息处理费管理办法》，2024年我局没有相关收费。</w:t>
      </w:r>
    </w:p>
    <w:p w14:paraId="6A98ACC6">
      <w:pPr>
        <w:ind w:firstLine="643" w:firstLineChars="200"/>
        <w:rPr>
          <w:rFonts w:hint="eastAsia" w:ascii="Times New Roman" w:hAnsi="Times New Roman" w:eastAsia="方正仿宋简体" w:cs="Times New Roman"/>
          <w:b/>
          <w:bCs/>
          <w:color w:val="auto"/>
          <w:kern w:val="0"/>
          <w:sz w:val="32"/>
          <w:szCs w:val="32"/>
          <w:lang w:val="en-US" w:eastAsia="zh-CN" w:bidi="ar"/>
        </w:rPr>
      </w:pPr>
      <w:r>
        <w:rPr>
          <w:rFonts w:hint="eastAsia" w:ascii="方正楷体简体" w:hAnsi="方正楷体简体" w:eastAsia="方正楷体简体" w:cs="方正楷体简体"/>
          <w:b/>
          <w:bCs/>
          <w:color w:val="auto"/>
          <w:kern w:val="0"/>
          <w:sz w:val="32"/>
          <w:szCs w:val="32"/>
          <w:lang w:val="en-US" w:eastAsia="zh-CN" w:bidi="ar"/>
        </w:rPr>
        <w:t>（二）落实上级年度政务公开工作要点情况。</w:t>
      </w:r>
      <w:r>
        <w:rPr>
          <w:rFonts w:hint="eastAsia" w:ascii="Times New Roman" w:hAnsi="Times New Roman" w:eastAsia="方正仿宋简体" w:cs="Times New Roman"/>
          <w:b/>
          <w:bCs/>
          <w:color w:val="auto"/>
          <w:kern w:val="0"/>
          <w:sz w:val="32"/>
          <w:szCs w:val="32"/>
          <w:lang w:val="en-US" w:eastAsia="zh-CN" w:bidi="ar"/>
        </w:rPr>
        <w:t>在医疗卫生服务方面，围绕群众看病就医需求，通过多种途径对健康科普、重点专科、就医流程、惠民举措、医保宣传等领域信息及时向社会公开，不断提升群众看病就医满意度。卫生类事业编招聘工作方面，根据有关要求，按时段对招考简章、笔试、面试结果、体检、政审、招聘结果等在县政府门户网站上予以公告（示），确保每一位考生及时了解相关招聘信息，提前做好准备工作，同时也接受考生和社会的监督。卫生健康监督执法方面，按时公示医疗卫生、学校卫生、生活饮用水、职业卫生、公共场所卫生、传染病防治、放射诊疗、餐饮具集中消毒等方面的日常监督检查情况。</w:t>
      </w:r>
    </w:p>
    <w:p w14:paraId="45F1BDD8">
      <w:pPr>
        <w:ind w:firstLine="643" w:firstLineChars="200"/>
        <w:rPr>
          <w:rFonts w:hint="eastAsia" w:ascii="Times New Roman" w:hAnsi="Times New Roman" w:eastAsia="方正仿宋简体" w:cs="Times New Roman"/>
          <w:b/>
          <w:bCs/>
          <w:color w:val="auto"/>
          <w:kern w:val="0"/>
          <w:sz w:val="32"/>
          <w:szCs w:val="32"/>
          <w:lang w:val="en-US" w:eastAsia="zh-CN" w:bidi="ar"/>
        </w:rPr>
      </w:pPr>
      <w:r>
        <w:rPr>
          <w:rFonts w:hint="eastAsia" w:ascii="方正楷体简体" w:hAnsi="方正楷体简体" w:eastAsia="方正楷体简体" w:cs="方正楷体简体"/>
          <w:b/>
          <w:bCs/>
          <w:color w:val="auto"/>
          <w:kern w:val="0"/>
          <w:sz w:val="32"/>
          <w:szCs w:val="32"/>
          <w:lang w:val="en-US" w:eastAsia="zh-CN" w:bidi="ar"/>
        </w:rPr>
        <w:t>（三）本年度建议、提案办理情况。</w:t>
      </w:r>
      <w:r>
        <w:rPr>
          <w:rFonts w:hint="eastAsia" w:ascii="Times New Roman" w:hAnsi="Times New Roman" w:eastAsia="方正仿宋简体" w:cs="Times New Roman"/>
          <w:b/>
          <w:bCs/>
          <w:color w:val="auto"/>
          <w:kern w:val="0"/>
          <w:sz w:val="32"/>
          <w:szCs w:val="32"/>
          <w:lang w:val="en-US" w:eastAsia="zh-CN" w:bidi="ar"/>
        </w:rPr>
        <w:t>2024年，卫健局共承办人大代表建议6件、政协委员提案11件。建议提案内容涉及青少年心理健康、托育服务、养老服务、中医药服务等人民群众关注的热点、难点问题，从不同角度反映了人大代表、政协委员对我县卫生健康事业的密切关注和大力支持，体现了人大代表、政协委员的责任意识和参政议政水平。目前，全部建议提案均已按时办结并回复，满意或基本满意100%。</w:t>
      </w:r>
    </w:p>
    <w:p w14:paraId="1DBB2A92">
      <w:pPr>
        <w:ind w:firstLine="643" w:firstLineChars="200"/>
        <w:rPr>
          <w:rFonts w:hint="eastAsia" w:ascii="Times New Roman" w:hAnsi="Times New Roman" w:eastAsia="方正仿宋简体" w:cs="Times New Roman"/>
          <w:b/>
          <w:bCs/>
          <w:color w:val="auto"/>
          <w:kern w:val="0"/>
          <w:sz w:val="32"/>
          <w:szCs w:val="32"/>
          <w:lang w:val="en-US" w:eastAsia="zh-CN" w:bidi="ar"/>
        </w:rPr>
      </w:pPr>
      <w:r>
        <w:rPr>
          <w:rFonts w:hint="eastAsia" w:ascii="方正楷体简体" w:hAnsi="方正楷体简体" w:eastAsia="方正楷体简体" w:cs="方正楷体简体"/>
          <w:b/>
          <w:bCs/>
          <w:color w:val="auto"/>
          <w:kern w:val="0"/>
          <w:sz w:val="32"/>
          <w:szCs w:val="32"/>
          <w:lang w:val="en-US" w:eastAsia="zh-CN" w:bidi="ar"/>
        </w:rPr>
        <w:t>（四）政务公开方面创新情况。</w:t>
      </w:r>
      <w:r>
        <w:rPr>
          <w:rFonts w:hint="eastAsia" w:ascii="Times New Roman" w:hAnsi="Times New Roman" w:eastAsia="方正仿宋简体" w:cs="Times New Roman"/>
          <w:b/>
          <w:bCs/>
          <w:color w:val="auto"/>
          <w:kern w:val="0"/>
          <w:sz w:val="32"/>
          <w:szCs w:val="32"/>
          <w:lang w:val="en-US" w:eastAsia="zh-CN" w:bidi="ar"/>
        </w:rPr>
        <w:t>泗水县卫健局充分利用微信公众号等平台获取信息的便捷性和时效性，及时发布健康科普、惠民举措等群众关注的重点领域信息，切实满足群众的各类需求，不断提升群众看病就医获得感。</w:t>
      </w:r>
    </w:p>
    <w:p w14:paraId="4D465272">
      <w:pPr>
        <w:rPr>
          <w:rFonts w:hint="eastAsia" w:ascii="Times New Roman" w:hAnsi="Times New Roman" w:eastAsia="方正仿宋简体" w:cs="Times New Roman"/>
          <w:b/>
          <w:bCs/>
          <w:color w:val="auto"/>
          <w:kern w:val="0"/>
          <w:sz w:val="32"/>
          <w:szCs w:val="32"/>
          <w:lang w:val="en-US" w:eastAsia="zh-CN" w:bidi="ar"/>
        </w:rPr>
      </w:pPr>
    </w:p>
    <w:p w14:paraId="2E7C912F">
      <w:pPr>
        <w:rPr>
          <w:rFonts w:hint="eastAsia"/>
          <w:color w:val="auto"/>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732017BA-C142-4EA4-B23A-3B3142C8041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2860751-BE9C-436A-B4E8-867DEA63F4F3}"/>
  </w:font>
  <w:font w:name="方正小标宋简体">
    <w:panose1 w:val="03000509000000000000"/>
    <w:charset w:val="86"/>
    <w:family w:val="auto"/>
    <w:pitch w:val="default"/>
    <w:sig w:usb0="00000001" w:usb1="080E0000" w:usb2="00000000" w:usb3="00000000" w:csb0="00040000" w:csb1="00000000"/>
    <w:embedRegular r:id="rId3" w:fontKey="{A2A17DB6-8D78-4C67-B193-0D59C1ACCDDF}"/>
  </w:font>
  <w:font w:name="方正仿宋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embedRegular r:id="rId4" w:fontKey="{FDE18848-83AA-4D01-94AE-65D2A0435EBD}"/>
  </w:font>
  <w:font w:name="方正楷体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5" w:fontKey="{45255FDE-3FA3-4DFB-BC3C-D1D4DBC898A6}"/>
  </w:font>
  <w:font w:name="仿宋_GB2312">
    <w:panose1 w:val="02010609030101010101"/>
    <w:charset w:val="86"/>
    <w:family w:val="modern"/>
    <w:pitch w:val="default"/>
    <w:sig w:usb0="00000001" w:usb1="080E0000" w:usb2="00000000" w:usb3="00000000" w:csb0="00040000" w:csb1="00000000"/>
    <w:embedRegular r:id="rId6" w:fontKey="{BD248704-4D9A-4017-8508-E53F8F906876}"/>
  </w:font>
  <w:font w:name="楷体">
    <w:panose1 w:val="02010609060101010101"/>
    <w:charset w:val="86"/>
    <w:family w:val="modern"/>
    <w:pitch w:val="default"/>
    <w:sig w:usb0="800002BF" w:usb1="38CF7CFA" w:usb2="00000016" w:usb3="00000000" w:csb0="00040001" w:csb1="00000000"/>
    <w:embedRegular r:id="rId7" w:fontKey="{A9708D1B-0586-42A4-9521-B90E6BD883CC}"/>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A4262"/>
    <w:multiLevelType w:val="singleLevel"/>
    <w:tmpl w:val="11BA426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BC505E"/>
    <w:rsid w:val="29A569BB"/>
    <w:rsid w:val="2CCB6FA1"/>
    <w:rsid w:val="3DC225BC"/>
    <w:rsid w:val="6FF26522"/>
    <w:rsid w:val="73D06790"/>
    <w:rsid w:val="79F44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Lbl>
              <c:idx val="0"/>
              <c:layout/>
              <c:dLblPos val="bestFit"/>
              <c:showLegendKey val="0"/>
              <c:showVal val="1"/>
              <c:showCatName val="0"/>
              <c:showSerName val="0"/>
              <c:showPercent val="0"/>
              <c:showBubbleSize val="0"/>
              <c:extLst>
                <c:ext xmlns:c15="http://schemas.microsoft.com/office/drawing/2012/chart" uri="{CE6537A1-D6FC-4f65-9D91-7224C49458BB}"/>
              </c:extLst>
            </c:dLbl>
            <c:dLbl>
              <c:idx val="1"/>
              <c:layout/>
              <c:dLblPos val="bestFit"/>
              <c:showLegendKey val="0"/>
              <c:showVal val="1"/>
              <c:showCatName val="0"/>
              <c:showSerName val="0"/>
              <c:showPercent val="0"/>
              <c:showBubbleSize val="0"/>
              <c:extLst>
                <c:ext xmlns:c15="http://schemas.microsoft.com/office/drawing/2012/chart" uri="{CE6537A1-D6FC-4f65-9D91-7224C49458BB}"/>
              </c:extLst>
            </c:dLbl>
            <c:dLbl>
              <c:idx val="2"/>
              <c:layout/>
              <c:dLblPos val="bestFit"/>
              <c:showLegendKey val="0"/>
              <c:showVal val="1"/>
              <c:showCatName val="0"/>
              <c:showSerName val="0"/>
              <c:showPercent val="0"/>
              <c:showBubbleSize val="0"/>
              <c:extLst>
                <c:ext xmlns:c15="http://schemas.microsoft.com/office/drawing/2012/chart" uri="{CE6537A1-D6FC-4f65-9D91-7224C49458BB}"/>
              </c:extLst>
            </c:dLbl>
            <c:dLbl>
              <c:idx val="3"/>
              <c:layout/>
              <c:dLblPos val="bestFit"/>
              <c:showLegendKey val="0"/>
              <c:showVal val="1"/>
              <c:showCatName val="0"/>
              <c:showSerName val="0"/>
              <c:showPercent val="0"/>
              <c:showBubbleSize val="0"/>
              <c:extLst>
                <c:ext xmlns:c15="http://schemas.microsoft.com/office/drawing/2012/chart" uri="{CE6537A1-D6FC-4f65-9D91-7224C49458BB}"/>
              </c:extLst>
            </c:dLbl>
            <c:dLbl>
              <c:idx val="4"/>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[工作簿1]Sheet1!$A$1:$E$1</c:f>
              <c:strCache>
                <c:ptCount val="5"/>
                <c:pt idx="0">
                  <c:v>公示公告</c:v>
                </c:pt>
                <c:pt idx="1">
                  <c:v>水质监测</c:v>
                </c:pt>
                <c:pt idx="2">
                  <c:v>双随机检查</c:v>
                </c:pt>
                <c:pt idx="3">
                  <c:v>监督检查</c:v>
                </c:pt>
                <c:pt idx="4">
                  <c:v>行政处罚</c:v>
                </c:pt>
              </c:strCache>
            </c:strRef>
          </c:cat>
          <c:val>
            <c:numRef>
              <c:f>[工作簿1]Sheet1!$A$2:$E$2</c:f>
              <c:numCache>
                <c:formatCode>General</c:formatCode>
                <c:ptCount val="5"/>
                <c:pt idx="0">
                  <c:v>29</c:v>
                </c:pt>
                <c:pt idx="1">
                  <c:v>4</c:v>
                </c:pt>
                <c:pt idx="2">
                  <c:v>8</c:v>
                </c:pt>
                <c:pt idx="3">
                  <c:v>44</c:v>
                </c:pt>
                <c:pt idx="4">
                  <c:v>104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a7acd37-6c1c-4432-92a5-8a791fce9c0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2518</Words>
  <Characters>2611</Characters>
  <Lines>0</Lines>
  <Paragraphs>0</Paragraphs>
  <TotalTime>957</TotalTime>
  <ScaleCrop>false</ScaleCrop>
  <LinksUpToDate>false</LinksUpToDate>
  <CharactersWithSpaces>2611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2025-01-15T05:24:00Z</dcterms:created>
  <dc:creator>Administrator</dc:creator>
  <cp:lastModifiedBy> 斌哥哥</cp:lastModifiedBy>
  <dcterms:modified xsi:type="dcterms:W3CDTF">2025-01-22T03:05:41Z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eyJoZGlkIjoiZWRkYjUzMzc1MDg5ZmMyYmU3NjdmZDg3OGFhNDIxNTUiLCJ1c2VySWQiOiIyNzMzNTAxMDEifQ==</vt:lpwstr>
  </property>
  <property fmtid="{D5CDD505-2E9C-101B-9397-08002B2CF9AE}" pid="4" name="ICV">
    <vt:lpwstr>5A13BB7E850D47E5AF6ACACB5ECEDE66_12</vt:lpwstr>
  </property>
</Properties>
</file>