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B01D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泗水县卫生健康局</w:t>
      </w:r>
    </w:p>
    <w:p w14:paraId="52145D8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2024年政府信息公开工作年度报告</w:t>
      </w:r>
    </w:p>
    <w:p w14:paraId="248815D2">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rPr>
      </w:pPr>
    </w:p>
    <w:p w14:paraId="422DB78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本报告由泗水县卫生健康局按照《中华人民共和国政府信息公开条例》（以下简称《条例》）和《中华人民共和国政府信息公开工作年度报告格式》（国办公开办函〔2021〕30号）要求编制。</w:t>
      </w:r>
    </w:p>
    <w:p w14:paraId="61E8273E">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lang w:val="en-US" w:eastAsia="zh-CN"/>
        </w:rPr>
        <w:t>本报告</w:t>
      </w:r>
      <w:r>
        <w:rPr>
          <w:rFonts w:hint="default" w:ascii="Times New Roman" w:hAnsi="Times New Roman" w:eastAsia="方正仿宋简体" w:cs="Times New Roman"/>
          <w:b/>
          <w:bCs/>
          <w:color w:val="auto"/>
          <w:sz w:val="32"/>
          <w:szCs w:val="32"/>
        </w:rPr>
        <w:t>内容包括总体情况、主动公开政府信息情况、收到和处理政府信息公开申请情况、政府信息公开行政复议和行政诉讼情况、存在的主要问题及改进情况、其他需要报告的事项等六部分内容。</w:t>
      </w:r>
    </w:p>
    <w:p w14:paraId="152E4084">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本报告所列数据的统计期限自2024年1月1日起至2024年12月31日止。本报告电子版可在</w:t>
      </w:r>
      <w:r>
        <w:rPr>
          <w:rFonts w:hint="eastAsia" w:ascii="Times New Roman" w:hAnsi="Times New Roman" w:eastAsia="方正仿宋简体" w:cs="Times New Roman"/>
          <w:b/>
          <w:bCs/>
          <w:color w:val="auto"/>
          <w:sz w:val="32"/>
          <w:szCs w:val="32"/>
          <w:lang w:val="en-US" w:eastAsia="zh-CN"/>
        </w:rPr>
        <w:t>“中国•泗水”</w:t>
      </w:r>
      <w:r>
        <w:rPr>
          <w:rFonts w:hint="default" w:ascii="Times New Roman" w:hAnsi="Times New Roman" w:eastAsia="方正仿宋简体" w:cs="Times New Roman"/>
          <w:b/>
          <w:bCs/>
          <w:color w:val="auto"/>
          <w:sz w:val="32"/>
          <w:szCs w:val="32"/>
        </w:rPr>
        <w:t>政府门户网站（具体网址www.sishui.gov.cn）查阅或下载。如对本报告有疑问，请与</w:t>
      </w:r>
      <w:r>
        <w:rPr>
          <w:rFonts w:hint="eastAsia" w:ascii="Times New Roman" w:hAnsi="Times New Roman" w:eastAsia="方正仿宋简体" w:cs="Times New Roman"/>
          <w:b/>
          <w:bCs/>
          <w:color w:val="auto"/>
          <w:sz w:val="32"/>
          <w:szCs w:val="32"/>
          <w:lang w:val="en-US" w:eastAsia="zh-CN"/>
        </w:rPr>
        <w:t>泗水县卫生健康局</w:t>
      </w:r>
      <w:r>
        <w:rPr>
          <w:rFonts w:hint="default" w:ascii="Times New Roman" w:hAnsi="Times New Roman" w:eastAsia="方正仿宋简体" w:cs="Times New Roman"/>
          <w:b/>
          <w:bCs/>
          <w:color w:val="auto"/>
          <w:sz w:val="32"/>
          <w:szCs w:val="32"/>
        </w:rPr>
        <w:t>联系（地址：</w:t>
      </w:r>
      <w:r>
        <w:rPr>
          <w:rFonts w:hint="eastAsia" w:ascii="Times New Roman" w:hAnsi="Times New Roman" w:eastAsia="方正仿宋简体" w:cs="Times New Roman"/>
          <w:b/>
          <w:bCs/>
          <w:color w:val="auto"/>
          <w:sz w:val="32"/>
          <w:szCs w:val="32"/>
          <w:lang w:val="en-US" w:eastAsia="zh-CN"/>
        </w:rPr>
        <w:t>泗水县泉鑫3-1号</w:t>
      </w:r>
      <w:r>
        <w:rPr>
          <w:rFonts w:hint="default" w:ascii="Times New Roman" w:hAnsi="Times New Roman" w:eastAsia="方正仿宋简体" w:cs="Times New Roman"/>
          <w:b/>
          <w:bCs/>
          <w:color w:val="auto"/>
          <w:sz w:val="32"/>
          <w:szCs w:val="32"/>
        </w:rPr>
        <w:t>，联系电话：0537-</w:t>
      </w:r>
      <w:r>
        <w:rPr>
          <w:rFonts w:hint="eastAsia" w:ascii="Times New Roman" w:hAnsi="Times New Roman" w:eastAsia="方正仿宋简体" w:cs="Times New Roman"/>
          <w:b/>
          <w:bCs/>
          <w:color w:val="auto"/>
          <w:sz w:val="32"/>
          <w:szCs w:val="32"/>
          <w:lang w:val="en-US" w:eastAsia="zh-CN"/>
        </w:rPr>
        <w:t>4221148</w:t>
      </w:r>
      <w:r>
        <w:rPr>
          <w:rFonts w:hint="default" w:ascii="Times New Roman" w:hAnsi="Times New Roman" w:eastAsia="方正仿宋简体" w:cs="Times New Roman"/>
          <w:b/>
          <w:bCs/>
          <w:color w:val="auto"/>
          <w:sz w:val="32"/>
          <w:szCs w:val="32"/>
        </w:rPr>
        <w:t>）。</w:t>
      </w:r>
    </w:p>
    <w:p w14:paraId="32AE3E09">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总体情况</w:t>
      </w:r>
    </w:p>
    <w:p w14:paraId="7CBFAF4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202</w:t>
      </w:r>
      <w:r>
        <w:rPr>
          <w:rFonts w:hint="eastAsia" w:ascii="Times New Roman" w:hAnsi="Times New Roman" w:eastAsia="方正仿宋简体" w:cs="Times New Roman"/>
          <w:b/>
          <w:bCs/>
          <w:color w:val="auto"/>
          <w:sz w:val="32"/>
          <w:szCs w:val="32"/>
          <w:lang w:val="en-US" w:eastAsia="zh-CN"/>
        </w:rPr>
        <w:t>4</w:t>
      </w:r>
      <w:r>
        <w:rPr>
          <w:rFonts w:hint="default" w:ascii="Times New Roman" w:hAnsi="Times New Roman" w:eastAsia="方正仿宋简体" w:cs="Times New Roman"/>
          <w:b/>
          <w:bCs/>
          <w:color w:val="auto"/>
          <w:sz w:val="32"/>
          <w:szCs w:val="32"/>
        </w:rPr>
        <w:t>年</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泗水县卫生健康局在</w:t>
      </w:r>
      <w:r>
        <w:rPr>
          <w:rFonts w:hint="eastAsia" w:ascii="Times New Roman" w:hAnsi="Times New Roman" w:eastAsia="方正仿宋简体" w:cs="Times New Roman"/>
          <w:b/>
          <w:bCs/>
          <w:color w:val="auto"/>
          <w:sz w:val="32"/>
          <w:szCs w:val="32"/>
          <w:lang w:val="en-US" w:eastAsia="zh-CN"/>
        </w:rPr>
        <w:t>县</w:t>
      </w:r>
      <w:r>
        <w:rPr>
          <w:rFonts w:hint="default" w:ascii="Times New Roman" w:hAnsi="Times New Roman" w:eastAsia="方正仿宋简体" w:cs="Times New Roman"/>
          <w:b/>
          <w:bCs/>
          <w:color w:val="auto"/>
          <w:sz w:val="32"/>
          <w:szCs w:val="32"/>
        </w:rPr>
        <w:t>委</w:t>
      </w:r>
      <w:r>
        <w:rPr>
          <w:rFonts w:hint="eastAsia" w:ascii="Times New Roman" w:hAnsi="Times New Roman" w:eastAsia="方正仿宋简体" w:cs="Times New Roman"/>
          <w:b/>
          <w:bCs/>
          <w:color w:val="auto"/>
          <w:sz w:val="32"/>
          <w:szCs w:val="32"/>
          <w:lang w:val="en-US" w:eastAsia="zh-CN"/>
        </w:rPr>
        <w:t>县</w:t>
      </w:r>
      <w:r>
        <w:rPr>
          <w:rFonts w:hint="default" w:ascii="Times New Roman" w:hAnsi="Times New Roman" w:eastAsia="方正仿宋简体" w:cs="Times New Roman"/>
          <w:b/>
          <w:bCs/>
          <w:color w:val="auto"/>
          <w:sz w:val="32"/>
          <w:szCs w:val="32"/>
        </w:rPr>
        <w:t>政府的</w:t>
      </w:r>
      <w:r>
        <w:rPr>
          <w:rFonts w:hint="eastAsia" w:ascii="Times New Roman" w:hAnsi="Times New Roman" w:eastAsia="方正仿宋简体" w:cs="Times New Roman"/>
          <w:b/>
          <w:bCs/>
          <w:color w:val="auto"/>
          <w:sz w:val="32"/>
          <w:szCs w:val="32"/>
          <w:lang w:val="en-US" w:eastAsia="zh-CN"/>
        </w:rPr>
        <w:t>正确</w:t>
      </w:r>
      <w:r>
        <w:rPr>
          <w:rFonts w:hint="default" w:ascii="Times New Roman" w:hAnsi="Times New Roman" w:eastAsia="方正仿宋简体" w:cs="Times New Roman"/>
          <w:b/>
          <w:bCs/>
          <w:color w:val="auto"/>
          <w:sz w:val="32"/>
          <w:szCs w:val="32"/>
        </w:rPr>
        <w:t>领导下，认真落实《中华人民共和国政府信息公开条例》各项规定，扎实开展政务公开工作，各项任务有序推进，工作取得积极成效。</w:t>
      </w:r>
    </w:p>
    <w:p w14:paraId="5858F2B4">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firstLine="643" w:firstLineChars="200"/>
        <w:jc w:val="both"/>
        <w:textAlignment w:val="auto"/>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（一）主动公开情况</w:t>
      </w:r>
    </w:p>
    <w:p w14:paraId="124E71C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2024年我局共主动公开政府信息189条，主要涉及行政执法、医疗服务、人事工作、公共卫生公共企事业单位、重点领域等方面。公示人大建议6件、政协提案11件，均已在“泗水县人民政府”门户网站上公布。</w:t>
      </w:r>
    </w:p>
    <w:p w14:paraId="699FED3C">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480" w:firstLineChars="200"/>
        <w:jc w:val="both"/>
        <w:textAlignment w:val="auto"/>
        <w:rPr>
          <w:color w:val="auto"/>
        </w:rPr>
      </w:pPr>
      <w:r>
        <w:rPr>
          <w:color w:val="auto"/>
        </w:rP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C2E1A5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（二）依申请公开情况</w:t>
      </w:r>
    </w:p>
    <w:p w14:paraId="2CC5A790">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rPr>
        <w:t>202</w:t>
      </w:r>
      <w:r>
        <w:rPr>
          <w:rFonts w:hint="eastAsia" w:ascii="Times New Roman" w:hAnsi="Times New Roman" w:eastAsia="方正仿宋简体" w:cs="Times New Roman"/>
          <w:b/>
          <w:bCs/>
          <w:color w:val="auto"/>
          <w:sz w:val="32"/>
          <w:szCs w:val="32"/>
          <w:lang w:val="en-US" w:eastAsia="zh-CN"/>
        </w:rPr>
        <w:t>4</w:t>
      </w:r>
      <w:r>
        <w:rPr>
          <w:rFonts w:hint="eastAsia" w:ascii="Times New Roman" w:hAnsi="Times New Roman" w:eastAsia="方正仿宋简体" w:cs="Times New Roman"/>
          <w:b/>
          <w:bCs/>
          <w:color w:val="auto"/>
          <w:sz w:val="32"/>
          <w:szCs w:val="32"/>
        </w:rPr>
        <w:t>年收到</w:t>
      </w:r>
      <w:r>
        <w:rPr>
          <w:rFonts w:hint="eastAsia" w:ascii="Times New Roman" w:hAnsi="Times New Roman" w:eastAsia="方正仿宋简体" w:cs="Times New Roman"/>
          <w:b/>
          <w:bCs/>
          <w:color w:val="auto"/>
          <w:sz w:val="32"/>
          <w:szCs w:val="32"/>
          <w:lang w:val="en-US" w:eastAsia="zh-CN"/>
        </w:rPr>
        <w:t>2件</w:t>
      </w:r>
      <w:r>
        <w:rPr>
          <w:rFonts w:hint="eastAsia" w:ascii="Times New Roman" w:hAnsi="Times New Roman" w:eastAsia="方正仿宋简体" w:cs="Times New Roman"/>
          <w:b/>
          <w:bCs/>
          <w:color w:val="auto"/>
          <w:sz w:val="32"/>
          <w:szCs w:val="32"/>
        </w:rPr>
        <w:t>依申请公开信息申请</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lang w:val="en-US" w:eastAsia="zh-CN"/>
        </w:rPr>
        <w:t>均已在规定期限内完成办理。</w:t>
      </w:r>
    </w:p>
    <w:p w14:paraId="2E5266F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（三）政府信息管理情况</w:t>
      </w:r>
    </w:p>
    <w:p w14:paraId="6034B6B5">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rPr>
        <w:t>县卫生健康局按照政府信息公开工作的要求，进一步健全政府信息发布保密审查机制，严格坚持“先审查、后公开”原则，要求公开信息必须经过科室分管、办公室经办、主要领导确认等内部审核流程，并不定期地开展工作自查，不断完善工作流程。202</w:t>
      </w:r>
      <w:r>
        <w:rPr>
          <w:rFonts w:hint="eastAsia" w:ascii="Times New Roman" w:hAnsi="Times New Roman" w:eastAsia="方正仿宋简体" w:cs="Times New Roman"/>
          <w:b/>
          <w:bCs/>
          <w:color w:val="auto"/>
          <w:sz w:val="32"/>
          <w:szCs w:val="32"/>
          <w:lang w:val="en-US" w:eastAsia="zh-CN"/>
        </w:rPr>
        <w:t>4</w:t>
      </w:r>
      <w:r>
        <w:rPr>
          <w:rFonts w:hint="eastAsia" w:ascii="Times New Roman" w:hAnsi="Times New Roman" w:eastAsia="方正仿宋简体" w:cs="Times New Roman"/>
          <w:b/>
          <w:bCs/>
          <w:color w:val="auto"/>
          <w:sz w:val="32"/>
          <w:szCs w:val="32"/>
        </w:rPr>
        <w:t>年全年未发生过信息泄密事故。</w:t>
      </w:r>
    </w:p>
    <w:p w14:paraId="0410ECC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（四）政府信息公开平台建设情况</w:t>
      </w:r>
    </w:p>
    <w:p w14:paraId="57DA24D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p>
    <w:p w14:paraId="140C775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rPr>
        <w:t>泗水县</w:t>
      </w:r>
      <w:r>
        <w:rPr>
          <w:rFonts w:hint="eastAsia" w:ascii="Times New Roman" w:hAnsi="Times New Roman" w:eastAsia="方正仿宋简体" w:cs="Times New Roman"/>
          <w:b/>
          <w:bCs/>
          <w:color w:val="auto"/>
          <w:sz w:val="32"/>
          <w:szCs w:val="32"/>
          <w:lang w:val="en-US" w:eastAsia="zh-CN"/>
        </w:rPr>
        <w:t>卫生健康局不断加强政务新媒体内部管理，明确专人对政府网站信息、微信公众号信息等进行管理和内容维护，</w:t>
      </w:r>
      <w:r>
        <w:rPr>
          <w:rFonts w:hint="eastAsia" w:ascii="Times New Roman" w:hAnsi="Times New Roman" w:eastAsia="方正仿宋简体" w:cs="Times New Roman"/>
          <w:b/>
          <w:bCs/>
          <w:color w:val="auto"/>
          <w:sz w:val="32"/>
          <w:szCs w:val="32"/>
        </w:rPr>
        <w:t>严格落实信息内容发布审核制度，切实防范网络意识形态风险。</w:t>
      </w:r>
    </w:p>
    <w:p w14:paraId="5FF2DD1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r>
        <w:rPr>
          <w:rFonts w:hint="eastAsia" w:ascii="方正楷体简体" w:hAnsi="方正楷体简体" w:eastAsia="方正楷体简体" w:cs="方正楷体简体"/>
          <w:b/>
          <w:bCs/>
          <w:color w:val="auto"/>
          <w:sz w:val="32"/>
          <w:szCs w:val="32"/>
        </w:rPr>
        <w:t>（五）监督保障情况</w:t>
      </w:r>
    </w:p>
    <w:p w14:paraId="50E87FA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lang w:val="en-US" w:eastAsia="zh-CN"/>
        </w:rPr>
        <w:t>泗水县卫生健康局不断</w:t>
      </w:r>
      <w:r>
        <w:rPr>
          <w:rFonts w:hint="eastAsia" w:ascii="Times New Roman" w:hAnsi="Times New Roman" w:eastAsia="方正仿宋简体" w:cs="Times New Roman"/>
          <w:b/>
          <w:bCs/>
          <w:color w:val="auto"/>
          <w:sz w:val="32"/>
          <w:szCs w:val="32"/>
        </w:rPr>
        <w:t>强化政务公开队伍建设，</w:t>
      </w:r>
      <w:r>
        <w:rPr>
          <w:rFonts w:hint="eastAsia" w:ascii="Times New Roman" w:hAnsi="Times New Roman" w:eastAsia="方正仿宋简体" w:cs="Times New Roman"/>
          <w:b/>
          <w:bCs/>
          <w:color w:val="auto"/>
          <w:sz w:val="32"/>
          <w:szCs w:val="32"/>
          <w:lang w:val="en-US" w:eastAsia="zh-CN"/>
        </w:rPr>
        <w:t>及时</w:t>
      </w:r>
      <w:r>
        <w:rPr>
          <w:rFonts w:hint="eastAsia" w:ascii="Times New Roman" w:hAnsi="Times New Roman" w:eastAsia="方正仿宋简体" w:cs="Times New Roman"/>
          <w:b/>
          <w:bCs/>
          <w:color w:val="auto"/>
          <w:sz w:val="32"/>
          <w:szCs w:val="32"/>
        </w:rPr>
        <w:t>调整局政务公开领导小组成员，</w:t>
      </w:r>
      <w:r>
        <w:rPr>
          <w:rFonts w:hint="eastAsia" w:ascii="Times New Roman" w:hAnsi="Times New Roman" w:eastAsia="方正仿宋简体" w:cs="Times New Roman"/>
          <w:b/>
          <w:bCs/>
          <w:color w:val="auto"/>
          <w:sz w:val="32"/>
          <w:szCs w:val="32"/>
          <w:lang w:val="en-US" w:eastAsia="zh-CN"/>
        </w:rPr>
        <w:t>成立了系统内各单位政务公开领导小组，确保系统内政务公开及时有效</w:t>
      </w:r>
      <w:r>
        <w:rPr>
          <w:rFonts w:hint="eastAsia" w:ascii="Times New Roman" w:hAnsi="Times New Roman" w:eastAsia="方正仿宋简体" w:cs="Times New Roman"/>
          <w:b/>
          <w:bCs/>
          <w:color w:val="auto"/>
          <w:sz w:val="32"/>
          <w:szCs w:val="32"/>
        </w:rPr>
        <w:t>。</w:t>
      </w:r>
      <w:r>
        <w:rPr>
          <w:rFonts w:hint="eastAsia" w:ascii="Times New Roman" w:hAnsi="Times New Roman" w:eastAsia="方正仿宋简体" w:cs="Times New Roman"/>
          <w:b/>
          <w:bCs/>
          <w:color w:val="auto"/>
          <w:sz w:val="32"/>
          <w:szCs w:val="32"/>
          <w:lang w:val="en-US" w:eastAsia="zh-CN"/>
        </w:rPr>
        <w:t>同时</w:t>
      </w:r>
      <w:r>
        <w:rPr>
          <w:rFonts w:hint="eastAsia" w:ascii="Times New Roman" w:hAnsi="Times New Roman" w:eastAsia="方正仿宋简体" w:cs="Times New Roman"/>
          <w:b/>
          <w:bCs/>
          <w:color w:val="auto"/>
          <w:sz w:val="32"/>
          <w:szCs w:val="32"/>
        </w:rPr>
        <w:t>积极组织开展政府信息公开业务培训，</w:t>
      </w:r>
      <w:r>
        <w:rPr>
          <w:rFonts w:hint="eastAsia" w:ascii="Times New Roman" w:hAnsi="Times New Roman" w:eastAsia="方正仿宋简体" w:cs="Times New Roman"/>
          <w:b/>
          <w:bCs/>
          <w:color w:val="auto"/>
          <w:sz w:val="32"/>
          <w:szCs w:val="32"/>
          <w:lang w:val="en-US" w:eastAsia="zh-CN"/>
        </w:rPr>
        <w:t>及时</w:t>
      </w:r>
      <w:r>
        <w:rPr>
          <w:rFonts w:hint="eastAsia" w:ascii="Times New Roman" w:hAnsi="Times New Roman" w:eastAsia="方正仿宋简体" w:cs="Times New Roman"/>
          <w:b/>
          <w:bCs/>
          <w:color w:val="auto"/>
          <w:sz w:val="32"/>
          <w:szCs w:val="32"/>
        </w:rPr>
        <w:t>查找短板弱点，不断提升信息公开水平，确保政府信息公开工作规范、有序开展。</w:t>
      </w:r>
      <w:bookmarkStart w:id="10" w:name="_GoBack"/>
      <w:bookmarkEnd w:id="10"/>
    </w:p>
    <w:p w14:paraId="07ECCFF0">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570" w:lineRule="atLeast"/>
        <w:ind w:left="0" w:leftChars="0" w:firstLine="643" w:firstLineChars="200"/>
        <w:jc w:val="both"/>
        <w:textAlignment w:val="auto"/>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主动公开政府信息情况</w:t>
      </w:r>
    </w:p>
    <w:p w14:paraId="439264E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70" w:lineRule="atLeast"/>
        <w:ind w:leftChars="200" w:right="0" w:rightChars="0"/>
        <w:jc w:val="both"/>
        <w:textAlignment w:val="auto"/>
        <w:rPr>
          <w:rFonts w:hint="eastAsia" w:ascii="方正黑体简体" w:hAnsi="方正黑体简体" w:eastAsia="方正黑体简体" w:cs="方正黑体简体"/>
          <w:b/>
          <w:bCs/>
          <w:color w:val="auto"/>
          <w:sz w:val="32"/>
          <w:szCs w:val="32"/>
        </w:rPr>
      </w:pP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5E1B1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60F06C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14:paraId="796D1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155FC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7646A1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2E6FFC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3C8BDB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14:paraId="183A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B41E3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C263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4EB9F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5C632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eastAsiaTheme="minorEastAsia"/>
                <w:b/>
                <w:bCs w:val="0"/>
                <w:color w:val="auto"/>
                <w:lang w:val="en-US" w:eastAsia="zh-CN"/>
              </w:rPr>
            </w:pPr>
            <w:r>
              <w:rPr>
                <w:rFonts w:hint="eastAsia"/>
                <w:b/>
                <w:bCs w:val="0"/>
                <w:color w:val="auto"/>
                <w:lang w:val="en-US" w:eastAsia="zh-CN"/>
              </w:rPr>
              <w:t>0</w:t>
            </w:r>
          </w:p>
        </w:tc>
      </w:tr>
      <w:tr w14:paraId="601E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088422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DF251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8EF97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249B0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Calibri" w:hAnsi="Calibri" w:eastAsia="宋体" w:cs="Calibri"/>
                <w:b/>
                <w:bCs w:val="0"/>
                <w:color w:val="auto"/>
                <w:kern w:val="0"/>
                <w:sz w:val="21"/>
                <w:szCs w:val="21"/>
                <w:lang w:val="en-US" w:eastAsia="zh-CN" w:bidi="ar"/>
              </w:rPr>
              <w:t>0</w:t>
            </w:r>
          </w:p>
        </w:tc>
      </w:tr>
      <w:tr w14:paraId="4EAE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41BD0D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14:paraId="57B58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0621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20904F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7FA5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0F2EE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CF64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eastAsiaTheme="minorEastAsia"/>
                <w:b/>
                <w:bCs w:val="0"/>
                <w:color w:val="auto"/>
                <w:lang w:val="en-US" w:eastAsia="zh-CN"/>
              </w:rPr>
            </w:pPr>
            <w:r>
              <w:rPr>
                <w:rFonts w:hint="eastAsia"/>
                <w:b/>
                <w:bCs w:val="0"/>
                <w:color w:val="auto"/>
                <w:lang w:val="en-US" w:eastAsia="zh-CN"/>
              </w:rPr>
              <w:t>0</w:t>
            </w:r>
          </w:p>
        </w:tc>
      </w:tr>
      <w:tr w14:paraId="1C791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26BA0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14:paraId="36B9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BEFE4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5EBD1D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29BE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6E43B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5386B4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104</w:t>
            </w:r>
          </w:p>
        </w:tc>
      </w:tr>
      <w:tr w14:paraId="2DC5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F8A13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256EC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eastAsiaTheme="minorEastAsia"/>
                <w:b/>
                <w:bCs w:val="0"/>
                <w:color w:val="auto"/>
                <w:lang w:val="en-US" w:eastAsia="zh-CN"/>
              </w:rPr>
            </w:pPr>
            <w:r>
              <w:rPr>
                <w:rFonts w:hint="eastAsia"/>
                <w:b/>
                <w:bCs w:val="0"/>
                <w:color w:val="auto"/>
                <w:lang w:val="en-US" w:eastAsia="zh-CN"/>
              </w:rPr>
              <w:t>0</w:t>
            </w:r>
          </w:p>
        </w:tc>
      </w:tr>
      <w:tr w14:paraId="314E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0F3C6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14:paraId="125F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027B5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3BE425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14:paraId="548D3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B8C25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6BB19472">
            <w:pPr>
              <w:rPr>
                <w:rFonts w:hint="eastAsia" w:ascii="宋体" w:eastAsiaTheme="minorEastAsia"/>
                <w:b/>
                <w:bCs w:val="0"/>
                <w:color w:val="auto"/>
                <w:sz w:val="24"/>
                <w:szCs w:val="24"/>
                <w:lang w:val="en-US" w:eastAsia="zh-CN"/>
              </w:rPr>
            </w:pPr>
            <w:r>
              <w:rPr>
                <w:rFonts w:hint="eastAsia" w:ascii="宋体"/>
                <w:b/>
                <w:bCs w:val="0"/>
                <w:color w:val="auto"/>
                <w:sz w:val="24"/>
                <w:szCs w:val="24"/>
                <w:lang w:val="en-US" w:eastAsia="zh-CN"/>
              </w:rPr>
              <w:t>0</w:t>
            </w:r>
          </w:p>
        </w:tc>
      </w:tr>
    </w:tbl>
    <w:p w14:paraId="20E9275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70" w:lineRule="atLeast"/>
        <w:ind w:leftChars="200" w:right="0" w:rightChars="0"/>
        <w:jc w:val="both"/>
        <w:textAlignment w:val="auto"/>
        <w:rPr>
          <w:rFonts w:hint="eastAsia" w:ascii="方正黑体简体" w:hAnsi="方正黑体简体" w:eastAsia="方正黑体简体" w:cs="方正黑体简体"/>
          <w:b/>
          <w:bCs/>
          <w:color w:val="auto"/>
          <w:sz w:val="32"/>
          <w:szCs w:val="32"/>
        </w:rPr>
      </w:pPr>
    </w:p>
    <w:p w14:paraId="6731D4DB">
      <w:pPr>
        <w:pStyle w:val="2"/>
        <w:keepNext w:val="0"/>
        <w:keepLines w:val="0"/>
        <w:widowControl/>
        <w:numPr>
          <w:ilvl w:val="0"/>
          <w:numId w:val="0"/>
        </w:numPr>
        <w:suppressLineNumbers w:val="0"/>
        <w:spacing w:after="75" w:afterAutospacing="0" w:line="315" w:lineRule="atLeast"/>
        <w:ind w:left="0" w:leftChars="0" w:right="0" w:rightChars="0" w:firstLine="420" w:firstLineChars="0"/>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kern w:val="0"/>
          <w:sz w:val="32"/>
          <w:szCs w:val="32"/>
          <w:lang w:val="en-US" w:eastAsia="zh-CN" w:bidi="ar"/>
        </w:rPr>
        <w:t>三、</w:t>
      </w:r>
      <w:r>
        <w:rPr>
          <w:rFonts w:hint="eastAsia" w:ascii="方正黑体简体" w:hAnsi="方正黑体简体" w:eastAsia="方正黑体简体" w:cs="方正黑体简体"/>
          <w:color w:val="auto"/>
          <w:sz w:val="32"/>
          <w:szCs w:val="32"/>
        </w:rPr>
        <w:t>收到和处理政府信息公开申请情况</w:t>
      </w:r>
    </w:p>
    <w:tbl>
      <w:tblPr>
        <w:tblStyle w:val="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1ED0E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4FA4DCB4">
            <w:pPr>
              <w:widowControl/>
              <w:jc w:val="center"/>
              <w:rPr>
                <w:rFonts w:ascii="楷体_GB2312" w:hAnsi="黑体" w:eastAsia="楷体_GB2312"/>
                <w:b/>
                <w:bCs/>
                <w:color w:val="auto"/>
                <w:kern w:val="0"/>
                <w:szCs w:val="21"/>
              </w:rPr>
            </w:pPr>
            <w:r>
              <w:rPr>
                <w:rFonts w:hint="eastAsia" w:ascii="楷体_GB2312" w:hAnsi="黑体" w:eastAsia="楷体_GB2312"/>
                <w:b/>
                <w:bCs/>
                <w:color w:val="auto"/>
                <w:kern w:val="0"/>
                <w:szCs w:val="21"/>
              </w:rPr>
              <w:t>（本列数据的勾稽关系为：第一项加第二项之和，</w:t>
            </w:r>
          </w:p>
          <w:p w14:paraId="341B0531">
            <w:pPr>
              <w:widowControl/>
              <w:jc w:val="center"/>
              <w:rPr>
                <w:rFonts w:ascii="仿宋_GB2312" w:hAnsi="Times New Roman" w:eastAsia="仿宋_GB2312"/>
                <w:b/>
                <w:bCs/>
                <w:color w:val="auto"/>
                <w:szCs w:val="21"/>
              </w:rPr>
            </w:pPr>
            <w:r>
              <w:rPr>
                <w:rFonts w:hint="eastAsia" w:ascii="楷体_GB2312" w:hAnsi="黑体" w:eastAsia="楷体_GB2312"/>
                <w:b/>
                <w:bCs/>
                <w:color w:val="auto"/>
                <w:kern w:val="0"/>
                <w:szCs w:val="21"/>
              </w:rPr>
              <w:t>等于第三项加第四项之和）</w:t>
            </w:r>
          </w:p>
        </w:tc>
        <w:tc>
          <w:tcPr>
            <w:tcW w:w="4820" w:type="dxa"/>
            <w:gridSpan w:val="7"/>
            <w:shd w:val="clear" w:color="auto" w:fill="auto"/>
            <w:tcMar>
              <w:left w:w="108" w:type="dxa"/>
              <w:right w:w="108" w:type="dxa"/>
            </w:tcMar>
            <w:vAlign w:val="center"/>
          </w:tcPr>
          <w:p w14:paraId="6706CA10">
            <w:pPr>
              <w:widowControl/>
              <w:spacing w:line="320" w:lineRule="exact"/>
              <w:jc w:val="center"/>
              <w:rPr>
                <w:rFonts w:ascii="黑体" w:hAnsi="黑体" w:eastAsia="黑体"/>
                <w:b/>
                <w:bCs/>
                <w:color w:val="auto"/>
                <w:szCs w:val="21"/>
              </w:rPr>
            </w:pPr>
            <w:r>
              <w:rPr>
                <w:rFonts w:hint="eastAsia" w:ascii="黑体" w:hAnsi="黑体" w:eastAsia="黑体"/>
                <w:b/>
                <w:bCs/>
                <w:color w:val="auto"/>
                <w:kern w:val="0"/>
                <w:szCs w:val="21"/>
              </w:rPr>
              <w:t>申请人情况</w:t>
            </w:r>
          </w:p>
        </w:tc>
      </w:tr>
      <w:tr w14:paraId="364DCB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714100F2">
            <w:pPr>
              <w:jc w:val="center"/>
              <w:rPr>
                <w:rFonts w:ascii="仿宋_GB2312" w:hAnsi="Times New Roman" w:eastAsia="仿宋_GB2312"/>
                <w:b/>
                <w:bCs/>
                <w:color w:val="auto"/>
                <w:szCs w:val="21"/>
              </w:rPr>
            </w:pPr>
          </w:p>
        </w:tc>
        <w:tc>
          <w:tcPr>
            <w:tcW w:w="829" w:type="dxa"/>
            <w:vMerge w:val="restart"/>
            <w:shd w:val="clear" w:color="auto" w:fill="auto"/>
            <w:tcMar>
              <w:left w:w="108" w:type="dxa"/>
              <w:right w:w="108" w:type="dxa"/>
            </w:tcMar>
            <w:vAlign w:val="center"/>
          </w:tcPr>
          <w:p w14:paraId="3A0F5FA3">
            <w:pPr>
              <w:widowControl/>
              <w:jc w:val="center"/>
              <w:rPr>
                <w:rFonts w:ascii="黑体" w:hAnsi="黑体" w:eastAsia="黑体"/>
                <w:b/>
                <w:bCs/>
                <w:color w:val="auto"/>
                <w:szCs w:val="21"/>
              </w:rPr>
            </w:pPr>
            <w:r>
              <w:rPr>
                <w:rFonts w:hint="eastAsia" w:ascii="黑体" w:hAnsi="黑体" w:eastAsia="黑体"/>
                <w:b/>
                <w:bCs/>
                <w:color w:val="auto"/>
                <w:kern w:val="0"/>
                <w:szCs w:val="21"/>
              </w:rPr>
              <w:t>自然人</w:t>
            </w:r>
          </w:p>
        </w:tc>
        <w:tc>
          <w:tcPr>
            <w:tcW w:w="3140" w:type="dxa"/>
            <w:gridSpan w:val="5"/>
            <w:shd w:val="clear" w:color="auto" w:fill="auto"/>
            <w:tcMar>
              <w:left w:w="108" w:type="dxa"/>
              <w:right w:w="108" w:type="dxa"/>
            </w:tcMar>
            <w:vAlign w:val="center"/>
          </w:tcPr>
          <w:p w14:paraId="7E573D55">
            <w:pPr>
              <w:widowControl/>
              <w:spacing w:line="320" w:lineRule="exact"/>
              <w:jc w:val="center"/>
              <w:rPr>
                <w:rFonts w:ascii="黑体" w:hAnsi="黑体" w:eastAsia="黑体"/>
                <w:b/>
                <w:bCs/>
                <w:color w:val="auto"/>
                <w:szCs w:val="21"/>
              </w:rPr>
            </w:pPr>
            <w:r>
              <w:rPr>
                <w:rFonts w:hint="eastAsia" w:ascii="黑体" w:hAnsi="黑体" w:eastAsia="黑体"/>
                <w:b/>
                <w:bCs/>
                <w:color w:val="auto"/>
                <w:kern w:val="0"/>
                <w:szCs w:val="21"/>
              </w:rPr>
              <w:t>法人或其他组织</w:t>
            </w:r>
          </w:p>
        </w:tc>
        <w:tc>
          <w:tcPr>
            <w:tcW w:w="851" w:type="dxa"/>
            <w:vMerge w:val="restart"/>
            <w:shd w:val="clear" w:color="auto" w:fill="auto"/>
            <w:tcMar>
              <w:left w:w="108" w:type="dxa"/>
              <w:right w:w="108" w:type="dxa"/>
            </w:tcMar>
            <w:vAlign w:val="center"/>
          </w:tcPr>
          <w:p w14:paraId="134D83DE">
            <w:pPr>
              <w:widowControl/>
              <w:jc w:val="center"/>
              <w:rPr>
                <w:rFonts w:ascii="黑体" w:hAnsi="黑体" w:eastAsia="黑体"/>
                <w:b/>
                <w:bCs/>
                <w:color w:val="auto"/>
                <w:szCs w:val="21"/>
              </w:rPr>
            </w:pPr>
            <w:r>
              <w:rPr>
                <w:rFonts w:hint="eastAsia" w:ascii="黑体" w:hAnsi="黑体" w:eastAsia="黑体"/>
                <w:b/>
                <w:bCs/>
                <w:color w:val="auto"/>
                <w:kern w:val="0"/>
                <w:szCs w:val="21"/>
              </w:rPr>
              <w:t>总计</w:t>
            </w:r>
          </w:p>
        </w:tc>
      </w:tr>
      <w:tr w14:paraId="28538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40679B87">
            <w:pPr>
              <w:jc w:val="center"/>
              <w:rPr>
                <w:rFonts w:ascii="仿宋_GB2312" w:hAnsi="Times New Roman" w:eastAsia="仿宋_GB2312"/>
                <w:b/>
                <w:bCs/>
                <w:color w:val="auto"/>
                <w:szCs w:val="21"/>
              </w:rPr>
            </w:pPr>
          </w:p>
        </w:tc>
        <w:tc>
          <w:tcPr>
            <w:tcW w:w="829" w:type="dxa"/>
            <w:vMerge w:val="continue"/>
            <w:shd w:val="clear" w:color="auto" w:fill="auto"/>
            <w:tcMar>
              <w:left w:w="108" w:type="dxa"/>
              <w:right w:w="108" w:type="dxa"/>
            </w:tcMar>
            <w:vAlign w:val="center"/>
          </w:tcPr>
          <w:p w14:paraId="7D5B7BB1">
            <w:pPr>
              <w:jc w:val="center"/>
              <w:rPr>
                <w:rFonts w:ascii="黑体" w:hAnsi="黑体" w:eastAsia="黑体"/>
                <w:b/>
                <w:bCs/>
                <w:color w:val="auto"/>
                <w:szCs w:val="21"/>
              </w:rPr>
            </w:pPr>
          </w:p>
        </w:tc>
        <w:tc>
          <w:tcPr>
            <w:tcW w:w="567" w:type="dxa"/>
            <w:shd w:val="clear" w:color="auto" w:fill="auto"/>
            <w:tcMar>
              <w:left w:w="108" w:type="dxa"/>
              <w:right w:w="108" w:type="dxa"/>
            </w:tcMar>
            <w:vAlign w:val="center"/>
          </w:tcPr>
          <w:p w14:paraId="59084F2B">
            <w:pPr>
              <w:widowControl/>
              <w:spacing w:line="320" w:lineRule="exact"/>
              <w:ind w:left="-106" w:leftChars="-51" w:right="-107" w:rightChars="-51" w:hanging="1"/>
              <w:jc w:val="center"/>
              <w:rPr>
                <w:rFonts w:ascii="黑体" w:hAnsi="黑体" w:eastAsia="黑体"/>
                <w:b/>
                <w:bCs/>
                <w:color w:val="auto"/>
                <w:szCs w:val="21"/>
              </w:rPr>
            </w:pPr>
            <w:r>
              <w:rPr>
                <w:rFonts w:hint="eastAsia" w:ascii="黑体" w:hAnsi="黑体" w:eastAsia="黑体"/>
                <w:b/>
                <w:bCs/>
                <w:color w:val="auto"/>
                <w:kern w:val="0"/>
                <w:szCs w:val="21"/>
              </w:rPr>
              <w:t>商业企业</w:t>
            </w:r>
          </w:p>
        </w:tc>
        <w:tc>
          <w:tcPr>
            <w:tcW w:w="567" w:type="dxa"/>
            <w:shd w:val="clear" w:color="auto" w:fill="auto"/>
            <w:tcMar>
              <w:left w:w="108" w:type="dxa"/>
              <w:right w:w="108" w:type="dxa"/>
            </w:tcMar>
            <w:vAlign w:val="center"/>
          </w:tcPr>
          <w:p w14:paraId="3036251C">
            <w:pPr>
              <w:widowControl/>
              <w:spacing w:line="320" w:lineRule="exact"/>
              <w:ind w:left="-107" w:leftChars="-51" w:right="-107" w:rightChars="-51"/>
              <w:jc w:val="center"/>
              <w:rPr>
                <w:rFonts w:ascii="黑体" w:hAnsi="黑体" w:eastAsia="黑体"/>
                <w:b/>
                <w:bCs/>
                <w:color w:val="auto"/>
                <w:szCs w:val="21"/>
              </w:rPr>
            </w:pPr>
            <w:r>
              <w:rPr>
                <w:rFonts w:hint="eastAsia" w:ascii="黑体" w:hAnsi="黑体" w:eastAsia="黑体"/>
                <w:b/>
                <w:bCs/>
                <w:color w:val="auto"/>
                <w:kern w:val="0"/>
                <w:szCs w:val="21"/>
              </w:rPr>
              <w:t>科研机构</w:t>
            </w:r>
          </w:p>
        </w:tc>
        <w:tc>
          <w:tcPr>
            <w:tcW w:w="731" w:type="dxa"/>
            <w:shd w:val="clear" w:color="auto" w:fill="auto"/>
            <w:tcMar>
              <w:left w:w="108" w:type="dxa"/>
              <w:right w:w="108" w:type="dxa"/>
            </w:tcMar>
            <w:vAlign w:val="center"/>
          </w:tcPr>
          <w:p w14:paraId="3A9B203C">
            <w:pPr>
              <w:widowControl/>
              <w:spacing w:line="320" w:lineRule="exact"/>
              <w:ind w:left="-107" w:leftChars="-51" w:right="-107" w:rightChars="-51"/>
              <w:jc w:val="center"/>
              <w:rPr>
                <w:rFonts w:ascii="黑体" w:hAnsi="黑体" w:eastAsia="黑体"/>
                <w:b/>
                <w:bCs/>
                <w:color w:val="auto"/>
                <w:szCs w:val="21"/>
              </w:rPr>
            </w:pPr>
            <w:r>
              <w:rPr>
                <w:rFonts w:hint="eastAsia" w:ascii="黑体" w:hAnsi="黑体" w:eastAsia="黑体"/>
                <w:b/>
                <w:bCs/>
                <w:color w:val="auto"/>
                <w:kern w:val="0"/>
                <w:szCs w:val="21"/>
              </w:rPr>
              <w:t>社会公益组织</w:t>
            </w:r>
          </w:p>
        </w:tc>
        <w:tc>
          <w:tcPr>
            <w:tcW w:w="708" w:type="dxa"/>
            <w:shd w:val="clear" w:color="auto" w:fill="auto"/>
            <w:tcMar>
              <w:left w:w="108" w:type="dxa"/>
              <w:right w:w="108" w:type="dxa"/>
            </w:tcMar>
            <w:vAlign w:val="center"/>
          </w:tcPr>
          <w:p w14:paraId="124494B9">
            <w:pPr>
              <w:widowControl/>
              <w:spacing w:line="320" w:lineRule="exact"/>
              <w:ind w:left="-106" w:leftChars="-51" w:right="-107" w:rightChars="-51" w:hanging="1"/>
              <w:jc w:val="center"/>
              <w:rPr>
                <w:rFonts w:ascii="黑体" w:hAnsi="黑体" w:eastAsia="黑体"/>
                <w:b/>
                <w:bCs/>
                <w:color w:val="auto"/>
                <w:szCs w:val="21"/>
              </w:rPr>
            </w:pPr>
            <w:r>
              <w:rPr>
                <w:rFonts w:hint="eastAsia" w:ascii="黑体" w:hAnsi="黑体" w:eastAsia="黑体"/>
                <w:b/>
                <w:bCs/>
                <w:color w:val="auto"/>
                <w:kern w:val="0"/>
                <w:szCs w:val="21"/>
              </w:rPr>
              <w:t>法律服务机构</w:t>
            </w:r>
          </w:p>
        </w:tc>
        <w:tc>
          <w:tcPr>
            <w:tcW w:w="567" w:type="dxa"/>
            <w:shd w:val="clear" w:color="auto" w:fill="auto"/>
            <w:tcMar>
              <w:left w:w="108" w:type="dxa"/>
              <w:right w:w="108" w:type="dxa"/>
            </w:tcMar>
            <w:vAlign w:val="center"/>
          </w:tcPr>
          <w:p w14:paraId="4F43CC07">
            <w:pPr>
              <w:widowControl/>
              <w:spacing w:line="360" w:lineRule="exact"/>
              <w:ind w:left="-63" w:leftChars="-30" w:right="-134" w:rightChars="-64"/>
              <w:jc w:val="center"/>
              <w:rPr>
                <w:rFonts w:ascii="黑体" w:hAnsi="黑体" w:eastAsia="黑体"/>
                <w:b/>
                <w:bCs/>
                <w:color w:val="auto"/>
                <w:szCs w:val="21"/>
              </w:rPr>
            </w:pPr>
            <w:r>
              <w:rPr>
                <w:rFonts w:hint="eastAsia" w:ascii="黑体" w:hAnsi="黑体" w:eastAsia="黑体"/>
                <w:b/>
                <w:bCs/>
                <w:color w:val="auto"/>
                <w:kern w:val="0"/>
                <w:szCs w:val="21"/>
              </w:rPr>
              <w:t>其他</w:t>
            </w:r>
          </w:p>
        </w:tc>
        <w:tc>
          <w:tcPr>
            <w:tcW w:w="851" w:type="dxa"/>
            <w:vMerge w:val="continue"/>
            <w:shd w:val="clear" w:color="auto" w:fill="auto"/>
            <w:tcMar>
              <w:left w:w="108" w:type="dxa"/>
              <w:right w:w="108" w:type="dxa"/>
            </w:tcMar>
            <w:vAlign w:val="center"/>
          </w:tcPr>
          <w:p w14:paraId="6190E418">
            <w:pPr>
              <w:jc w:val="center"/>
              <w:rPr>
                <w:rFonts w:ascii="仿宋_GB2312" w:hAnsi="Times New Roman" w:eastAsia="仿宋_GB2312"/>
                <w:b/>
                <w:bCs/>
                <w:color w:val="auto"/>
                <w:szCs w:val="21"/>
              </w:rPr>
            </w:pPr>
          </w:p>
        </w:tc>
      </w:tr>
      <w:tr w14:paraId="6AD95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35473D7">
            <w:pPr>
              <w:widowControl/>
              <w:rPr>
                <w:rFonts w:ascii="黑体" w:hAnsi="黑体" w:eastAsia="黑体"/>
                <w:b/>
                <w:bCs/>
                <w:color w:val="auto"/>
                <w:szCs w:val="21"/>
              </w:rPr>
            </w:pPr>
            <w:r>
              <w:rPr>
                <w:rFonts w:hint="eastAsia" w:ascii="黑体" w:hAnsi="黑体" w:eastAsia="黑体"/>
                <w:b/>
                <w:bCs/>
                <w:color w:val="auto"/>
                <w:kern w:val="0"/>
                <w:szCs w:val="21"/>
              </w:rPr>
              <w:t>一、</w:t>
            </w:r>
            <w:bookmarkStart w:id="0" w:name="_Hlk66973412"/>
            <w:r>
              <w:rPr>
                <w:rFonts w:hint="eastAsia" w:ascii="黑体" w:hAnsi="黑体" w:eastAsia="黑体"/>
                <w:b/>
                <w:bCs/>
                <w:color w:val="auto"/>
                <w:kern w:val="0"/>
                <w:szCs w:val="21"/>
              </w:rPr>
              <w:t>本年新收政府信息公开申请数量</w:t>
            </w:r>
            <w:bookmarkEnd w:id="0"/>
          </w:p>
        </w:tc>
        <w:tc>
          <w:tcPr>
            <w:tcW w:w="829" w:type="dxa"/>
            <w:shd w:val="clear" w:color="auto" w:fill="auto"/>
            <w:tcMar>
              <w:left w:w="108" w:type="dxa"/>
              <w:right w:w="108" w:type="dxa"/>
            </w:tcMar>
            <w:vAlign w:val="center"/>
          </w:tcPr>
          <w:p w14:paraId="0E6C9A59">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2</w:t>
            </w:r>
          </w:p>
        </w:tc>
        <w:tc>
          <w:tcPr>
            <w:tcW w:w="567" w:type="dxa"/>
            <w:shd w:val="clear" w:color="auto" w:fill="auto"/>
            <w:tcMar>
              <w:left w:w="108" w:type="dxa"/>
              <w:right w:w="108" w:type="dxa"/>
            </w:tcMar>
            <w:vAlign w:val="center"/>
          </w:tcPr>
          <w:p w14:paraId="3D258050">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74D7C2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225BB15">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186EB01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5E25176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2E9B91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2</w:t>
            </w:r>
          </w:p>
        </w:tc>
      </w:tr>
      <w:tr w14:paraId="61115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8672B1E">
            <w:pPr>
              <w:widowControl/>
              <w:rPr>
                <w:rFonts w:ascii="黑体" w:hAnsi="黑体" w:eastAsia="黑体"/>
                <w:b/>
                <w:bCs/>
                <w:color w:val="auto"/>
                <w:szCs w:val="21"/>
              </w:rPr>
            </w:pPr>
            <w:r>
              <w:rPr>
                <w:rFonts w:hint="eastAsia" w:ascii="黑体" w:hAnsi="黑体" w:eastAsia="黑体"/>
                <w:b/>
                <w:bCs/>
                <w:color w:val="auto"/>
                <w:kern w:val="0"/>
                <w:szCs w:val="21"/>
              </w:rPr>
              <w:t>二、上年结转政府信息公开申请数量</w:t>
            </w:r>
          </w:p>
        </w:tc>
        <w:tc>
          <w:tcPr>
            <w:tcW w:w="829" w:type="dxa"/>
            <w:shd w:val="clear" w:color="auto" w:fill="auto"/>
            <w:tcMar>
              <w:left w:w="108" w:type="dxa"/>
              <w:right w:w="108" w:type="dxa"/>
            </w:tcMar>
            <w:vAlign w:val="center"/>
          </w:tcPr>
          <w:p w14:paraId="7D02837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193377B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59EBE7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1D40570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3CC22C6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F26A31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6B2BE6D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653A4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5D674ABA">
            <w:pPr>
              <w:widowControl/>
              <w:spacing w:after="180"/>
              <w:rPr>
                <w:rFonts w:ascii="黑体" w:hAnsi="黑体" w:eastAsia="黑体"/>
                <w:b/>
                <w:bCs/>
                <w:color w:val="auto"/>
                <w:szCs w:val="21"/>
              </w:rPr>
            </w:pPr>
            <w:r>
              <w:rPr>
                <w:rFonts w:hint="eastAsia" w:ascii="黑体" w:hAnsi="黑体" w:eastAsia="黑体"/>
                <w:b/>
                <w:bCs/>
                <w:color w:val="auto"/>
                <w:kern w:val="0"/>
                <w:szCs w:val="21"/>
              </w:rPr>
              <w:t>三、本年度办理结果</w:t>
            </w:r>
          </w:p>
        </w:tc>
        <w:tc>
          <w:tcPr>
            <w:tcW w:w="4677" w:type="dxa"/>
            <w:gridSpan w:val="2"/>
            <w:shd w:val="clear" w:color="auto" w:fill="auto"/>
            <w:tcMar>
              <w:left w:w="108" w:type="dxa"/>
              <w:right w:w="108" w:type="dxa"/>
            </w:tcMar>
            <w:vAlign w:val="center"/>
          </w:tcPr>
          <w:p w14:paraId="54D35733">
            <w:pPr>
              <w:widowControl/>
              <w:rPr>
                <w:rFonts w:ascii="黑体" w:hAnsi="黑体" w:eastAsia="黑体"/>
                <w:b/>
                <w:bCs/>
                <w:color w:val="auto"/>
                <w:szCs w:val="21"/>
              </w:rPr>
            </w:pPr>
            <w:r>
              <w:rPr>
                <w:rFonts w:hint="eastAsia" w:ascii="黑体" w:hAnsi="黑体" w:eastAsia="黑体"/>
                <w:b/>
                <w:bCs/>
                <w:color w:val="auto"/>
                <w:kern w:val="0"/>
                <w:szCs w:val="21"/>
              </w:rPr>
              <w:t>（一）予以公开</w:t>
            </w:r>
          </w:p>
        </w:tc>
        <w:tc>
          <w:tcPr>
            <w:tcW w:w="829" w:type="dxa"/>
            <w:shd w:val="clear" w:color="auto" w:fill="auto"/>
            <w:tcMar>
              <w:left w:w="108" w:type="dxa"/>
              <w:right w:w="108" w:type="dxa"/>
            </w:tcMar>
            <w:vAlign w:val="center"/>
          </w:tcPr>
          <w:p w14:paraId="19D4E0D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2</w:t>
            </w:r>
          </w:p>
        </w:tc>
        <w:tc>
          <w:tcPr>
            <w:tcW w:w="567" w:type="dxa"/>
            <w:shd w:val="clear" w:color="auto" w:fill="auto"/>
            <w:tcMar>
              <w:left w:w="108" w:type="dxa"/>
              <w:right w:w="108" w:type="dxa"/>
            </w:tcMar>
            <w:vAlign w:val="center"/>
          </w:tcPr>
          <w:p w14:paraId="266BFAC0">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3D8CA3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E77AAF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02883A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1BE3C5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38C43DB3">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2</w:t>
            </w:r>
          </w:p>
        </w:tc>
      </w:tr>
      <w:tr w14:paraId="544FF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84D4A06">
            <w:pPr>
              <w:rPr>
                <w:rFonts w:ascii="黑体" w:hAnsi="黑体" w:eastAsia="黑体"/>
                <w:b/>
                <w:bCs/>
                <w:color w:val="auto"/>
                <w:szCs w:val="21"/>
              </w:rPr>
            </w:pPr>
          </w:p>
        </w:tc>
        <w:tc>
          <w:tcPr>
            <w:tcW w:w="4677" w:type="dxa"/>
            <w:gridSpan w:val="2"/>
            <w:shd w:val="clear" w:color="auto" w:fill="auto"/>
            <w:tcMar>
              <w:left w:w="108" w:type="dxa"/>
              <w:right w:w="108" w:type="dxa"/>
            </w:tcMar>
            <w:vAlign w:val="center"/>
          </w:tcPr>
          <w:p w14:paraId="746FF39D">
            <w:pPr>
              <w:widowControl/>
              <w:rPr>
                <w:rFonts w:ascii="黑体" w:hAnsi="黑体" w:eastAsia="黑体"/>
                <w:b/>
                <w:bCs/>
                <w:color w:val="auto"/>
                <w:szCs w:val="21"/>
              </w:rPr>
            </w:pPr>
            <w:r>
              <w:rPr>
                <w:rFonts w:hint="eastAsia" w:ascii="黑体" w:hAnsi="黑体" w:eastAsia="黑体"/>
                <w:b/>
                <w:bCs/>
                <w:color w:val="auto"/>
                <w:kern w:val="0"/>
                <w:szCs w:val="21"/>
              </w:rPr>
              <w:t>（二）部分公开（</w:t>
            </w:r>
            <w:bookmarkStart w:id="1" w:name="_Hlk66973981"/>
            <w:r>
              <w:rPr>
                <w:rFonts w:hint="eastAsia" w:ascii="黑体" w:hAnsi="黑体" w:eastAsia="黑体"/>
                <w:b/>
                <w:bCs/>
                <w:color w:val="auto"/>
                <w:kern w:val="0"/>
                <w:szCs w:val="21"/>
              </w:rPr>
              <w:t>区分处理的，只计这一情形，不计其他情形</w:t>
            </w:r>
            <w:bookmarkEnd w:id="1"/>
            <w:r>
              <w:rPr>
                <w:rFonts w:hint="eastAsia" w:ascii="黑体" w:hAnsi="黑体" w:eastAsia="黑体"/>
                <w:b/>
                <w:bCs/>
                <w:color w:val="auto"/>
                <w:kern w:val="0"/>
                <w:szCs w:val="21"/>
              </w:rPr>
              <w:t>）</w:t>
            </w:r>
          </w:p>
        </w:tc>
        <w:tc>
          <w:tcPr>
            <w:tcW w:w="829" w:type="dxa"/>
            <w:shd w:val="clear" w:color="auto" w:fill="auto"/>
            <w:tcMar>
              <w:left w:w="108" w:type="dxa"/>
              <w:right w:w="108" w:type="dxa"/>
            </w:tcMar>
            <w:vAlign w:val="center"/>
          </w:tcPr>
          <w:p w14:paraId="5208C9A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5C840019">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DED0A8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001AD743">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6FC77D1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EC19A3B">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182639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66823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49E5190">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14:paraId="3EF5FD54">
            <w:pPr>
              <w:widowControl/>
              <w:spacing w:line="200" w:lineRule="exact"/>
              <w:ind w:left="-107" w:leftChars="-51"/>
              <w:rPr>
                <w:rFonts w:ascii="黑体" w:hAnsi="黑体" w:eastAsia="黑体"/>
                <w:b/>
                <w:bCs/>
                <w:color w:val="auto"/>
                <w:szCs w:val="21"/>
              </w:rPr>
            </w:pPr>
            <w:r>
              <w:rPr>
                <w:rFonts w:hint="eastAsia" w:ascii="黑体" w:hAnsi="黑体" w:eastAsia="黑体"/>
                <w:b/>
                <w:bCs/>
                <w:color w:val="auto"/>
                <w:kern w:val="0"/>
                <w:szCs w:val="21"/>
              </w:rPr>
              <w:t>（三）不予公开</w:t>
            </w:r>
          </w:p>
        </w:tc>
        <w:tc>
          <w:tcPr>
            <w:tcW w:w="2976" w:type="dxa"/>
            <w:shd w:val="clear" w:color="auto" w:fill="auto"/>
            <w:tcMar>
              <w:left w:w="108" w:type="dxa"/>
              <w:right w:w="108" w:type="dxa"/>
            </w:tcMar>
            <w:vAlign w:val="center"/>
          </w:tcPr>
          <w:p w14:paraId="0BF99BCE">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1.属于国家秘密</w:t>
            </w:r>
          </w:p>
        </w:tc>
        <w:tc>
          <w:tcPr>
            <w:tcW w:w="829" w:type="dxa"/>
            <w:shd w:val="clear" w:color="auto" w:fill="auto"/>
            <w:tcMar>
              <w:left w:w="108" w:type="dxa"/>
              <w:right w:w="108" w:type="dxa"/>
            </w:tcMar>
            <w:vAlign w:val="center"/>
          </w:tcPr>
          <w:p w14:paraId="55E5B7FC">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8FB1DFF">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F17B63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32EAA5E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47009E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99A33F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4B0468C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6F474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ED63E53">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79377DB0">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00A394DB">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2.</w:t>
            </w:r>
            <w:bookmarkStart w:id="2" w:name="_Hlk66974104"/>
            <w:r>
              <w:rPr>
                <w:rFonts w:hint="eastAsia" w:ascii="仿宋_GB2312" w:hAnsi="黑体" w:eastAsia="仿宋_GB2312"/>
                <w:b/>
                <w:bCs/>
                <w:color w:val="auto"/>
                <w:kern w:val="0"/>
                <w:szCs w:val="21"/>
              </w:rPr>
              <w:t>其他法律行政法规禁止公开</w:t>
            </w:r>
            <w:bookmarkEnd w:id="2"/>
          </w:p>
        </w:tc>
        <w:tc>
          <w:tcPr>
            <w:tcW w:w="829" w:type="dxa"/>
            <w:shd w:val="clear" w:color="auto" w:fill="auto"/>
            <w:tcMar>
              <w:left w:w="108" w:type="dxa"/>
              <w:right w:w="108" w:type="dxa"/>
            </w:tcMar>
            <w:vAlign w:val="center"/>
          </w:tcPr>
          <w:p w14:paraId="60F1CDAD">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51160432">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66F790B">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04D58E0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7830E3B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60A96F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5F79297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54C41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AEE9E61">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67791D70">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6D1C4D25">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3.危及“三安全一稳定”</w:t>
            </w:r>
          </w:p>
        </w:tc>
        <w:tc>
          <w:tcPr>
            <w:tcW w:w="829" w:type="dxa"/>
            <w:shd w:val="clear" w:color="auto" w:fill="auto"/>
            <w:tcMar>
              <w:left w:w="108" w:type="dxa"/>
              <w:right w:w="108" w:type="dxa"/>
            </w:tcMar>
            <w:vAlign w:val="center"/>
          </w:tcPr>
          <w:p w14:paraId="111C4B7F">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12E6D47">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9C0BE2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30EC0F8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4F90965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80346C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7B77948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7215E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7D05605">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58739A50">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0412CAF8">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4.</w:t>
            </w:r>
            <w:bookmarkStart w:id="3" w:name="_Hlk66974290"/>
            <w:r>
              <w:rPr>
                <w:rFonts w:hint="eastAsia" w:ascii="仿宋_GB2312" w:hAnsi="黑体" w:eastAsia="仿宋_GB2312"/>
                <w:b/>
                <w:bCs/>
                <w:color w:val="auto"/>
                <w:kern w:val="0"/>
                <w:szCs w:val="21"/>
              </w:rPr>
              <w:t>保护第三方合法权益</w:t>
            </w:r>
            <w:bookmarkEnd w:id="3"/>
          </w:p>
        </w:tc>
        <w:tc>
          <w:tcPr>
            <w:tcW w:w="829" w:type="dxa"/>
            <w:shd w:val="clear" w:color="auto" w:fill="auto"/>
            <w:tcMar>
              <w:left w:w="108" w:type="dxa"/>
              <w:right w:w="108" w:type="dxa"/>
            </w:tcMar>
            <w:vAlign w:val="center"/>
          </w:tcPr>
          <w:p w14:paraId="3048B181">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71592EC">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960F99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F43042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B3BBFA3">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B65B00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5CB2B67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42A06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AFA5790">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560DFB3B">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0B542C97">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5.属于三类内部事务信息</w:t>
            </w:r>
          </w:p>
        </w:tc>
        <w:tc>
          <w:tcPr>
            <w:tcW w:w="829" w:type="dxa"/>
            <w:shd w:val="clear" w:color="auto" w:fill="auto"/>
            <w:tcMar>
              <w:left w:w="108" w:type="dxa"/>
              <w:right w:w="108" w:type="dxa"/>
            </w:tcMar>
            <w:vAlign w:val="center"/>
          </w:tcPr>
          <w:p w14:paraId="307A7FA1">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B27DA26">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AA32353">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5B61A9B">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1A8748D5">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524FAB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E854E2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2FB7F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6F64288">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67E47EC7">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29905B7A">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6.</w:t>
            </w:r>
            <w:bookmarkStart w:id="4" w:name="_Hlk66974555"/>
            <w:r>
              <w:rPr>
                <w:rFonts w:hint="eastAsia" w:ascii="仿宋_GB2312" w:hAnsi="黑体" w:eastAsia="仿宋_GB2312"/>
                <w:b/>
                <w:bCs/>
                <w:color w:val="auto"/>
                <w:kern w:val="0"/>
                <w:szCs w:val="21"/>
              </w:rPr>
              <w:t>属于四类过程性信息</w:t>
            </w:r>
            <w:bookmarkEnd w:id="4"/>
          </w:p>
        </w:tc>
        <w:tc>
          <w:tcPr>
            <w:tcW w:w="829" w:type="dxa"/>
            <w:shd w:val="clear" w:color="auto" w:fill="auto"/>
            <w:tcMar>
              <w:left w:w="108" w:type="dxa"/>
              <w:right w:w="108" w:type="dxa"/>
            </w:tcMar>
            <w:vAlign w:val="center"/>
          </w:tcPr>
          <w:p w14:paraId="360F1C76">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F393C49">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10A0CC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1125746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0F4B6DD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56D112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48ACAA6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34FB3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0D7FEFB">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0744928D">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20EAB8AD">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7.属于行政执法案卷</w:t>
            </w:r>
          </w:p>
        </w:tc>
        <w:tc>
          <w:tcPr>
            <w:tcW w:w="829" w:type="dxa"/>
            <w:shd w:val="clear" w:color="auto" w:fill="auto"/>
            <w:tcMar>
              <w:left w:w="108" w:type="dxa"/>
              <w:right w:w="108" w:type="dxa"/>
            </w:tcMar>
            <w:vAlign w:val="center"/>
          </w:tcPr>
          <w:p w14:paraId="7E55FAE4">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56036992">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166B946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55C7EC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5096A10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57FBAD1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52747C7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10DC0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A23095E">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63D5EFDC">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72985D5C">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8.</w:t>
            </w:r>
            <w:bookmarkStart w:id="5" w:name="_Hlk66975211"/>
            <w:r>
              <w:rPr>
                <w:rFonts w:hint="eastAsia" w:ascii="仿宋_GB2312" w:hAnsi="黑体" w:eastAsia="仿宋_GB2312"/>
                <w:b/>
                <w:bCs/>
                <w:color w:val="auto"/>
                <w:kern w:val="0"/>
                <w:szCs w:val="21"/>
              </w:rPr>
              <w:t>属于行政查询事项</w:t>
            </w:r>
            <w:bookmarkEnd w:id="5"/>
          </w:p>
        </w:tc>
        <w:tc>
          <w:tcPr>
            <w:tcW w:w="829" w:type="dxa"/>
            <w:shd w:val="clear" w:color="auto" w:fill="auto"/>
            <w:tcMar>
              <w:left w:w="108" w:type="dxa"/>
              <w:right w:w="108" w:type="dxa"/>
            </w:tcMar>
            <w:vAlign w:val="center"/>
          </w:tcPr>
          <w:p w14:paraId="24265451">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FD94A8D">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A95AB2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86602F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B8C68E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6F5316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7E82668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2F0027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02E1878">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14:paraId="39CBE625">
            <w:pPr>
              <w:widowControl/>
              <w:spacing w:line="200" w:lineRule="exact"/>
              <w:ind w:left="-107" w:leftChars="-51"/>
              <w:rPr>
                <w:rFonts w:ascii="黑体" w:hAnsi="黑体" w:eastAsia="黑体"/>
                <w:b/>
                <w:bCs/>
                <w:color w:val="auto"/>
                <w:szCs w:val="21"/>
              </w:rPr>
            </w:pPr>
            <w:r>
              <w:rPr>
                <w:rFonts w:hint="eastAsia" w:ascii="黑体" w:hAnsi="黑体" w:eastAsia="黑体"/>
                <w:b/>
                <w:bCs/>
                <w:color w:val="auto"/>
                <w:kern w:val="0"/>
                <w:szCs w:val="21"/>
              </w:rPr>
              <w:t>（四）无法提供</w:t>
            </w:r>
          </w:p>
        </w:tc>
        <w:tc>
          <w:tcPr>
            <w:tcW w:w="2976" w:type="dxa"/>
            <w:shd w:val="clear" w:color="auto" w:fill="auto"/>
            <w:tcMar>
              <w:left w:w="108" w:type="dxa"/>
              <w:right w:w="108" w:type="dxa"/>
            </w:tcMar>
            <w:vAlign w:val="center"/>
          </w:tcPr>
          <w:p w14:paraId="0D658124">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1.本机关不掌握相关政府信息</w:t>
            </w:r>
          </w:p>
        </w:tc>
        <w:tc>
          <w:tcPr>
            <w:tcW w:w="829" w:type="dxa"/>
            <w:shd w:val="clear" w:color="auto" w:fill="auto"/>
            <w:tcMar>
              <w:left w:w="108" w:type="dxa"/>
              <w:right w:w="108" w:type="dxa"/>
            </w:tcMar>
            <w:vAlign w:val="center"/>
          </w:tcPr>
          <w:p w14:paraId="32C02109">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1D0D2FB">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5B8F18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5CFA70B">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4215936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2C0E2F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11DE230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170C8C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B290980">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0175B02B">
            <w:pPr>
              <w:spacing w:line="200" w:lineRule="exact"/>
              <w:ind w:left="-107" w:leftChars="-51"/>
              <w:rPr>
                <w:rFonts w:ascii="黑体" w:hAnsi="黑体" w:eastAsia="黑体"/>
                <w:b/>
                <w:bCs/>
                <w:color w:val="auto"/>
                <w:szCs w:val="21"/>
              </w:rPr>
            </w:pPr>
          </w:p>
        </w:tc>
        <w:tc>
          <w:tcPr>
            <w:tcW w:w="2976" w:type="dxa"/>
            <w:shd w:val="clear" w:color="auto" w:fill="auto"/>
            <w:tcMar>
              <w:left w:w="108" w:type="dxa"/>
              <w:right w:w="108" w:type="dxa"/>
            </w:tcMar>
            <w:vAlign w:val="center"/>
          </w:tcPr>
          <w:p w14:paraId="56224A18">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2.</w:t>
            </w:r>
            <w:bookmarkStart w:id="6" w:name="_Hlk66975392"/>
            <w:r>
              <w:rPr>
                <w:rFonts w:hint="eastAsia" w:ascii="仿宋_GB2312" w:hAnsi="黑体" w:eastAsia="仿宋_GB2312"/>
                <w:b/>
                <w:bCs/>
                <w:color w:val="auto"/>
                <w:kern w:val="0"/>
                <w:szCs w:val="21"/>
              </w:rPr>
              <w:t>没有现成信息需要另行制作</w:t>
            </w:r>
            <w:bookmarkEnd w:id="6"/>
          </w:p>
        </w:tc>
        <w:tc>
          <w:tcPr>
            <w:tcW w:w="829" w:type="dxa"/>
            <w:shd w:val="clear" w:color="auto" w:fill="auto"/>
            <w:tcMar>
              <w:left w:w="108" w:type="dxa"/>
              <w:right w:w="108" w:type="dxa"/>
            </w:tcMar>
            <w:vAlign w:val="center"/>
          </w:tcPr>
          <w:p w14:paraId="7CCB94E2">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9023C56">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198869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13717EB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497D7813">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1F8D7EA5">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5CAB655">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7ED2D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145A4C">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7B8041B0">
            <w:pPr>
              <w:spacing w:line="200" w:lineRule="exact"/>
              <w:ind w:left="-107" w:leftChars="-51"/>
              <w:rPr>
                <w:rFonts w:ascii="黑体" w:hAnsi="黑体" w:eastAsia="黑体"/>
                <w:b/>
                <w:bCs/>
                <w:color w:val="auto"/>
                <w:szCs w:val="21"/>
              </w:rPr>
            </w:pPr>
          </w:p>
        </w:tc>
        <w:tc>
          <w:tcPr>
            <w:tcW w:w="2976" w:type="dxa"/>
            <w:shd w:val="clear" w:color="auto" w:fill="auto"/>
            <w:tcMar>
              <w:left w:w="108" w:type="dxa"/>
              <w:right w:w="108" w:type="dxa"/>
            </w:tcMar>
            <w:vAlign w:val="center"/>
          </w:tcPr>
          <w:p w14:paraId="442B178B">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3.</w:t>
            </w:r>
            <w:bookmarkStart w:id="7" w:name="_Hlk66975466"/>
            <w:r>
              <w:rPr>
                <w:rFonts w:hint="eastAsia" w:ascii="仿宋_GB2312" w:hAnsi="黑体" w:eastAsia="仿宋_GB2312"/>
                <w:b/>
                <w:bCs/>
                <w:color w:val="auto"/>
                <w:kern w:val="0"/>
                <w:szCs w:val="21"/>
              </w:rPr>
              <w:t>补正后申请内容仍不明确</w:t>
            </w:r>
            <w:bookmarkEnd w:id="7"/>
          </w:p>
        </w:tc>
        <w:tc>
          <w:tcPr>
            <w:tcW w:w="829" w:type="dxa"/>
            <w:shd w:val="clear" w:color="auto" w:fill="auto"/>
            <w:tcMar>
              <w:left w:w="108" w:type="dxa"/>
              <w:right w:w="108" w:type="dxa"/>
            </w:tcMar>
            <w:vAlign w:val="center"/>
          </w:tcPr>
          <w:p w14:paraId="47BFB7AF">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C27167F">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BCF9B7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F35890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5147FF50">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2938C8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13ABAFE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0D2512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25448E2">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14:paraId="53A3AD48">
            <w:pPr>
              <w:widowControl/>
              <w:spacing w:line="200" w:lineRule="exact"/>
              <w:ind w:left="-107" w:leftChars="-51"/>
              <w:rPr>
                <w:rFonts w:ascii="黑体" w:hAnsi="黑体" w:eastAsia="黑体"/>
                <w:b/>
                <w:bCs/>
                <w:color w:val="auto"/>
                <w:szCs w:val="21"/>
              </w:rPr>
            </w:pPr>
            <w:r>
              <w:rPr>
                <w:rFonts w:hint="eastAsia" w:ascii="黑体" w:hAnsi="黑体" w:eastAsia="黑体"/>
                <w:b/>
                <w:bCs/>
                <w:color w:val="auto"/>
                <w:kern w:val="0"/>
                <w:szCs w:val="21"/>
              </w:rPr>
              <w:t>（五）不予处理</w:t>
            </w:r>
          </w:p>
        </w:tc>
        <w:tc>
          <w:tcPr>
            <w:tcW w:w="2976" w:type="dxa"/>
            <w:shd w:val="clear" w:color="auto" w:fill="auto"/>
            <w:tcMar>
              <w:left w:w="108" w:type="dxa"/>
              <w:right w:w="108" w:type="dxa"/>
            </w:tcMar>
            <w:vAlign w:val="center"/>
          </w:tcPr>
          <w:p w14:paraId="795E7252">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1.</w:t>
            </w:r>
            <w:bookmarkStart w:id="8" w:name="_Hlk66975537"/>
            <w:r>
              <w:rPr>
                <w:rFonts w:hint="eastAsia" w:ascii="仿宋_GB2312" w:hAnsi="黑体" w:eastAsia="仿宋_GB2312"/>
                <w:b/>
                <w:bCs/>
                <w:color w:val="auto"/>
                <w:kern w:val="0"/>
                <w:szCs w:val="21"/>
              </w:rPr>
              <w:t>信访举报投诉类申请</w:t>
            </w:r>
            <w:bookmarkEnd w:id="8"/>
          </w:p>
        </w:tc>
        <w:tc>
          <w:tcPr>
            <w:tcW w:w="829" w:type="dxa"/>
            <w:shd w:val="clear" w:color="auto" w:fill="auto"/>
            <w:tcMar>
              <w:left w:w="108" w:type="dxa"/>
              <w:right w:w="108" w:type="dxa"/>
            </w:tcMar>
            <w:vAlign w:val="center"/>
          </w:tcPr>
          <w:p w14:paraId="7B5FE1E7">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631E285">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7896C10">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5C4DB7A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4B9BC4D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847F67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6406C44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5FE36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45DF87">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7DC19086">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104CB1F9">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2.重复申请</w:t>
            </w:r>
          </w:p>
        </w:tc>
        <w:tc>
          <w:tcPr>
            <w:tcW w:w="829" w:type="dxa"/>
            <w:shd w:val="clear" w:color="auto" w:fill="auto"/>
            <w:tcMar>
              <w:left w:w="108" w:type="dxa"/>
              <w:right w:w="108" w:type="dxa"/>
            </w:tcMar>
            <w:vAlign w:val="center"/>
          </w:tcPr>
          <w:p w14:paraId="0EA755C7">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1CC37245">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514A82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6DF684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6ADC9ED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63A32A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1CF41AC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09A45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D94305A">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6248D433">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5B5C4C03">
            <w:pPr>
              <w:widowControl/>
              <w:spacing w:line="200" w:lineRule="exact"/>
              <w:rPr>
                <w:rFonts w:ascii="仿宋_GB2312" w:hAnsi="黑体" w:eastAsia="仿宋_GB2312"/>
                <w:b/>
                <w:bCs/>
                <w:color w:val="auto"/>
                <w:szCs w:val="21"/>
              </w:rPr>
            </w:pPr>
            <w:r>
              <w:rPr>
                <w:rFonts w:hint="eastAsia" w:ascii="仿宋_GB2312" w:hAnsi="黑体" w:eastAsia="仿宋_GB2312"/>
                <w:b/>
                <w:bCs/>
                <w:color w:val="auto"/>
                <w:kern w:val="0"/>
                <w:szCs w:val="21"/>
              </w:rPr>
              <w:t>3.要求提供公开出版物</w:t>
            </w:r>
          </w:p>
        </w:tc>
        <w:tc>
          <w:tcPr>
            <w:tcW w:w="829" w:type="dxa"/>
            <w:shd w:val="clear" w:color="auto" w:fill="auto"/>
            <w:tcMar>
              <w:left w:w="108" w:type="dxa"/>
              <w:right w:w="108" w:type="dxa"/>
            </w:tcMar>
            <w:vAlign w:val="center"/>
          </w:tcPr>
          <w:p w14:paraId="4CC2DB2B">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EAD2E92">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3A4ABC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37A6A2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499CBA0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CEB32A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33B8804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29DD5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3E5634F">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500DB020">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0B990CA3">
            <w:pPr>
              <w:widowControl/>
              <w:spacing w:line="200" w:lineRule="exact"/>
              <w:rPr>
                <w:rFonts w:ascii="仿宋_GB2312" w:hAnsi="黑体" w:eastAsia="仿宋_GB2312"/>
                <w:b/>
                <w:bCs/>
                <w:color w:val="auto"/>
                <w:szCs w:val="21"/>
              </w:rPr>
            </w:pPr>
            <w:r>
              <w:rPr>
                <w:rFonts w:hint="eastAsia" w:ascii="仿宋_GB2312" w:hAnsi="黑体" w:eastAsia="仿宋_GB2312"/>
                <w:b/>
                <w:bCs/>
                <w:color w:val="auto"/>
                <w:kern w:val="0"/>
                <w:szCs w:val="21"/>
              </w:rPr>
              <w:t>4.无正当理由大量反复申请</w:t>
            </w:r>
          </w:p>
        </w:tc>
        <w:tc>
          <w:tcPr>
            <w:tcW w:w="829" w:type="dxa"/>
            <w:shd w:val="clear" w:color="auto" w:fill="auto"/>
            <w:tcMar>
              <w:left w:w="108" w:type="dxa"/>
              <w:right w:w="108" w:type="dxa"/>
            </w:tcMar>
            <w:vAlign w:val="center"/>
          </w:tcPr>
          <w:p w14:paraId="78483679">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5184D91">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29BC39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146F831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C02D55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C2C06C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9DFD4E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7740D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B31A3E5">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7A0CF13F">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14:paraId="7A0E0FF4">
            <w:pPr>
              <w:widowControl/>
              <w:spacing w:line="3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5.要求行政机关确认或重新</w:t>
            </w:r>
          </w:p>
          <w:p w14:paraId="70FFB205">
            <w:pPr>
              <w:widowControl/>
              <w:spacing w:line="300" w:lineRule="exact"/>
              <w:ind w:firstLine="211" w:firstLineChars="100"/>
              <w:rPr>
                <w:rFonts w:ascii="仿宋_GB2312" w:hAnsi="黑体" w:eastAsia="仿宋_GB2312"/>
                <w:b/>
                <w:bCs/>
                <w:color w:val="auto"/>
                <w:szCs w:val="21"/>
              </w:rPr>
            </w:pPr>
            <w:r>
              <w:rPr>
                <w:rFonts w:hint="eastAsia" w:ascii="仿宋_GB2312" w:hAnsi="黑体" w:eastAsia="仿宋_GB2312"/>
                <w:b/>
                <w:bCs/>
                <w:color w:val="auto"/>
                <w:kern w:val="0"/>
                <w:szCs w:val="21"/>
              </w:rPr>
              <w:t>出具已获取信息</w:t>
            </w:r>
          </w:p>
        </w:tc>
        <w:tc>
          <w:tcPr>
            <w:tcW w:w="829" w:type="dxa"/>
            <w:shd w:val="clear" w:color="auto" w:fill="auto"/>
            <w:tcMar>
              <w:left w:w="108" w:type="dxa"/>
              <w:right w:w="108" w:type="dxa"/>
            </w:tcMar>
            <w:vAlign w:val="center"/>
          </w:tcPr>
          <w:p w14:paraId="5D21EE6F">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0A84F809">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6DFC47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D7AC06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C9FF26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4DB970B">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31D2E52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2CB58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29145AB">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14:paraId="7A4C1EE5">
            <w:pPr>
              <w:widowControl/>
              <w:spacing w:line="300" w:lineRule="exact"/>
              <w:rPr>
                <w:rFonts w:ascii="黑体" w:hAnsi="黑体" w:eastAsia="黑体"/>
                <w:b/>
                <w:bCs/>
                <w:color w:val="auto"/>
                <w:kern w:val="0"/>
                <w:szCs w:val="21"/>
              </w:rPr>
            </w:pPr>
            <w:r>
              <w:rPr>
                <w:rFonts w:hint="eastAsia" w:ascii="黑体" w:hAnsi="黑体" w:eastAsia="黑体"/>
                <w:b/>
                <w:bCs/>
                <w:color w:val="auto"/>
                <w:kern w:val="0"/>
                <w:szCs w:val="21"/>
              </w:rPr>
              <w:t>（六）其他处理</w:t>
            </w:r>
          </w:p>
        </w:tc>
        <w:tc>
          <w:tcPr>
            <w:tcW w:w="2976" w:type="dxa"/>
            <w:shd w:val="clear" w:color="auto" w:fill="auto"/>
            <w:vAlign w:val="center"/>
          </w:tcPr>
          <w:p w14:paraId="48365A78">
            <w:pPr>
              <w:widowControl/>
              <w:spacing w:line="300" w:lineRule="exact"/>
              <w:rPr>
                <w:rFonts w:ascii="仿宋_GB2312" w:hAnsi="楷体" w:eastAsia="仿宋_GB2312"/>
                <w:b/>
                <w:bCs/>
                <w:color w:val="auto"/>
              </w:rPr>
            </w:pPr>
            <w:r>
              <w:rPr>
                <w:rFonts w:hint="eastAsia" w:ascii="仿宋_GB2312" w:hAnsi="楷体" w:eastAsia="仿宋_GB2312"/>
                <w:b/>
                <w:bCs/>
                <w:color w:val="auto"/>
              </w:rPr>
              <w:t>1.申请人无正当理由逾期不补正、行政机关不再处理其政府信息公开申请</w:t>
            </w:r>
          </w:p>
        </w:tc>
        <w:tc>
          <w:tcPr>
            <w:tcW w:w="829" w:type="dxa"/>
            <w:shd w:val="clear" w:color="auto" w:fill="auto"/>
            <w:tcMar>
              <w:left w:w="108" w:type="dxa"/>
              <w:right w:w="108" w:type="dxa"/>
            </w:tcMar>
            <w:vAlign w:val="center"/>
          </w:tcPr>
          <w:p w14:paraId="16C00547">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91DD514">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6BF8042">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104922C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D420B05">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CC7A6CB">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5D0EC1D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6F5B8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CF20107">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7BD6EBCA">
            <w:pPr>
              <w:widowControl/>
              <w:spacing w:line="300" w:lineRule="exact"/>
              <w:rPr>
                <w:rFonts w:ascii="黑体" w:hAnsi="黑体" w:eastAsia="黑体"/>
                <w:b/>
                <w:bCs/>
                <w:color w:val="auto"/>
                <w:kern w:val="0"/>
                <w:szCs w:val="21"/>
              </w:rPr>
            </w:pPr>
          </w:p>
        </w:tc>
        <w:tc>
          <w:tcPr>
            <w:tcW w:w="2976" w:type="dxa"/>
            <w:shd w:val="clear" w:color="auto" w:fill="auto"/>
            <w:vAlign w:val="center"/>
          </w:tcPr>
          <w:p w14:paraId="75C5C513">
            <w:pPr>
              <w:widowControl/>
              <w:spacing w:line="300" w:lineRule="exact"/>
              <w:rPr>
                <w:rFonts w:ascii="仿宋_GB2312" w:hAnsi="黑体" w:eastAsia="仿宋_GB2312"/>
                <w:b/>
                <w:bCs/>
                <w:color w:val="auto"/>
                <w:kern w:val="0"/>
                <w:szCs w:val="21"/>
              </w:rPr>
            </w:pPr>
            <w:r>
              <w:rPr>
                <w:rFonts w:hint="eastAsia" w:ascii="仿宋_GB2312" w:hAnsi="楷体" w:eastAsia="仿宋_GB2312"/>
                <w:b/>
                <w:bCs/>
                <w:color w:val="auto"/>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40B73D5F">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5FC0421">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5BA34CD7">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456677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0E680E0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3BB7D125">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59A2237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7A6C30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ECABC0E">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14:paraId="47B2969D">
            <w:pPr>
              <w:widowControl/>
              <w:spacing w:line="300" w:lineRule="exact"/>
              <w:rPr>
                <w:rFonts w:ascii="黑体" w:hAnsi="黑体" w:eastAsia="黑体"/>
                <w:b/>
                <w:bCs/>
                <w:color w:val="auto"/>
                <w:kern w:val="0"/>
                <w:szCs w:val="21"/>
              </w:rPr>
            </w:pPr>
          </w:p>
        </w:tc>
        <w:tc>
          <w:tcPr>
            <w:tcW w:w="2976" w:type="dxa"/>
            <w:shd w:val="clear" w:color="auto" w:fill="auto"/>
            <w:vAlign w:val="center"/>
          </w:tcPr>
          <w:p w14:paraId="17B0003F">
            <w:pPr>
              <w:widowControl/>
              <w:spacing w:line="300" w:lineRule="exact"/>
              <w:rPr>
                <w:rFonts w:ascii="仿宋_GB2312" w:hAnsi="黑体" w:eastAsia="仿宋_GB2312"/>
                <w:b/>
                <w:bCs/>
                <w:color w:val="auto"/>
                <w:kern w:val="0"/>
                <w:szCs w:val="21"/>
              </w:rPr>
            </w:pPr>
            <w:r>
              <w:rPr>
                <w:rFonts w:hint="eastAsia" w:ascii="仿宋_GB2312" w:hAnsi="楷体" w:eastAsia="仿宋_GB2312"/>
                <w:b/>
                <w:bCs/>
                <w:color w:val="auto"/>
              </w:rPr>
              <w:t>3.其他</w:t>
            </w:r>
          </w:p>
        </w:tc>
        <w:tc>
          <w:tcPr>
            <w:tcW w:w="829" w:type="dxa"/>
            <w:shd w:val="clear" w:color="auto" w:fill="auto"/>
            <w:tcMar>
              <w:left w:w="108" w:type="dxa"/>
              <w:right w:w="108" w:type="dxa"/>
            </w:tcMar>
            <w:vAlign w:val="center"/>
          </w:tcPr>
          <w:p w14:paraId="2AAD1253">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1E787402">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62DCD6C">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4D6DC85E">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4E2711BD">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59C4DF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11D8AF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14:paraId="23834B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15E6232">
            <w:pPr>
              <w:rPr>
                <w:rFonts w:ascii="黑体" w:hAnsi="黑体" w:eastAsia="黑体"/>
                <w:b/>
                <w:bCs/>
                <w:color w:val="auto"/>
                <w:szCs w:val="21"/>
              </w:rPr>
            </w:pPr>
          </w:p>
        </w:tc>
        <w:tc>
          <w:tcPr>
            <w:tcW w:w="4677" w:type="dxa"/>
            <w:gridSpan w:val="2"/>
            <w:shd w:val="clear" w:color="auto" w:fill="auto"/>
            <w:tcMar>
              <w:left w:w="108" w:type="dxa"/>
              <w:right w:w="108" w:type="dxa"/>
            </w:tcMar>
            <w:vAlign w:val="center"/>
          </w:tcPr>
          <w:p w14:paraId="2BC7D487">
            <w:pPr>
              <w:widowControl/>
              <w:spacing w:line="300" w:lineRule="exact"/>
              <w:rPr>
                <w:rFonts w:ascii="黑体" w:hAnsi="黑体" w:eastAsia="黑体"/>
                <w:b/>
                <w:bCs/>
                <w:color w:val="auto"/>
                <w:kern w:val="0"/>
                <w:szCs w:val="21"/>
              </w:rPr>
            </w:pPr>
            <w:r>
              <w:rPr>
                <w:rFonts w:hint="eastAsia" w:ascii="黑体" w:hAnsi="黑体" w:eastAsia="黑体"/>
                <w:b/>
                <w:bCs/>
                <w:color w:val="auto"/>
                <w:kern w:val="0"/>
                <w:szCs w:val="21"/>
              </w:rPr>
              <w:t>（七）总计</w:t>
            </w:r>
          </w:p>
        </w:tc>
        <w:tc>
          <w:tcPr>
            <w:tcW w:w="829" w:type="dxa"/>
            <w:shd w:val="clear" w:color="auto" w:fill="auto"/>
            <w:tcMar>
              <w:left w:w="108" w:type="dxa"/>
              <w:right w:w="108" w:type="dxa"/>
            </w:tcMar>
            <w:vAlign w:val="center"/>
          </w:tcPr>
          <w:p w14:paraId="523B4267">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2</w:t>
            </w:r>
          </w:p>
        </w:tc>
        <w:tc>
          <w:tcPr>
            <w:tcW w:w="567" w:type="dxa"/>
            <w:shd w:val="clear" w:color="auto" w:fill="auto"/>
            <w:tcMar>
              <w:left w:w="108" w:type="dxa"/>
              <w:right w:w="108" w:type="dxa"/>
            </w:tcMar>
            <w:vAlign w:val="center"/>
          </w:tcPr>
          <w:p w14:paraId="4D13418E">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7C97A2D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1999C1E6">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1B1C18B8">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43F34F6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32AF11FF">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2</w:t>
            </w:r>
          </w:p>
        </w:tc>
      </w:tr>
      <w:tr w14:paraId="38F51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1F551F9A">
            <w:pPr>
              <w:widowControl/>
              <w:spacing w:line="300" w:lineRule="exact"/>
              <w:rPr>
                <w:rFonts w:ascii="黑体" w:hAnsi="黑体" w:eastAsia="黑体"/>
                <w:b/>
                <w:bCs/>
                <w:color w:val="auto"/>
                <w:kern w:val="0"/>
                <w:szCs w:val="21"/>
              </w:rPr>
            </w:pPr>
            <w:r>
              <w:rPr>
                <w:rFonts w:hint="eastAsia" w:ascii="黑体" w:hAnsi="黑体" w:eastAsia="黑体"/>
                <w:b/>
                <w:bCs/>
                <w:color w:val="auto"/>
                <w:kern w:val="0"/>
                <w:szCs w:val="21"/>
              </w:rPr>
              <w:t>四、结转下年度继续办理</w:t>
            </w:r>
          </w:p>
        </w:tc>
        <w:tc>
          <w:tcPr>
            <w:tcW w:w="829" w:type="dxa"/>
            <w:shd w:val="clear" w:color="auto" w:fill="auto"/>
            <w:tcMar>
              <w:left w:w="108" w:type="dxa"/>
              <w:right w:w="108" w:type="dxa"/>
            </w:tcMar>
            <w:vAlign w:val="center"/>
          </w:tcPr>
          <w:p w14:paraId="4DE0D8AE">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160DC828">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6CD49161">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14:paraId="7CCA3CF0">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14:paraId="2D071AC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14:paraId="2401FAF4">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14:paraId="230BE3DA">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bl>
    <w:p w14:paraId="3A51D554">
      <w:pPr>
        <w:pStyle w:val="2"/>
        <w:keepNext w:val="0"/>
        <w:keepLines w:val="0"/>
        <w:widowControl/>
        <w:numPr>
          <w:ilvl w:val="0"/>
          <w:numId w:val="0"/>
        </w:numPr>
        <w:suppressLineNumbers w:val="0"/>
        <w:spacing w:after="75" w:afterAutospacing="0" w:line="315" w:lineRule="atLeast"/>
        <w:ind w:left="0" w:leftChars="0" w:right="0" w:rightChars="0" w:firstLine="420" w:firstLineChars="0"/>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kern w:val="0"/>
          <w:sz w:val="32"/>
          <w:szCs w:val="32"/>
          <w:lang w:val="en-US" w:eastAsia="zh-CN" w:bidi="ar"/>
        </w:rPr>
        <w:t>四、</w:t>
      </w:r>
      <w:r>
        <w:rPr>
          <w:rFonts w:hint="eastAsia" w:ascii="方正黑体简体" w:hAnsi="方正黑体简体" w:eastAsia="方正黑体简体" w:cs="方正黑体简体"/>
          <w:color w:val="auto"/>
          <w:sz w:val="32"/>
          <w:szCs w:val="32"/>
        </w:rPr>
        <w:t>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6B3B8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C4B5D68">
            <w:pPr>
              <w:widowControl/>
              <w:jc w:val="center"/>
              <w:rPr>
                <w:rFonts w:ascii="黑体" w:hAnsi="黑体" w:eastAsia="黑体"/>
                <w:b/>
                <w:bCs/>
                <w:color w:val="auto"/>
              </w:rPr>
            </w:pPr>
            <w:r>
              <w:rPr>
                <w:rFonts w:ascii="黑体" w:hAnsi="黑体" w:eastAsia="黑体"/>
                <w:b/>
                <w:bCs/>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3034B2">
            <w:pPr>
              <w:widowControl/>
              <w:jc w:val="center"/>
              <w:rPr>
                <w:rFonts w:ascii="黑体" w:hAnsi="黑体" w:eastAsia="黑体"/>
                <w:b/>
                <w:bCs/>
                <w:color w:val="auto"/>
              </w:rPr>
            </w:pPr>
            <w:r>
              <w:rPr>
                <w:rFonts w:ascii="黑体" w:hAnsi="黑体" w:eastAsia="黑体"/>
                <w:b/>
                <w:bCs/>
                <w:color w:val="auto"/>
                <w:kern w:val="0"/>
                <w:sz w:val="20"/>
                <w:szCs w:val="20"/>
              </w:rPr>
              <w:t>行政诉讼</w:t>
            </w:r>
          </w:p>
        </w:tc>
      </w:tr>
      <w:tr w14:paraId="5B66BF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28E4040">
            <w:pPr>
              <w:widowControl/>
              <w:ind w:left="-149" w:leftChars="-71" w:right="-170" w:rightChars="-81"/>
              <w:jc w:val="center"/>
              <w:rPr>
                <w:rFonts w:ascii="黑体" w:hAnsi="黑体" w:eastAsia="黑体"/>
                <w:b/>
                <w:bCs/>
                <w:color w:val="auto"/>
                <w:kern w:val="0"/>
                <w:sz w:val="20"/>
                <w:szCs w:val="20"/>
              </w:rPr>
            </w:pPr>
            <w:r>
              <w:rPr>
                <w:rFonts w:ascii="黑体" w:hAnsi="黑体" w:eastAsia="黑体"/>
                <w:b/>
                <w:bCs/>
                <w:color w:val="auto"/>
                <w:kern w:val="0"/>
                <w:sz w:val="20"/>
                <w:szCs w:val="20"/>
              </w:rPr>
              <w:t>结果</w:t>
            </w:r>
          </w:p>
          <w:p w14:paraId="0956AEBE">
            <w:pPr>
              <w:widowControl/>
              <w:ind w:left="-149" w:leftChars="-71" w:right="-170" w:rightChars="-81"/>
              <w:jc w:val="center"/>
              <w:rPr>
                <w:rFonts w:ascii="黑体" w:hAnsi="黑体" w:eastAsia="黑体"/>
                <w:b/>
                <w:bCs/>
                <w:color w:val="auto"/>
              </w:rPr>
            </w:pPr>
            <w:r>
              <w:rPr>
                <w:rFonts w:ascii="黑体" w:hAnsi="黑体" w:eastAsia="黑体"/>
                <w:b/>
                <w:bCs/>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A0B7258">
            <w:pPr>
              <w:widowControl/>
              <w:ind w:left="-43" w:leftChars="-21" w:right="-132" w:rightChars="-63" w:hanging="1"/>
              <w:jc w:val="center"/>
              <w:rPr>
                <w:rFonts w:ascii="黑体" w:hAnsi="黑体" w:eastAsia="黑体"/>
                <w:b/>
                <w:bCs/>
                <w:color w:val="auto"/>
              </w:rPr>
            </w:pPr>
            <w:r>
              <w:rPr>
                <w:rFonts w:ascii="黑体" w:hAnsi="黑体" w:eastAsia="黑体"/>
                <w:b/>
                <w:bCs/>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991692">
            <w:pPr>
              <w:widowControl/>
              <w:ind w:left="-82" w:leftChars="-39" w:right="-97" w:rightChars="-46"/>
              <w:jc w:val="center"/>
              <w:rPr>
                <w:rFonts w:ascii="黑体" w:hAnsi="黑体" w:eastAsia="黑体"/>
                <w:b/>
                <w:bCs/>
                <w:color w:val="auto"/>
              </w:rPr>
            </w:pPr>
            <w:r>
              <w:rPr>
                <w:rFonts w:ascii="黑体" w:hAnsi="黑体" w:eastAsia="黑体"/>
                <w:b/>
                <w:bCs/>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1A9D13">
            <w:pPr>
              <w:widowControl/>
              <w:ind w:left="-118" w:leftChars="-56" w:right="-118" w:rightChars="-56"/>
              <w:jc w:val="center"/>
              <w:rPr>
                <w:rFonts w:ascii="黑体" w:hAnsi="黑体" w:eastAsia="黑体"/>
                <w:b/>
                <w:bCs/>
                <w:color w:val="auto"/>
                <w:kern w:val="0"/>
                <w:sz w:val="20"/>
                <w:szCs w:val="20"/>
              </w:rPr>
            </w:pPr>
            <w:r>
              <w:rPr>
                <w:rFonts w:ascii="黑体" w:hAnsi="黑体" w:eastAsia="黑体"/>
                <w:b/>
                <w:bCs/>
                <w:color w:val="auto"/>
                <w:kern w:val="0"/>
                <w:sz w:val="20"/>
                <w:szCs w:val="20"/>
              </w:rPr>
              <w:t>尚未</w:t>
            </w:r>
          </w:p>
          <w:p w14:paraId="673A1FC5">
            <w:pPr>
              <w:widowControl/>
              <w:ind w:left="-118" w:leftChars="-56" w:right="-118" w:rightChars="-56"/>
              <w:jc w:val="center"/>
              <w:rPr>
                <w:rFonts w:ascii="黑体" w:hAnsi="黑体" w:eastAsia="黑体"/>
                <w:b/>
                <w:bCs/>
                <w:color w:val="auto"/>
              </w:rPr>
            </w:pPr>
            <w:r>
              <w:rPr>
                <w:rFonts w:ascii="黑体" w:hAnsi="黑体" w:eastAsia="黑体"/>
                <w:b/>
                <w:bCs/>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135BF9">
            <w:pPr>
              <w:widowControl/>
              <w:spacing w:line="320" w:lineRule="exact"/>
              <w:jc w:val="center"/>
              <w:rPr>
                <w:rFonts w:ascii="黑体" w:hAnsi="黑体" w:eastAsia="黑体"/>
                <w:b/>
                <w:bCs/>
                <w:color w:val="auto"/>
                <w:kern w:val="0"/>
                <w:sz w:val="20"/>
                <w:szCs w:val="20"/>
              </w:rPr>
            </w:pPr>
            <w:r>
              <w:rPr>
                <w:rFonts w:ascii="黑体" w:hAnsi="黑体" w:eastAsia="黑体"/>
                <w:b/>
                <w:bCs/>
                <w:color w:val="auto"/>
                <w:kern w:val="0"/>
                <w:sz w:val="20"/>
                <w:szCs w:val="20"/>
              </w:rPr>
              <w:t>总</w:t>
            </w:r>
          </w:p>
          <w:p w14:paraId="7FE32F7C">
            <w:pPr>
              <w:widowControl/>
              <w:spacing w:line="320" w:lineRule="exact"/>
              <w:jc w:val="center"/>
              <w:rPr>
                <w:rFonts w:ascii="黑体" w:hAnsi="黑体" w:eastAsia="黑体"/>
                <w:b/>
                <w:bCs/>
                <w:color w:val="auto"/>
              </w:rPr>
            </w:pPr>
            <w:r>
              <w:rPr>
                <w:rFonts w:ascii="黑体" w:hAnsi="黑体" w:eastAsia="黑体"/>
                <w:b/>
                <w:bCs/>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9B5EA5A">
            <w:pPr>
              <w:widowControl/>
              <w:jc w:val="center"/>
              <w:rPr>
                <w:rFonts w:ascii="黑体" w:hAnsi="黑体" w:eastAsia="黑体"/>
                <w:b/>
                <w:bCs/>
                <w:color w:val="auto"/>
              </w:rPr>
            </w:pPr>
            <w:r>
              <w:rPr>
                <w:rFonts w:ascii="黑体" w:hAnsi="黑体" w:eastAsia="黑体"/>
                <w:b/>
                <w:bCs/>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35B9CA">
            <w:pPr>
              <w:widowControl/>
              <w:jc w:val="center"/>
              <w:rPr>
                <w:rFonts w:ascii="黑体" w:hAnsi="黑体" w:eastAsia="黑体"/>
                <w:b/>
                <w:bCs/>
                <w:color w:val="auto"/>
              </w:rPr>
            </w:pPr>
            <w:bookmarkStart w:id="9" w:name="_Hlk67039688"/>
            <w:r>
              <w:rPr>
                <w:rFonts w:ascii="黑体" w:hAnsi="黑体" w:eastAsia="黑体"/>
                <w:b/>
                <w:bCs/>
                <w:color w:val="auto"/>
                <w:kern w:val="0"/>
                <w:sz w:val="20"/>
                <w:szCs w:val="20"/>
              </w:rPr>
              <w:t>复议后起诉</w:t>
            </w:r>
            <w:bookmarkEnd w:id="9"/>
          </w:p>
        </w:tc>
      </w:tr>
      <w:tr w14:paraId="2E9250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85259F8">
            <w:pPr>
              <w:rPr>
                <w:rFonts w:ascii="黑体" w:hAnsi="黑体" w:eastAsia="黑体"/>
                <w:b/>
                <w:bCs/>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AA88DBB">
            <w:pPr>
              <w:rPr>
                <w:rFonts w:ascii="黑体" w:hAnsi="黑体" w:eastAsia="黑体"/>
                <w:b/>
                <w:bCs/>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0062E77">
            <w:pPr>
              <w:rPr>
                <w:rFonts w:ascii="黑体" w:hAnsi="黑体" w:eastAsia="黑体"/>
                <w:b/>
                <w:bCs/>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8AD104">
            <w:pPr>
              <w:rPr>
                <w:rFonts w:ascii="黑体" w:hAnsi="黑体" w:eastAsia="黑体"/>
                <w:b/>
                <w:bCs/>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58BE86C">
            <w:pPr>
              <w:rPr>
                <w:rFonts w:ascii="黑体" w:hAnsi="黑体" w:eastAsia="黑体"/>
                <w:b/>
                <w:bCs/>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F92F9F4">
            <w:pPr>
              <w:widowControl/>
              <w:ind w:left="-105" w:leftChars="-50" w:right="-126" w:rightChars="-60"/>
              <w:jc w:val="center"/>
              <w:rPr>
                <w:rFonts w:ascii="黑体" w:hAnsi="黑体" w:eastAsia="黑体"/>
                <w:b/>
                <w:bCs/>
                <w:color w:val="auto"/>
              </w:rPr>
            </w:pPr>
            <w:r>
              <w:rPr>
                <w:rFonts w:ascii="黑体" w:hAnsi="黑体" w:eastAsia="黑体"/>
                <w:b/>
                <w:bCs/>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5296A40">
            <w:pPr>
              <w:widowControl/>
              <w:ind w:left="-86" w:leftChars="-41" w:right="-88" w:rightChars="-42"/>
              <w:jc w:val="center"/>
              <w:rPr>
                <w:rFonts w:ascii="黑体" w:hAnsi="黑体" w:eastAsia="黑体"/>
                <w:b/>
                <w:bCs/>
                <w:color w:val="auto"/>
              </w:rPr>
            </w:pPr>
            <w:r>
              <w:rPr>
                <w:rFonts w:ascii="黑体" w:hAnsi="黑体" w:eastAsia="黑体"/>
                <w:b/>
                <w:bCs/>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8F965E5">
            <w:pPr>
              <w:widowControl/>
              <w:ind w:left="-126" w:leftChars="-60" w:right="-136" w:rightChars="-65"/>
              <w:jc w:val="center"/>
              <w:rPr>
                <w:rFonts w:ascii="黑体" w:hAnsi="黑体" w:eastAsia="黑体"/>
                <w:b/>
                <w:bCs/>
                <w:color w:val="auto"/>
                <w:kern w:val="0"/>
                <w:sz w:val="20"/>
                <w:szCs w:val="20"/>
              </w:rPr>
            </w:pPr>
            <w:r>
              <w:rPr>
                <w:rFonts w:ascii="黑体" w:hAnsi="黑体" w:eastAsia="黑体"/>
                <w:b/>
                <w:bCs/>
                <w:color w:val="auto"/>
                <w:kern w:val="0"/>
                <w:sz w:val="20"/>
                <w:szCs w:val="20"/>
              </w:rPr>
              <w:t>其他</w:t>
            </w:r>
          </w:p>
          <w:p w14:paraId="3AECF6E4">
            <w:pPr>
              <w:widowControl/>
              <w:ind w:left="-126" w:leftChars="-60" w:right="-136" w:rightChars="-65"/>
              <w:jc w:val="center"/>
              <w:rPr>
                <w:rFonts w:ascii="黑体" w:hAnsi="黑体" w:eastAsia="黑体"/>
                <w:b/>
                <w:bCs/>
                <w:color w:val="auto"/>
              </w:rPr>
            </w:pPr>
            <w:r>
              <w:rPr>
                <w:rFonts w:ascii="黑体" w:hAnsi="黑体" w:eastAsia="黑体"/>
                <w:b/>
                <w:bCs/>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EDB508">
            <w:pPr>
              <w:widowControl/>
              <w:ind w:left="-164" w:leftChars="-78" w:right="-153" w:rightChars="-73"/>
              <w:jc w:val="center"/>
              <w:rPr>
                <w:rFonts w:ascii="黑体" w:hAnsi="黑体" w:eastAsia="黑体"/>
                <w:b/>
                <w:bCs/>
                <w:color w:val="auto"/>
                <w:kern w:val="0"/>
                <w:sz w:val="20"/>
                <w:szCs w:val="20"/>
              </w:rPr>
            </w:pPr>
            <w:r>
              <w:rPr>
                <w:rFonts w:ascii="黑体" w:hAnsi="黑体" w:eastAsia="黑体"/>
                <w:b/>
                <w:bCs/>
                <w:color w:val="auto"/>
                <w:kern w:val="0"/>
                <w:sz w:val="20"/>
                <w:szCs w:val="20"/>
              </w:rPr>
              <w:t>尚未</w:t>
            </w:r>
          </w:p>
          <w:p w14:paraId="44B3BF52">
            <w:pPr>
              <w:widowControl/>
              <w:ind w:left="-164" w:leftChars="-78" w:right="-153" w:rightChars="-73"/>
              <w:jc w:val="center"/>
              <w:rPr>
                <w:rFonts w:ascii="黑体" w:hAnsi="黑体" w:eastAsia="黑体"/>
                <w:b/>
                <w:bCs/>
                <w:color w:val="auto"/>
              </w:rPr>
            </w:pPr>
            <w:r>
              <w:rPr>
                <w:rFonts w:ascii="黑体" w:hAnsi="黑体" w:eastAsia="黑体"/>
                <w:b/>
                <w:bCs/>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8FBFD3">
            <w:pPr>
              <w:widowControl/>
              <w:jc w:val="center"/>
              <w:rPr>
                <w:rFonts w:ascii="黑体" w:hAnsi="黑体" w:eastAsia="黑体"/>
                <w:b/>
                <w:bCs/>
                <w:color w:val="auto"/>
              </w:rPr>
            </w:pPr>
            <w:r>
              <w:rPr>
                <w:rFonts w:ascii="黑体" w:hAnsi="黑体" w:eastAsia="黑体"/>
                <w:b/>
                <w:bCs/>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5CF8CE1">
            <w:pPr>
              <w:widowControl/>
              <w:ind w:left="-99" w:leftChars="-47" w:right="-78" w:rightChars="-37"/>
              <w:jc w:val="center"/>
              <w:rPr>
                <w:rFonts w:ascii="黑体" w:hAnsi="黑体" w:eastAsia="黑体"/>
                <w:b/>
                <w:bCs/>
                <w:color w:val="auto"/>
              </w:rPr>
            </w:pPr>
            <w:r>
              <w:rPr>
                <w:rFonts w:ascii="黑体" w:hAnsi="黑体" w:eastAsia="黑体"/>
                <w:b/>
                <w:bCs/>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84C2BA">
            <w:pPr>
              <w:widowControl/>
              <w:ind w:left="-136" w:leftChars="-65" w:right="-124" w:rightChars="-59"/>
              <w:jc w:val="center"/>
              <w:rPr>
                <w:rFonts w:ascii="黑体" w:hAnsi="黑体" w:eastAsia="黑体"/>
                <w:b/>
                <w:bCs/>
                <w:color w:val="auto"/>
                <w:kern w:val="0"/>
                <w:sz w:val="20"/>
                <w:szCs w:val="20"/>
              </w:rPr>
            </w:pPr>
            <w:r>
              <w:rPr>
                <w:rFonts w:ascii="黑体" w:hAnsi="黑体" w:eastAsia="黑体"/>
                <w:b/>
                <w:bCs/>
                <w:color w:val="auto"/>
                <w:kern w:val="0"/>
                <w:sz w:val="20"/>
                <w:szCs w:val="20"/>
              </w:rPr>
              <w:t>结果</w:t>
            </w:r>
          </w:p>
          <w:p w14:paraId="1180887D">
            <w:pPr>
              <w:widowControl/>
              <w:ind w:left="-136" w:leftChars="-65" w:right="-124" w:rightChars="-59"/>
              <w:jc w:val="center"/>
              <w:rPr>
                <w:rFonts w:ascii="黑体" w:hAnsi="黑体" w:eastAsia="黑体"/>
                <w:b/>
                <w:bCs/>
                <w:color w:val="auto"/>
              </w:rPr>
            </w:pPr>
            <w:r>
              <w:rPr>
                <w:rFonts w:ascii="黑体" w:hAnsi="黑体" w:eastAsia="黑体"/>
                <w:b/>
                <w:bCs/>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5FB8AD4">
            <w:pPr>
              <w:widowControl/>
              <w:ind w:left="-173" w:leftChars="-83" w:right="-134" w:rightChars="-64" w:hanging="1"/>
              <w:jc w:val="center"/>
              <w:rPr>
                <w:rFonts w:ascii="黑体" w:hAnsi="黑体" w:eastAsia="黑体"/>
                <w:b/>
                <w:bCs/>
                <w:color w:val="auto"/>
                <w:kern w:val="0"/>
                <w:sz w:val="20"/>
                <w:szCs w:val="20"/>
              </w:rPr>
            </w:pPr>
            <w:r>
              <w:rPr>
                <w:rFonts w:ascii="黑体" w:hAnsi="黑体" w:eastAsia="黑体"/>
                <w:b/>
                <w:bCs/>
                <w:color w:val="auto"/>
                <w:kern w:val="0"/>
                <w:sz w:val="20"/>
                <w:szCs w:val="20"/>
              </w:rPr>
              <w:t>其他</w:t>
            </w:r>
          </w:p>
          <w:p w14:paraId="5D3CF434">
            <w:pPr>
              <w:widowControl/>
              <w:ind w:left="-173" w:leftChars="-83" w:right="-134" w:rightChars="-64" w:hanging="1"/>
              <w:jc w:val="center"/>
              <w:rPr>
                <w:rFonts w:ascii="黑体" w:hAnsi="黑体" w:eastAsia="黑体"/>
                <w:b/>
                <w:bCs/>
                <w:color w:val="auto"/>
              </w:rPr>
            </w:pPr>
            <w:r>
              <w:rPr>
                <w:rFonts w:ascii="黑体" w:hAnsi="黑体" w:eastAsia="黑体"/>
                <w:b/>
                <w:bCs/>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DF6697">
            <w:pPr>
              <w:widowControl/>
              <w:ind w:left="-67" w:leftChars="-33" w:right="-105" w:rightChars="-50" w:hanging="2" w:hangingChars="1"/>
              <w:jc w:val="center"/>
              <w:rPr>
                <w:rFonts w:ascii="黑体" w:hAnsi="黑体" w:eastAsia="黑体"/>
                <w:b/>
                <w:bCs/>
                <w:color w:val="auto"/>
              </w:rPr>
            </w:pPr>
            <w:r>
              <w:rPr>
                <w:rFonts w:ascii="黑体" w:hAnsi="黑体" w:eastAsia="黑体"/>
                <w:b/>
                <w:bCs/>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64ED806">
            <w:pPr>
              <w:widowControl/>
              <w:jc w:val="center"/>
              <w:rPr>
                <w:rFonts w:ascii="黑体" w:hAnsi="黑体" w:eastAsia="黑体"/>
                <w:b/>
                <w:bCs/>
                <w:color w:val="auto"/>
              </w:rPr>
            </w:pPr>
            <w:r>
              <w:rPr>
                <w:rFonts w:ascii="黑体" w:hAnsi="黑体" w:eastAsia="黑体"/>
                <w:b/>
                <w:bCs/>
                <w:color w:val="auto"/>
                <w:kern w:val="0"/>
                <w:sz w:val="20"/>
                <w:szCs w:val="20"/>
              </w:rPr>
              <w:t>总计</w:t>
            </w:r>
          </w:p>
        </w:tc>
      </w:tr>
      <w:tr w14:paraId="2965E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DE6D7FA">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62E00950">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ACFABC2">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0C40944">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6922D26">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B2F0970">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597C75E">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BFA87EB">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EFEEFD0">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73F574B">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85085AA">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6814944">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E668B8B">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E9C1435">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0569950">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r>
    </w:tbl>
    <w:p w14:paraId="7927E040">
      <w:pPr>
        <w:pStyle w:val="2"/>
        <w:keepNext w:val="0"/>
        <w:keepLines w:val="0"/>
        <w:widowControl/>
        <w:numPr>
          <w:ilvl w:val="0"/>
          <w:numId w:val="0"/>
        </w:numPr>
        <w:suppressLineNumbers w:val="0"/>
        <w:spacing w:after="75" w:afterAutospacing="0" w:line="315" w:lineRule="atLeast"/>
        <w:ind w:right="0" w:rightChars="0" w:firstLine="640" w:firstLineChars="200"/>
        <w:rPr>
          <w:rFonts w:hint="eastAsia" w:ascii="方正黑体简体" w:hAnsi="方正黑体简体" w:eastAsia="方正黑体简体" w:cs="方正黑体简体"/>
          <w:color w:val="auto"/>
          <w:kern w:val="0"/>
          <w:sz w:val="32"/>
          <w:szCs w:val="32"/>
          <w:lang w:val="en-US" w:eastAsia="zh-CN" w:bidi="ar"/>
        </w:rPr>
      </w:pPr>
      <w:r>
        <w:rPr>
          <w:rFonts w:hint="eastAsia" w:ascii="方正黑体简体" w:hAnsi="方正黑体简体" w:eastAsia="方正黑体简体" w:cs="方正黑体简体"/>
          <w:color w:val="auto"/>
          <w:kern w:val="0"/>
          <w:sz w:val="32"/>
          <w:szCs w:val="32"/>
          <w:lang w:val="en-US" w:eastAsia="zh-CN" w:bidi="ar"/>
        </w:rPr>
        <w:t>五、存在的主要问题及改进情况</w:t>
      </w:r>
    </w:p>
    <w:p w14:paraId="0B7C4C8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2024年，我局政务公开工作取得了一些成绩，但离上级要求和群众期待，还存在短板和不足。一是信息主动公开数量不多，群众关心的医疗政策、公共卫生、健康科普等方面的信息公开力度与群众的期待还有一定差距；二是政府信息公开的时效性不足，政策解读形式单一，政府信息公开质量有待进一步提高，信息公开内容与社会各界的需求相比还有一定差距。三是对下属医疗卫生单位业务培训力度还不够大。</w:t>
      </w:r>
    </w:p>
    <w:p w14:paraId="2490C9E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lang w:val="en-US" w:eastAsia="zh-CN"/>
        </w:rPr>
        <w:t>下一步，将采取以下措施加以改进：一是加强组织领导，完善工作制度，拓展政府信息公开的内容；二是加强卫生健康领域公共企事业单位信息公开工作培训力度，提升医疗卫生单位工作人员受理信息公开申请及公共企事业单位信息公开工作水平。三是丰富信息公开内容，满足公众对卫生健康工作情况的知情权及监督权，促进全县卫生健康工作持续健康发展，更好地服务广大群众。</w:t>
      </w:r>
    </w:p>
    <w:p w14:paraId="7613F02B">
      <w:pPr>
        <w:ind w:firstLine="640" w:firstLineChars="200"/>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rPr>
        <w:t>六、其他需要报告的事项</w:t>
      </w:r>
    </w:p>
    <w:p w14:paraId="6030F7D2">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（一）依申请公开信息处理费收费情况。</w:t>
      </w:r>
      <w:r>
        <w:rPr>
          <w:rFonts w:hint="eastAsia" w:ascii="Times New Roman" w:hAnsi="Times New Roman" w:eastAsia="方正仿宋简体" w:cs="Times New Roman"/>
          <w:b/>
          <w:bCs/>
          <w:color w:val="auto"/>
          <w:kern w:val="0"/>
          <w:sz w:val="32"/>
          <w:szCs w:val="32"/>
          <w:lang w:val="en-US" w:eastAsia="zh-CN" w:bidi="ar"/>
        </w:rPr>
        <w:t>根据《政府信息公开信息处理费管理办法》，2024年我局没有相关收费。</w:t>
      </w:r>
    </w:p>
    <w:p w14:paraId="6A98ACC6">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（二）落实上级年度政务公开工作要点情况。</w:t>
      </w:r>
      <w:r>
        <w:rPr>
          <w:rFonts w:hint="eastAsia" w:ascii="Times New Roman" w:hAnsi="Times New Roman" w:eastAsia="方正仿宋简体" w:cs="Times New Roman"/>
          <w:b/>
          <w:bCs/>
          <w:color w:val="auto"/>
          <w:kern w:val="0"/>
          <w:sz w:val="32"/>
          <w:szCs w:val="32"/>
          <w:lang w:val="en-US" w:eastAsia="zh-CN" w:bidi="ar"/>
        </w:rPr>
        <w:t>在医疗卫生服务方面，围绕群众看病就医需求，通过多种途径对健康科普、重点专科、就医流程、惠民举措、医保宣传等领域信息及时向社会公开，不断提升群众看病就医满意度。卫生类事业编招聘工作方面，根据有关要求，按时段对招考简章、笔试、面试结果、体检、政审、招聘结果等在县政府门户网站上予以公告（示），确保每一位考生及时了解相关招聘信息，提前做好准备工作，同时也接受考生和社会的监督。卫生健康监督执法方面，按时公示医疗卫生、学校卫生、生活饮用水、职业卫生、公共场所卫生、传染病防治、放射诊疗、餐饮具集中消毒等方面的日常监督检查情况。</w:t>
      </w:r>
    </w:p>
    <w:p w14:paraId="45F1BDD8">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（三）本年度建议、提案办理情况。</w:t>
      </w:r>
      <w:r>
        <w:rPr>
          <w:rFonts w:hint="eastAsia" w:ascii="Times New Roman" w:hAnsi="Times New Roman" w:eastAsia="方正仿宋简体" w:cs="Times New Roman"/>
          <w:b/>
          <w:bCs/>
          <w:color w:val="auto"/>
          <w:kern w:val="0"/>
          <w:sz w:val="32"/>
          <w:szCs w:val="32"/>
          <w:lang w:val="en-US" w:eastAsia="zh-CN" w:bidi="ar"/>
        </w:rPr>
        <w:t>2024年，卫健局共承办人大代表建议6件、政协委员提案11件。建议提案内容涉及青少年心理健康、托育服务、养老服务、中医药服务等人民群众关注的热点、难点问题，从不同角度反映了人大代表、政协委员对我县卫生健康事业的密切关注和大力支持，体现了人大代表、政协委员的责任意识和参政议政水平。目前，全部建议提案均已按时办结并回复，满意或基本满意100%。</w:t>
      </w:r>
    </w:p>
    <w:p w14:paraId="1DBB2A92">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（四）政务公开方面创新情况。</w:t>
      </w:r>
      <w:r>
        <w:rPr>
          <w:rFonts w:hint="eastAsia" w:ascii="Times New Roman" w:hAnsi="Times New Roman" w:eastAsia="方正仿宋简体" w:cs="Times New Roman"/>
          <w:b/>
          <w:bCs/>
          <w:color w:val="auto"/>
          <w:kern w:val="0"/>
          <w:sz w:val="32"/>
          <w:szCs w:val="32"/>
          <w:lang w:val="en-US" w:eastAsia="zh-CN" w:bidi="ar"/>
        </w:rPr>
        <w:t>泗水县卫健局充分利用微信公众号等平台获取信息的便捷性和时效性，及时发布健康科普、惠民举措等群众关注的重点领域信息，切实满足群众的各类需求，不断提升群众看病就医获得感。</w:t>
      </w:r>
    </w:p>
    <w:p w14:paraId="4D465272">
      <w:pPr>
        <w:rPr>
          <w:rFonts w:hint="eastAsia" w:ascii="Times New Roman" w:hAnsi="Times New Roman" w:eastAsia="方正仿宋简体" w:cs="Times New Roman"/>
          <w:b/>
          <w:bCs/>
          <w:color w:val="auto"/>
          <w:kern w:val="0"/>
          <w:sz w:val="32"/>
          <w:szCs w:val="32"/>
          <w:lang w:val="en-US" w:eastAsia="zh-CN" w:bidi="ar"/>
        </w:rPr>
      </w:pPr>
    </w:p>
    <w:p w14:paraId="2E7C912F">
      <w:pPr>
        <w:rPr>
          <w:rFonts w:hint="eastAsia"/>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32017BA-C142-4EA4-B23A-3B3142C804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2860751-BE9C-436A-B4E8-867DEA63F4F3}"/>
  </w:font>
  <w:font w:name="方正小标宋简体">
    <w:panose1 w:val="03000509000000000000"/>
    <w:charset w:val="86"/>
    <w:family w:val="auto"/>
    <w:pitch w:val="default"/>
    <w:sig w:usb0="00000001" w:usb1="080E0000" w:usb2="00000000" w:usb3="00000000" w:csb0="00040000" w:csb1="00000000"/>
    <w:embedRegular r:id="rId3" w:fontKey="{A2A17DB6-8D78-4C67-B193-0D59C1ACCDDF}"/>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4" w:fontKey="{FDE18848-83AA-4D01-94AE-65D2A0435EBD}"/>
  </w:font>
  <w:font w:name="方正楷体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5" w:fontKey="{45255FDE-3FA3-4DFB-BC3C-D1D4DBC898A6}"/>
  </w:font>
  <w:font w:name="仿宋_GB2312">
    <w:panose1 w:val="02010609030101010101"/>
    <w:charset w:val="86"/>
    <w:family w:val="modern"/>
    <w:pitch w:val="default"/>
    <w:sig w:usb0="00000001" w:usb1="080E0000" w:usb2="00000000" w:usb3="00000000" w:csb0="00040000" w:csb1="00000000"/>
    <w:embedRegular r:id="rId6" w:fontKey="{BD248704-4D9A-4017-8508-E53F8F906876}"/>
  </w:font>
  <w:font w:name="楷体">
    <w:panose1 w:val="02010609060101010101"/>
    <w:charset w:val="86"/>
    <w:family w:val="modern"/>
    <w:pitch w:val="default"/>
    <w:sig w:usb0="800002BF" w:usb1="38CF7CFA" w:usb2="00000016" w:usb3="00000000" w:csb0="00040001" w:csb1="00000000"/>
    <w:embedRegular r:id="rId7" w:fontKey="{A9708D1B-0586-42A4-9521-B90E6BD883CC}"/>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BA4262"/>
    <w:multiLevelType w:val="singleLevel"/>
    <w:tmpl w:val="11BA42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BC505E"/>
    <w:rsid w:val="29A569BB"/>
    <w:rsid w:val="2CCB6FA1"/>
    <w:rsid w:val="3DC225BC"/>
    <w:rsid w:val="6FF26522"/>
    <w:rsid w:val="73D06790"/>
    <w:rsid w:val="79F44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[工作簿1]Sheet1!$A$1:$E$1</c:f>
              <c:strCache>
                <c:ptCount val="5"/>
                <c:pt idx="0">
                  <c:v>公示公告</c:v>
                </c:pt>
                <c:pt idx="1">
                  <c:v>水质监测</c:v>
                </c:pt>
                <c:pt idx="2">
                  <c:v>双随机检查</c:v>
                </c:pt>
                <c:pt idx="3">
                  <c:v>监督检查</c:v>
                </c:pt>
                <c:pt idx="4">
                  <c:v>行政处罚</c:v>
                </c:pt>
              </c:strCache>
            </c:strRef>
          </c:cat>
          <c:val>
            <c:numRef>
              <c:f>[工作簿1]Sheet1!$A$2:$E$2</c:f>
              <c:numCache>
                <c:formatCode>General</c:formatCode>
                <c:ptCount val="5"/>
                <c:pt idx="0">
                  <c:v>29</c:v>
                </c:pt>
                <c:pt idx="1">
                  <c:v>4</c:v>
                </c:pt>
                <c:pt idx="2">
                  <c:v>8</c:v>
                </c:pt>
                <c:pt idx="3">
                  <c:v>44</c:v>
                </c:pt>
                <c:pt idx="4">
                  <c:v>104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a7acd37-6c1c-4432-92a5-8a791fce9c0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2518</Words>
  <Characters>2611</Characters>
  <Lines>0</Lines>
  <Paragraphs>0</Paragraphs>
  <TotalTime>957</TotalTime>
  <ScaleCrop>false</ScaleCrop>
  <LinksUpToDate>false</LinksUpToDate>
  <CharactersWithSpaces>2611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2025-01-15T05:24:00Z</dcterms:created>
  <dc:creator>Administrator</dc:creator>
  <cp:lastModifiedBy> 斌哥哥</cp:lastModifiedBy>
  <dcterms:modified xsi:type="dcterms:W3CDTF">2025-01-22T03:05:41Z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eyJoZGlkIjoiZWRkYjUzMzc1MDg5ZmMyYmU3NjdmZDg3OGFhNDIxNTUiLCJ1c2VySWQiOiIyNzMzNTAxMDEifQ==</vt:lpwstr>
  </property>
  <property fmtid="{D5CDD505-2E9C-101B-9397-08002B2CF9AE}" pid="4" name="ICV">
    <vt:lpwstr>5A13BB7E850D47E5AF6ACACB5ECEDE66_12</vt:lpwstr>
  </property>
</Properties>
</file>