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Autospacing="0" w:afterAutospacing="0" w:line="600" w:lineRule="exact"/>
        <w:jc w:val="center"/>
        <w:rPr>
          <w:rFonts w:ascii="方正小标宋简体" w:hAnsi="宋体" w:eastAsia="方正小标宋简体" w:cs="宋体"/>
          <w:b/>
          <w:bCs/>
          <w:color w:val="000000"/>
          <w:sz w:val="44"/>
          <w:szCs w:val="44"/>
        </w:rPr>
      </w:pPr>
    </w:p>
    <w:p>
      <w:pPr>
        <w:pStyle w:val="5"/>
        <w:spacing w:beforeAutospacing="0" w:afterAutospacing="0" w:line="600" w:lineRule="exact"/>
        <w:jc w:val="center"/>
        <w:rPr>
          <w:rFonts w:ascii="方正小标宋简体" w:hAnsi="宋体" w:eastAsia="方正小标宋简体" w:cs="宋体"/>
          <w:b/>
          <w:bCs/>
          <w:color w:val="000000"/>
          <w:sz w:val="44"/>
          <w:szCs w:val="44"/>
        </w:rPr>
      </w:pPr>
      <w:r>
        <w:rPr>
          <w:rFonts w:hint="eastAsia" w:ascii="方正小标宋简体" w:hAnsi="宋体" w:eastAsia="方正小标宋简体" w:cs="宋体"/>
          <w:b/>
          <w:bCs/>
          <w:color w:val="000000"/>
          <w:sz w:val="44"/>
          <w:szCs w:val="44"/>
        </w:rPr>
        <w:t>泗水县工业和信息化局</w:t>
      </w:r>
    </w:p>
    <w:p>
      <w:pPr>
        <w:pStyle w:val="5"/>
        <w:spacing w:beforeAutospacing="0" w:afterAutospacing="0" w:line="600" w:lineRule="exact"/>
        <w:jc w:val="center"/>
        <w:rPr>
          <w:rFonts w:ascii="方正小标宋简体" w:hAnsi="宋体" w:eastAsia="方正小标宋简体" w:cs="宋体"/>
          <w:b/>
          <w:bCs/>
          <w:color w:val="000000"/>
          <w:sz w:val="44"/>
          <w:szCs w:val="44"/>
        </w:rPr>
      </w:pPr>
      <w:r>
        <w:rPr>
          <w:rFonts w:hint="eastAsia" w:ascii="方正小标宋简体" w:hAnsi="宋体" w:eastAsia="方正小标宋简体" w:cs="宋体"/>
          <w:b/>
          <w:bCs/>
          <w:color w:val="000000"/>
          <w:sz w:val="44"/>
          <w:szCs w:val="44"/>
        </w:rPr>
        <w:t>2022年政府信息公开工作年度报告</w:t>
      </w:r>
    </w:p>
    <w:p>
      <w:pPr>
        <w:pStyle w:val="5"/>
        <w:spacing w:beforeAutospacing="0" w:afterAutospacing="0" w:line="600" w:lineRule="exact"/>
        <w:jc w:val="center"/>
        <w:rPr>
          <w:rFonts w:ascii="宋体" w:hAnsi="宋体" w:eastAsia="宋体" w:cs="宋体"/>
          <w:b/>
          <w:bCs/>
          <w:color w:val="000000"/>
          <w:sz w:val="44"/>
          <w:szCs w:val="44"/>
        </w:rPr>
      </w:pPr>
    </w:p>
    <w:p>
      <w:pPr>
        <w:pStyle w:val="5"/>
        <w:spacing w:beforeAutospacing="0" w:afterAutospacing="0" w:line="6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根据《中华人民共和国政府信息公开条例》（以下简称《条例》）规定，现公布泗水县工业和信息化局2022年政府信息公开工作年度报告。本年报所列数据的统计期限自2022年1月1日起至2022年12月31日止，由“总体情况、主动公开政府信息情况、收到和处理政府信息公开申请情况、政府信息公开行政复议行政诉讼情况、存在的主要问题及改进情况、其他需要报告的事项”六个部分组成。本报告电子版可在“中国·泗水”政府门户网站（www.sishui.gov.cn）查阅和下载。如对本年报有疑问，请与泗水县工业和信息化局办公室联系（地址：地址：泗水县光明路13号，联系电话：0537-4222562）</w:t>
      </w:r>
    </w:p>
    <w:p>
      <w:pPr>
        <w:pStyle w:val="5"/>
        <w:spacing w:beforeAutospacing="0" w:afterAutospacing="0" w:line="600" w:lineRule="exact"/>
        <w:ind w:firstLine="640" w:firstLineChars="200"/>
        <w:jc w:val="both"/>
        <w:rPr>
          <w:rFonts w:ascii="方正黑体简体" w:hAnsi="仿宋" w:eastAsia="方正黑体简体" w:cs="仿宋"/>
          <w:color w:val="000000"/>
          <w:sz w:val="32"/>
          <w:szCs w:val="32"/>
        </w:rPr>
      </w:pPr>
      <w:r>
        <w:rPr>
          <w:rFonts w:hint="eastAsia" w:ascii="方正黑体简体" w:hAnsi="仿宋" w:eastAsia="方正黑体简体" w:cs="仿宋"/>
          <w:color w:val="000000"/>
          <w:sz w:val="32"/>
          <w:szCs w:val="32"/>
        </w:rPr>
        <w:t>一、总体情况</w:t>
      </w:r>
    </w:p>
    <w:p>
      <w:pPr>
        <w:pStyle w:val="5"/>
        <w:spacing w:beforeAutospacing="0" w:afterAutospacing="0" w:line="60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2022年，泗水县工业和信息化局深入贯彻落实《中华人民共和国政府信息公开条例》，认真梳理政府信息公开工作要点，积极主动更新部门信息，及时公开行政执法信息，切实保障人民群众的知情权，全力推进政府信息公开工作。</w:t>
      </w:r>
    </w:p>
    <w:p>
      <w:pPr>
        <w:pStyle w:val="5"/>
        <w:spacing w:beforeAutospacing="0" w:afterAutospacing="0" w:line="600" w:lineRule="exact"/>
        <w:ind w:firstLine="640" w:firstLineChars="200"/>
        <w:jc w:val="both"/>
        <w:rPr>
          <w:rFonts w:hint="eastAsia" w:ascii="楷体" w:hAnsi="楷体" w:eastAsia="楷体" w:cs="仿宋"/>
          <w:color w:val="000000"/>
          <w:sz w:val="32"/>
          <w:szCs w:val="32"/>
        </w:rPr>
      </w:pPr>
      <w:r>
        <w:rPr>
          <w:rFonts w:hint="eastAsia" w:ascii="楷体" w:hAnsi="楷体" w:eastAsia="楷体" w:cs="仿宋"/>
          <w:color w:val="000000"/>
          <w:sz w:val="32"/>
          <w:szCs w:val="32"/>
        </w:rPr>
        <w:t>（一）加大主动公开力度</w:t>
      </w:r>
    </w:p>
    <w:p>
      <w:pPr>
        <w:pStyle w:val="5"/>
        <w:spacing w:beforeAutospacing="0" w:afterAutospacing="0" w:line="600" w:lineRule="exact"/>
        <w:ind w:firstLine="640" w:firstLineChars="200"/>
        <w:jc w:val="both"/>
        <w:rPr>
          <w:rFonts w:ascii="楷体" w:hAnsi="楷体" w:eastAsia="楷体" w:cs="仿宋"/>
          <w:color w:val="000000"/>
          <w:sz w:val="32"/>
          <w:szCs w:val="32"/>
        </w:rPr>
      </w:pPr>
    </w:p>
    <w:p>
      <w:pPr>
        <w:pStyle w:val="5"/>
        <w:spacing w:beforeAutospacing="0" w:afterAutospacing="0"/>
        <w:jc w:val="center"/>
        <w:rPr>
          <w:rFonts w:hint="eastAsia" w:ascii="仿宋" w:hAnsi="仿宋" w:eastAsia="仿宋" w:cs="仿宋"/>
          <w:color w:val="000000"/>
          <w:sz w:val="32"/>
          <w:szCs w:val="32"/>
        </w:rPr>
      </w:pPr>
      <w:r>
        <w:rPr>
          <w:rFonts w:ascii="仿宋" w:hAnsi="仿宋" w:eastAsia="仿宋" w:cs="仿宋"/>
          <w:color w:val="000000"/>
          <w:sz w:val="28"/>
          <w:szCs w:val="28"/>
        </w:rPr>
        <w:drawing>
          <wp:inline distT="0" distB="0" distL="0" distR="0">
            <wp:extent cx="3970020" cy="2593340"/>
            <wp:effectExtent l="57150" t="19050" r="106680" b="736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stretch>
                      <a:fillRect/>
                    </a:stretch>
                  </pic:blipFill>
                  <pic:spPr>
                    <a:xfrm>
                      <a:off x="0" y="0"/>
                      <a:ext cx="3970020" cy="2593340"/>
                    </a:xfrm>
                    <a:prstGeom prst="rect">
                      <a:avLst/>
                    </a:prstGeom>
                    <a:ln w="12700" cmpd="sng">
                      <a:solidFill>
                        <a:schemeClr val="accent1">
                          <a:shade val="50000"/>
                        </a:schemeClr>
                      </a:solidFill>
                      <a:prstDash val="sysDot"/>
                    </a:ln>
                    <a:effectLst>
                      <a:outerShdw blurRad="50800" dist="38100" dir="2700000" algn="tl" rotWithShape="0">
                        <a:prstClr val="black">
                          <a:alpha val="40000"/>
                        </a:prstClr>
                      </a:outerShdw>
                    </a:effectLst>
                  </pic:spPr>
                </pic:pic>
              </a:graphicData>
            </a:graphic>
          </wp:inline>
        </w:drawing>
      </w:r>
    </w:p>
    <w:p>
      <w:pPr>
        <w:pStyle w:val="5"/>
        <w:spacing w:beforeAutospacing="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严格按照《中华人民共和国政府信息公开条例》有关规定，主动公开机构设置情况、政策文件及解读材料、财政预决算信息、规划统计信息和行政处罚等信息。2022年我局没有涉及政府信息公开的收费，也没有擅自增加收费项目、扩大收费范围的行为。此外，围绕深化改革、经济发展、民生改善和政府建设，对工业产业发展、重点项目建设、技术改造升级、工业经济运行、重点企业培育关系等中心工作，进一步主动公开群众关切的政务信息。2022年主动公开各类信息数26条。通过政府门户网站公开信息26条；政策文件-镇街部门文件1条，部门动态2条，部门文件1条，公告公示5条，财政预算决算-部门决算1条，组织管理-政务公开业务培训4条，组织管理-政务公开工作推进1条，机构职能1条，评估落实-政府工作报告落实1条，行政执法公示9条。</w:t>
      </w:r>
    </w:p>
    <w:p>
      <w:pPr>
        <w:pStyle w:val="5"/>
        <w:spacing w:beforeAutospacing="0" w:afterAutospacing="0" w:line="580" w:lineRule="exact"/>
        <w:ind w:firstLine="640" w:firstLineChars="200"/>
        <w:jc w:val="both"/>
        <w:rPr>
          <w:rFonts w:ascii="楷体" w:hAnsi="楷体" w:eastAsia="楷体" w:cs="仿宋"/>
          <w:color w:val="000000"/>
          <w:sz w:val="32"/>
          <w:szCs w:val="32"/>
        </w:rPr>
      </w:pPr>
      <w:r>
        <w:rPr>
          <w:rFonts w:hint="eastAsia" w:ascii="楷体" w:hAnsi="楷体" w:eastAsia="楷体" w:cs="仿宋"/>
          <w:color w:val="000000"/>
          <w:sz w:val="32"/>
          <w:szCs w:val="32"/>
        </w:rPr>
        <w:t>（二）规范依申请公开</w:t>
      </w:r>
    </w:p>
    <w:p>
      <w:pPr>
        <w:pStyle w:val="5"/>
        <w:spacing w:beforeAutospacing="0" w:afterAutospacing="0" w:line="58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在局门户网站等政务公开门户醒目位置标示依申请公开的相关指引，严格遵循“以公开为原则，不公开为例外”，除依法不予公开的政府信息外，都通过多种渠道尽最大努力找到，并向申请人公开。当年度未收到因依申请公开引发的行政复议、行政诉讼。2022年度。县工信局无依申请公开的政府信息，无协助政府办政府信息调查。</w:t>
      </w:r>
    </w:p>
    <w:p>
      <w:pPr>
        <w:pStyle w:val="5"/>
        <w:spacing w:beforeAutospacing="0" w:afterAutospacing="0" w:line="580" w:lineRule="exact"/>
        <w:ind w:firstLine="640" w:firstLineChars="200"/>
        <w:jc w:val="both"/>
        <w:rPr>
          <w:rFonts w:ascii="楷体" w:hAnsi="楷体" w:eastAsia="楷体" w:cs="仿宋"/>
          <w:color w:val="000000"/>
          <w:sz w:val="32"/>
          <w:szCs w:val="32"/>
        </w:rPr>
      </w:pPr>
      <w:r>
        <w:rPr>
          <w:rFonts w:hint="eastAsia" w:ascii="楷体" w:hAnsi="楷体" w:eastAsia="楷体" w:cs="仿宋"/>
          <w:color w:val="000000"/>
          <w:sz w:val="32"/>
          <w:szCs w:val="32"/>
        </w:rPr>
        <w:t>（三）强化政府信息管理</w:t>
      </w:r>
    </w:p>
    <w:p>
      <w:pPr>
        <w:pStyle w:val="5"/>
        <w:spacing w:beforeAutospacing="0" w:afterAutospacing="0" w:line="58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泗水县工业和信息化局高度重视政府信息管理工作，按要求及时公开标准目录中的事项，并根据实际情况主动拓宽公开范围、细化公开内容、丰富公开渠道、缩短公开时限、创新公开方式，以推进标准化规范化建设为抓手，将信息公开不断推向深入。</w:t>
      </w:r>
    </w:p>
    <w:p>
      <w:pPr>
        <w:pStyle w:val="5"/>
        <w:spacing w:beforeAutospacing="0" w:afterAutospacing="0" w:line="580" w:lineRule="exact"/>
        <w:ind w:firstLine="640" w:firstLineChars="200"/>
        <w:jc w:val="both"/>
        <w:rPr>
          <w:rFonts w:ascii="楷体" w:hAnsi="楷体" w:eastAsia="楷体" w:cs="仿宋"/>
          <w:color w:val="000000"/>
          <w:sz w:val="32"/>
          <w:szCs w:val="32"/>
        </w:rPr>
      </w:pPr>
      <w:r>
        <w:rPr>
          <w:rFonts w:hint="eastAsia" w:ascii="楷体" w:hAnsi="楷体" w:eastAsia="楷体" w:cs="仿宋"/>
          <w:color w:val="000000"/>
          <w:sz w:val="32"/>
          <w:szCs w:val="32"/>
        </w:rPr>
        <w:t>（四）健全平台建设</w:t>
      </w:r>
    </w:p>
    <w:p>
      <w:pPr>
        <w:pStyle w:val="5"/>
        <w:spacing w:beforeAutospacing="0" w:afterAutospacing="0" w:line="58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结合工信工作实际，及时调整我局信息公开目录，完成政府门户网站的内容维护工作，并积极利用新媒体，通过“泗水工信”微信公众号及时发布政府信息。按照县委、县政府要求，及时对我局信息公开目录进行完善。进一步规范政府信息公开，针对群众较为关注的信息进一步公开，确保信息透明化，增强信息公信力。同时，全面加强网站信息安全工作，做好防攻击、防病毒工作，顺利完成信息安全保障任务。</w:t>
      </w:r>
    </w:p>
    <w:p>
      <w:pPr>
        <w:pStyle w:val="5"/>
        <w:spacing w:beforeAutospacing="0" w:afterAutospacing="0" w:line="580" w:lineRule="exact"/>
        <w:ind w:firstLine="640" w:firstLineChars="200"/>
        <w:jc w:val="both"/>
        <w:rPr>
          <w:rFonts w:ascii="楷体" w:hAnsi="楷体" w:eastAsia="楷体" w:cs="仿宋"/>
          <w:color w:val="000000"/>
          <w:sz w:val="32"/>
          <w:szCs w:val="32"/>
        </w:rPr>
      </w:pPr>
      <w:r>
        <w:rPr>
          <w:rFonts w:hint="eastAsia" w:ascii="楷体" w:hAnsi="楷体" w:eastAsia="楷体" w:cs="仿宋"/>
          <w:color w:val="000000"/>
          <w:sz w:val="32"/>
          <w:szCs w:val="32"/>
        </w:rPr>
        <w:t>（五）增强监督保障</w:t>
      </w:r>
    </w:p>
    <w:p>
      <w:pPr>
        <w:pStyle w:val="5"/>
        <w:spacing w:beforeAutospacing="0" w:afterAutospacing="0" w:line="58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为加强政府信息公开工作的领导，确保政府信息公开各项工作任务的顺利完成，我单位成立了由局长任组长，副局长任副组长，办公室等科室负责人为政府信息公开工作领导小组。负责推进、指导、协调政府信息公开工作。领导下设办公室在局办公室，确定专人负责政府信息公开网站的建设、维护以及信息内容的更新等工作。</w:t>
      </w:r>
    </w:p>
    <w:p>
      <w:pPr>
        <w:pStyle w:val="5"/>
        <w:spacing w:beforeAutospacing="0" w:afterAutospacing="0" w:line="58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根据规定和工作实际，明确了以办公室牵头，联动需要主动公开信息的科室，建立和完善了单位内部信息收集、审查和发布工作机制；建立健全了政府信息公开制度，加大主动公开力度；明确了政务公开的职责、内容、程序、方式和时限要求。同时，建立了信息公开保密审查制度，明确有关保密审查的职责分工、审查程序和责任追究办法。2022年县工信局未发生因信息公开导致的失泄密事件发生。</w:t>
      </w:r>
    </w:p>
    <w:p>
      <w:pPr>
        <w:pStyle w:val="5"/>
        <w:spacing w:beforeAutospacing="0" w:afterAutospacing="0" w:line="580" w:lineRule="exact"/>
        <w:ind w:firstLine="640" w:firstLineChars="200"/>
        <w:jc w:val="both"/>
        <w:rPr>
          <w:rFonts w:ascii="方正黑体简体" w:hAnsi="仿宋" w:eastAsia="方正黑体简体" w:cs="仿宋"/>
          <w:color w:val="000000"/>
          <w:sz w:val="32"/>
          <w:szCs w:val="32"/>
        </w:rPr>
      </w:pPr>
      <w:r>
        <w:rPr>
          <w:rFonts w:hint="eastAsia" w:ascii="方正黑体简体" w:hAnsi="仿宋" w:eastAsia="方正黑体简体" w:cs="仿宋"/>
          <w:color w:val="000000"/>
          <w:sz w:val="32"/>
          <w:szCs w:val="32"/>
        </w:rPr>
        <w:t>二、主动公开政府信息情况</w:t>
      </w:r>
    </w:p>
    <w:tbl>
      <w:tblPr>
        <w:tblStyle w:val="6"/>
        <w:tblW w:w="956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15" w:type="dxa"/>
          <w:left w:w="15" w:type="dxa"/>
          <w:bottom w:w="15" w:type="dxa"/>
          <w:right w:w="15" w:type="dxa"/>
        </w:tblCellMar>
      </w:tblPr>
      <w:tblGrid>
        <w:gridCol w:w="3377"/>
        <w:gridCol w:w="2066"/>
        <w:gridCol w:w="1984"/>
        <w:gridCol w:w="214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9567" w:type="dxa"/>
            <w:gridSpan w:val="4"/>
            <w:shd w:val="clear" w:color="auto" w:fill="C6D9F1"/>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第二十条第（一）项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3377" w:type="dxa"/>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信息内容</w:t>
            </w:r>
          </w:p>
        </w:tc>
        <w:tc>
          <w:tcPr>
            <w:tcW w:w="206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本年制发件数</w:t>
            </w:r>
          </w:p>
        </w:tc>
        <w:tc>
          <w:tcPr>
            <w:tcW w:w="1984"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本年废止件数</w:t>
            </w:r>
          </w:p>
        </w:tc>
        <w:tc>
          <w:tcPr>
            <w:tcW w:w="214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现行有效件数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3377" w:type="dxa"/>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规章</w:t>
            </w:r>
          </w:p>
        </w:tc>
        <w:tc>
          <w:tcPr>
            <w:tcW w:w="206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1984"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214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3377" w:type="dxa"/>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行政规范性文件</w:t>
            </w:r>
          </w:p>
        </w:tc>
        <w:tc>
          <w:tcPr>
            <w:tcW w:w="206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1984"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214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9567" w:type="dxa"/>
            <w:gridSpan w:val="4"/>
            <w:shd w:val="clear" w:color="auto" w:fill="C6D9F1"/>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第二十条第（五）项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3377" w:type="dxa"/>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信息内容</w:t>
            </w:r>
          </w:p>
        </w:tc>
        <w:tc>
          <w:tcPr>
            <w:tcW w:w="6190" w:type="dxa"/>
            <w:gridSpan w:val="3"/>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本年度处理决定数量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3377" w:type="dxa"/>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行政许可</w:t>
            </w:r>
          </w:p>
        </w:tc>
        <w:tc>
          <w:tcPr>
            <w:tcW w:w="6190" w:type="dxa"/>
            <w:gridSpan w:val="3"/>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9567" w:type="dxa"/>
            <w:gridSpan w:val="4"/>
            <w:shd w:val="clear" w:color="auto" w:fill="C6D9F1"/>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第二十条第（六）项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3377" w:type="dxa"/>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信息内容</w:t>
            </w:r>
          </w:p>
        </w:tc>
        <w:tc>
          <w:tcPr>
            <w:tcW w:w="6190" w:type="dxa"/>
            <w:gridSpan w:val="3"/>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本年处理决定数量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3377" w:type="dxa"/>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行政处罚</w:t>
            </w:r>
          </w:p>
        </w:tc>
        <w:tc>
          <w:tcPr>
            <w:tcW w:w="6190" w:type="dxa"/>
            <w:gridSpan w:val="3"/>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3377" w:type="dxa"/>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行政强制</w:t>
            </w:r>
          </w:p>
        </w:tc>
        <w:tc>
          <w:tcPr>
            <w:tcW w:w="6190" w:type="dxa"/>
            <w:gridSpan w:val="3"/>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9567" w:type="dxa"/>
            <w:gridSpan w:val="4"/>
            <w:shd w:val="clear" w:color="auto" w:fill="C6D9F1"/>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第二十条第（八）项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3377" w:type="dxa"/>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信息内容</w:t>
            </w:r>
          </w:p>
        </w:tc>
        <w:tc>
          <w:tcPr>
            <w:tcW w:w="6190" w:type="dxa"/>
            <w:gridSpan w:val="3"/>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本年收费金额（单位：万元）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54" w:hRule="atLeast"/>
          <w:jc w:val="center"/>
        </w:trPr>
        <w:tc>
          <w:tcPr>
            <w:tcW w:w="3377" w:type="dxa"/>
            <w:shd w:val="clear" w:color="auto" w:fill="auto"/>
            <w:tcMar>
              <w:top w:w="0" w:type="dxa"/>
              <w:left w:w="105" w:type="dxa"/>
              <w:bottom w:w="0" w:type="dxa"/>
              <w:right w:w="105" w:type="dxa"/>
            </w:tcMar>
            <w:vAlign w:val="center"/>
          </w:tcPr>
          <w:p>
            <w:pPr>
              <w:pStyle w:val="5"/>
              <w:spacing w:beforeAutospacing="0" w:afterAutospacing="0" w:line="400" w:lineRule="exact"/>
              <w:jc w:val="both"/>
              <w:rPr>
                <w:rFonts w:ascii="仿宋" w:hAnsi="仿宋" w:eastAsia="仿宋" w:cs="仿宋"/>
                <w:sz w:val="21"/>
                <w:szCs w:val="21"/>
              </w:rPr>
            </w:pPr>
            <w:r>
              <w:rPr>
                <w:rFonts w:hint="eastAsia" w:ascii="仿宋" w:hAnsi="仿宋" w:eastAsia="仿宋" w:cs="仿宋"/>
                <w:sz w:val="21"/>
                <w:szCs w:val="21"/>
              </w:rPr>
              <w:t>行政事业性收费</w:t>
            </w:r>
          </w:p>
        </w:tc>
        <w:tc>
          <w:tcPr>
            <w:tcW w:w="6190" w:type="dxa"/>
            <w:gridSpan w:val="3"/>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bl>
    <w:p>
      <w:pPr>
        <w:pStyle w:val="5"/>
        <w:spacing w:beforeAutospacing="0" w:afterAutospacing="0" w:line="400" w:lineRule="exact"/>
        <w:ind w:firstLine="420"/>
        <w:rPr>
          <w:rFonts w:ascii="方正黑体简体" w:hAnsi="仿宋" w:eastAsia="方正黑体简体" w:cs="仿宋"/>
          <w:color w:val="000000"/>
          <w:sz w:val="32"/>
          <w:szCs w:val="32"/>
        </w:rPr>
      </w:pPr>
      <w:r>
        <w:rPr>
          <w:rFonts w:hint="eastAsia" w:ascii="方正黑体简体" w:hAnsi="仿宋" w:eastAsia="方正黑体简体" w:cs="仿宋"/>
          <w:color w:val="000000"/>
          <w:sz w:val="32"/>
          <w:szCs w:val="32"/>
        </w:rPr>
        <w:t>三、收到和处理政府信息公开申请情况</w:t>
      </w:r>
    </w:p>
    <w:tbl>
      <w:tblPr>
        <w:tblStyle w:val="6"/>
        <w:tblW w:w="960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15" w:type="dxa"/>
          <w:left w:w="15" w:type="dxa"/>
          <w:bottom w:w="15" w:type="dxa"/>
          <w:right w:w="15" w:type="dxa"/>
        </w:tblCellMar>
      </w:tblPr>
      <w:tblGrid>
        <w:gridCol w:w="770"/>
        <w:gridCol w:w="1050"/>
        <w:gridCol w:w="1558"/>
        <w:gridCol w:w="831"/>
        <w:gridCol w:w="858"/>
        <w:gridCol w:w="850"/>
        <w:gridCol w:w="926"/>
        <w:gridCol w:w="992"/>
        <w:gridCol w:w="917"/>
        <w:gridCol w:w="85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54" w:hRule="atLeast"/>
          <w:jc w:val="center"/>
        </w:trPr>
        <w:tc>
          <w:tcPr>
            <w:tcW w:w="3378" w:type="dxa"/>
            <w:gridSpan w:val="3"/>
            <w:vMerge w:val="restart"/>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（本列数据的勾稽关系为：第一项加第二项之和，等于第三项加第四项之和）</w:t>
            </w:r>
          </w:p>
        </w:tc>
        <w:tc>
          <w:tcPr>
            <w:tcW w:w="6225" w:type="dxa"/>
            <w:gridSpan w:val="7"/>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申请人情况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3378" w:type="dxa"/>
            <w:gridSpan w:val="3"/>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831" w:type="dxa"/>
            <w:vMerge w:val="restart"/>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自然人</w:t>
            </w:r>
          </w:p>
        </w:tc>
        <w:tc>
          <w:tcPr>
            <w:tcW w:w="4543" w:type="dxa"/>
            <w:gridSpan w:val="5"/>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法人或其他组织</w:t>
            </w:r>
          </w:p>
        </w:tc>
        <w:tc>
          <w:tcPr>
            <w:tcW w:w="851" w:type="dxa"/>
            <w:vMerge w:val="restart"/>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总计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3378" w:type="dxa"/>
            <w:gridSpan w:val="3"/>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831" w:type="dxa"/>
            <w:vMerge w:val="continue"/>
            <w:shd w:val="clear" w:color="auto" w:fill="auto"/>
            <w:tcMar>
              <w:top w:w="0" w:type="dxa"/>
              <w:left w:w="105" w:type="dxa"/>
              <w:bottom w:w="0" w:type="dxa"/>
              <w:right w:w="105" w:type="dxa"/>
            </w:tcMar>
            <w:vAlign w:val="center"/>
          </w:tcPr>
          <w:p>
            <w:pPr>
              <w:spacing w:line="400" w:lineRule="exact"/>
              <w:jc w:val="center"/>
              <w:rPr>
                <w:rFonts w:ascii="仿宋" w:hAnsi="仿宋" w:eastAsia="仿宋" w:cs="仿宋"/>
                <w:szCs w:val="21"/>
              </w:rPr>
            </w:pP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商业企业</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科研机构</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社会公益组织</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法律服务机构</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其他</w:t>
            </w:r>
          </w:p>
        </w:tc>
        <w:tc>
          <w:tcPr>
            <w:tcW w:w="851"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54" w:hRule="atLeast"/>
          <w:jc w:val="center"/>
        </w:trPr>
        <w:tc>
          <w:tcPr>
            <w:tcW w:w="3378" w:type="dxa"/>
            <w:gridSpan w:val="3"/>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一、本年新收政府信息公开申请数量</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3378" w:type="dxa"/>
            <w:gridSpan w:val="3"/>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二、上年结转政府信息公开申请数量</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restart"/>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三、本年度办理结果</w:t>
            </w:r>
          </w:p>
        </w:tc>
        <w:tc>
          <w:tcPr>
            <w:tcW w:w="2608" w:type="dxa"/>
            <w:gridSpan w:val="2"/>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（一）予以公开</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2608" w:type="dxa"/>
            <w:gridSpan w:val="2"/>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（二）部分公开（区分处理的，只计这一情形，不计其他情形）</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restart"/>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（三）不予公开</w:t>
            </w: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1.属于国家秘密</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2.其他法律行政法规禁止公开</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3.危及“三安全一稳定”</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4.保护第三方合法权益</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5.属于三类内部事务信息</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6.属于四类过程性信息</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7.属于行政执法案卷</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8.属于行政查询事项</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restart"/>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（四）无法提供</w:t>
            </w: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1.本机关不掌握相关政府信息</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2.没有现成信息需要另行制作</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3.补正后申请内容仍不明确</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restart"/>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（五）不予处理</w:t>
            </w: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1.信访举报投诉类申请</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2.重复申请</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3.要求提供公开出版物</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4.无正当理由大量反复申请</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05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1558" w:type="dxa"/>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5.要求行政机关确认或重新出具已获取信息</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2608" w:type="dxa"/>
            <w:gridSpan w:val="2"/>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（六）其他处理</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770" w:type="dxa"/>
            <w:vMerge w:val="continue"/>
            <w:shd w:val="clear" w:color="auto" w:fill="auto"/>
            <w:tcMar>
              <w:top w:w="0" w:type="dxa"/>
              <w:left w:w="105" w:type="dxa"/>
              <w:bottom w:w="0" w:type="dxa"/>
              <w:right w:w="105" w:type="dxa"/>
            </w:tcMar>
            <w:vAlign w:val="center"/>
          </w:tcPr>
          <w:p>
            <w:pPr>
              <w:spacing w:line="400" w:lineRule="exact"/>
              <w:rPr>
                <w:rFonts w:ascii="仿宋" w:hAnsi="仿宋" w:eastAsia="仿宋" w:cs="仿宋"/>
                <w:szCs w:val="21"/>
              </w:rPr>
            </w:pPr>
          </w:p>
        </w:tc>
        <w:tc>
          <w:tcPr>
            <w:tcW w:w="2608" w:type="dxa"/>
            <w:gridSpan w:val="2"/>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（七）总计</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3</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15" w:type="dxa"/>
            <w:bottom w:w="15" w:type="dxa"/>
            <w:right w:w="15" w:type="dxa"/>
          </w:tblCellMar>
        </w:tblPrEx>
        <w:trPr>
          <w:trHeight w:val="454" w:hRule="atLeast"/>
          <w:jc w:val="center"/>
        </w:trPr>
        <w:tc>
          <w:tcPr>
            <w:tcW w:w="3378" w:type="dxa"/>
            <w:gridSpan w:val="3"/>
            <w:shd w:val="clear" w:color="auto" w:fill="auto"/>
            <w:tcMar>
              <w:top w:w="0" w:type="dxa"/>
              <w:left w:w="105" w:type="dxa"/>
              <w:bottom w:w="0" w:type="dxa"/>
              <w:right w:w="105" w:type="dxa"/>
            </w:tcMar>
            <w:vAlign w:val="center"/>
          </w:tcPr>
          <w:p>
            <w:pPr>
              <w:pStyle w:val="5"/>
              <w:spacing w:beforeAutospacing="0" w:afterAutospacing="0" w:line="400" w:lineRule="exact"/>
              <w:rPr>
                <w:rFonts w:ascii="仿宋" w:hAnsi="仿宋" w:eastAsia="仿宋" w:cs="仿宋"/>
                <w:sz w:val="21"/>
                <w:szCs w:val="21"/>
              </w:rPr>
            </w:pPr>
            <w:r>
              <w:rPr>
                <w:rFonts w:hint="eastAsia" w:ascii="仿宋" w:hAnsi="仿宋" w:eastAsia="仿宋" w:cs="仿宋"/>
                <w:sz w:val="21"/>
                <w:szCs w:val="21"/>
              </w:rPr>
              <w:t>四、结转下年度继续办理</w:t>
            </w:r>
          </w:p>
        </w:tc>
        <w:tc>
          <w:tcPr>
            <w:tcW w:w="83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8"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0"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26"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92"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917"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c>
          <w:tcPr>
            <w:tcW w:w="851" w:type="dxa"/>
            <w:shd w:val="clear" w:color="auto" w:fill="auto"/>
            <w:tcMar>
              <w:top w:w="0" w:type="dxa"/>
              <w:left w:w="105" w:type="dxa"/>
              <w:bottom w:w="0" w:type="dxa"/>
              <w:right w:w="105" w:type="dxa"/>
            </w:tcMar>
            <w:vAlign w:val="center"/>
          </w:tcPr>
          <w:p>
            <w:pPr>
              <w:pStyle w:val="5"/>
              <w:spacing w:beforeAutospacing="0" w:afterAutospacing="0" w:line="400" w:lineRule="exact"/>
              <w:jc w:val="center"/>
              <w:rPr>
                <w:rFonts w:ascii="仿宋" w:hAnsi="仿宋" w:eastAsia="仿宋" w:cs="仿宋"/>
                <w:sz w:val="21"/>
                <w:szCs w:val="21"/>
              </w:rPr>
            </w:pPr>
            <w:r>
              <w:rPr>
                <w:rFonts w:hint="eastAsia" w:ascii="仿宋" w:hAnsi="仿宋" w:eastAsia="仿宋" w:cs="仿宋"/>
                <w:sz w:val="21"/>
                <w:szCs w:val="21"/>
              </w:rPr>
              <w:t>0</w:t>
            </w:r>
          </w:p>
        </w:tc>
      </w:tr>
    </w:tbl>
    <w:p>
      <w:pPr>
        <w:pStyle w:val="5"/>
        <w:spacing w:beforeAutospacing="0" w:afterAutospacing="0" w:line="420" w:lineRule="atLeast"/>
        <w:ind w:firstLine="420"/>
        <w:rPr>
          <w:rFonts w:ascii="方正黑体简体" w:hAnsi="仿宋" w:eastAsia="方正黑体简体" w:cs="仿宋"/>
          <w:color w:val="000000"/>
          <w:sz w:val="28"/>
          <w:szCs w:val="28"/>
        </w:rPr>
      </w:pPr>
    </w:p>
    <w:p>
      <w:pPr>
        <w:pStyle w:val="5"/>
        <w:spacing w:beforeAutospacing="0" w:afterAutospacing="0" w:line="420" w:lineRule="atLeast"/>
        <w:ind w:firstLine="420"/>
        <w:rPr>
          <w:rFonts w:ascii="方正黑体简体" w:hAnsi="仿宋" w:eastAsia="方正黑体简体" w:cs="仿宋"/>
          <w:color w:val="000000"/>
          <w:sz w:val="28"/>
          <w:szCs w:val="28"/>
        </w:rPr>
      </w:pPr>
    </w:p>
    <w:p>
      <w:pPr>
        <w:pStyle w:val="5"/>
        <w:spacing w:beforeAutospacing="0" w:afterAutospacing="0" w:line="420" w:lineRule="atLeast"/>
        <w:ind w:firstLine="420"/>
        <w:rPr>
          <w:rFonts w:hint="eastAsia" w:ascii="方正黑体简体" w:hAnsi="仿宋" w:eastAsia="方正黑体简体" w:cs="仿宋"/>
          <w:color w:val="000000"/>
          <w:sz w:val="28"/>
          <w:szCs w:val="28"/>
        </w:rPr>
      </w:pPr>
    </w:p>
    <w:p>
      <w:pPr>
        <w:pStyle w:val="5"/>
        <w:spacing w:beforeAutospacing="0" w:afterAutospacing="0" w:line="420" w:lineRule="atLeast"/>
        <w:ind w:firstLine="420"/>
        <w:rPr>
          <w:rFonts w:hint="eastAsia" w:ascii="方正黑体简体" w:hAnsi="仿宋" w:eastAsia="方正黑体简体" w:cs="仿宋"/>
          <w:color w:val="000000"/>
          <w:sz w:val="28"/>
          <w:szCs w:val="28"/>
        </w:rPr>
      </w:pPr>
    </w:p>
    <w:p>
      <w:pPr>
        <w:pStyle w:val="5"/>
        <w:spacing w:beforeAutospacing="0" w:afterAutospacing="0" w:line="420" w:lineRule="atLeast"/>
        <w:ind w:firstLine="420"/>
        <w:rPr>
          <w:rFonts w:ascii="方正黑体简体" w:hAnsi="仿宋" w:eastAsia="方正黑体简体" w:cs="仿宋"/>
          <w:color w:val="000000"/>
          <w:sz w:val="28"/>
          <w:szCs w:val="28"/>
        </w:rPr>
      </w:pPr>
      <w:bookmarkStart w:id="0" w:name="_GoBack"/>
      <w:bookmarkEnd w:id="0"/>
      <w:r>
        <w:rPr>
          <w:rFonts w:hint="eastAsia" w:ascii="方正黑体简体" w:hAnsi="仿宋" w:eastAsia="方正黑体简体" w:cs="仿宋"/>
          <w:color w:val="000000"/>
          <w:sz w:val="28"/>
          <w:szCs w:val="28"/>
        </w:rPr>
        <w:t>四、政府信息公开行政复议、行政诉讼情况</w:t>
      </w:r>
    </w:p>
    <w:tbl>
      <w:tblPr>
        <w:tblStyle w:val="6"/>
        <w:tblW w:w="974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15" w:type="dxa"/>
          <w:left w:w="0" w:type="dxa"/>
          <w:bottom w:w="15" w:type="dxa"/>
          <w:right w:w="0" w:type="dxa"/>
        </w:tblCellMar>
      </w:tblPr>
      <w:tblGrid>
        <w:gridCol w:w="721"/>
        <w:gridCol w:w="721"/>
        <w:gridCol w:w="722"/>
        <w:gridCol w:w="721"/>
        <w:gridCol w:w="722"/>
        <w:gridCol w:w="614"/>
        <w:gridCol w:w="614"/>
        <w:gridCol w:w="614"/>
        <w:gridCol w:w="614"/>
        <w:gridCol w:w="615"/>
        <w:gridCol w:w="614"/>
        <w:gridCol w:w="614"/>
        <w:gridCol w:w="614"/>
        <w:gridCol w:w="614"/>
        <w:gridCol w:w="61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0" w:type="dxa"/>
            <w:bottom w:w="15" w:type="dxa"/>
            <w:right w:w="0" w:type="dxa"/>
          </w:tblCellMar>
        </w:tblPrEx>
        <w:trPr>
          <w:jc w:val="center"/>
        </w:trPr>
        <w:tc>
          <w:tcPr>
            <w:tcW w:w="3607" w:type="dxa"/>
            <w:gridSpan w:val="5"/>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行政复议</w:t>
            </w:r>
          </w:p>
        </w:tc>
        <w:tc>
          <w:tcPr>
            <w:tcW w:w="6142" w:type="dxa"/>
            <w:gridSpan w:val="10"/>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行政诉讼</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0" w:type="dxa"/>
            <w:bottom w:w="15" w:type="dxa"/>
            <w:right w:w="0" w:type="dxa"/>
          </w:tblCellMar>
        </w:tblPrEx>
        <w:trPr>
          <w:jc w:val="center"/>
        </w:trPr>
        <w:tc>
          <w:tcPr>
            <w:tcW w:w="721" w:type="dxa"/>
            <w:vMerge w:val="restart"/>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结果维持</w:t>
            </w:r>
          </w:p>
        </w:tc>
        <w:tc>
          <w:tcPr>
            <w:tcW w:w="721" w:type="dxa"/>
            <w:vMerge w:val="restart"/>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结果纠正</w:t>
            </w:r>
          </w:p>
        </w:tc>
        <w:tc>
          <w:tcPr>
            <w:tcW w:w="722" w:type="dxa"/>
            <w:vMerge w:val="restart"/>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其他结果</w:t>
            </w:r>
          </w:p>
        </w:tc>
        <w:tc>
          <w:tcPr>
            <w:tcW w:w="721" w:type="dxa"/>
            <w:vMerge w:val="restart"/>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尚未审结</w:t>
            </w:r>
          </w:p>
        </w:tc>
        <w:tc>
          <w:tcPr>
            <w:tcW w:w="722" w:type="dxa"/>
            <w:vMerge w:val="restart"/>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总</w:t>
            </w:r>
          </w:p>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计</w:t>
            </w:r>
          </w:p>
        </w:tc>
        <w:tc>
          <w:tcPr>
            <w:tcW w:w="3071" w:type="dxa"/>
            <w:gridSpan w:val="5"/>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未经复议直接起诉</w:t>
            </w:r>
          </w:p>
        </w:tc>
        <w:tc>
          <w:tcPr>
            <w:tcW w:w="3071" w:type="dxa"/>
            <w:gridSpan w:val="5"/>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复议后起诉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0" w:type="dxa"/>
            <w:bottom w:w="15" w:type="dxa"/>
            <w:right w:w="0" w:type="dxa"/>
          </w:tblCellMar>
        </w:tblPrEx>
        <w:trPr>
          <w:jc w:val="center"/>
        </w:trPr>
        <w:tc>
          <w:tcPr>
            <w:tcW w:w="721" w:type="dxa"/>
            <w:vMerge w:val="continue"/>
            <w:shd w:val="clear" w:color="auto" w:fill="auto"/>
            <w:tcMar>
              <w:top w:w="0" w:type="dxa"/>
              <w:left w:w="105" w:type="dxa"/>
              <w:bottom w:w="0" w:type="dxa"/>
              <w:right w:w="105" w:type="dxa"/>
            </w:tcMar>
            <w:vAlign w:val="center"/>
          </w:tcPr>
          <w:p>
            <w:pPr>
              <w:spacing w:line="300" w:lineRule="exact"/>
              <w:jc w:val="center"/>
              <w:rPr>
                <w:rFonts w:ascii="仿宋" w:hAnsi="仿宋" w:eastAsia="仿宋" w:cs="仿宋"/>
                <w:szCs w:val="21"/>
              </w:rPr>
            </w:pPr>
          </w:p>
        </w:tc>
        <w:tc>
          <w:tcPr>
            <w:tcW w:w="721" w:type="dxa"/>
            <w:vMerge w:val="continue"/>
            <w:shd w:val="clear" w:color="auto" w:fill="auto"/>
            <w:tcMar>
              <w:top w:w="0" w:type="dxa"/>
              <w:left w:w="105" w:type="dxa"/>
              <w:bottom w:w="0" w:type="dxa"/>
              <w:right w:w="105" w:type="dxa"/>
            </w:tcMar>
            <w:vAlign w:val="center"/>
          </w:tcPr>
          <w:p>
            <w:pPr>
              <w:spacing w:line="300" w:lineRule="exact"/>
              <w:jc w:val="center"/>
              <w:rPr>
                <w:rFonts w:ascii="仿宋" w:hAnsi="仿宋" w:eastAsia="仿宋" w:cs="仿宋"/>
                <w:szCs w:val="21"/>
              </w:rPr>
            </w:pPr>
          </w:p>
        </w:tc>
        <w:tc>
          <w:tcPr>
            <w:tcW w:w="722" w:type="dxa"/>
            <w:vMerge w:val="continue"/>
            <w:shd w:val="clear" w:color="auto" w:fill="auto"/>
            <w:tcMar>
              <w:top w:w="0" w:type="dxa"/>
              <w:left w:w="105" w:type="dxa"/>
              <w:bottom w:w="0" w:type="dxa"/>
              <w:right w:w="105" w:type="dxa"/>
            </w:tcMar>
            <w:vAlign w:val="center"/>
          </w:tcPr>
          <w:p>
            <w:pPr>
              <w:spacing w:line="300" w:lineRule="exact"/>
              <w:jc w:val="center"/>
              <w:rPr>
                <w:rFonts w:ascii="仿宋" w:hAnsi="仿宋" w:eastAsia="仿宋" w:cs="仿宋"/>
                <w:szCs w:val="21"/>
              </w:rPr>
            </w:pPr>
          </w:p>
        </w:tc>
        <w:tc>
          <w:tcPr>
            <w:tcW w:w="721" w:type="dxa"/>
            <w:vMerge w:val="continue"/>
            <w:shd w:val="clear" w:color="auto" w:fill="auto"/>
            <w:tcMar>
              <w:top w:w="0" w:type="dxa"/>
              <w:left w:w="105" w:type="dxa"/>
              <w:bottom w:w="0" w:type="dxa"/>
              <w:right w:w="105" w:type="dxa"/>
            </w:tcMar>
            <w:vAlign w:val="center"/>
          </w:tcPr>
          <w:p>
            <w:pPr>
              <w:spacing w:line="300" w:lineRule="exact"/>
              <w:jc w:val="center"/>
              <w:rPr>
                <w:rFonts w:ascii="仿宋" w:hAnsi="仿宋" w:eastAsia="仿宋" w:cs="仿宋"/>
                <w:szCs w:val="21"/>
              </w:rPr>
            </w:pPr>
          </w:p>
        </w:tc>
        <w:tc>
          <w:tcPr>
            <w:tcW w:w="722" w:type="dxa"/>
            <w:vMerge w:val="continue"/>
            <w:shd w:val="clear" w:color="auto" w:fill="auto"/>
            <w:tcMar>
              <w:top w:w="0" w:type="dxa"/>
              <w:left w:w="105" w:type="dxa"/>
              <w:bottom w:w="0" w:type="dxa"/>
              <w:right w:w="105" w:type="dxa"/>
            </w:tcMar>
            <w:vAlign w:val="center"/>
          </w:tcPr>
          <w:p>
            <w:pPr>
              <w:spacing w:line="300" w:lineRule="exact"/>
              <w:jc w:val="center"/>
              <w:rPr>
                <w:rFonts w:ascii="仿宋" w:hAnsi="仿宋" w:eastAsia="仿宋" w:cs="仿宋"/>
                <w:szCs w:val="21"/>
              </w:rPr>
            </w:pP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结果维持</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结果纠正</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其他结果</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尚未审结</w:t>
            </w:r>
          </w:p>
        </w:tc>
        <w:tc>
          <w:tcPr>
            <w:tcW w:w="615"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总</w:t>
            </w:r>
          </w:p>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计</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结果维持</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结果纠正</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其他结果</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尚未审结</w:t>
            </w:r>
          </w:p>
        </w:tc>
        <w:tc>
          <w:tcPr>
            <w:tcW w:w="615"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总计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15" w:type="dxa"/>
            <w:left w:w="0" w:type="dxa"/>
            <w:bottom w:w="15" w:type="dxa"/>
            <w:right w:w="0" w:type="dxa"/>
          </w:tblCellMar>
        </w:tblPrEx>
        <w:trPr>
          <w:jc w:val="center"/>
        </w:trPr>
        <w:tc>
          <w:tcPr>
            <w:tcW w:w="721"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721"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722"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721"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722"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615"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614"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c>
          <w:tcPr>
            <w:tcW w:w="615" w:type="dxa"/>
            <w:shd w:val="clear" w:color="auto" w:fill="auto"/>
            <w:tcMar>
              <w:top w:w="0" w:type="dxa"/>
              <w:left w:w="105" w:type="dxa"/>
              <w:bottom w:w="0" w:type="dxa"/>
              <w:right w:w="105" w:type="dxa"/>
            </w:tcMar>
            <w:vAlign w:val="center"/>
          </w:tcPr>
          <w:p>
            <w:pPr>
              <w:pStyle w:val="5"/>
              <w:spacing w:beforeAutospacing="0" w:afterAutospacing="0" w:line="300" w:lineRule="exact"/>
              <w:jc w:val="center"/>
              <w:rPr>
                <w:rFonts w:ascii="仿宋" w:hAnsi="仿宋" w:eastAsia="仿宋" w:cs="仿宋"/>
                <w:sz w:val="21"/>
                <w:szCs w:val="21"/>
              </w:rPr>
            </w:pPr>
            <w:r>
              <w:rPr>
                <w:rFonts w:hint="eastAsia" w:ascii="仿宋" w:hAnsi="仿宋" w:eastAsia="仿宋" w:cs="仿宋"/>
                <w:sz w:val="21"/>
                <w:szCs w:val="21"/>
              </w:rPr>
              <w:t>0</w:t>
            </w:r>
          </w:p>
        </w:tc>
      </w:tr>
    </w:tbl>
    <w:p>
      <w:pPr>
        <w:pStyle w:val="5"/>
        <w:spacing w:beforeAutospacing="0" w:afterAutospacing="0"/>
        <w:ind w:firstLine="640" w:firstLineChars="200"/>
        <w:rPr>
          <w:rFonts w:ascii="方正黑体简体" w:hAnsi="仿宋" w:eastAsia="方正黑体简体" w:cs="仿宋"/>
          <w:color w:val="000000"/>
          <w:sz w:val="32"/>
          <w:szCs w:val="32"/>
        </w:rPr>
      </w:pPr>
      <w:r>
        <w:rPr>
          <w:rFonts w:hint="eastAsia" w:ascii="方正黑体简体" w:hAnsi="仿宋" w:eastAsia="方正黑体简体" w:cs="仿宋"/>
          <w:color w:val="000000"/>
          <w:sz w:val="32"/>
          <w:szCs w:val="32"/>
        </w:rPr>
        <w:t>五、存在的主要问题及改进情况</w:t>
      </w:r>
    </w:p>
    <w:p>
      <w:pPr>
        <w:pStyle w:val="5"/>
        <w:spacing w:beforeAutospacing="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局政务公开工作虽然能坚持以群众为中心的工作导向，但在实际工作中与群众的互动仍相对较少，未能完全站在群众的角度对政策进行解读、公开群众关心的信息。制度措施需要进一步改进和完善；已公开的信息存在碎片化现象，公众获取不方便。为此，2023年，我单位将进一步做好政府信息公开工作，努力满足公众的知情权、参与权和监督权，我们将充分重视群众的需求，运用通俗易懂的语言和群众喜闻乐见的形式开展政策解读，并将群众关心的信息及时通过网站等渠道进行公开。</w:t>
      </w:r>
    </w:p>
    <w:p>
      <w:pPr>
        <w:pStyle w:val="5"/>
        <w:spacing w:beforeAutospacing="0" w:afterAutospacing="0"/>
        <w:ind w:firstLine="640" w:firstLineChars="200"/>
        <w:rPr>
          <w:rFonts w:ascii="方正黑体简体" w:hAnsi="仿宋" w:eastAsia="方正黑体简体" w:cs="仿宋"/>
          <w:color w:val="000000"/>
          <w:sz w:val="32"/>
          <w:szCs w:val="32"/>
        </w:rPr>
      </w:pPr>
      <w:r>
        <w:rPr>
          <w:rFonts w:hint="eastAsia" w:ascii="方正黑体简体" w:hAnsi="仿宋" w:eastAsia="方正黑体简体" w:cs="仿宋"/>
          <w:color w:val="000000"/>
          <w:sz w:val="32"/>
          <w:szCs w:val="32"/>
        </w:rPr>
        <w:t>六、其他需要报告的事项</w:t>
      </w:r>
    </w:p>
    <w:p>
      <w:pPr>
        <w:pStyle w:val="5"/>
        <w:spacing w:beforeAutospacing="0" w:afterAutospacing="0"/>
        <w:ind w:firstLine="640" w:firstLineChars="200"/>
        <w:rPr>
          <w:rFonts w:ascii="楷体" w:hAnsi="楷体" w:eastAsia="楷体" w:cs="仿宋"/>
          <w:color w:val="000000"/>
          <w:sz w:val="32"/>
          <w:szCs w:val="32"/>
        </w:rPr>
      </w:pPr>
      <w:r>
        <w:rPr>
          <w:rFonts w:hint="eastAsia" w:ascii="楷体" w:hAnsi="楷体" w:eastAsia="楷体" w:cs="仿宋"/>
          <w:color w:val="000000"/>
          <w:sz w:val="32"/>
          <w:szCs w:val="32"/>
        </w:rPr>
        <w:t>（一）依据《政府信息公开信息处理费管理办法》收取信息处理费的情况</w:t>
      </w:r>
    </w:p>
    <w:p>
      <w:pPr>
        <w:pStyle w:val="5"/>
        <w:spacing w:beforeAutospacing="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2022年，县工业和信息化局依据《政府信息公开信息处理费管理办法》，无收取信息处理费情况。</w:t>
      </w:r>
    </w:p>
    <w:p>
      <w:pPr>
        <w:pStyle w:val="5"/>
        <w:spacing w:beforeAutospacing="0" w:afterAutospacing="0"/>
        <w:ind w:firstLine="640" w:firstLineChars="200"/>
        <w:rPr>
          <w:rFonts w:ascii="楷体" w:hAnsi="楷体" w:eastAsia="楷体" w:cs="仿宋"/>
          <w:color w:val="000000"/>
          <w:sz w:val="32"/>
          <w:szCs w:val="32"/>
        </w:rPr>
      </w:pPr>
      <w:r>
        <w:rPr>
          <w:rFonts w:hint="eastAsia" w:ascii="楷体" w:hAnsi="楷体" w:eastAsia="楷体" w:cs="仿宋"/>
          <w:color w:val="000000"/>
          <w:sz w:val="32"/>
          <w:szCs w:val="32"/>
        </w:rPr>
        <w:t>（二）本落实上级年度政务公开工作要点情况</w:t>
      </w:r>
    </w:p>
    <w:p>
      <w:pPr>
        <w:pStyle w:val="5"/>
        <w:spacing w:beforeAutospacing="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2022年，县工业和信息化局严格按照泗水县政府办公室政务公开工作要求，认真对照本部门承担的职责，落实好上级年度政务公开工作工作要点情况。</w:t>
      </w:r>
    </w:p>
    <w:p>
      <w:pPr>
        <w:pStyle w:val="5"/>
        <w:spacing w:beforeAutospacing="0" w:afterAutospacing="0"/>
        <w:ind w:firstLine="640" w:firstLineChars="200"/>
        <w:rPr>
          <w:rFonts w:ascii="楷体" w:hAnsi="楷体" w:eastAsia="楷体" w:cs="仿宋"/>
          <w:color w:val="000000"/>
          <w:sz w:val="32"/>
          <w:szCs w:val="32"/>
        </w:rPr>
      </w:pPr>
      <w:r>
        <w:rPr>
          <w:rFonts w:hint="eastAsia" w:ascii="楷体" w:hAnsi="楷体" w:eastAsia="楷体" w:cs="仿宋"/>
          <w:color w:val="000000"/>
          <w:sz w:val="32"/>
          <w:szCs w:val="32"/>
        </w:rPr>
        <w:t>（三）人大代表建议和政协提案办理结果公开情况</w:t>
      </w:r>
    </w:p>
    <w:p>
      <w:pPr>
        <w:pStyle w:val="5"/>
        <w:spacing w:beforeAutospacing="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2022年，县工业和信息化局共承办政协委员提案9件、人大代表议案3件，所有议案、提案均在规定时限内办理完毕。</w:t>
      </w:r>
    </w:p>
    <w:p>
      <w:pPr>
        <w:pStyle w:val="5"/>
        <w:spacing w:beforeAutospacing="0" w:afterAutospacing="0"/>
        <w:ind w:firstLine="640" w:firstLineChars="200"/>
        <w:rPr>
          <w:rFonts w:ascii="楷体" w:hAnsi="楷体" w:eastAsia="楷体" w:cs="仿宋"/>
          <w:color w:val="000000"/>
          <w:sz w:val="32"/>
          <w:szCs w:val="32"/>
        </w:rPr>
      </w:pPr>
      <w:r>
        <w:rPr>
          <w:rFonts w:hint="eastAsia" w:ascii="楷体" w:hAnsi="楷体" w:eastAsia="楷体" w:cs="仿宋"/>
          <w:color w:val="000000"/>
          <w:sz w:val="32"/>
          <w:szCs w:val="32"/>
        </w:rPr>
        <w:t>（四）2022年度政务公开工作创新情况</w:t>
      </w:r>
    </w:p>
    <w:p>
      <w:pPr>
        <w:pStyle w:val="5"/>
        <w:spacing w:beforeAutospacing="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2022年，县工业和信息化局始终坚持坚持在创新中求发展。充分发挥互联网传播快、效率高、受众广的优势，利用政务公开网站、新媒体，加强政策解读、回应群众关切，加大信息公开力度，不断增强政府工作透明度，充分保障群众参与权和表达权。切实保障群众对政府工作的知情权。</w:t>
      </w:r>
    </w:p>
    <w:p>
      <w:pPr>
        <w:pStyle w:val="5"/>
        <w:spacing w:beforeAutospacing="0" w:afterAutospacing="0"/>
        <w:ind w:firstLine="640" w:firstLineChars="200"/>
        <w:rPr>
          <w:rFonts w:ascii="楷体" w:hAnsi="楷体" w:eastAsia="楷体" w:cs="仿宋"/>
          <w:color w:val="000000"/>
          <w:sz w:val="32"/>
          <w:szCs w:val="32"/>
        </w:rPr>
      </w:pPr>
      <w:r>
        <w:rPr>
          <w:rFonts w:hint="eastAsia" w:ascii="楷体" w:hAnsi="楷体" w:eastAsia="楷体" w:cs="仿宋"/>
          <w:color w:val="000000"/>
          <w:sz w:val="32"/>
          <w:szCs w:val="32"/>
        </w:rPr>
        <w:t>（五）政府信息公开工作年度报告数据统计说明的事项</w:t>
      </w:r>
    </w:p>
    <w:p>
      <w:pPr>
        <w:pStyle w:val="5"/>
        <w:spacing w:beforeAutospacing="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2022年，县工业和信息化局严格按照泗水县政府要求填报相应数据，年度报告中没有数据统计需要说明的事项。</w:t>
      </w:r>
    </w:p>
    <w:p>
      <w:pPr>
        <w:pStyle w:val="5"/>
        <w:numPr>
          <w:ilvl w:val="0"/>
          <w:numId w:val="1"/>
        </w:numPr>
        <w:spacing w:beforeAutospacing="0" w:afterAutospacing="0"/>
        <w:ind w:firstLine="640" w:firstLineChars="200"/>
        <w:rPr>
          <w:rFonts w:ascii="楷体" w:hAnsi="楷体" w:eastAsia="楷体" w:cs="仿宋"/>
          <w:color w:val="000000"/>
          <w:sz w:val="32"/>
          <w:szCs w:val="32"/>
        </w:rPr>
      </w:pPr>
      <w:r>
        <w:rPr>
          <w:rFonts w:hint="eastAsia" w:ascii="楷体" w:hAnsi="楷体" w:eastAsia="楷体" w:cs="仿宋"/>
          <w:color w:val="000000"/>
          <w:sz w:val="32"/>
          <w:szCs w:val="32"/>
        </w:rPr>
        <w:t>需要报告的其他事项</w:t>
      </w:r>
    </w:p>
    <w:p>
      <w:pPr>
        <w:ind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县工业和信息化局没有需要报告的其他事项。</w:t>
      </w:r>
    </w:p>
    <w:p>
      <w:pPr>
        <w:ind w:firstLine="640" w:firstLineChars="200"/>
        <w:rPr>
          <w:rFonts w:ascii="楷体" w:hAnsi="楷体" w:eastAsia="楷体" w:cs="仿宋_GB2312"/>
          <w:bCs/>
          <w:color w:val="000000"/>
          <w:sz w:val="32"/>
          <w:szCs w:val="32"/>
        </w:rPr>
      </w:pPr>
      <w:r>
        <w:rPr>
          <w:rFonts w:hint="eastAsia" w:ascii="楷体" w:hAnsi="楷体" w:eastAsia="楷体" w:cs="仿宋_GB2312"/>
          <w:bCs/>
          <w:color w:val="000000"/>
          <w:sz w:val="32"/>
          <w:szCs w:val="32"/>
        </w:rPr>
        <w:t>（七）</w:t>
      </w:r>
      <w:r>
        <w:rPr>
          <w:rFonts w:ascii="楷体" w:hAnsi="楷体" w:eastAsia="楷体" w:cs="仿宋_GB2312"/>
          <w:bCs/>
          <w:color w:val="000000"/>
          <w:sz w:val="32"/>
          <w:szCs w:val="32"/>
        </w:rPr>
        <w:t>其他有关文件专门要求通过政府信息公开工作年度报告予以报告的事项</w:t>
      </w:r>
    </w:p>
    <w:p>
      <w:pPr>
        <w:ind w:firstLine="640" w:firstLineChars="200"/>
        <w:rPr>
          <w:rFonts w:ascii="仿宋" w:hAnsi="仿宋" w:eastAsia="仿宋" w:cs="仿宋"/>
          <w:sz w:val="32"/>
          <w:szCs w:val="32"/>
        </w:rPr>
      </w:pPr>
      <w:r>
        <w:rPr>
          <w:rFonts w:hint="eastAsia" w:ascii="仿宋" w:hAnsi="仿宋" w:eastAsia="仿宋" w:cs="仿宋_GB2312"/>
          <w:bCs/>
          <w:color w:val="000000"/>
          <w:sz w:val="32"/>
          <w:szCs w:val="32"/>
        </w:rPr>
        <w:t>2022年，县工业和信息化局没有</w:t>
      </w:r>
      <w:r>
        <w:rPr>
          <w:rFonts w:ascii="仿宋" w:hAnsi="仿宋" w:eastAsia="仿宋" w:cs="仿宋_GB2312"/>
          <w:bCs/>
          <w:color w:val="000000"/>
          <w:sz w:val="32"/>
          <w:szCs w:val="32"/>
        </w:rPr>
        <w:t>其他有关文件专门要求通过政府信息公开工作年度报告予以报告的事项</w:t>
      </w:r>
      <w:r>
        <w:rPr>
          <w:rFonts w:hint="eastAsia" w:ascii="仿宋" w:hAnsi="仿宋" w:eastAsia="仿宋" w:cs="仿宋_GB2312"/>
          <w:bCs/>
          <w:color w:val="000000"/>
          <w:sz w:val="32"/>
          <w:szCs w:val="32"/>
        </w:rPr>
        <w:t>。</w:t>
      </w:r>
    </w:p>
    <w:sectPr>
      <w:footerReference r:id="rId3" w:type="default"/>
      <w:pgSz w:w="11906" w:h="16838"/>
      <w:pgMar w:top="2098" w:right="1531" w:bottom="1531"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2010601030101010101"/>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81853"/>
      <w:docPartObj>
        <w:docPartGallery w:val="autotext"/>
      </w:docPartObj>
    </w:sdtPr>
    <w:sdtContent>
      <w:p>
        <w:pPr>
          <w:pStyle w:val="3"/>
          <w:jc w:val="center"/>
        </w:pPr>
        <w:r>
          <w:rPr>
            <w:rFonts w:ascii="Times New Roman" w:hAnsi="Times New Roman" w:cs="Times New Roman"/>
            <w:b/>
            <w:sz w:val="28"/>
            <w:szCs w:val="28"/>
          </w:rPr>
          <w:t xml:space="preserve">— </w:t>
        </w:r>
        <w:r>
          <w:rPr>
            <w:rFonts w:ascii="Times New Roman" w:hAnsi="Times New Roman" w:cs="Times New Roman"/>
            <w:b/>
            <w:sz w:val="28"/>
            <w:szCs w:val="28"/>
          </w:rPr>
          <w:fldChar w:fldCharType="begin"/>
        </w:r>
        <w:r>
          <w:rPr>
            <w:rFonts w:ascii="Times New Roman" w:hAnsi="Times New Roman" w:cs="Times New Roman"/>
            <w:b/>
            <w:sz w:val="28"/>
            <w:szCs w:val="28"/>
          </w:rPr>
          <w:instrText xml:space="preserve"> PAGE   \* MERGEFORMAT </w:instrText>
        </w:r>
        <w:r>
          <w:rPr>
            <w:rFonts w:ascii="Times New Roman" w:hAnsi="Times New Roman" w:cs="Times New Roman"/>
            <w:b/>
            <w:sz w:val="28"/>
            <w:szCs w:val="28"/>
          </w:rPr>
          <w:fldChar w:fldCharType="separate"/>
        </w:r>
        <w:r>
          <w:rPr>
            <w:rFonts w:ascii="Times New Roman" w:hAnsi="Times New Roman" w:cs="Times New Roman"/>
            <w:b/>
            <w:sz w:val="28"/>
            <w:szCs w:val="28"/>
            <w:lang w:val="zh-CN"/>
          </w:rPr>
          <w:t>3</w:t>
        </w:r>
        <w:r>
          <w:rPr>
            <w:rFonts w:ascii="Times New Roman" w:hAnsi="Times New Roman" w:cs="Times New Roman"/>
            <w:b/>
            <w:sz w:val="28"/>
            <w:szCs w:val="28"/>
          </w:rPr>
          <w:fldChar w:fldCharType="end"/>
        </w:r>
        <w:r>
          <w:rPr>
            <w:rFonts w:ascii="Times New Roman" w:hAnsi="Times New Roman" w:cs="Times New Roman"/>
            <w:b/>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76555"/>
    <w:multiLevelType w:val="singleLevel"/>
    <w:tmpl w:val="6237655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g3NGU5ZGY2ZThlODMwZGFiOWIyMmRiODBjYmYwN2EifQ=="/>
  </w:docVars>
  <w:rsids>
    <w:rsidRoot w:val="00C22D42"/>
    <w:rsid w:val="000E1E40"/>
    <w:rsid w:val="0080646D"/>
    <w:rsid w:val="00C22D42"/>
    <w:rsid w:val="00C700D9"/>
    <w:rsid w:val="00D96C8D"/>
    <w:rsid w:val="00F76358"/>
    <w:rsid w:val="010855B5"/>
    <w:rsid w:val="01E321E9"/>
    <w:rsid w:val="0EFD1D28"/>
    <w:rsid w:val="18DB19E3"/>
    <w:rsid w:val="43590FD1"/>
    <w:rsid w:val="5FBD0D52"/>
    <w:rsid w:val="6C680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批注框文本 Char"/>
    <w:basedOn w:val="7"/>
    <w:link w:val="2"/>
    <w:uiPriority w:val="0"/>
    <w:rPr>
      <w:rFonts w:asciiTheme="minorHAnsi" w:hAnsiTheme="minorHAnsi" w:eastAsiaTheme="minorEastAsia" w:cstheme="minorBidi"/>
      <w:kern w:val="2"/>
      <w:sz w:val="18"/>
      <w:szCs w:val="18"/>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3119</Words>
  <Characters>3218</Characters>
  <Lines>4</Lines>
  <Paragraphs>7</Paragraphs>
  <TotalTime>36</TotalTime>
  <ScaleCrop>false</ScaleCrop>
  <LinksUpToDate>false</LinksUpToDate>
  <CharactersWithSpaces>3218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2023-02-07T03:39:00Z</dcterms:created>
  <dc:creator>Administrator</dc:creator>
  <cp:lastModifiedBy>阿怪</cp:lastModifiedBy>
  <dcterms:modified xsi:type="dcterms:W3CDTF">2023-02-08T03:39:32Z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A7B501D562824080847091FF734F81B4</vt:lpwstr>
  </property>
</Properties>
</file>