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10"/>
          <w:tab w:val="left" w:pos="5880"/>
        </w:tabs>
        <w:spacing w:after="109" w:afterLines="35" w:line="940" w:lineRule="exact"/>
        <w:ind w:firstLine="48" w:firstLineChars="16"/>
        <w:jc w:val="center"/>
        <w:rPr>
          <w:rFonts w:ascii="Times New Roman" w:hAnsi="Times New Roman" w:eastAsia="方正仿宋简体"/>
          <w:b/>
          <w:color w:val="000000" w:themeColor="text1"/>
          <w:sz w:val="32"/>
          <w:szCs w:val="32"/>
          <w14:textFill>
            <w14:solidFill>
              <w14:schemeClr w14:val="tx1"/>
            </w14:solidFill>
          </w14:textFill>
        </w:rPr>
      </w:pPr>
      <w:r>
        <w:rPr>
          <w:rFonts w:eastAsia="宋体"/>
          <w:bCs/>
          <w:sz w:val="30"/>
        </w:rPr>
        <w:t xml:space="preserve"> </w:t>
      </w:r>
      <w:r>
        <w:rPr>
          <w:rFonts w:hint="eastAsia" w:ascii="宋体" w:hAnsi="宋体" w:eastAsia="方正小标宋简体"/>
          <w:bCs/>
          <w:color w:val="FF0000"/>
          <w:spacing w:val="-11"/>
          <w:sz w:val="52"/>
          <w:szCs w:val="52"/>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698500</wp:posOffset>
                </wp:positionV>
                <wp:extent cx="5831840" cy="0"/>
                <wp:effectExtent l="0" t="25400" r="16510" b="31750"/>
                <wp:wrapNone/>
                <wp:docPr id="2" name="直接连接符 2"/>
                <wp:cNvGraphicFramePr/>
                <a:graphic xmlns:a="http://schemas.openxmlformats.org/drawingml/2006/main">
                  <a:graphicData uri="http://schemas.microsoft.com/office/word/2010/wordprocessingShape">
                    <wps:wsp>
                      <wps:cNvCnPr/>
                      <wps:spPr>
                        <a:xfrm>
                          <a:off x="0" y="0"/>
                          <a:ext cx="5831840" cy="0"/>
                        </a:xfrm>
                        <a:prstGeom prst="line">
                          <a:avLst/>
                        </a:prstGeom>
                        <a:ln w="5080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6pt;margin-top:55pt;height:0pt;width:459.2pt;z-index:251659264;mso-width-relative:page;mso-height-relative:page;" filled="f" stroked="t" coordsize="21600,21600" o:gfxdata="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LBC82gAAAAsBAAAPAAAAAAAAAAEAIAAAACIAAABkcnMvZG93&#10;bnJldi54bWxQSwECFAAUAAAACACHTuJAs3V5bv4BAAD5AwAADgAAAAAAAAABACAAAAApAQAAZHJz&#10;L2Uyb0RvYy54bWxQSwUGAAAAAAYABgBZAQAAmQUAAAAA&#10;">
                <v:fill on="f" focussize="0,0"/>
                <v:stroke weight="4pt" color="#FF0000" linestyle="thickThin" joinstyle="round"/>
                <v:imagedata o:title=""/>
                <o:lock v:ext="edit" aspectratio="f"/>
              </v:line>
            </w:pict>
          </mc:Fallback>
        </mc:AlternateContent>
      </w:r>
      <w:r>
        <w:rPr>
          <w:rFonts w:hint="eastAsia" w:ascii="宋体" w:hAnsi="宋体" w:eastAsia="方正小标宋简体"/>
          <w:bCs/>
          <w:color w:val="FF0000"/>
          <w:spacing w:val="-11"/>
          <w:sz w:val="52"/>
          <w:szCs w:val="52"/>
        </w:rPr>
        <w:t>泗 水 县 住 房 和 城 乡 建 设 局</w:t>
      </w:r>
      <w:r>
        <w:rPr>
          <w:rFonts w:hint="eastAsia" w:ascii="Times New Roman" w:hAnsi="Times New Roman" w:eastAsia="方正小标宋简体"/>
          <w:b/>
          <w:color w:val="000000" w:themeColor="text1"/>
          <w:sz w:val="44"/>
          <w:szCs w:val="44"/>
          <w14:textFill>
            <w14:solidFill>
              <w14:schemeClr w14:val="tx1"/>
            </w14:solidFill>
          </w14:textFill>
        </w:rPr>
        <w:t>202</w:t>
      </w:r>
      <w:r>
        <w:rPr>
          <w:rFonts w:hint="eastAsia" w:ascii="Times New Roman" w:hAnsi="Times New Roman" w:eastAsia="方正小标宋简体"/>
          <w:b/>
          <w:color w:val="000000" w:themeColor="text1"/>
          <w:sz w:val="44"/>
          <w:szCs w:val="44"/>
          <w:lang w:val="en-US" w:eastAsia="zh-CN"/>
          <w14:textFill>
            <w14:solidFill>
              <w14:schemeClr w14:val="tx1"/>
            </w14:solidFill>
          </w14:textFill>
        </w:rPr>
        <w:t>3</w:t>
      </w:r>
      <w:r>
        <w:rPr>
          <w:rFonts w:hint="eastAsia" w:ascii="Times New Roman" w:hAnsi="Times New Roman" w:eastAsia="方正小标宋简体"/>
          <w:b/>
          <w:color w:val="000000" w:themeColor="text1"/>
          <w:sz w:val="44"/>
          <w:szCs w:val="44"/>
          <w14:textFill>
            <w14:solidFill>
              <w14:schemeClr w14:val="tx1"/>
            </w14:solidFill>
          </w14:textFill>
        </w:rPr>
        <w:t>年政府信息公开工作年度报告</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本报告由</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泗水县住建局</w:t>
      </w:r>
      <w:r>
        <w:rPr>
          <w:rFonts w:hint="eastAsia" w:ascii="Times New Roman" w:hAnsi="Times New Roman"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本报告所列数据的统计期限自202</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年1月1日起至202</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年12月31日止。本报告电子版可在“</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中国·泗水</w:t>
      </w:r>
      <w:r>
        <w:rPr>
          <w:rFonts w:hint="eastAsia" w:ascii="Times New Roman" w:hAnsi="Times New Roman" w:eastAsia="方正仿宋简体"/>
          <w:b/>
          <w:color w:val="000000" w:themeColor="text1"/>
          <w:sz w:val="32"/>
          <w:szCs w:val="32"/>
          <w14:textFill>
            <w14:solidFill>
              <w14:schemeClr w14:val="tx1"/>
            </w14:solidFill>
          </w14:textFill>
        </w:rPr>
        <w:t>”政府门户网站（http://www.sishui.gov.cn/）查阅或下载。如对本报告有疑问，请与</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县住建局</w:t>
      </w:r>
      <w:r>
        <w:rPr>
          <w:rFonts w:hint="eastAsia" w:ascii="Times New Roman" w:hAnsi="Times New Roman" w:eastAsia="方正仿宋简体"/>
          <w:b/>
          <w:color w:val="000000" w:themeColor="text1"/>
          <w:sz w:val="32"/>
          <w:szCs w:val="32"/>
          <w14:textFill>
            <w14:solidFill>
              <w14:schemeClr w14:val="tx1"/>
            </w14:solidFill>
          </w14:textFill>
        </w:rPr>
        <w:t>联系（地址：</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泉衍路3号</w:t>
      </w:r>
      <w:r>
        <w:rPr>
          <w:rFonts w:hint="eastAsia" w:ascii="Times New Roman" w:hAnsi="Times New Roman" w:eastAsia="方正仿宋简体"/>
          <w:b/>
          <w:color w:val="000000" w:themeColor="text1"/>
          <w:sz w:val="32"/>
          <w:szCs w:val="32"/>
          <w14:textFill>
            <w14:solidFill>
              <w14:schemeClr w14:val="tx1"/>
            </w14:solidFill>
          </w14:textFill>
        </w:rPr>
        <w:t>，联系电话：0537-</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3745975</w:t>
      </w:r>
      <w:r>
        <w:rPr>
          <w:rFonts w:hint="eastAsia" w:ascii="Times New Roman" w:hAnsi="Times New Roman" w:eastAsia="方正仿宋简体"/>
          <w:b/>
          <w:color w:val="000000" w:themeColor="text1"/>
          <w:sz w:val="32"/>
          <w:szCs w:val="32"/>
          <w14:textFill>
            <w14:solidFill>
              <w14:schemeClr w14:val="tx1"/>
            </w14:solidFill>
          </w14:textFill>
        </w:rPr>
        <w:t>）。</w:t>
      </w:r>
    </w:p>
    <w:p>
      <w:pPr>
        <w:spacing w:line="590" w:lineRule="exact"/>
        <w:ind w:right="-105" w:rightChars="-50"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一、总体情况</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eastAsia="zh-CN"/>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2023年，我局始终坚持贯彻落实《中华人民共和国政府信息公开条例》，坚守公开、透明、民主的原则，全面深化政府信息公开工作，持续完善政府信息公开制度，进一步推进行政决策公开、执行公开、管理公开、服务公开和结果公开，努力构建阳光型政府、服务型政府</w:t>
      </w:r>
      <w:r>
        <w:rPr>
          <w:rFonts w:hint="eastAsia" w:eastAsia="方正仿宋简体"/>
          <w:b/>
          <w:color w:val="000000" w:themeColor="text1"/>
          <w:sz w:val="32"/>
          <w:szCs w:val="32"/>
          <w:lang w:eastAsia="zh-CN"/>
          <w14:textFill>
            <w14:solidFill>
              <w14:schemeClr w14:val="tx1"/>
            </w14:solidFill>
          </w14:textFill>
        </w:rPr>
        <w:t>。</w:t>
      </w:r>
    </w:p>
    <w:p>
      <w:pPr>
        <w:spacing w:line="590" w:lineRule="exact"/>
        <w:ind w:right="-105" w:rightChars="-50" w:firstLine="643" w:firstLineChars="200"/>
        <w:rPr>
          <w:rFonts w:hint="eastAsia" w:ascii="Times New Roman" w:hAnsi="Times New Roman" w:eastAsia="方正楷体简体"/>
          <w:b/>
          <w:color w:val="000000" w:themeColor="text1"/>
          <w:sz w:val="32"/>
          <w:szCs w:val="32"/>
          <w:lang w:eastAsia="zh-CN"/>
          <w14:textFill>
            <w14:solidFill>
              <w14:schemeClr w14:val="tx1"/>
            </w14:solidFill>
          </w14:textFill>
        </w:rPr>
      </w:pPr>
      <w:r>
        <w:rPr>
          <w:rFonts w:hint="eastAsia" w:ascii="Times New Roman" w:hAnsi="Times New Roman" w:eastAsia="方正楷体简体"/>
          <w:b/>
          <w:color w:val="000000" w:themeColor="text1"/>
          <w:sz w:val="32"/>
          <w:szCs w:val="32"/>
          <w14:textFill>
            <w14:solidFill>
              <w14:schemeClr w14:val="tx1"/>
            </w14:solidFill>
          </w14:textFill>
        </w:rPr>
        <w:t>（一）主动公开</w:t>
      </w: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643" w:firstLineChars="200"/>
        <w:jc w:val="left"/>
        <w:textAlignment w:val="auto"/>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及时更新单位信息，根据实际情况，调整部门职能职责、机构设置、班子成员分工等信息。主动公开重要信息，全面推进政务公开，截至2023年12月31日，我局通过泗水县政府门户网站主动公开信息347条，通过</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泗水县住房和城乡建设局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微信公众号发布信息800余篇。</w:t>
      </w: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643" w:firstLineChars="200"/>
        <w:jc w:val="center"/>
        <w:textAlignment w:val="auto"/>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drawing>
          <wp:inline distT="0" distB="0" distL="114300" distR="114300">
            <wp:extent cx="5080000" cy="5009515"/>
            <wp:effectExtent l="4445" t="4445" r="2095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5" w:rightChars="-50" w:firstLine="643" w:firstLineChars="200"/>
        <w:rPr>
          <w:rFonts w:hint="eastAsia"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（二）依申请公开</w:t>
      </w:r>
    </w:p>
    <w:p>
      <w:pPr>
        <w:spacing w:line="590" w:lineRule="exact"/>
        <w:ind w:right="-105" w:rightChars="-50" w:firstLine="643" w:firstLineChars="200"/>
        <w:jc w:val="left"/>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高度重视公众知情权，不断完善依申请公开的受理、处理和反馈机制，确保公众的合法权益得到有效保障，2023年度共收到依申请公开7件，较2022年增加3件，涉及施工许可、房屋征收、工程质量、农村改厕等内容。其中本机关不掌握相关政府信息5件，补正后申请内容仍不明确1件，予以部分公开1件。</w:t>
      </w:r>
    </w:p>
    <w:p>
      <w:pPr>
        <w:pStyle w:val="2"/>
        <w:ind w:left="0" w:leftChars="0" w:firstLine="0" w:firstLineChars="0"/>
        <w:jc w:val="center"/>
        <w:rPr>
          <w:rFonts w:hint="eastAsia"/>
          <w:lang w:val="en-US" w:eastAsia="zh-CN"/>
        </w:rPr>
      </w:pPr>
      <w:r>
        <w:rPr>
          <w:rFonts w:hint="eastAsia"/>
          <w:lang w:val="en-US"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590" w:lineRule="exact"/>
        <w:ind w:right="-105" w:rightChars="-50" w:firstLine="643" w:firstLineChars="200"/>
        <w:jc w:val="left"/>
        <w:rPr>
          <w:rFonts w:hint="eastAsia"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（三）政府信息管理</w:t>
      </w:r>
      <w:bookmarkStart w:id="0" w:name="_GoBack"/>
      <w:bookmarkEnd w:id="0"/>
    </w:p>
    <w:p>
      <w:pPr>
        <w:spacing w:line="590" w:lineRule="exact"/>
        <w:ind w:right="-105" w:rightChars="-50" w:firstLine="643" w:firstLineChars="200"/>
        <w:jc w:val="left"/>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一是建立信息管理机制，从信息收集、整理、审核到发布，明确审批流程和各环节责任人。二是明确任务分配，根据县级下发任务数量和实际工作需要，制定信息公开年度任务，确保信息公开任务按时完成。三是加强学习，将本级政务公开网站平台与市住建局政务公开平台整体对比，找准问题，查缺补差，不断完善。</w:t>
      </w:r>
    </w:p>
    <w:p>
      <w:pPr>
        <w:spacing w:line="590" w:lineRule="exact"/>
        <w:ind w:right="-105" w:rightChars="-50" w:firstLine="643" w:firstLineChars="200"/>
        <w:jc w:val="left"/>
        <w:rPr>
          <w:rFonts w:hint="default" w:ascii="Times New Roman" w:hAnsi="Times New Roman" w:eastAsia="方正楷体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w:t>
      </w:r>
      <w:r>
        <w:rPr>
          <w:rFonts w:hint="eastAsia" w:eastAsia="方正楷体简体"/>
          <w:b/>
          <w:color w:val="000000" w:themeColor="text1"/>
          <w:sz w:val="32"/>
          <w:szCs w:val="32"/>
          <w:lang w:val="en-US" w:eastAsia="zh-CN"/>
          <w14:textFill>
            <w14:solidFill>
              <w14:schemeClr w14:val="tx1"/>
            </w14:solidFill>
          </w14:textFill>
        </w:rPr>
        <w:t>四</w:t>
      </w:r>
      <w:r>
        <w:rPr>
          <w:rFonts w:hint="eastAsia" w:ascii="Times New Roman" w:hAnsi="Times New Roman" w:eastAsia="方正楷体简体"/>
          <w:b/>
          <w:color w:val="000000" w:themeColor="text1"/>
          <w:sz w:val="32"/>
          <w:szCs w:val="32"/>
          <w:lang w:val="en-US" w:eastAsia="zh-CN"/>
          <w14:textFill>
            <w14:solidFill>
              <w14:schemeClr w14:val="tx1"/>
            </w14:solidFill>
          </w14:textFill>
        </w:rPr>
        <w:t>）政府信息</w:t>
      </w:r>
      <w:r>
        <w:rPr>
          <w:rFonts w:hint="eastAsia" w:eastAsia="方正楷体简体"/>
          <w:b/>
          <w:color w:val="000000" w:themeColor="text1"/>
          <w:sz w:val="32"/>
          <w:szCs w:val="32"/>
          <w:lang w:val="en-US" w:eastAsia="zh-CN"/>
          <w14:textFill>
            <w14:solidFill>
              <w14:schemeClr w14:val="tx1"/>
            </w14:solidFill>
          </w14:textFill>
        </w:rPr>
        <w:t>公开平台建设</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为更好地提供政府信息公开服务，便于公民、法人或者其他组织依法获取泗水县住房和城乡建设局的政府信息，提高政府工作透明度，助力法治政府建设，根据《条例》</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县住建局在泗水县人民政府门户网站（http://www.sishui.gov.cn/col/col17474/index.html）开设信息公开专栏，并在</w:t>
      </w:r>
      <w:r>
        <w:rPr>
          <w:rFonts w:hint="eastAsia" w:ascii="Times New Roman" w:hAnsi="Times New Roman" w:eastAsia="方正仿宋简体"/>
          <w:b/>
          <w:color w:val="000000" w:themeColor="text1"/>
          <w:sz w:val="32"/>
          <w:szCs w:val="32"/>
          <w14:textFill>
            <w14:solidFill>
              <w14:schemeClr w14:val="tx1"/>
            </w14:solidFill>
          </w14:textFill>
        </w:rPr>
        <w:t>泗水县住房和城乡建设局( 地址:济河街道泉衍路3号)</w:t>
      </w:r>
      <w:r>
        <w:rPr>
          <w:rFonts w:hint="eastAsia" w:ascii="Times New Roman" w:hAnsi="Times New Roman" w:eastAsia="方正仿宋简体"/>
          <w:b/>
          <w:color w:val="000000" w:themeColor="text1"/>
          <w:sz w:val="32"/>
          <w:szCs w:val="32"/>
          <w:lang w:val="en-US" w:eastAsia="zh-CN"/>
          <w14:textFill>
            <w14:solidFill>
              <w14:schemeClr w14:val="tx1"/>
            </w14:solidFill>
          </w14:textFill>
        </w:rPr>
        <w:t xml:space="preserve">办公室908设置政府信息公开查阅点。 </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楷体简体"/>
          <w:b/>
          <w:color w:val="000000" w:themeColor="text1"/>
          <w:sz w:val="32"/>
          <w:szCs w:val="32"/>
          <w:lang w:val="en-US" w:eastAsia="zh-CN"/>
          <w14:textFill>
            <w14:solidFill>
              <w14:schemeClr w14:val="tx1"/>
            </w14:solidFill>
          </w14:textFill>
        </w:rPr>
        <w:t>（</w:t>
      </w:r>
      <w:r>
        <w:rPr>
          <w:rFonts w:hint="eastAsia" w:ascii="Times New Roman" w:hAnsi="Times New Roman" w:eastAsia="方正楷体简体"/>
          <w:b/>
          <w:color w:val="000000" w:themeColor="text1"/>
          <w:sz w:val="32"/>
          <w:szCs w:val="32"/>
          <w:lang w:val="en-US" w:eastAsia="zh-CN"/>
          <w14:textFill>
            <w14:solidFill>
              <w14:schemeClr w14:val="tx1"/>
            </w14:solidFill>
          </w14:textFill>
        </w:rPr>
        <w:t>五）监督保障</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eastAsia="方正仿宋简体"/>
          <w:b/>
          <w:color w:val="000000" w:themeColor="text1"/>
          <w:sz w:val="32"/>
          <w:szCs w:val="32"/>
          <w:lang w:val="en-US" w:eastAsia="zh-CN"/>
          <w14:textFill>
            <w14:solidFill>
              <w14:schemeClr w14:val="tx1"/>
            </w14:solidFill>
          </w14:textFill>
        </w:rPr>
        <w:t>一是</w:t>
      </w:r>
      <w:r>
        <w:rPr>
          <w:rFonts w:hint="eastAsia" w:ascii="Times New Roman" w:hAnsi="Times New Roman" w:eastAsia="方正仿宋简体"/>
          <w:b/>
          <w:color w:val="000000" w:themeColor="text1"/>
          <w:sz w:val="32"/>
          <w:szCs w:val="32"/>
          <w:lang w:val="en-US" w:eastAsia="zh-CN"/>
          <w14:textFill>
            <w14:solidFill>
              <w14:schemeClr w14:val="tx1"/>
            </w14:solidFill>
          </w14:textFill>
        </w:rPr>
        <w:t>设立</w:t>
      </w:r>
      <w:r>
        <w:rPr>
          <w:rFonts w:hint="eastAsia" w:ascii="Times New Roman" w:hAnsi="Times New Roman" w:eastAsia="方正仿宋简体"/>
          <w:b/>
          <w:color w:val="000000" w:themeColor="text1"/>
          <w:sz w:val="32"/>
          <w:szCs w:val="32"/>
          <w14:textFill>
            <w14:solidFill>
              <w14:schemeClr w14:val="tx1"/>
            </w14:solidFill>
          </w14:textFill>
        </w:rPr>
        <w:t>政府公开领导小组，</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从事政务公开工作人员 4名，局办公室作为政府信息公开工作牵头部门，负责日常指导和监督检查，定期进行自查自纠，确保信息发布无差错</w:t>
      </w:r>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二</w:t>
      </w:r>
      <w:r>
        <w:rPr>
          <w:rFonts w:hint="eastAsia" w:ascii="Times New Roman" w:hAnsi="Times New Roman" w:eastAsia="方正仿宋简体"/>
          <w:b/>
          <w:color w:val="000000" w:themeColor="text1"/>
          <w:sz w:val="32"/>
          <w:szCs w:val="32"/>
          <w:lang w:val="en-US" w:eastAsia="zh-CN"/>
          <w14:textFill>
            <w14:solidFill>
              <w14:schemeClr w14:val="tx1"/>
            </w14:solidFill>
          </w14:textFill>
        </w:rPr>
        <w:t>是加强对微信公众号、微信工作群、管理和清理，及时取消非必要的工作群，禁止随意创建工作群；严禁在微信公众号和工作群上发布违反国家法律、法规等的言论</w:t>
      </w:r>
      <w:r>
        <w:rPr>
          <w:rFonts w:hint="eastAsia" w:eastAsia="方正仿宋简体"/>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2023年度未发现违规信息。</w:t>
      </w:r>
    </w:p>
    <w:p>
      <w:pPr>
        <w:spacing w:line="590" w:lineRule="exact"/>
        <w:ind w:right="-105" w:rightChars="-50"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二、主动公开政府信息情况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193"/>
        <w:gridCol w:w="2193"/>
        <w:gridCol w:w="2193"/>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Times New Roman" w:hAnsi="Times New Roman" w:eastAsia="方正黑体简体"/>
                <w:b/>
                <w:color w:val="000000" w:themeColor="text1"/>
                <w:sz w:val="24"/>
                <w:szCs w:val="24"/>
                <w14:textFill>
                  <w14:solidFill>
                    <w14:schemeClr w14:val="tx1"/>
                  </w14:solidFill>
                </w14:textFill>
              </w:rPr>
            </w:pPr>
            <w:r>
              <w:rPr>
                <w:rFonts w:hint="eastAsia" w:ascii="Times New Roman" w:hAnsi="Times New Roman" w:eastAsia="黑体" w:cs="宋体"/>
                <w:b/>
                <w:bCs/>
                <w:color w:val="000000" w:themeColor="text1"/>
                <w:kern w:val="0"/>
                <w:szCs w:val="21"/>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信息内容</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本年制发件数</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本年废止件数</w:t>
            </w:r>
          </w:p>
        </w:tc>
        <w:tc>
          <w:tcPr>
            <w:tcW w:w="219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规章</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t>0</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219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行政规范性文件</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219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Times New Roman" w:hAnsi="Times New Roman" w:eastAsia="方正仿宋简体"/>
                <w:b/>
                <w:color w:val="000000" w:themeColor="text1"/>
                <w:sz w:val="24"/>
                <w:szCs w:val="24"/>
                <w14:textFill>
                  <w14:solidFill>
                    <w14:schemeClr w14:val="tx1"/>
                  </w14:solidFill>
                </w14:textFill>
              </w:rPr>
            </w:pPr>
            <w:r>
              <w:rPr>
                <w:rFonts w:hint="eastAsia" w:ascii="Times New Roman" w:hAnsi="Times New Roman" w:eastAsia="黑体" w:cs="宋体"/>
                <w:b/>
                <w:bCs/>
                <w:color w:val="000000" w:themeColor="text1"/>
                <w:kern w:val="0"/>
                <w:szCs w:val="21"/>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信息内容</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行政许可</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default"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Times New Roman" w:hAnsi="Times New Roman" w:eastAsia="方正仿宋简体"/>
                <w:b/>
                <w:color w:val="000000" w:themeColor="text1"/>
                <w:sz w:val="24"/>
                <w:szCs w:val="24"/>
                <w14:textFill>
                  <w14:solidFill>
                    <w14:schemeClr w14:val="tx1"/>
                  </w14:solidFill>
                </w14:textFill>
              </w:rPr>
            </w:pPr>
            <w:r>
              <w:rPr>
                <w:rFonts w:hint="eastAsia" w:ascii="Times New Roman" w:hAnsi="Times New Roman" w:eastAsia="黑体" w:cs="宋体"/>
                <w:b/>
                <w:bCs/>
                <w:color w:val="000000" w:themeColor="text1"/>
                <w:kern w:val="0"/>
                <w:szCs w:val="21"/>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信息内容</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行政处罚</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default"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5</w:t>
            </w:r>
            <w:r>
              <w:rPr>
                <w:rFonts w:hint="eastAsia" w:eastAsia="方正仿宋简体" w:cs="宋体"/>
                <w:b/>
                <w:color w:val="000000" w:themeColor="text1"/>
                <w:sz w:val="21"/>
                <w:szCs w:val="21"/>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行政强制</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jc w:val="center"/>
              <w:rPr>
                <w:rFonts w:ascii="Times New Roman" w:hAnsi="Times New Roman" w:eastAsia="方正仿宋简体"/>
                <w:b/>
                <w:color w:val="000000" w:themeColor="text1"/>
                <w:sz w:val="24"/>
                <w:szCs w:val="24"/>
                <w14:textFill>
                  <w14:solidFill>
                    <w14:schemeClr w14:val="tx1"/>
                  </w14:solidFill>
                </w14:textFill>
              </w:rPr>
            </w:pPr>
            <w:r>
              <w:rPr>
                <w:rFonts w:hint="eastAsia" w:ascii="Times New Roman" w:hAnsi="Times New Roman" w:eastAsia="黑体" w:cs="宋体"/>
                <w:b/>
                <w:bCs/>
                <w:color w:val="000000" w:themeColor="text1"/>
                <w:kern w:val="0"/>
                <w:szCs w:val="21"/>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信息内容</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行政事业性收费</w:t>
            </w:r>
          </w:p>
        </w:tc>
        <w:tc>
          <w:tcPr>
            <w:tcW w:w="6580" w:type="dxa"/>
            <w:gridSpan w:val="3"/>
            <w:shd w:val="clear" w:color="auto" w:fill="FFFFFF"/>
            <w:noWrap w:val="0"/>
            <w:tcMar>
              <w:left w:w="57" w:type="dxa"/>
              <w:right w:w="57" w:type="dxa"/>
            </w:tcMar>
            <w:vAlign w:val="center"/>
          </w:tcPr>
          <w:p>
            <w:pPr>
              <w:widowControl/>
              <w:spacing w:line="300" w:lineRule="exact"/>
              <w:jc w:val="center"/>
              <w:rPr>
                <w:rFonts w:hint="default"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bl>
    <w:p>
      <w:pPr>
        <w:spacing w:before="62" w:beforeLines="10" w:after="62" w:afterLines="10" w:line="600" w:lineRule="exact"/>
        <w:ind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三、收到和处理政府信息公开申请情况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vMerge w:val="restart"/>
            <w:shd w:val="clear" w:color="auto" w:fill="FFFFFF" w:themeFill="background1"/>
            <w:noWrap w:val="0"/>
            <w:tcMar>
              <w:left w:w="108" w:type="dxa"/>
              <w:right w:w="108"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楷体"/>
                <w:b/>
                <w:color w:val="000000" w:themeColor="text1"/>
                <w:sz w:val="21"/>
                <w:szCs w:val="21"/>
                <w:lang w:bidi="ar"/>
                <w14:textFill>
                  <w14:solidFill>
                    <w14:schemeClr w14:val="tx1"/>
                  </w14:solidFill>
                </w14:textFill>
              </w:rPr>
              <w:t>（本列数据的勾稽关系为：第一项加第二项之和，等于第三项加第四项之和）</w:t>
            </w:r>
          </w:p>
        </w:tc>
        <w:tc>
          <w:tcPr>
            <w:tcW w:w="4229" w:type="dxa"/>
            <w:gridSpan w:val="7"/>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shd w:val="clear" w:color="auto" w:fill="FFFFFF" w:themeFill="background1"/>
            <w:noWrap w:val="0"/>
            <w:tcMar>
              <w:left w:w="108" w:type="dxa"/>
              <w:right w:w="108" w:type="dxa"/>
            </w:tcMar>
            <w:vAlign w:val="center"/>
          </w:tcPr>
          <w:p>
            <w:pPr>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p>
        </w:tc>
        <w:tc>
          <w:tcPr>
            <w:tcW w:w="791" w:type="dxa"/>
            <w:vMerge w:val="restart"/>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自然人</w:t>
            </w:r>
          </w:p>
        </w:tc>
        <w:tc>
          <w:tcPr>
            <w:tcW w:w="2917" w:type="dxa"/>
            <w:gridSpan w:val="5"/>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法人或其他组织</w:t>
            </w:r>
          </w:p>
        </w:tc>
        <w:tc>
          <w:tcPr>
            <w:tcW w:w="521" w:type="dxa"/>
            <w:vMerge w:val="restart"/>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shd w:val="clear" w:color="auto" w:fill="FFFFFF" w:themeFill="background1"/>
            <w:noWrap w:val="0"/>
            <w:tcMar>
              <w:left w:w="108" w:type="dxa"/>
              <w:right w:w="108"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791"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商业</w:t>
            </w:r>
          </w:p>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企业</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科研</w:t>
            </w:r>
          </w:p>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机构</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社会公益组织</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法律服务机构</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其他</w:t>
            </w:r>
          </w:p>
        </w:tc>
        <w:tc>
          <w:tcPr>
            <w:tcW w:w="521"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一、本年新收政府信息公开申请数量</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4</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4</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二、上年结转政府信息公开申请数量</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三、本年度办理结果</w:t>
            </w:r>
          </w:p>
        </w:tc>
        <w:tc>
          <w:tcPr>
            <w:tcW w:w="3820" w:type="dxa"/>
            <w:gridSpan w:val="2"/>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（一）予以公开</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2</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3820" w:type="dxa"/>
            <w:gridSpan w:val="2"/>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（二）部分公开</w:t>
            </w:r>
            <w:r>
              <w:rPr>
                <w:rFonts w:hint="eastAsia" w:ascii="Times New Roman" w:hAnsi="Times New Roman" w:eastAsia="方正仿宋简体" w:cs="楷体"/>
                <w:b/>
                <w:color w:val="000000" w:themeColor="text1"/>
                <w:sz w:val="21"/>
                <w:szCs w:val="21"/>
                <w:lang w:bidi="ar"/>
                <w14:textFill>
                  <w14:solidFill>
                    <w14:schemeClr w14:val="tx1"/>
                  </w14:solidFill>
                </w14:textFill>
              </w:rPr>
              <w:t>（区分处理的，只计这一情形，不计其他情形）</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hint="eastAsia" w:ascii="Times New Roman" w:hAnsi="Times New Roman" w:eastAsia="方正仿宋简体" w:cs="Calibri"/>
                <w:b/>
                <w:color w:val="000000" w:themeColor="text1"/>
                <w:sz w:val="21"/>
                <w:szCs w:val="21"/>
                <w:lang w:bidi="ar"/>
                <w14:textFill>
                  <w14:solidFill>
                    <w14:schemeClr w14:val="tx1"/>
                  </w14:solidFill>
                </w14:textFill>
              </w:rPr>
            </w:pPr>
          </w:p>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（三）不予公开</w:t>
            </w: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1.属于国家秘密</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2.其他法律行政法规禁止公开</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3.危及“三安全一稳定”</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4.保护第三方合法权益</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5.属于三类内部事务信息</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6.属于四类过程性信息</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7.属于行政执法案卷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8.属于行政查询事项</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（四）无法提供</w:t>
            </w: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1.本机关不掌握相关政府信息</w:t>
            </w:r>
          </w:p>
        </w:tc>
        <w:tc>
          <w:tcPr>
            <w:tcW w:w="79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ascii="Times New Roman" w:hAnsi="Times New Roman" w:eastAsia="方正仿宋简体" w:cs="Calibri"/>
                <w:b/>
                <w:color w:val="000000" w:themeColor="text1"/>
                <w:szCs w:val="21"/>
                <w:lang w:bidi="ar"/>
                <w14:textFill>
                  <w14:solidFill>
                    <w14:schemeClr w14:val="tx1"/>
                  </w14:solidFill>
                </w14:textFill>
              </w:rPr>
              <w:t>1</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ascii="Times New Roman" w:hAnsi="Times New Roman" w:eastAsia="方正仿宋简体" w:cs="Calibri"/>
                <w:b/>
                <w:color w:val="000000" w:themeColor="text1"/>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2.没有现成信息需要另行制作</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3.补正后申请内容仍不明确</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（五）不予处理</w:t>
            </w: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1.信访举报投诉类申请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2.重复申请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3.要求提供公开出版物</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top"/>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4.无正当理由大量反复申请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779" w:hRule="atLeast"/>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center"/>
          </w:tcPr>
          <w:p>
            <w:pPr>
              <w:widowControl/>
              <w:spacing w:line="300" w:lineRule="exac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5.要求行政机关确认或重新出具已获取信息</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restart"/>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（六）其他处理</w:t>
            </w:r>
          </w:p>
        </w:tc>
        <w:tc>
          <w:tcPr>
            <w:tcW w:w="2878" w:type="dxa"/>
            <w:shd w:val="clear" w:color="auto" w:fill="FFFFFF" w:themeFill="background1"/>
            <w:noWrap w:val="0"/>
            <w:tcMar>
              <w:left w:w="57" w:type="dxa"/>
              <w:right w:w="57" w:type="dxa"/>
            </w:tcMar>
            <w:vAlign w:val="center"/>
          </w:tcPr>
          <w:p>
            <w:pPr>
              <w:widowControl/>
              <w:spacing w:line="300" w:lineRule="exac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1.申请人无正当理由逾期不补正、行政机关不再处理其政府信息公开申请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center"/>
          </w:tcPr>
          <w:p>
            <w:pPr>
              <w:widowControl/>
              <w:spacing w:line="300" w:lineRule="exac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r>
              <w:rPr>
                <w:rFonts w:hint="eastAsia" w:ascii="Times New Roman" w:hAnsi="Times New Roman" w:eastAsia="方正仿宋简体" w:cs="Calibri"/>
                <w:b/>
                <w:color w:val="000000" w:themeColor="text1"/>
                <w:sz w:val="21"/>
                <w:szCs w:val="21"/>
                <w:lang w:bidi="ar"/>
                <w14:textFill>
                  <w14:solidFill>
                    <w14:schemeClr w14:val="tx1"/>
                  </w14:solidFill>
                </w14:textFill>
              </w:rPr>
              <w:t> </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 w:val="21"/>
                <w:szCs w:val="21"/>
                <w:lang w:bidi="ar"/>
                <w14:textFill>
                  <w14:solidFill>
                    <w14:schemeClr w14:val="tx1"/>
                  </w14:solidFill>
                </w14:textFill>
              </w:rPr>
              <w:t> </w:t>
            </w:r>
            <w:r>
              <w:rPr>
                <w:rFonts w:hint="eastAsia" w:ascii="Times New Roman" w:hAnsi="Times New Roman"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942"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2878" w:type="dxa"/>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3.其他</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ascii="Times New Roman" w:hAnsi="Times New Roman" w:eastAsia="方正仿宋简体" w:cs="Calibri"/>
                <w:b/>
                <w:color w:val="000000" w:themeColor="text1"/>
                <w:szCs w:val="21"/>
                <w:lang w:bidi="ar"/>
                <w14:textFill>
                  <w14:solidFill>
                    <w14:schemeClr w14:val="tx1"/>
                  </w14:solidFill>
                </w14:textFill>
              </w:rPr>
              <w:t>1</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ascii="Times New Roman" w:hAnsi="Times New Roman" w:eastAsia="方正仿宋简体" w:cs="Calibri"/>
                <w:b/>
                <w:color w:val="000000" w:themeColor="text1"/>
                <w:szCs w:val="21"/>
                <w:lang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noWrap w:val="0"/>
            <w:tcMar>
              <w:left w:w="57" w:type="dxa"/>
              <w:right w:w="57" w:type="dxa"/>
            </w:tcMar>
            <w:vAlign w:val="center"/>
          </w:tcPr>
          <w:p>
            <w:pPr>
              <w:spacing w:line="300" w:lineRule="exact"/>
              <w:rPr>
                <w:rFonts w:ascii="Times New Roman" w:hAnsi="Times New Roman" w:eastAsia="方正仿宋简体"/>
                <w:b/>
                <w:color w:val="000000" w:themeColor="text1"/>
                <w:sz w:val="21"/>
                <w:szCs w:val="21"/>
                <w14:textFill>
                  <w14:solidFill>
                    <w14:schemeClr w14:val="tx1"/>
                  </w14:solidFill>
                </w14:textFill>
              </w:rPr>
            </w:pPr>
          </w:p>
        </w:tc>
        <w:tc>
          <w:tcPr>
            <w:tcW w:w="3820" w:type="dxa"/>
            <w:gridSpan w:val="2"/>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（七）总计</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ascii="Times New Roman" w:hAnsi="Times New Roman" w:eastAsia="方正仿宋简体" w:cs="Calibri"/>
                <w:b/>
                <w:color w:val="000000" w:themeColor="text1"/>
                <w:szCs w:val="21"/>
                <w:lang w:bidi="ar"/>
                <w14:textFill>
                  <w14:solidFill>
                    <w14:schemeClr w14:val="tx1"/>
                  </w14:solidFill>
                </w14:textFill>
              </w:rPr>
              <w:t>4</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ascii="Times New Roman" w:hAnsi="Times New Roman"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hint="eastAsia" w:ascii="Times New Roman" w:hAnsi="Times New Roman" w:eastAsia="方正仿宋简体"/>
                <w:b/>
                <w:color w:val="000000" w:themeColor="text1"/>
                <w:sz w:val="21"/>
                <w:szCs w:val="21"/>
                <w:lang w:val="en-US" w:eastAsia="zh-CN"/>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ascii="Times New Roman" w:hAnsi="Times New Roman" w:eastAsia="方正仿宋简体" w:cs="Calibri"/>
                <w:b/>
                <w:color w:val="000000" w:themeColor="text1"/>
                <w:szCs w:val="21"/>
                <w:lang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shd w:val="clear" w:color="auto" w:fill="FFFFFF" w:themeFill="background1"/>
            <w:noWrap w:val="0"/>
            <w:tcMar>
              <w:left w:w="57" w:type="dxa"/>
              <w:right w:w="57" w:type="dxa"/>
            </w:tcMar>
            <w:vAlign w:val="center"/>
          </w:tcPr>
          <w:p>
            <w:pPr>
              <w:widowControl/>
              <w:spacing w:line="300" w:lineRule="exact"/>
              <w:jc w:val="left"/>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四、结转下年度继续办理</w:t>
            </w:r>
          </w:p>
        </w:tc>
        <w:tc>
          <w:tcPr>
            <w:tcW w:w="79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0"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98"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71"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59" w:type="dxa"/>
            <w:shd w:val="clear" w:color="auto" w:fill="FFFFFF" w:themeFill="background1"/>
            <w:noWrap w:val="0"/>
            <w:tcMar>
              <w:left w:w="57" w:type="dxa"/>
              <w:right w:w="57" w:type="dxa"/>
            </w:tcMar>
            <w:vAlign w:val="center"/>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c>
          <w:tcPr>
            <w:tcW w:w="521" w:type="dxa"/>
            <w:shd w:val="clear" w:color="auto" w:fill="FFFFFF" w:themeFill="background1"/>
            <w:noWrap w:val="0"/>
            <w:tcMar>
              <w:left w:w="57" w:type="dxa"/>
              <w:right w:w="57" w:type="dxa"/>
            </w:tcMar>
            <w:vAlign w:val="top"/>
          </w:tcPr>
          <w:p>
            <w:pPr>
              <w:widowControl/>
              <w:spacing w:line="300" w:lineRule="exact"/>
              <w:jc w:val="center"/>
              <w:rPr>
                <w:rFonts w:ascii="Times New Roman" w:hAnsi="Times New Roman" w:eastAsia="方正仿宋简体"/>
                <w:b/>
                <w:color w:val="000000" w:themeColor="text1"/>
                <w:sz w:val="21"/>
                <w:szCs w:val="21"/>
                <w14:textFill>
                  <w14:solidFill>
                    <w14:schemeClr w14:val="tx1"/>
                  </w14:solidFill>
                </w14:textFill>
              </w:rPr>
            </w:pPr>
            <w:r>
              <w:rPr>
                <w:rFonts w:hint="eastAsia" w:ascii="Times New Roman" w:hAnsi="Times New Roman" w:eastAsia="方正仿宋简体" w:cs="Calibri"/>
                <w:b/>
                <w:color w:val="000000" w:themeColor="text1"/>
                <w:szCs w:val="21"/>
                <w:lang w:bidi="ar"/>
                <w14:textFill>
                  <w14:solidFill>
                    <w14:schemeClr w14:val="tx1"/>
                  </w14:solidFill>
                </w14:textFill>
              </w:rPr>
              <w:t>0</w:t>
            </w:r>
          </w:p>
        </w:tc>
      </w:tr>
    </w:tbl>
    <w:p>
      <w:pPr>
        <w:spacing w:line="590" w:lineRule="exact"/>
        <w:ind w:right="-105" w:rightChars="-50"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四、政府信息公开行政复议、行政诉讼情况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PrEx>
        <w:trPr>
          <w:jc w:val="center"/>
        </w:trPr>
        <w:tc>
          <w:tcPr>
            <w:tcW w:w="2888" w:type="dxa"/>
            <w:gridSpan w:val="5"/>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行政复议</w:t>
            </w:r>
          </w:p>
        </w:tc>
        <w:tc>
          <w:tcPr>
            <w:tcW w:w="5922" w:type="dxa"/>
            <w:gridSpan w:val="10"/>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40" w:lineRule="exact"/>
              <w:ind w:left="-42" w:leftChars="-20" w:right="-42" w:rightChars="-20"/>
              <w:jc w:val="center"/>
              <w:rPr>
                <w:rFonts w:ascii="Times New Roman" w:hAnsi="Times New Roman" w:eastAsia="方正黑体简体"/>
                <w:b/>
                <w:color w:val="000000" w:themeColor="text1"/>
                <w:sz w:val="21"/>
                <w:szCs w:val="21"/>
                <w14:textFill>
                  <w14:solidFill>
                    <w14:schemeClr w14:val="tx1"/>
                  </w14:solidFill>
                </w14:textFill>
              </w:rPr>
            </w:pPr>
            <w:r>
              <w:rPr>
                <w:rFonts w:hint="eastAsia" w:ascii="Times New Roman" w:hAnsi="Times New Roman" w:eastAsia="方正黑体简体" w:cs="宋体"/>
                <w:b/>
                <w:color w:val="000000" w:themeColor="text1"/>
                <w:sz w:val="21"/>
                <w:szCs w:val="21"/>
                <w:lang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结果维持</w:t>
            </w:r>
          </w:p>
        </w:tc>
        <w:tc>
          <w:tcPr>
            <w:tcW w:w="621" w:type="dxa"/>
            <w:vMerge w:val="restart"/>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纠正</w:t>
            </w:r>
          </w:p>
        </w:tc>
        <w:tc>
          <w:tcPr>
            <w:tcW w:w="600" w:type="dxa"/>
            <w:vMerge w:val="restart"/>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其他</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tc>
        <w:tc>
          <w:tcPr>
            <w:tcW w:w="59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尚未</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审结</w:t>
            </w:r>
          </w:p>
        </w:tc>
        <w:tc>
          <w:tcPr>
            <w:tcW w:w="46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总计</w:t>
            </w:r>
          </w:p>
        </w:tc>
        <w:tc>
          <w:tcPr>
            <w:tcW w:w="3010" w:type="dxa"/>
            <w:gridSpan w:val="5"/>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621" w:type="dxa"/>
            <w:vMerge w:val="continue"/>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600"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591"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461"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其他</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tc>
        <w:tc>
          <w:tcPr>
            <w:tcW w:w="636"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尚未</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审结</w:t>
            </w:r>
          </w:p>
        </w:tc>
        <w:tc>
          <w:tcPr>
            <w:tcW w:w="426"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其他</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结果</w:t>
            </w:r>
          </w:p>
        </w:tc>
        <w:tc>
          <w:tcPr>
            <w:tcW w:w="555"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尚未</w:t>
            </w:r>
          </w:p>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审结</w:t>
            </w:r>
          </w:p>
        </w:tc>
        <w:tc>
          <w:tcPr>
            <w:tcW w:w="407" w:type="dxa"/>
            <w:tcBorders>
              <w:top w:val="single" w:color="auto" w:sz="8" w:space="0"/>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21"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0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591"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461"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36"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426"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555"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c>
          <w:tcPr>
            <w:tcW w:w="407" w:type="dxa"/>
            <w:tcBorders>
              <w:top w:val="nil"/>
              <w:left w:val="single" w:color="auto" w:sz="8" w:space="0"/>
              <w:bottom w:val="single" w:color="auto" w:sz="8" w:space="0"/>
              <w:right w:val="single" w:color="auto" w:sz="8" w:space="0"/>
            </w:tcBorders>
            <w:shd w:val="clear" w:color="auto" w:fill="FFFFFF" w:themeFill="background1"/>
            <w:noWrap w:val="0"/>
            <w:tcMar>
              <w:left w:w="108" w:type="dxa"/>
              <w:right w:w="108" w:type="dxa"/>
            </w:tcMar>
            <w:vAlign w:val="center"/>
          </w:tcPr>
          <w:p>
            <w:pPr>
              <w:widowControl/>
              <w:spacing w:line="300" w:lineRule="exact"/>
              <w:jc w:val="center"/>
              <w:rPr>
                <w:rFonts w:hint="eastAsia" w:ascii="Times New Roman" w:hAnsi="Times New Roman" w:eastAsia="方正仿宋简体" w:cs="宋体"/>
                <w:b/>
                <w:color w:val="000000" w:themeColor="text1"/>
                <w:sz w:val="21"/>
                <w:szCs w:val="21"/>
                <w:lang w:bidi="ar"/>
                <w14:textFill>
                  <w14:solidFill>
                    <w14:schemeClr w14:val="tx1"/>
                  </w14:solidFill>
                </w14:textFill>
              </w:rPr>
            </w:pPr>
            <w:r>
              <w:rPr>
                <w:rFonts w:hint="eastAsia" w:ascii="Times New Roman" w:hAnsi="Times New Roman" w:eastAsia="方正仿宋简体" w:cs="宋体"/>
                <w:b/>
                <w:color w:val="000000" w:themeColor="text1"/>
                <w:sz w:val="21"/>
                <w:szCs w:val="21"/>
                <w:lang w:val="en-US" w:eastAsia="zh-CN" w:bidi="ar"/>
                <w14:textFill>
                  <w14:solidFill>
                    <w14:schemeClr w14:val="tx1"/>
                  </w14:solidFill>
                </w14:textFill>
              </w:rPr>
              <w:t>0</w:t>
            </w:r>
          </w:p>
        </w:tc>
      </w:tr>
    </w:tbl>
    <w:p>
      <w:pPr>
        <w:spacing w:line="590" w:lineRule="exact"/>
        <w:ind w:right="-105" w:rightChars="-50" w:firstLine="643" w:firstLineChars="200"/>
        <w:rPr>
          <w:rFonts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五、存在的主要问题及改进情况</w:t>
      </w:r>
    </w:p>
    <w:p>
      <w:pPr>
        <w:spacing w:line="590" w:lineRule="exact"/>
        <w:ind w:right="-105" w:rightChars="-50" w:firstLine="643" w:firstLineChars="200"/>
        <w:jc w:val="left"/>
        <w:rPr>
          <w:rFonts w:hint="default"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信息公开意识不强，未能形成主动完成信息任务的责任意识，易出现工作断档脱节。下步工作中，将持续加强信息公开意识，通过多种形式组织和参加信息写作培训会，培养一批会写、想写、主动写的信息员，不断提高信息人员捕捉信息的能力，充实和丰富政府信息公开内容，增强信息实效性。</w:t>
      </w:r>
    </w:p>
    <w:p>
      <w:pPr>
        <w:numPr>
          <w:ilvl w:val="0"/>
          <w:numId w:val="1"/>
        </w:numPr>
        <w:spacing w:line="590" w:lineRule="exact"/>
        <w:ind w:right="-105" w:rightChars="-50" w:firstLine="643" w:firstLineChars="200"/>
        <w:rPr>
          <w:rFonts w:hint="eastAsia" w:ascii="Times New Roman" w:hAnsi="Times New Roman" w:eastAsia="方正黑体简体"/>
          <w:b/>
          <w:color w:val="000000" w:themeColor="text1"/>
          <w:sz w:val="32"/>
          <w:szCs w:val="32"/>
          <w14:textFill>
            <w14:solidFill>
              <w14:schemeClr w14:val="tx1"/>
            </w14:solidFill>
          </w14:textFill>
        </w:rPr>
      </w:pPr>
      <w:r>
        <w:rPr>
          <w:rFonts w:hint="eastAsia" w:ascii="Times New Roman" w:hAnsi="Times New Roman" w:eastAsia="方正黑体简体"/>
          <w:b/>
          <w:color w:val="000000" w:themeColor="text1"/>
          <w:sz w:val="32"/>
          <w:szCs w:val="32"/>
          <w14:textFill>
            <w14:solidFill>
              <w14:schemeClr w14:val="tx1"/>
            </w14:solidFill>
          </w14:textFill>
        </w:rPr>
        <w:t>其他需要报告的事项</w:t>
      </w:r>
    </w:p>
    <w:p>
      <w:pPr>
        <w:numPr>
          <w:ilvl w:val="0"/>
          <w:numId w:val="0"/>
        </w:num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（1）依据《政府信息公开信息处理费管理办法》，本单位2023年度未收取信息处理费。</w:t>
      </w:r>
    </w:p>
    <w:p>
      <w:pPr>
        <w:numPr>
          <w:ilvl w:val="0"/>
          <w:numId w:val="0"/>
        </w:numPr>
        <w:spacing w:line="590" w:lineRule="exact"/>
        <w:ind w:right="-105" w:rightChars="-50" w:firstLine="643" w:firstLineChars="200"/>
        <w:jc w:val="left"/>
        <w:rPr>
          <w:rFonts w:hint="default"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（2）本行政机关落实上级年度政务公开工作要点情况。县</w:t>
      </w:r>
      <w:r>
        <w:rPr>
          <w:rFonts w:hint="default" w:ascii="Times New Roman" w:hAnsi="Times New Roman" w:eastAsia="方正仿宋简体"/>
          <w:b/>
          <w:color w:val="000000" w:themeColor="text1"/>
          <w:sz w:val="32"/>
          <w:szCs w:val="32"/>
          <w:lang w:val="en-US" w:eastAsia="zh-CN"/>
          <w14:textFill>
            <w14:solidFill>
              <w14:schemeClr w14:val="tx1"/>
            </w14:solidFill>
          </w14:textFill>
        </w:rPr>
        <w:t>住建局严格按照区政府安排部署落实各项工作任务，对政府工作报告落实情况等领域信息及时有效公开。</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人大代表</w:t>
      </w:r>
      <w:r>
        <w:rPr>
          <w:rFonts w:hint="eastAsia" w:ascii="Times New Roman" w:hAnsi="Times New Roman" w:eastAsia="方正仿宋简体"/>
          <w:b/>
          <w:color w:val="000000" w:themeColor="text1"/>
          <w:sz w:val="32"/>
          <w:szCs w:val="32"/>
          <w14:textFill>
            <w14:solidFill>
              <w14:schemeClr w14:val="tx1"/>
            </w14:solidFill>
          </w14:textFill>
        </w:rPr>
        <w:t>建议</w:t>
      </w:r>
      <w:r>
        <w:rPr>
          <w:rFonts w:hint="eastAsia" w:ascii="Times New Roman" w:hAnsi="Times New Roman" w:eastAsia="方正仿宋简体"/>
          <w:b/>
          <w:color w:val="000000" w:themeColor="text1"/>
          <w:sz w:val="32"/>
          <w:szCs w:val="32"/>
          <w:lang w:val="en-US" w:eastAsia="zh-CN"/>
          <w14:textFill>
            <w14:solidFill>
              <w14:schemeClr w14:val="tx1"/>
            </w14:solidFill>
          </w14:textFill>
        </w:rPr>
        <w:t>和政协</w:t>
      </w:r>
      <w:r>
        <w:rPr>
          <w:rFonts w:hint="eastAsia" w:ascii="Times New Roman" w:hAnsi="Times New Roman" w:eastAsia="方正仿宋简体"/>
          <w:b/>
          <w:color w:val="000000" w:themeColor="text1"/>
          <w:sz w:val="32"/>
          <w:szCs w:val="32"/>
          <w14:textFill>
            <w14:solidFill>
              <w14:schemeClr w14:val="tx1"/>
            </w14:solidFill>
          </w14:textFill>
        </w:rPr>
        <w:t>提案办理情况公开。202</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w:t>
      </w:r>
      <w:r>
        <w:rPr>
          <w:rFonts w:hint="eastAsia" w:ascii="Times New Roman" w:hAnsi="Times New Roman" w:eastAsia="方正仿宋简体"/>
          <w:b/>
          <w:color w:val="000000" w:themeColor="text1"/>
          <w:sz w:val="32"/>
          <w:szCs w:val="32"/>
          <w14:textFill>
            <w14:solidFill>
              <w14:schemeClr w14:val="tx1"/>
            </w14:solidFill>
          </w14:textFill>
        </w:rPr>
        <w:t>年住建局共承办人大政协建议提案共</w:t>
      </w:r>
      <w:r>
        <w:rPr>
          <w:rFonts w:hint="eastAsia" w:ascii="Times New Roman" w:hAnsi="Times New Roman" w:eastAsia="方正仿宋简体"/>
          <w:b/>
          <w:color w:val="000000" w:themeColor="text1"/>
          <w:sz w:val="32"/>
          <w:szCs w:val="32"/>
          <w:lang w:val="en-US" w:eastAsia="zh-CN"/>
          <w14:textFill>
            <w14:solidFill>
              <w14:schemeClr w14:val="tx1"/>
            </w14:solidFill>
          </w14:textFill>
        </w:rPr>
        <w:t>30</w:t>
      </w:r>
      <w:r>
        <w:rPr>
          <w:rFonts w:hint="eastAsia" w:ascii="Times New Roman" w:hAnsi="Times New Roman" w:eastAsia="方正仿宋简体"/>
          <w:b/>
          <w:color w:val="000000" w:themeColor="text1"/>
          <w:sz w:val="32"/>
          <w:szCs w:val="32"/>
          <w14:textFill>
            <w14:solidFill>
              <w14:schemeClr w14:val="tx1"/>
            </w14:solidFill>
          </w14:textFill>
        </w:rPr>
        <w:t>件，其中人大代表建议提案</w:t>
      </w:r>
      <w:r>
        <w:rPr>
          <w:rFonts w:hint="eastAsia" w:ascii="Times New Roman" w:hAnsi="Times New Roman" w:eastAsia="方正仿宋简体"/>
          <w:b/>
          <w:color w:val="000000" w:themeColor="text1"/>
          <w:sz w:val="32"/>
          <w:szCs w:val="32"/>
          <w:lang w:val="en-US" w:eastAsia="zh-CN"/>
          <w14:textFill>
            <w14:solidFill>
              <w14:schemeClr w14:val="tx1"/>
            </w14:solidFill>
          </w14:textFill>
        </w:rPr>
        <w:t>10</w:t>
      </w:r>
      <w:r>
        <w:rPr>
          <w:rFonts w:hint="eastAsia" w:ascii="Times New Roman" w:hAnsi="Times New Roman" w:eastAsia="方正仿宋简体"/>
          <w:b/>
          <w:color w:val="000000" w:themeColor="text1"/>
          <w:sz w:val="32"/>
          <w:szCs w:val="32"/>
          <w14:textFill>
            <w14:solidFill>
              <w14:schemeClr w14:val="tx1"/>
            </w14:solidFill>
          </w14:textFill>
        </w:rPr>
        <w:t>件、政协委员提案</w:t>
      </w:r>
      <w:r>
        <w:rPr>
          <w:rFonts w:hint="eastAsia" w:ascii="Times New Roman" w:hAnsi="Times New Roman" w:eastAsia="方正仿宋简体"/>
          <w:b/>
          <w:color w:val="000000" w:themeColor="text1"/>
          <w:sz w:val="32"/>
          <w:szCs w:val="32"/>
          <w:lang w:val="en-US" w:eastAsia="zh-CN"/>
          <w14:textFill>
            <w14:solidFill>
              <w14:schemeClr w14:val="tx1"/>
            </w14:solidFill>
          </w14:textFill>
        </w:rPr>
        <w:t>20</w:t>
      </w:r>
      <w:r>
        <w:rPr>
          <w:rFonts w:hint="eastAsia" w:ascii="Times New Roman" w:hAnsi="Times New Roman" w:eastAsia="方正仿宋简体"/>
          <w:b/>
          <w:color w:val="000000" w:themeColor="text1"/>
          <w:sz w:val="32"/>
          <w:szCs w:val="32"/>
          <w14:textFill>
            <w14:solidFill>
              <w14:schemeClr w14:val="tx1"/>
            </w14:solidFill>
          </w14:textFill>
        </w:rPr>
        <w:t>件，均按时保质办结。</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4</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本行政机关年度政务公开工作创新情况</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组建住建局政务公开工作交流微信群，及时推送区政府政务公开工作，确保有情况及时汇报、有问题及时解决、有困难及时协调。</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5</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本行政机关政府信息公开工作年度报告数据统计需要说明的事项，无。</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6</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本行政机关认为需要报告的其他事项</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无。</w:t>
      </w:r>
    </w:p>
    <w:p>
      <w:pPr>
        <w:spacing w:line="590" w:lineRule="exact"/>
        <w:ind w:right="-105" w:rightChars="-50" w:firstLine="643" w:firstLineChars="200"/>
        <w:jc w:val="left"/>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lang w:val="en-US" w:eastAsia="zh-CN"/>
          <w14:textFill>
            <w14:solidFill>
              <w14:schemeClr w14:val="tx1"/>
            </w14:solidFill>
          </w14:textFill>
        </w:rPr>
        <w:t>7</w:t>
      </w:r>
      <w:r>
        <w:rPr>
          <w:rFonts w:hint="eastAsia" w:ascii="Times New Roman" w:hAnsi="Times New Roman" w:eastAsia="方正仿宋简体"/>
          <w:b/>
          <w:color w:val="000000" w:themeColor="text1"/>
          <w:sz w:val="32"/>
          <w:szCs w:val="32"/>
          <w:lang w:eastAsia="zh-CN"/>
          <w14:textFill>
            <w14:solidFill>
              <w14:schemeClr w14:val="tx1"/>
            </w14:solidFill>
          </w14:textFill>
        </w:rPr>
        <w:t>）</w:t>
      </w:r>
      <w:r>
        <w:rPr>
          <w:rFonts w:hint="eastAsia" w:ascii="Times New Roman" w:hAnsi="Times New Roman" w:eastAsia="方正仿宋简体"/>
          <w:b/>
          <w:color w:val="000000" w:themeColor="text1"/>
          <w:sz w:val="32"/>
          <w:szCs w:val="32"/>
          <w14:textFill>
            <w14:solidFill>
              <w14:schemeClr w14:val="tx1"/>
            </w14:solidFill>
          </w14:textFill>
        </w:rPr>
        <w:t>其他有关文件专门要求通过政府信息公开工作年度报告予以报告的事项，无。</w:t>
      </w:r>
    </w:p>
    <w:p>
      <w:pPr>
        <w:pStyle w:val="6"/>
        <w:rPr>
          <w:rStyle w:val="10"/>
          <w:rFonts w:hint="eastAsia" w:ascii="Times New Roman" w:hAnsi="Times New Roman" w:eastAsia="仿宋_GB2312" w:cs="仿宋_GB2312"/>
          <w:i w:val="0"/>
          <w:iCs w:val="0"/>
          <w:caps w:val="0"/>
          <w:color w:val="333333"/>
          <w:spacing w:val="0"/>
          <w:sz w:val="31"/>
          <w:szCs w:val="31"/>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0374F8-22C8-43EA-95BB-53F31E67F4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73D01D8-0197-42CB-BA1A-550ADE4D3383}"/>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6E5E7E90-201E-4AA9-A71A-A1E15345852F}"/>
  </w:font>
  <w:font w:name="楷体">
    <w:panose1 w:val="02010609060101010101"/>
    <w:charset w:val="86"/>
    <w:family w:val="modern"/>
    <w:pitch w:val="default"/>
    <w:sig w:usb0="800002BF" w:usb1="38CF7CFA" w:usb2="00000016" w:usb3="00000000" w:csb0="00040001" w:csb1="00000000"/>
    <w:embedRegular r:id="rId4" w:fontKey="{3F8591D9-20CC-4999-B2EF-65159022525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A3E36"/>
    <w:multiLevelType w:val="singleLevel"/>
    <w:tmpl w:val="DE3A3E3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MGEzNmE1MWFkYTJkMWU1MDY1YTU3OTU0ZmY2YTgifQ=="/>
  </w:docVars>
  <w:rsids>
    <w:rsidRoot w:val="00000000"/>
    <w:rsid w:val="046E4517"/>
    <w:rsid w:val="0D4F2DEF"/>
    <w:rsid w:val="0DA775C8"/>
    <w:rsid w:val="0EEF3211"/>
    <w:rsid w:val="0F0B191D"/>
    <w:rsid w:val="0F4D2C92"/>
    <w:rsid w:val="12700700"/>
    <w:rsid w:val="14A456CB"/>
    <w:rsid w:val="181E7899"/>
    <w:rsid w:val="20F9358F"/>
    <w:rsid w:val="217F4A1E"/>
    <w:rsid w:val="2197576F"/>
    <w:rsid w:val="27BE3550"/>
    <w:rsid w:val="27DC3B79"/>
    <w:rsid w:val="28533519"/>
    <w:rsid w:val="2A69074A"/>
    <w:rsid w:val="30EA7B2A"/>
    <w:rsid w:val="31B5604E"/>
    <w:rsid w:val="328E671A"/>
    <w:rsid w:val="33EB5BEB"/>
    <w:rsid w:val="38697764"/>
    <w:rsid w:val="3977163E"/>
    <w:rsid w:val="3BD86BA8"/>
    <w:rsid w:val="3C1D696F"/>
    <w:rsid w:val="42623A06"/>
    <w:rsid w:val="44E06D4E"/>
    <w:rsid w:val="464962FF"/>
    <w:rsid w:val="491312CB"/>
    <w:rsid w:val="49EC6413"/>
    <w:rsid w:val="4A7820A1"/>
    <w:rsid w:val="4D3701A9"/>
    <w:rsid w:val="4ECD324A"/>
    <w:rsid w:val="4FAE1D52"/>
    <w:rsid w:val="4FC95480"/>
    <w:rsid w:val="55627FA5"/>
    <w:rsid w:val="556C3A51"/>
    <w:rsid w:val="56217AC6"/>
    <w:rsid w:val="58EB3BB5"/>
    <w:rsid w:val="5BC613D0"/>
    <w:rsid w:val="5C9340C3"/>
    <w:rsid w:val="600A4010"/>
    <w:rsid w:val="601D0538"/>
    <w:rsid w:val="6B31052E"/>
    <w:rsid w:val="6CF522AF"/>
    <w:rsid w:val="6FD25F8B"/>
    <w:rsid w:val="73D77B4A"/>
    <w:rsid w:val="754605A1"/>
    <w:rsid w:val="77B358A8"/>
    <w:rsid w:val="77B36750"/>
    <w:rsid w:val="7CFD39E2"/>
    <w:rsid w:val="7E75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1"/>
    <w:autoRedefine/>
    <w:semiHidden/>
    <w:unhideWhenUsed/>
    <w:qFormat/>
    <w:uiPriority w:val="0"/>
    <w:pPr>
      <w:keepNext/>
      <w:keepLines/>
      <w:spacing w:beforeLines="0" w:beforeAutospacing="0" w:afterLines="0" w:afterAutospacing="0" w:line="580" w:lineRule="exact"/>
      <w:ind w:firstLine="0" w:firstLineChars="0"/>
      <w:outlineLvl w:val="1"/>
    </w:pPr>
    <w:rPr>
      <w:rFonts w:ascii="Arial" w:hAnsi="Arial" w:eastAsia="方正黑体简体"/>
      <w:sz w:val="32"/>
    </w:rPr>
  </w:style>
  <w:style w:type="paragraph" w:styleId="5">
    <w:name w:val="heading 3"/>
    <w:basedOn w:val="1"/>
    <w:next w:val="1"/>
    <w:semiHidden/>
    <w:unhideWhenUsed/>
    <w:qFormat/>
    <w:uiPriority w:val="0"/>
    <w:pPr>
      <w:keepNext/>
      <w:keepLines/>
      <w:spacing w:beforeLines="0" w:beforeAutospacing="0" w:afterLines="0" w:afterAutospacing="0" w:line="580" w:lineRule="exact"/>
      <w:outlineLvl w:val="2"/>
    </w:pPr>
    <w:rPr>
      <w:rFonts w:ascii="Times New Roman" w:hAnsi="Times New Roman" w:eastAsia="方正楷体简体"/>
      <w:sz w:val="32"/>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99"/>
    <w:pPr>
      <w:ind w:firstLine="420" w:firstLineChars="200"/>
    </w:pPr>
  </w:style>
  <w:style w:type="paragraph" w:styleId="3">
    <w:name w:val="Body Text Indent"/>
    <w:basedOn w:val="1"/>
    <w:autoRedefine/>
    <w:qFormat/>
    <w:uiPriority w:val="99"/>
    <w:pPr>
      <w:spacing w:after="120"/>
      <w:ind w:left="420" w:leftChars="200"/>
    </w:pPr>
  </w:style>
  <w:style w:type="paragraph" w:styleId="6">
    <w:name w:val="footnote text"/>
    <w:basedOn w:val="1"/>
    <w:autoRedefine/>
    <w:qFormat/>
    <w:uiPriority w:val="0"/>
    <w:pPr>
      <w:snapToGrid w:val="0"/>
      <w:jc w:val="left"/>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customStyle="1" w:styleId="11">
    <w:name w:val="标题 2 Char"/>
    <w:link w:val="4"/>
    <w:autoRedefine/>
    <w:qFormat/>
    <w:uiPriority w:val="0"/>
    <w:rPr>
      <w:rFonts w:ascii="Arial" w:hAnsi="Arial" w:eastAsia="方正黑体简体"/>
      <w:b/>
      <w:sz w:val="32"/>
    </w:rPr>
  </w:style>
  <w:style w:type="paragraph" w:customStyle="1" w:styleId="12">
    <w:name w:val="文件格式"/>
    <w:autoRedefine/>
    <w:qFormat/>
    <w:uiPriority w:val="99"/>
    <w:pPr>
      <w:spacing w:line="460" w:lineRule="atLeast"/>
      <w:ind w:left="1" w:firstLine="419"/>
      <w:jc w:val="both"/>
      <w:textAlignment w:val="bottom"/>
    </w:pPr>
    <w:rPr>
      <w:rFonts w:ascii="Times New Roman" w:hAnsi="Times New Roman" w:eastAsia="宋体" w:cs="Times New Roman"/>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latin typeface="方正小标宋简体" panose="02010601030101010101" charset="-122"/>
                <a:ea typeface="方正小标宋简体" panose="02010601030101010101" charset="-122"/>
                <a:cs typeface="方正小标宋简体" panose="02010601030101010101" charset="-122"/>
              </a:rPr>
              <a:t>2023</a:t>
            </a:r>
            <a:r>
              <a:rPr altLang="en-US">
                <a:latin typeface="方正小标宋简体" panose="02010601030101010101" charset="-122"/>
                <a:ea typeface="方正小标宋简体" panose="02010601030101010101" charset="-122"/>
                <a:cs typeface="方正小标宋简体" panose="02010601030101010101" charset="-122"/>
              </a:rPr>
              <a:t>年泗水县住房和城乡建设局主动公开政府信息情况统计表</a:t>
            </a:r>
            <a:endParaRPr>
              <a:latin typeface="方正小标宋简体" panose="02010601030101010101" charset="-122"/>
              <a:ea typeface="方正小标宋简体" panose="02010601030101010101" charset="-122"/>
              <a:cs typeface="方正小标宋简体" panose="02010601030101010101" charset="-122"/>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信息数</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Pt>
            <c:idx val="8"/>
            <c:bubble3D val="0"/>
            <c:spPr>
              <a:solidFill>
                <a:schemeClr val="accent3">
                  <a:lumMod val="60000"/>
                </a:schemeClr>
              </a:solidFill>
              <a:ln w="25400">
                <a:solidFill>
                  <a:schemeClr val="lt1"/>
                </a:solidFill>
              </a:ln>
              <a:effectLst/>
              <a:scene3d>
                <a:camera prst="orthographicFront"/>
                <a:lightRig rig="threePt" dir="t"/>
              </a:scene3d>
              <a:sp3d contourW="25400"/>
            </c:spPr>
          </c:dPt>
          <c:dPt>
            <c:idx val="9"/>
            <c:bubble3D val="0"/>
            <c:spPr>
              <a:solidFill>
                <a:schemeClr val="accent4">
                  <a:lumMod val="60000"/>
                </a:schemeClr>
              </a:solidFill>
              <a:ln w="25400">
                <a:solidFill>
                  <a:schemeClr val="lt1"/>
                </a:solidFill>
              </a:ln>
              <a:effectLst/>
              <a:scene3d>
                <a:camera prst="orthographicFront"/>
                <a:lightRig rig="threePt" dir="t"/>
              </a:scene3d>
              <a:sp3d contourW="25400"/>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公开机构职能、内设机构、办公地址等基础信息</c:v>
                </c:pt>
                <c:pt idx="1">
                  <c:v>部门动态</c:v>
                </c:pt>
                <c:pt idx="2">
                  <c:v>部门文件</c:v>
                </c:pt>
                <c:pt idx="3">
                  <c:v>重点工作解读</c:v>
                </c:pt>
                <c:pt idx="4">
                  <c:v>住房保障信息</c:v>
                </c:pt>
                <c:pt idx="5">
                  <c:v>市政建设信息</c:v>
                </c:pt>
                <c:pt idx="6">
                  <c:v>人大议案、政协提案答复</c:v>
                </c:pt>
                <c:pt idx="7">
                  <c:v>信息公开指南</c:v>
                </c:pt>
                <c:pt idx="8">
                  <c:v>行政执法公示</c:v>
                </c:pt>
                <c:pt idx="9">
                  <c:v>其他信息</c:v>
                </c:pt>
              </c:strCache>
            </c:strRef>
          </c:cat>
          <c:val>
            <c:numRef>
              <c:f>Sheet1!$B$2:$B$11</c:f>
              <c:numCache>
                <c:formatCode>General</c:formatCode>
                <c:ptCount val="10"/>
                <c:pt idx="0">
                  <c:v>1</c:v>
                </c:pt>
                <c:pt idx="1">
                  <c:v>26</c:v>
                </c:pt>
                <c:pt idx="2">
                  <c:v>4</c:v>
                </c:pt>
                <c:pt idx="3">
                  <c:v>7</c:v>
                </c:pt>
                <c:pt idx="4">
                  <c:v>21</c:v>
                </c:pt>
                <c:pt idx="5">
                  <c:v>14</c:v>
                </c:pt>
                <c:pt idx="6">
                  <c:v>16</c:v>
                </c:pt>
                <c:pt idx="7">
                  <c:v>1</c:v>
                </c:pt>
                <c:pt idx="8">
                  <c:v>38</c:v>
                </c:pt>
                <c:pt idx="9">
                  <c:v>219</c:v>
                </c:pt>
              </c:numCache>
            </c:numRef>
          </c:val>
        </c:ser>
        <c:dLbls>
          <c:showLegendKey val="0"/>
          <c:showVal val="0"/>
          <c:showCatName val="0"/>
          <c:showSerName val="0"/>
          <c:showPercent val="1"/>
          <c:showBubbleSize val="0"/>
        </c:dLbls>
      </c:pie3DChart>
      <c:spPr>
        <a:noFill/>
        <a:ln>
          <a:noFill/>
        </a:ln>
        <a:effectLst/>
      </c:spPr>
    </c:plotArea>
    <c:legend>
      <c:legendPos val="t"/>
      <c:layout>
        <c:manualLayout>
          <c:xMode val="edge"/>
          <c:yMode val="edge"/>
          <c:x val="0.1856875"/>
          <c:y val="0.158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依申请公开</a:t>
            </a:r>
            <a:r>
              <a:t>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c:f>
              <c:strCache>
                <c:ptCount val="1"/>
                <c:pt idx="0">
                  <c:v>数量</c:v>
                </c:pt>
              </c:strCache>
            </c:strRef>
          </c:cat>
          <c:val>
            <c:numRef>
              <c:f>Sheet1!$B$2</c:f>
              <c:numCache>
                <c:formatCode>General</c:formatCode>
                <c:ptCount val="1"/>
                <c:pt idx="0">
                  <c:v>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c:f>
              <c:strCache>
                <c:ptCount val="1"/>
                <c:pt idx="0">
                  <c:v>数量</c:v>
                </c:pt>
              </c:strCache>
            </c:strRef>
          </c:cat>
          <c:val>
            <c:numRef>
              <c:f>Sheet1!$C$2</c:f>
              <c:numCache>
                <c:formatCode>General</c:formatCode>
                <c:ptCount val="1"/>
                <c:pt idx="0">
                  <c:v>7</c:v>
                </c:pt>
              </c:numCache>
            </c:numRef>
          </c:val>
        </c:ser>
        <c:dLbls>
          <c:showLegendKey val="0"/>
          <c:showVal val="0"/>
          <c:showCatName val="0"/>
          <c:showSerName val="0"/>
          <c:showPercent val="0"/>
          <c:showBubbleSize val="0"/>
        </c:dLbls>
        <c:gapWidth val="246"/>
        <c:overlap val="-28"/>
        <c:axId val="592760293"/>
        <c:axId val="219522098"/>
      </c:barChart>
      <c:catAx>
        <c:axId val="5927602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9522098"/>
        <c:crosses val="autoZero"/>
        <c:auto val="1"/>
        <c:lblAlgn val="ctr"/>
        <c:lblOffset val="100"/>
        <c:noMultiLvlLbl val="0"/>
      </c:catAx>
      <c:valAx>
        <c:axId val="21952209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27602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2548</Words>
  <Characters>2697</Characters>
  <Lines>0</Lines>
  <Paragraphs>0</Paragraphs>
  <TotalTime>8</TotalTime>
  <ScaleCrop>false</ScaleCrop>
  <LinksUpToDate>false</LinksUpToDate>
  <CharactersWithSpaces>2856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苍白的岁月</cp:lastModifiedBy>
  <dcterms:modified xsi:type="dcterms:W3CDTF">2024-01-25T02:22:13Z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60720B0C13984A16B8C42EF3757E6E15</vt:lpwstr>
  </property>
</Properties>
</file>