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hint="eastAsia" w:ascii="方正小标宋简体" w:eastAsia="方正小标宋简体"/>
          <w:spacing w:val="60"/>
          <w:sz w:val="74"/>
          <w:lang w:val="en-US" w:eastAsia="zh-CN"/>
        </w:rPr>
      </w:pPr>
      <w:r>
        <w:rPr>
          <w:rFonts w:hint="eastAsia" w:ascii="方正小标宋简体" w:eastAsia="方正小标宋简体"/>
          <w:spacing w:val="60"/>
          <w:sz w:val="74"/>
          <w:lang w:val="en-US" w:eastAsia="zh-CN"/>
        </w:rPr>
        <w:t>泗水县投资促进中心</w:t>
      </w:r>
    </w:p>
    <w:p>
      <w:pPr>
        <w:jc w:val="center"/>
        <w:rPr>
          <w:rFonts w:ascii="方正小标宋简体" w:eastAsia="方正小标宋简体"/>
          <w:spacing w:val="60"/>
          <w:sz w:val="74"/>
        </w:rPr>
      </w:pPr>
      <w:r>
        <w:rPr>
          <w:rFonts w:hint="eastAsia" w:ascii="方正小标宋简体" w:eastAsia="方正小标宋简体"/>
          <w:spacing w:val="60"/>
          <w:sz w:val="74"/>
        </w:rPr>
        <w:t>部门决算</w:t>
      </w:r>
    </w:p>
    <w:p>
      <w:pPr>
        <w:jc w:val="center"/>
        <w:rPr>
          <w:rFonts w:ascii="楷体_GB2312" w:eastAsia="楷体_GB2312"/>
          <w:b/>
          <w:sz w:val="42"/>
        </w:rPr>
      </w:pPr>
    </w:p>
    <w:p>
      <w:pPr>
        <w:jc w:val="center"/>
        <w:rPr>
          <w:rFonts w:ascii="楷体_GB2312" w:eastAsia="楷体_GB2312"/>
          <w:b/>
          <w:sz w:val="4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rPr>
          <w:rFonts w:ascii="方正小标宋简体" w:eastAsia="方正小标宋简体"/>
          <w:sz w:val="44"/>
          <w:szCs w:val="44"/>
        </w:rPr>
      </w:pPr>
    </w:p>
    <w:p>
      <w:pPr>
        <w:spacing w:afterLines="50"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第一部分  部门概况</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一、部门职责</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2020年度部门决算表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九、国有资本经营预算财政拨款收入支出决算批复表</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2020年度部门决算情况说明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九、国有资本经营预算财政拨款收入支出决算批复表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十、重要事项情况说明</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第五部分  附件 </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 </w:t>
      </w:r>
    </w:p>
    <w:p>
      <w:pPr>
        <w:spacing w:line="580" w:lineRule="exact"/>
        <w:ind w:firstLine="316" w:firstLineChars="100"/>
        <w:rPr>
          <w:rFonts w:ascii="仿宋_GB2312" w:eastAsia="仿宋_GB2312"/>
          <w:sz w:val="32"/>
          <w:szCs w:val="32"/>
        </w:rPr>
        <w:sectPr>
          <w:headerReference r:id="rId3" w:type="default"/>
          <w:footerReference r:id="rId4" w:type="default"/>
          <w:pgSz w:w="11906" w:h="16838"/>
          <w:pgMar w:top="2041" w:right="1531" w:bottom="1758" w:left="1531" w:header="0" w:footer="1418" w:gutter="0"/>
          <w:cols w:space="720" w:num="1"/>
          <w:docGrid w:type="linesAndChars" w:linePitch="610" w:charSpace="-849"/>
        </w:sect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color w:val="000000"/>
          <w:kern w:val="34"/>
          <w:sz w:val="32"/>
          <w:szCs w:val="32"/>
        </w:rPr>
        <w:t>吸引外商到泗水投资建设，负责全县招商引资工作的管理，协调组织外出招商活动，宣传泗水形象，进行项目推介、</w:t>
      </w:r>
      <w:r>
        <w:rPr>
          <w:rFonts w:hint="eastAsia" w:ascii="仿宋_GB2312" w:hAnsi="仿宋" w:eastAsia="仿宋_GB2312" w:cs="宋体"/>
          <w:kern w:val="34"/>
          <w:sz w:val="32"/>
          <w:szCs w:val="32"/>
        </w:rPr>
        <w:t>洽谈。提供招商引资信息，统计招商引资情况。</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（一）负责境内投资促进、招商引资工作，研究全县重点产业、新兴产业发展趋势，提出招商对策建议。</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（二）负责全县招商引资项目信息的收集、筛选，包装和推介重点产业、重大招商引资项目，负责招商引资信息化建设。</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（三）组织协调全县产业招商，负责重点区域、重点产业和重大招商引资项目的洽谈、协调，会同有关部分做好项目推进工作。</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（四）负责全县投资环境的整体宣传工作，组织开展全县重大招商引资活动。</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（五）做好招商引资统计汇总工作。</w:t>
      </w:r>
    </w:p>
    <w:p>
      <w:pPr>
        <w:spacing w:line="600" w:lineRule="exact"/>
        <w:ind w:firstLine="632" w:firstLineChars="200"/>
        <w:rPr>
          <w:rFonts w:hint="eastAsia" w:ascii="仿宋_GB2312" w:hAnsi="仿宋" w:eastAsia="仿宋_GB2312" w:cs="宋体"/>
          <w:kern w:val="34"/>
          <w:sz w:val="32"/>
          <w:szCs w:val="32"/>
        </w:rPr>
      </w:pPr>
      <w:r>
        <w:rPr>
          <w:rFonts w:hint="eastAsia" w:ascii="仿宋_GB2312" w:hAnsi="仿宋" w:eastAsia="仿宋_GB2312" w:cs="宋体"/>
          <w:kern w:val="34"/>
          <w:sz w:val="32"/>
          <w:szCs w:val="32"/>
        </w:rPr>
        <w:t>（六）承担县委、县政府交办的其他工作任务。</w:t>
      </w:r>
    </w:p>
    <w:p>
      <w:pPr>
        <w:ind w:firstLine="632" w:firstLineChars="200"/>
        <w:rPr>
          <w:rFonts w:ascii="黑体" w:hAnsi="黑体" w:eastAsia="黑体"/>
          <w:sz w:val="32"/>
          <w:szCs w:val="32"/>
        </w:rPr>
      </w:pPr>
      <w:r>
        <w:rPr>
          <w:rFonts w:hint="eastAsia" w:ascii="黑体" w:hAnsi="黑体" w:eastAsia="黑体"/>
          <w:sz w:val="32"/>
          <w:szCs w:val="32"/>
        </w:rPr>
        <w:t>二、机构设置</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从决算单位构成看，</w:t>
      </w:r>
      <w:r>
        <w:rPr>
          <w:rFonts w:hint="eastAsia" w:ascii="仿宋_GB2312" w:hAnsi="宋体" w:eastAsia="仿宋_GB2312" w:cs="Courier New"/>
          <w:sz w:val="32"/>
          <w:szCs w:val="32"/>
        </w:rPr>
        <w:t>泗水县投资促进</w:t>
      </w:r>
      <w:r>
        <w:rPr>
          <w:rFonts w:hint="eastAsia" w:ascii="仿宋_GB2312" w:hAnsi="宋体" w:eastAsia="仿宋_GB2312" w:cs="Courier New"/>
          <w:sz w:val="32"/>
          <w:szCs w:val="32"/>
          <w:lang w:eastAsia="zh-CN"/>
        </w:rPr>
        <w:t>中心</w:t>
      </w:r>
      <w:r>
        <w:rPr>
          <w:rFonts w:hint="eastAsia" w:ascii="仿宋_GB2312" w:eastAsia="仿宋_GB2312"/>
          <w:sz w:val="32"/>
          <w:szCs w:val="32"/>
        </w:rPr>
        <w:t>部门决算包括：</w:t>
      </w:r>
      <w:r>
        <w:rPr>
          <w:rFonts w:hint="eastAsia" w:ascii="仿宋_GB2312" w:hAnsi="宋体" w:eastAsia="仿宋_GB2312" w:cs="Courier New"/>
          <w:sz w:val="32"/>
          <w:szCs w:val="32"/>
        </w:rPr>
        <w:t>中心本级决算</w:t>
      </w:r>
      <w:r>
        <w:rPr>
          <w:rFonts w:hint="eastAsia" w:ascii="仿宋_GB2312" w:eastAsia="仿宋_GB2312"/>
          <w:sz w:val="32"/>
          <w:szCs w:val="32"/>
        </w:rPr>
        <w:t>。</w:t>
      </w:r>
    </w:p>
    <w:p>
      <w:pPr>
        <w:ind w:firstLine="632" w:firstLineChars="200"/>
        <w:rPr>
          <w:rFonts w:ascii="仿宋_GB2312" w:eastAsia="仿宋_GB2312"/>
          <w:sz w:val="32"/>
          <w:szCs w:val="32"/>
        </w:rPr>
      </w:pPr>
      <w:r>
        <w:rPr>
          <w:rFonts w:hint="eastAsia" w:ascii="仿宋_GB2312" w:eastAsia="仿宋_GB2312"/>
          <w:sz w:val="32"/>
          <w:szCs w:val="32"/>
        </w:rPr>
        <w:t>纳入</w:t>
      </w:r>
      <w:r>
        <w:rPr>
          <w:rFonts w:hint="eastAsia" w:ascii="仿宋_GB2312" w:hAnsi="宋体" w:eastAsia="仿宋_GB2312" w:cs="Courier New"/>
          <w:sz w:val="32"/>
          <w:szCs w:val="32"/>
        </w:rPr>
        <w:t>泗水县投资促进</w:t>
      </w:r>
      <w:r>
        <w:rPr>
          <w:rFonts w:hint="eastAsia" w:ascii="仿宋_GB2312" w:hAnsi="宋体" w:eastAsia="仿宋_GB2312" w:cs="Courier New"/>
          <w:sz w:val="32"/>
          <w:szCs w:val="32"/>
          <w:lang w:eastAsia="zh-CN"/>
        </w:rPr>
        <w:t>中心</w:t>
      </w:r>
      <w:r>
        <w:rPr>
          <w:rFonts w:hint="eastAsia" w:ascii="仿宋_GB2312" w:eastAsia="仿宋_GB2312"/>
          <w:sz w:val="32"/>
          <w:szCs w:val="32"/>
        </w:rPr>
        <w:t>2020年度部门决算编制范围的预算单位</w:t>
      </w:r>
      <w:r>
        <w:rPr>
          <w:rFonts w:hint="eastAsia" w:ascii="仿宋_GB2312" w:eastAsia="仿宋_GB2312"/>
          <w:sz w:val="32"/>
          <w:szCs w:val="32"/>
          <w:lang w:val="en-US" w:eastAsia="zh-CN"/>
        </w:rPr>
        <w:t>1</w:t>
      </w:r>
      <w:r>
        <w:rPr>
          <w:rFonts w:hint="eastAsia" w:ascii="仿宋_GB2312" w:eastAsia="仿宋_GB2312"/>
          <w:sz w:val="32"/>
          <w:szCs w:val="32"/>
        </w:rPr>
        <w:t>个，包括：</w:t>
      </w:r>
    </w:p>
    <w:p>
      <w:pPr>
        <w:spacing w:line="580" w:lineRule="exact"/>
        <w:ind w:firstLine="474" w:firstLineChars="150"/>
        <w:rPr>
          <w:rFonts w:ascii="方正小标宋简体" w:eastAsia="方正小标宋简体"/>
          <w:sz w:val="42"/>
        </w:rPr>
      </w:pPr>
      <w:r>
        <w:rPr>
          <w:rFonts w:hint="eastAsia" w:ascii="仿宋_GB2312" w:hAnsi="宋体" w:eastAsia="仿宋_GB2312" w:cs="Courier New"/>
          <w:sz w:val="32"/>
          <w:szCs w:val="32"/>
        </w:rPr>
        <w:t>1、泗水县投资促进中心本级</w:t>
      </w: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460.99</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（按功能科目）</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right"/>
              <w:rPr>
                <w:rFonts w:ascii="仿宋_GB2312" w:eastAsia="仿宋_GB2312"/>
                <w:sz w:val="18"/>
                <w:szCs w:val="18"/>
              </w:rPr>
            </w:pPr>
            <w:r>
              <w:rPr>
                <w:rFonts w:hint="eastAsia" w:ascii="仿宋_GB2312" w:eastAsia="仿宋_GB2312"/>
                <w:sz w:val="18"/>
                <w:szCs w:val="18"/>
                <w:lang w:val="en-US" w:eastAsia="zh-CN"/>
              </w:rPr>
              <w:t>460.99</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491.82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right"/>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right"/>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64.88</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34.06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525.88</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right"/>
              <w:rPr>
                <w:rFonts w:hint="default" w:ascii="仿宋_GB2312" w:eastAsia="仿宋_GB2312"/>
                <w:sz w:val="18"/>
                <w:szCs w:val="18"/>
                <w:lang w:val="en-US" w:eastAsia="zh-CN"/>
              </w:rPr>
            </w:pPr>
            <w:r>
              <w:rPr>
                <w:rFonts w:hint="eastAsia" w:ascii="仿宋_GB2312" w:eastAsia="仿宋_GB2312"/>
                <w:sz w:val="18"/>
                <w:szCs w:val="18"/>
                <w:lang w:val="en-US" w:eastAsia="zh-CN"/>
              </w:rPr>
              <w:t>525.88</w:t>
            </w:r>
          </w:p>
        </w:tc>
      </w:tr>
    </w:tbl>
    <w:p>
      <w:pPr>
        <w:ind w:firstLine="88" w:firstLineChars="50"/>
        <w:rPr>
          <w:rFonts w:ascii="楷体_GB2312" w:eastAsia="楷体_GB2312"/>
          <w:sz w:val="18"/>
          <w:szCs w:val="18"/>
        </w:rPr>
      </w:pPr>
      <w:r>
        <w:rPr>
          <w:rFonts w:hint="eastAsia" w:ascii="仿宋_GB2312" w:hAnsi="宋体" w:eastAsia="仿宋_GB2312"/>
          <w:sz w:val="18"/>
          <w:szCs w:val="18"/>
        </w:rPr>
        <w:t>注：本表反映部门本年度的总收支和年末结转结余情况。</w:t>
      </w:r>
    </w:p>
    <w:p>
      <w:pPr>
        <w:rPr>
          <w:rFonts w:ascii="楷体_GB2312" w:eastAsia="楷体_GB2312"/>
          <w:sz w:val="28"/>
          <w:szCs w:val="2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296"/>
        <w:gridCol w:w="110"/>
        <w:gridCol w:w="1969"/>
        <w:gridCol w:w="955"/>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337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95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96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955"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337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95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337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955"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460.99</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460.99</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20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460.99</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460.99</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2079" w:type="dxa"/>
            <w:gridSpan w:val="2"/>
            <w:tcBorders>
              <w:top w:val="nil"/>
              <w:left w:val="nil"/>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9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2010302</w:t>
            </w:r>
          </w:p>
        </w:tc>
        <w:tc>
          <w:tcPr>
            <w:tcW w:w="207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w:t>
            </w:r>
          </w:p>
        </w:tc>
        <w:tc>
          <w:tcPr>
            <w:tcW w:w="207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商贸事务</w:t>
            </w:r>
          </w:p>
        </w:tc>
        <w:tc>
          <w:tcPr>
            <w:tcW w:w="9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455.99</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455.99</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2011301</w:t>
            </w:r>
          </w:p>
        </w:tc>
        <w:tc>
          <w:tcPr>
            <w:tcW w:w="207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324.94</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324.94</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2079"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95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131.05</w:t>
            </w:r>
          </w:p>
        </w:tc>
        <w:tc>
          <w:tcPr>
            <w:tcW w:w="151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131.05</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7"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51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07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5"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079"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5"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注：本表反映部门本年度取得的各项收入情况。</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344"/>
        <w:gridCol w:w="57"/>
        <w:gridCol w:w="1946"/>
        <w:gridCol w:w="1217"/>
        <w:gridCol w:w="1763"/>
        <w:gridCol w:w="1763"/>
        <w:gridCol w:w="1762"/>
        <w:gridCol w:w="1763"/>
        <w:gridCol w:w="1763"/>
      </w:tblGrid>
      <w:tr>
        <w:tblPrEx>
          <w:tblCellMar>
            <w:top w:w="0" w:type="dxa"/>
            <w:left w:w="108" w:type="dxa"/>
            <w:bottom w:w="0" w:type="dxa"/>
            <w:right w:w="108" w:type="dxa"/>
          </w:tblCellMar>
        </w:tblPrEx>
        <w:trPr>
          <w:trHeight w:val="458" w:hRule="atLeast"/>
          <w:jc w:val="center"/>
        </w:trPr>
        <w:tc>
          <w:tcPr>
            <w:tcW w:w="334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2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本年支出合计</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6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上缴上级支出</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经营支出    </w:t>
            </w:r>
          </w:p>
        </w:tc>
        <w:tc>
          <w:tcPr>
            <w:tcW w:w="17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对附属单位</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补助支出</w:t>
            </w:r>
          </w:p>
        </w:tc>
      </w:tr>
      <w:tr>
        <w:tblPrEx>
          <w:tblCellMar>
            <w:top w:w="0" w:type="dxa"/>
            <w:left w:w="108" w:type="dxa"/>
            <w:bottom w:w="0" w:type="dxa"/>
            <w:right w:w="108" w:type="dxa"/>
          </w:tblCellMar>
        </w:tblPrEx>
        <w:trPr>
          <w:trHeight w:val="457" w:hRule="atLeast"/>
          <w:jc w:val="center"/>
        </w:trPr>
        <w:tc>
          <w:tcPr>
            <w:tcW w:w="14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2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06" w:hRule="atLeast"/>
          <w:jc w:val="center"/>
        </w:trPr>
        <w:tc>
          <w:tcPr>
            <w:tcW w:w="334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32" w:hRule="atLeast"/>
          <w:jc w:val="center"/>
        </w:trPr>
        <w:tc>
          <w:tcPr>
            <w:tcW w:w="334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491.82</w:t>
            </w:r>
          </w:p>
        </w:tc>
        <w:tc>
          <w:tcPr>
            <w:tcW w:w="17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b/>
                <w:bCs/>
                <w:i w:val="0"/>
                <w:iCs w:val="0"/>
                <w:color w:val="000000"/>
                <w:kern w:val="0"/>
                <w:sz w:val="22"/>
                <w:szCs w:val="22"/>
                <w:u w:val="none"/>
                <w:lang w:val="en-US" w:eastAsia="zh-CN" w:bidi="ar"/>
              </w:rPr>
              <w:t>331.44</w:t>
            </w:r>
          </w:p>
        </w:tc>
        <w:tc>
          <w:tcPr>
            <w:tcW w:w="17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b/>
                <w:bCs/>
                <w:i w:val="0"/>
                <w:iCs w:val="0"/>
                <w:color w:val="000000"/>
                <w:kern w:val="0"/>
                <w:sz w:val="22"/>
                <w:szCs w:val="22"/>
                <w:u w:val="none"/>
                <w:lang w:val="en-US" w:eastAsia="zh-CN" w:bidi="ar"/>
              </w:rPr>
              <w:t>160.38</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single" w:color="auto" w:sz="4" w:space="0"/>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20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217" w:type="dxa"/>
            <w:tcBorders>
              <w:top w:val="single" w:color="auto" w:sz="4" w:space="0"/>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491.82</w:t>
            </w:r>
          </w:p>
        </w:tc>
        <w:tc>
          <w:tcPr>
            <w:tcW w:w="1763" w:type="dxa"/>
            <w:tcBorders>
              <w:top w:val="single" w:color="auto" w:sz="4" w:space="0"/>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17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160.38</w:t>
            </w:r>
          </w:p>
        </w:tc>
        <w:tc>
          <w:tcPr>
            <w:tcW w:w="1762"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2010302</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商贸事务</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490.41</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158.97</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2011301</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2011302</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3.56</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3.56</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r>
        <w:tblPrEx>
          <w:tblCellMar>
            <w:top w:w="0" w:type="dxa"/>
            <w:left w:w="108" w:type="dxa"/>
            <w:bottom w:w="0" w:type="dxa"/>
            <w:right w:w="108" w:type="dxa"/>
          </w:tblCellMar>
        </w:tblPrEx>
        <w:trPr>
          <w:trHeight w:val="406" w:hRule="atLeast"/>
          <w:jc w:val="center"/>
        </w:trPr>
        <w:tc>
          <w:tcPr>
            <w:tcW w:w="1344" w:type="dxa"/>
            <w:tcBorders>
              <w:top w:val="nil"/>
              <w:left w:val="single" w:color="auto" w:sz="4" w:space="0"/>
              <w:bottom w:val="single" w:color="auto" w:sz="4" w:space="0"/>
              <w:right w:val="nil"/>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2003"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1217" w:type="dxa"/>
            <w:tcBorders>
              <w:top w:val="nil"/>
              <w:left w:val="nil"/>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155.41</w:t>
            </w:r>
          </w:p>
        </w:tc>
        <w:tc>
          <w:tcPr>
            <w:tcW w:w="1763" w:type="dxa"/>
            <w:tcBorders>
              <w:top w:val="nil"/>
              <w:left w:val="single" w:color="auto" w:sz="4" w:space="0"/>
              <w:bottom w:val="single" w:color="auto" w:sz="4" w:space="0"/>
              <w:right w:val="nil"/>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155.41</w:t>
            </w:r>
          </w:p>
        </w:tc>
        <w:tc>
          <w:tcPr>
            <w:tcW w:w="176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c>
          <w:tcPr>
            <w:tcW w:w="176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注：本表反映部门本年度各项支出情况。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460.99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491.82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491.82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22</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460.99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491.82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491.82</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b/>
                <w:bCs/>
                <w:kern w:val="0"/>
                <w:sz w:val="22"/>
              </w:rPr>
            </w:pPr>
            <w:r>
              <w:rPr>
                <w:rFonts w:hint="eastAsia" w:ascii="仿宋_GB2312" w:hAnsi="宋体" w:eastAsia="仿宋_GB2312" w:cs="宋体"/>
                <w:kern w:val="0"/>
                <w:sz w:val="22"/>
                <w:lang w:val="en-US" w:eastAsia="zh-CN"/>
              </w:rPr>
              <w:t>0</w:t>
            </w: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64.88</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34.06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34.06</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64.88</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525.88</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525.88</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525.88</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hint="eastAsia" w:ascii="仿宋_GB2312" w:hAnsi="宋体" w:eastAsia="仿宋_GB2312" w:cs="宋体"/>
                <w:b/>
                <w:bCs/>
                <w:kern w:val="0"/>
                <w:sz w:val="22"/>
                <w:lang w:val="en-US" w:eastAsia="zh-CN"/>
              </w:rPr>
            </w:pPr>
            <w:r>
              <w:rPr>
                <w:rFonts w:hint="eastAsia" w:ascii="仿宋_GB2312" w:hAnsi="宋体" w:eastAsia="仿宋_GB2312" w:cs="宋体"/>
                <w:b/>
                <w:bCs/>
                <w:kern w:val="0"/>
                <w:sz w:val="22"/>
              </w:rPr>
              <w:t>　</w:t>
            </w:r>
            <w:r>
              <w:rPr>
                <w:rFonts w:hint="eastAsia" w:ascii="仿宋_GB2312" w:hAnsi="宋体" w:eastAsia="仿宋_GB2312" w:cs="宋体"/>
                <w:b/>
                <w:bCs/>
                <w:kern w:val="0"/>
                <w:sz w:val="22"/>
                <w:lang w:val="en-US" w:eastAsia="zh-CN"/>
              </w:rPr>
              <w:t>0</w:t>
            </w:r>
          </w:p>
        </w:tc>
      </w:tr>
    </w:tbl>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701"/>
        <w:gridCol w:w="3170"/>
        <w:gridCol w:w="2783"/>
        <w:gridCol w:w="2978"/>
        <w:gridCol w:w="2520"/>
      </w:tblGrid>
      <w:tr>
        <w:tblPrEx>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491.82</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160.38</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491.82</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160.38</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2010302</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c>
          <w:tcPr>
            <w:tcW w:w="297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商贸事务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490.41</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158.97</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2011301</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331.44</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2011302</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3.56</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3.56</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2011308</w:t>
            </w:r>
          </w:p>
        </w:tc>
        <w:tc>
          <w:tcPr>
            <w:tcW w:w="31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27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155.41</w:t>
            </w:r>
          </w:p>
        </w:tc>
        <w:tc>
          <w:tcPr>
            <w:tcW w:w="297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155.41</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注：本表反映部门本年度一般公共预算财政拨款支出情况。</w:t>
      </w:r>
    </w:p>
    <w:p>
      <w:pPr>
        <w:spacing w:line="400" w:lineRule="exact"/>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055"/>
        <w:gridCol w:w="3027"/>
        <w:gridCol w:w="1042"/>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5124"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55"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4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55"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4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324.52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6.92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120.15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0.31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6.12</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24.74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41.98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41.33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20.67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0.45</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17.53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0.33</w:t>
            </w:r>
          </w:p>
        </w:tc>
        <w:tc>
          <w:tcPr>
            <w:tcW w:w="1138"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49.03</w:t>
            </w:r>
          </w:p>
        </w:tc>
        <w:tc>
          <w:tcPr>
            <w:tcW w:w="1138"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0.00</w:t>
            </w:r>
          </w:p>
        </w:tc>
        <w:tc>
          <w:tcPr>
            <w:tcW w:w="1138"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2.64</w:t>
            </w:r>
          </w:p>
        </w:tc>
        <w:tc>
          <w:tcPr>
            <w:tcW w:w="1138"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4.04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0.44</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1.68</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1055"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42"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0</w:t>
            </w:r>
          </w:p>
        </w:tc>
      </w:tr>
      <w:tr>
        <w:tblPrEx>
          <w:tblCellMar>
            <w:top w:w="0" w:type="dxa"/>
            <w:left w:w="108" w:type="dxa"/>
            <w:bottom w:w="0" w:type="dxa"/>
            <w:right w:w="108" w:type="dxa"/>
          </w:tblCellMar>
        </w:tblPrEx>
        <w:trPr>
          <w:trHeight w:val="20" w:hRule="atLeast"/>
          <w:jc w:val="center"/>
        </w:trPr>
        <w:tc>
          <w:tcPr>
            <w:tcW w:w="4082"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1042" w:type="dxa"/>
            <w:tcBorders>
              <w:top w:val="nil"/>
              <w:left w:val="nil"/>
              <w:bottom w:val="single" w:color="auto" w:sz="8" w:space="0"/>
              <w:right w:val="single" w:color="auto" w:sz="4"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324.52</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6.92</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W w:w="0" w:type="auto"/>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7.81</w:t>
            </w:r>
          </w:p>
        </w:tc>
        <w:tc>
          <w:tcPr>
            <w:tcW w:w="119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118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3.00</w:t>
            </w:r>
          </w:p>
        </w:tc>
        <w:tc>
          <w:tcPr>
            <w:tcW w:w="962"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4.81</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1.47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0.93</w:t>
            </w:r>
          </w:p>
        </w:tc>
        <w:tc>
          <w:tcPr>
            <w:tcW w:w="113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0.93</w:t>
            </w:r>
          </w:p>
        </w:tc>
        <w:tc>
          <w:tcPr>
            <w:tcW w:w="98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ascii="仿宋_GB2312" w:hAnsi="宋体" w:eastAsia="仿宋_GB2312" w:cs="宋体"/>
                <w:kern w:val="0"/>
                <w:sz w:val="22"/>
              </w:rPr>
            </w:pPr>
            <w:r>
              <w:rPr>
                <w:rFonts w:hint="eastAsia" w:ascii="宋体" w:hAnsi="宋体" w:eastAsia="宋体" w:cs="宋体"/>
                <w:i w:val="0"/>
                <w:iCs w:val="0"/>
                <w:color w:val="000000"/>
                <w:kern w:val="0"/>
                <w:sz w:val="22"/>
                <w:szCs w:val="22"/>
                <w:u w:val="none"/>
                <w:lang w:val="en-US" w:eastAsia="zh-CN" w:bidi="ar"/>
              </w:rPr>
              <w:t>0.54</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2"/>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rPr>
          <w:rFonts w:ascii="仿宋_GB2312" w:hAnsi="宋体" w:eastAsia="仿宋_GB2312"/>
          <w:sz w:val="22"/>
        </w:rPr>
      </w:pPr>
      <w:r>
        <w:rPr>
          <w:rFonts w:hint="eastAsia" w:ascii="仿宋_GB2312" w:eastAsia="仿宋_GB2312"/>
          <w:b/>
          <w:sz w:val="32"/>
          <w:szCs w:val="32"/>
          <w:highlight w:val="none"/>
        </w:rPr>
        <w:t>本部门没有政府性基金收入，也没有使用政府性基金安排的支出，故本表无数据。</w:t>
      </w:r>
    </w:p>
    <w:p>
      <w:pPr>
        <w:rPr>
          <w:rFonts w:ascii="仿宋_GB2312" w:hAnsi="宋体" w:eastAsia="仿宋_GB2312"/>
          <w:sz w:val="22"/>
        </w:rPr>
      </w:pPr>
    </w:p>
    <w:p>
      <w:pPr>
        <w:rPr>
          <w:rFonts w:ascii="仿宋_GB2312" w:hAnsi="宋体" w:eastAsia="仿宋_GB2312"/>
          <w:sz w:val="22"/>
        </w:rPr>
      </w:pPr>
    </w:p>
    <w:p>
      <w:pPr>
        <w:rPr>
          <w:rFonts w:ascii="仿宋_GB2312" w:hAnsi="宋体" w:eastAsia="仿宋_GB2312"/>
          <w:sz w:val="22"/>
        </w:rPr>
      </w:pPr>
    </w:p>
    <w:tbl>
      <w:tblPr>
        <w:tblStyle w:val="12"/>
        <w:tblW w:w="13202" w:type="dxa"/>
        <w:tblInd w:w="89" w:type="dxa"/>
        <w:tblLayout w:type="autofit"/>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noWrap/>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国有资本经营预算财政拨款收入支出决算批复表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w:t>
            </w:r>
            <w:r>
              <w:rPr>
                <w:rFonts w:hint="eastAsia" w:ascii="楷体_GB2312" w:eastAsia="楷体_GB2312"/>
                <w:sz w:val="28"/>
                <w:szCs w:val="28"/>
                <w:lang w:val="en-US" w:eastAsia="zh-CN"/>
              </w:rPr>
              <w:t>泗水县投资促进中心</w:t>
            </w:r>
            <w:r>
              <w:rPr>
                <w:rFonts w:hint="eastAsia" w:ascii="楷体_GB2312" w:eastAsia="楷体_GB2312"/>
                <w:sz w:val="28"/>
                <w:szCs w:val="28"/>
              </w:rPr>
              <w:t xml:space="preserve">                                                           单位：万元</w:t>
            </w:r>
          </w:p>
          <w:tbl>
            <w:tblPr>
              <w:tblStyle w:val="12"/>
              <w:tblpPr w:leftFromText="180" w:rightFromText="180" w:vertAnchor="text" w:tblpXSpec="center" w:tblpY="1"/>
              <w:tblOverlap w:val="never"/>
              <w:tblW w:w="0" w:type="auto"/>
              <w:tblInd w:w="0" w:type="dxa"/>
              <w:tblLayout w:type="autofit"/>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rPr>
                <w:rFonts w:ascii="华文中宋" w:hAnsi="华文中宋" w:eastAsia="华文中宋" w:cs="宋体"/>
                <w:kern w:val="0"/>
                <w:sz w:val="32"/>
                <w:szCs w:val="32"/>
              </w:rPr>
            </w:pPr>
          </w:p>
        </w:tc>
      </w:tr>
    </w:tbl>
    <w:p>
      <w:pPr>
        <w:rPr>
          <w:rFonts w:hint="eastAsia" w:ascii="仿宋_GB2312" w:eastAsia="仿宋_GB2312"/>
          <w:b/>
          <w:sz w:val="32"/>
          <w:szCs w:val="32"/>
          <w:highlight w:val="none"/>
        </w:rPr>
        <w:sectPr>
          <w:pgSz w:w="16838" w:h="11906" w:orient="landscape"/>
          <w:pgMar w:top="1531" w:right="1701" w:bottom="1531" w:left="1701" w:header="0" w:footer="1418" w:gutter="0"/>
          <w:cols w:space="720" w:num="1"/>
          <w:docGrid w:type="linesAndChars" w:linePitch="610" w:charSpace="-849"/>
        </w:sectPr>
      </w:pPr>
      <w:r>
        <w:rPr>
          <w:rFonts w:hint="eastAsia" w:ascii="仿宋_GB2312" w:eastAsia="仿宋_GB2312"/>
          <w:b/>
          <w:sz w:val="32"/>
          <w:szCs w:val="32"/>
          <w:highlight w:val="none"/>
        </w:rPr>
        <w:t>本部门没有国有资本经营预算收入，也没有使用国有资本经营预算安排的支出，故本表无数据。</w:t>
      </w: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2020年度部门决算情况说明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2020年度收、支总计 </w:t>
      </w:r>
      <w:r>
        <w:rPr>
          <w:rFonts w:hint="eastAsia" w:ascii="仿宋_GB2312" w:eastAsia="仿宋_GB2312"/>
          <w:sz w:val="32"/>
          <w:szCs w:val="32"/>
          <w:lang w:val="en-US" w:eastAsia="zh-CN"/>
        </w:rPr>
        <w:t>525.88</w:t>
      </w:r>
      <w:r>
        <w:rPr>
          <w:rFonts w:hint="eastAsia" w:ascii="仿宋_GB2312" w:eastAsia="仿宋_GB2312"/>
          <w:sz w:val="32"/>
          <w:szCs w:val="32"/>
        </w:rPr>
        <w:t>万元。与2019年相比，收、支总计各减少</w:t>
      </w:r>
      <w:r>
        <w:rPr>
          <w:rFonts w:hint="eastAsia" w:ascii="仿宋_GB2312" w:eastAsia="仿宋_GB2312"/>
          <w:sz w:val="32"/>
          <w:szCs w:val="32"/>
          <w:lang w:val="en-US" w:eastAsia="zh-CN"/>
        </w:rPr>
        <w:t>93.47</w:t>
      </w:r>
      <w:r>
        <w:rPr>
          <w:rFonts w:hint="eastAsia" w:ascii="仿宋_GB2312" w:eastAsia="仿宋_GB2312"/>
          <w:sz w:val="32"/>
          <w:szCs w:val="32"/>
        </w:rPr>
        <w:t>万元，下降</w:t>
      </w:r>
      <w:r>
        <w:rPr>
          <w:rFonts w:hint="eastAsia" w:ascii="仿宋_GB2312" w:eastAsia="仿宋_GB2312"/>
          <w:sz w:val="32"/>
          <w:szCs w:val="32"/>
          <w:lang w:val="en-US" w:eastAsia="zh-CN"/>
        </w:rPr>
        <w:t>15.09</w:t>
      </w:r>
      <w:r>
        <w:rPr>
          <w:rFonts w:hint="eastAsia" w:ascii="仿宋_GB2312" w:eastAsia="仿宋_GB2312"/>
          <w:sz w:val="32"/>
          <w:szCs w:val="32"/>
        </w:rPr>
        <w:t>%。主要是受新冠疫情影响</w:t>
      </w:r>
      <w:r>
        <w:rPr>
          <w:rFonts w:hint="eastAsia" w:ascii="仿宋_GB2312" w:eastAsia="仿宋_GB2312"/>
          <w:sz w:val="32"/>
          <w:szCs w:val="32"/>
          <w:lang w:val="en-US" w:eastAsia="zh-CN"/>
        </w:rPr>
        <w:t>赴外地开展招商工作天数、</w:t>
      </w:r>
      <w:r>
        <w:rPr>
          <w:rFonts w:hint="eastAsia" w:ascii="仿宋_GB2312" w:eastAsia="仿宋_GB2312"/>
          <w:sz w:val="32"/>
          <w:szCs w:val="32"/>
        </w:rPr>
        <w:t>集中举办</w:t>
      </w:r>
      <w:r>
        <w:rPr>
          <w:rFonts w:hint="eastAsia" w:ascii="仿宋_GB2312" w:eastAsia="仿宋_GB2312"/>
          <w:sz w:val="32"/>
          <w:szCs w:val="32"/>
          <w:lang w:val="en-US" w:eastAsia="zh-CN"/>
        </w:rPr>
        <w:t>招商</w:t>
      </w:r>
      <w:r>
        <w:rPr>
          <w:rFonts w:hint="eastAsia" w:ascii="仿宋_GB2312" w:eastAsia="仿宋_GB2312"/>
          <w:sz w:val="32"/>
          <w:szCs w:val="32"/>
        </w:rPr>
        <w:t>会议次数</w:t>
      </w:r>
      <w:r>
        <w:rPr>
          <w:rFonts w:hint="eastAsia" w:ascii="仿宋_GB2312" w:eastAsia="仿宋_GB2312"/>
          <w:sz w:val="32"/>
          <w:szCs w:val="32"/>
          <w:lang w:val="en-US" w:eastAsia="zh-CN"/>
        </w:rPr>
        <w:t>等活动</w:t>
      </w:r>
      <w:r>
        <w:rPr>
          <w:rFonts w:hint="eastAsia" w:ascii="仿宋_GB2312" w:eastAsia="仿宋_GB2312"/>
          <w:sz w:val="32"/>
          <w:szCs w:val="32"/>
        </w:rPr>
        <w:t>缩减</w:t>
      </w:r>
      <w:r>
        <w:rPr>
          <w:rFonts w:hint="eastAsia" w:ascii="仿宋_GB2312" w:eastAsia="仿宋_GB2312"/>
          <w:sz w:val="32"/>
          <w:szCs w:val="32"/>
          <w:lang w:eastAsia="zh-CN"/>
        </w:rPr>
        <w:t>，</w:t>
      </w:r>
      <w:r>
        <w:rPr>
          <w:rFonts w:hint="eastAsia" w:ascii="仿宋_GB2312" w:eastAsia="仿宋_GB2312"/>
          <w:sz w:val="32"/>
          <w:szCs w:val="32"/>
          <w:lang w:val="en-US" w:eastAsia="zh-CN"/>
        </w:rPr>
        <w:t>故招商引资项目经费减少</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drawing>
          <wp:inline distT="0" distB="0" distL="114300" distR="114300">
            <wp:extent cx="3680460" cy="1943735"/>
            <wp:effectExtent l="4445" t="4445" r="1841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460.99</w:t>
      </w:r>
      <w:r>
        <w:rPr>
          <w:rFonts w:hint="eastAsia" w:ascii="仿宋_GB2312" w:eastAsia="仿宋_GB2312"/>
          <w:sz w:val="32"/>
          <w:szCs w:val="32"/>
        </w:rPr>
        <w:t>万元，其中：财政拨款收入</w:t>
      </w:r>
      <w:r>
        <w:rPr>
          <w:rFonts w:hint="eastAsia" w:ascii="仿宋_GB2312" w:eastAsia="仿宋_GB2312"/>
          <w:sz w:val="32"/>
          <w:szCs w:val="32"/>
          <w:lang w:val="en-US" w:eastAsia="zh-CN"/>
        </w:rPr>
        <w:t>460.99</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事业收入0万元，占0%；经营收入0万元，占0%；附属单位上缴收入0万元，占0%；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drawing>
          <wp:inline distT="0" distB="0" distL="114300" distR="114300">
            <wp:extent cx="3860800" cy="2028190"/>
            <wp:effectExtent l="4445" t="4445" r="571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491.82</w:t>
      </w:r>
      <w:r>
        <w:rPr>
          <w:rFonts w:hint="eastAsia" w:ascii="仿宋_GB2312" w:eastAsia="仿宋_GB2312"/>
          <w:sz w:val="32"/>
          <w:szCs w:val="32"/>
        </w:rPr>
        <w:t>万元，其中：基本支出</w:t>
      </w:r>
      <w:r>
        <w:rPr>
          <w:rFonts w:hint="eastAsia" w:ascii="仿宋_GB2312" w:eastAsia="仿宋_GB2312"/>
          <w:sz w:val="32"/>
          <w:szCs w:val="32"/>
          <w:lang w:val="en-US" w:eastAsia="zh-CN"/>
        </w:rPr>
        <w:t>331.44</w:t>
      </w:r>
      <w:r>
        <w:rPr>
          <w:rFonts w:hint="eastAsia" w:ascii="仿宋_GB2312" w:eastAsia="仿宋_GB2312"/>
          <w:sz w:val="32"/>
          <w:szCs w:val="32"/>
        </w:rPr>
        <w:t>万元，占</w:t>
      </w:r>
      <w:r>
        <w:rPr>
          <w:rFonts w:hint="eastAsia" w:ascii="仿宋_GB2312" w:eastAsia="仿宋_GB2312"/>
          <w:sz w:val="32"/>
          <w:szCs w:val="32"/>
          <w:lang w:val="en-US" w:eastAsia="zh-CN"/>
        </w:rPr>
        <w:t>67.39</w:t>
      </w:r>
      <w:r>
        <w:rPr>
          <w:rFonts w:hint="eastAsia" w:ascii="仿宋_GB2312" w:eastAsia="仿宋_GB2312"/>
          <w:sz w:val="32"/>
          <w:szCs w:val="32"/>
        </w:rPr>
        <w:t>%；项目支出</w:t>
      </w:r>
      <w:r>
        <w:rPr>
          <w:rFonts w:hint="eastAsia" w:ascii="仿宋_GB2312" w:eastAsia="仿宋_GB2312"/>
          <w:sz w:val="32"/>
          <w:szCs w:val="32"/>
          <w:lang w:val="en-US" w:eastAsia="zh-CN"/>
        </w:rPr>
        <w:t>160.38</w:t>
      </w:r>
      <w:r>
        <w:rPr>
          <w:rFonts w:hint="eastAsia" w:ascii="仿宋_GB2312" w:eastAsia="仿宋_GB2312"/>
          <w:sz w:val="32"/>
          <w:szCs w:val="32"/>
        </w:rPr>
        <w:t>万元，占</w:t>
      </w:r>
      <w:r>
        <w:rPr>
          <w:rFonts w:hint="eastAsia" w:ascii="仿宋_GB2312" w:eastAsia="仿宋_GB2312"/>
          <w:sz w:val="32"/>
          <w:szCs w:val="32"/>
          <w:lang w:val="en-US" w:eastAsia="zh-CN"/>
        </w:rPr>
        <w:t>32.61</w:t>
      </w:r>
      <w:r>
        <w:rPr>
          <w:rFonts w:hint="eastAsia" w:ascii="仿宋_GB2312" w:eastAsia="仿宋_GB2312"/>
          <w:sz w:val="32"/>
          <w:szCs w:val="32"/>
        </w:rPr>
        <w:t>%；</w:t>
      </w:r>
      <w:r>
        <w:rPr>
          <w:rFonts w:hint="eastAsia" w:ascii="仿宋_GB2312" w:eastAsia="仿宋_GB2312"/>
          <w:sz w:val="32"/>
          <w:szCs w:val="32"/>
          <w:lang w:val="en-US" w:eastAsia="zh-CN"/>
        </w:rPr>
        <w:t>上缴上级支出0万元，占0%；经营支出0万元，占0%；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hint="eastAsia" w:ascii="仿宋_GB2312" w:eastAsia="仿宋_GB2312"/>
          <w:sz w:val="32"/>
          <w:szCs w:val="32"/>
        </w:rPr>
      </w:pPr>
    </w:p>
    <w:p>
      <w:pPr>
        <w:ind w:firstLine="643" w:firstLineChars="200"/>
        <w:rPr>
          <w:rFonts w:hint="eastAsia" w:ascii="仿宋_GB2312" w:eastAsia="仿宋_GB2312"/>
          <w:b/>
          <w:sz w:val="32"/>
          <w:szCs w:val="32"/>
          <w:lang w:eastAsia="zh-CN"/>
        </w:rPr>
      </w:pPr>
      <w:r>
        <w:rPr>
          <w:rFonts w:hint="eastAsia" w:ascii="仿宋_GB2312" w:eastAsia="仿宋_GB2312"/>
          <w:b/>
          <w:sz w:val="32"/>
          <w:szCs w:val="32"/>
          <w:lang w:val="en-US" w:eastAsia="zh-CN"/>
        </w:rPr>
        <w:t xml:space="preserve">    </w:t>
      </w:r>
      <w:r>
        <w:rPr>
          <w:rFonts w:hint="eastAsia" w:ascii="仿宋_GB2312" w:eastAsia="仿宋_GB2312"/>
          <w:b/>
          <w:sz w:val="32"/>
          <w:szCs w:val="32"/>
        </w:rPr>
        <w:t xml:space="preserve"> </w:t>
      </w:r>
      <w:r>
        <w:rPr>
          <w:rFonts w:hint="eastAsia" w:ascii="仿宋_GB2312" w:eastAsia="仿宋_GB2312"/>
          <w:b/>
          <w:sz w:val="32"/>
          <w:szCs w:val="32"/>
          <w:lang w:eastAsia="zh-CN"/>
        </w:rPr>
        <w:drawing>
          <wp:inline distT="0" distB="0" distL="114300" distR="114300">
            <wp:extent cx="4158615" cy="2559685"/>
            <wp:effectExtent l="4445" t="4445" r="1270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3" w:firstLineChars="200"/>
        <w:rPr>
          <w:rFonts w:hint="eastAsia" w:ascii="仿宋_GB2312" w:eastAsia="仿宋_GB2312"/>
          <w:b/>
          <w:sz w:val="32"/>
          <w:szCs w:val="32"/>
          <w:lang w:eastAsia="zh-CN"/>
        </w:rPr>
      </w:pP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hint="eastAsia" w:ascii="仿宋_GB2312" w:eastAsia="仿宋_GB2312"/>
          <w:sz w:val="32"/>
          <w:szCs w:val="32"/>
        </w:rPr>
      </w:pPr>
      <w:r>
        <w:rPr>
          <w:rFonts w:hint="eastAsia" w:ascii="仿宋_GB2312" w:eastAsia="仿宋_GB2312"/>
          <w:sz w:val="32"/>
          <w:szCs w:val="32"/>
        </w:rPr>
        <w:t>2020年度财政拨款收、支总计</w:t>
      </w:r>
      <w:r>
        <w:rPr>
          <w:rFonts w:hint="eastAsia" w:ascii="仿宋_GB2312" w:eastAsia="仿宋_GB2312"/>
          <w:sz w:val="32"/>
          <w:szCs w:val="32"/>
          <w:lang w:val="en-US" w:eastAsia="zh-CN"/>
        </w:rPr>
        <w:t>525.88</w:t>
      </w:r>
      <w:r>
        <w:rPr>
          <w:rFonts w:hint="eastAsia" w:ascii="仿宋_GB2312" w:eastAsia="仿宋_GB2312"/>
          <w:sz w:val="32"/>
          <w:szCs w:val="32"/>
        </w:rPr>
        <w:t>万元。与2019年相比，财政拨款收、支总</w:t>
      </w:r>
      <w:r>
        <w:rPr>
          <w:rFonts w:hint="eastAsia" w:ascii="仿宋_GB2312" w:eastAsia="仿宋_GB2312"/>
          <w:sz w:val="32"/>
          <w:szCs w:val="32"/>
          <w:lang w:val="en-US" w:eastAsia="zh-CN"/>
        </w:rPr>
        <w:t>计各减少93.47</w:t>
      </w:r>
      <w:r>
        <w:rPr>
          <w:rFonts w:hint="eastAsia" w:ascii="仿宋_GB2312" w:eastAsia="仿宋_GB2312"/>
          <w:sz w:val="32"/>
          <w:szCs w:val="32"/>
        </w:rPr>
        <w:t>万元，</w:t>
      </w:r>
      <w:r>
        <w:rPr>
          <w:rFonts w:hint="eastAsia" w:ascii="仿宋_GB2312" w:eastAsia="仿宋_GB2312"/>
          <w:sz w:val="32"/>
          <w:szCs w:val="32"/>
          <w:lang w:val="en-US" w:eastAsia="zh-CN"/>
        </w:rPr>
        <w:t>下降15.09</w:t>
      </w:r>
      <w:r>
        <w:rPr>
          <w:rFonts w:hint="eastAsia" w:ascii="仿宋_GB2312" w:eastAsia="仿宋_GB2312"/>
          <w:sz w:val="32"/>
          <w:szCs w:val="32"/>
        </w:rPr>
        <w:t>%。主要是受新冠疫情影响</w:t>
      </w:r>
      <w:r>
        <w:rPr>
          <w:rFonts w:hint="eastAsia" w:ascii="仿宋_GB2312" w:eastAsia="仿宋_GB2312"/>
          <w:sz w:val="32"/>
          <w:szCs w:val="32"/>
          <w:lang w:val="en-US" w:eastAsia="zh-CN"/>
        </w:rPr>
        <w:t>赴外地开展招商工作天数、</w:t>
      </w:r>
      <w:r>
        <w:rPr>
          <w:rFonts w:hint="eastAsia" w:ascii="仿宋_GB2312" w:eastAsia="仿宋_GB2312"/>
          <w:sz w:val="32"/>
          <w:szCs w:val="32"/>
        </w:rPr>
        <w:t>集中举办</w:t>
      </w:r>
      <w:r>
        <w:rPr>
          <w:rFonts w:hint="eastAsia" w:ascii="仿宋_GB2312" w:eastAsia="仿宋_GB2312"/>
          <w:sz w:val="32"/>
          <w:szCs w:val="32"/>
          <w:lang w:val="en-US" w:eastAsia="zh-CN"/>
        </w:rPr>
        <w:t>招商</w:t>
      </w:r>
      <w:r>
        <w:rPr>
          <w:rFonts w:hint="eastAsia" w:ascii="仿宋_GB2312" w:eastAsia="仿宋_GB2312"/>
          <w:sz w:val="32"/>
          <w:szCs w:val="32"/>
        </w:rPr>
        <w:t>会议次数</w:t>
      </w:r>
      <w:r>
        <w:rPr>
          <w:rFonts w:hint="eastAsia" w:ascii="仿宋_GB2312" w:eastAsia="仿宋_GB2312"/>
          <w:sz w:val="32"/>
          <w:szCs w:val="32"/>
          <w:lang w:val="en-US" w:eastAsia="zh-CN"/>
        </w:rPr>
        <w:t>等活动</w:t>
      </w:r>
      <w:r>
        <w:rPr>
          <w:rFonts w:hint="eastAsia" w:ascii="仿宋_GB2312" w:eastAsia="仿宋_GB2312"/>
          <w:sz w:val="32"/>
          <w:szCs w:val="32"/>
        </w:rPr>
        <w:t>缩减</w:t>
      </w:r>
      <w:r>
        <w:rPr>
          <w:rFonts w:hint="eastAsia" w:ascii="仿宋_GB2312" w:eastAsia="仿宋_GB2312"/>
          <w:sz w:val="32"/>
          <w:szCs w:val="32"/>
          <w:lang w:eastAsia="zh-CN"/>
        </w:rPr>
        <w:t>，</w:t>
      </w:r>
      <w:r>
        <w:rPr>
          <w:rFonts w:hint="eastAsia" w:ascii="仿宋_GB2312" w:eastAsia="仿宋_GB2312"/>
          <w:sz w:val="32"/>
          <w:szCs w:val="32"/>
          <w:lang w:val="en-US" w:eastAsia="zh-CN"/>
        </w:rPr>
        <w:t>故招商引资项目经费减少</w:t>
      </w:r>
      <w:r>
        <w:rPr>
          <w:rFonts w:hint="eastAsia" w:ascii="仿宋_GB2312" w:eastAsia="仿宋_GB2312"/>
          <w:sz w:val="32"/>
          <w:szCs w:val="32"/>
        </w:rPr>
        <w:t>。</w:t>
      </w:r>
    </w:p>
    <w:p>
      <w:pPr>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drawing>
          <wp:inline distT="0" distB="0" distL="114300" distR="114300">
            <wp:extent cx="5658485" cy="2611755"/>
            <wp:effectExtent l="4445" t="4445" r="635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highlight w:val="none"/>
          <w:lang w:val="en-US" w:eastAsia="zh-CN"/>
        </w:rPr>
        <w:t>491.82</w:t>
      </w:r>
      <w:r>
        <w:rPr>
          <w:rFonts w:hint="eastAsia" w:ascii="仿宋_GB2312" w:eastAsia="仿宋_GB2312"/>
          <w:sz w:val="32"/>
          <w:szCs w:val="32"/>
          <w:highlight w:val="none"/>
        </w:rPr>
        <w:t>万元</w:t>
      </w:r>
      <w:r>
        <w:rPr>
          <w:rFonts w:hint="eastAsia" w:ascii="仿宋_GB2312" w:eastAsia="仿宋_GB2312"/>
          <w:sz w:val="32"/>
          <w:szCs w:val="32"/>
        </w:rPr>
        <w:t>，占本年支出合计的</w:t>
      </w:r>
      <w:r>
        <w:rPr>
          <w:rFonts w:hint="eastAsia" w:ascii="仿宋_GB2312" w:eastAsia="仿宋_GB2312"/>
          <w:sz w:val="32"/>
          <w:szCs w:val="32"/>
          <w:lang w:val="en-US" w:eastAsia="zh-CN"/>
        </w:rPr>
        <w:t>100</w:t>
      </w:r>
      <w:r>
        <w:rPr>
          <w:rFonts w:hint="eastAsia" w:ascii="仿宋_GB2312" w:eastAsia="仿宋_GB2312"/>
          <w:sz w:val="32"/>
          <w:szCs w:val="32"/>
        </w:rPr>
        <w:t>%。与2019年相比，一般公共预算财政拨款支出</w:t>
      </w:r>
      <w:r>
        <w:rPr>
          <w:rFonts w:hint="eastAsia" w:ascii="仿宋_GB2312" w:eastAsia="仿宋_GB2312"/>
          <w:sz w:val="32"/>
          <w:szCs w:val="32"/>
          <w:highlight w:val="none"/>
        </w:rPr>
        <w:t>减少</w:t>
      </w:r>
      <w:r>
        <w:rPr>
          <w:rFonts w:hint="eastAsia" w:ascii="仿宋_GB2312" w:eastAsia="仿宋_GB2312"/>
          <w:sz w:val="32"/>
          <w:szCs w:val="32"/>
          <w:highlight w:val="none"/>
          <w:lang w:val="en-US" w:eastAsia="zh-CN"/>
        </w:rPr>
        <w:t>62.61</w:t>
      </w:r>
      <w:r>
        <w:rPr>
          <w:rFonts w:hint="eastAsia" w:ascii="仿宋_GB2312" w:eastAsia="仿宋_GB2312"/>
          <w:sz w:val="32"/>
          <w:szCs w:val="32"/>
        </w:rPr>
        <w:t>万元，</w:t>
      </w:r>
      <w:r>
        <w:rPr>
          <w:rFonts w:hint="eastAsia" w:ascii="仿宋_GB2312" w:eastAsia="仿宋_GB2312"/>
          <w:sz w:val="32"/>
          <w:szCs w:val="32"/>
          <w:highlight w:val="none"/>
        </w:rPr>
        <w:t>下降</w:t>
      </w:r>
      <w:r>
        <w:rPr>
          <w:rFonts w:hint="eastAsia" w:ascii="仿宋_GB2312" w:eastAsia="仿宋_GB2312"/>
          <w:sz w:val="32"/>
          <w:szCs w:val="32"/>
          <w:lang w:val="en-US" w:eastAsia="zh-CN"/>
        </w:rPr>
        <w:t>11.29</w:t>
      </w:r>
      <w:r>
        <w:rPr>
          <w:rFonts w:hint="eastAsia" w:ascii="仿宋_GB2312" w:eastAsia="仿宋_GB2312"/>
          <w:sz w:val="32"/>
          <w:szCs w:val="32"/>
        </w:rPr>
        <w:t>%。主要是</w:t>
      </w:r>
      <w:r>
        <w:rPr>
          <w:rFonts w:hint="eastAsia" w:ascii="仿宋_GB2312" w:eastAsia="仿宋_GB2312"/>
          <w:sz w:val="32"/>
          <w:szCs w:val="32"/>
          <w:lang w:val="en-US" w:eastAsia="zh-CN"/>
        </w:rPr>
        <w:t>受新冠疫情影响招商引资项目经费支出</w:t>
      </w:r>
      <w:r>
        <w:rPr>
          <w:rFonts w:hint="eastAsia" w:ascii="仿宋_GB2312" w:eastAsia="仿宋_GB2312"/>
          <w:sz w:val="32"/>
          <w:szCs w:val="32"/>
          <w:highlight w:val="none"/>
        </w:rPr>
        <w:t>减少</w:t>
      </w:r>
      <w:r>
        <w:rPr>
          <w:rFonts w:hint="eastAsia" w:ascii="仿宋_GB2312" w:eastAsia="仿宋_GB2312"/>
          <w:sz w:val="32"/>
          <w:szCs w:val="32"/>
        </w:rPr>
        <w:t>。</w:t>
      </w:r>
    </w:p>
    <w:p>
      <w:pPr>
        <w:ind w:firstLine="640" w:firstLineChars="200"/>
        <w:rPr>
          <w:rFonts w:hint="eastAsia" w:ascii="楷体_GB2312" w:eastAsia="楷体_GB2312"/>
          <w:sz w:val="32"/>
          <w:szCs w:val="32"/>
          <w:lang w:eastAsia="zh-CN"/>
        </w:rPr>
      </w:pP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drawing>
          <wp:inline distT="0" distB="0" distL="114300" distR="114300">
            <wp:extent cx="4173855" cy="2949575"/>
            <wp:effectExtent l="4445" t="4445" r="12700"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highlight w:val="none"/>
          <w:lang w:val="en-US" w:eastAsia="zh-CN"/>
        </w:rPr>
        <w:t>491.82</w:t>
      </w:r>
      <w:r>
        <w:rPr>
          <w:rFonts w:hint="eastAsia" w:ascii="仿宋_GB2312" w:eastAsia="仿宋_GB2312"/>
          <w:sz w:val="32"/>
          <w:szCs w:val="32"/>
        </w:rPr>
        <w:t>万元，主要用于以下方面：一般公共服务（类）支出</w:t>
      </w:r>
      <w:r>
        <w:rPr>
          <w:rFonts w:hint="eastAsia" w:ascii="仿宋_GB2312" w:eastAsia="仿宋_GB2312"/>
          <w:sz w:val="32"/>
          <w:szCs w:val="32"/>
          <w:highlight w:val="none"/>
          <w:lang w:val="en-US" w:eastAsia="zh-CN"/>
        </w:rPr>
        <w:t>491.82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%；国防（类）支出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%；公共安全（类）支出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%；教育（类）支出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3" w:firstLineChars="200"/>
        <w:rPr>
          <w:rFonts w:hint="eastAsia" w:ascii="仿宋_GB2312" w:eastAsia="仿宋_GB2312"/>
          <w:b/>
          <w:sz w:val="32"/>
          <w:szCs w:val="32"/>
          <w:lang w:eastAsia="zh-CN"/>
        </w:rPr>
      </w:pP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drawing>
          <wp:inline distT="0" distB="0" distL="114300" distR="114300">
            <wp:extent cx="3708400" cy="2286000"/>
            <wp:effectExtent l="4445" t="4445" r="5715" b="107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1003.39</w:t>
      </w:r>
      <w:r>
        <w:rPr>
          <w:rFonts w:hint="eastAsia" w:ascii="仿宋_GB2312" w:eastAsia="仿宋_GB2312"/>
          <w:sz w:val="32"/>
          <w:szCs w:val="32"/>
        </w:rPr>
        <w:t>万元，支出决算为</w:t>
      </w:r>
      <w:r>
        <w:rPr>
          <w:rFonts w:hint="eastAsia" w:ascii="仿宋_GB2312" w:eastAsia="仿宋_GB2312"/>
          <w:sz w:val="32"/>
          <w:szCs w:val="32"/>
          <w:highlight w:val="none"/>
          <w:lang w:val="en-US" w:eastAsia="zh-CN"/>
        </w:rPr>
        <w:t>491.82</w:t>
      </w:r>
      <w:r>
        <w:rPr>
          <w:rFonts w:hint="eastAsia" w:ascii="仿宋_GB2312" w:eastAsia="仿宋_GB2312"/>
          <w:sz w:val="32"/>
          <w:szCs w:val="32"/>
        </w:rPr>
        <w:t>万元，完成年初预算的</w:t>
      </w:r>
      <w:r>
        <w:rPr>
          <w:rFonts w:hint="eastAsia" w:ascii="仿宋_GB2312" w:eastAsia="仿宋_GB2312"/>
          <w:sz w:val="32"/>
          <w:szCs w:val="32"/>
          <w:lang w:val="en-US" w:eastAsia="zh-CN"/>
        </w:rPr>
        <w:t>49.02</w:t>
      </w:r>
      <w:r>
        <w:rPr>
          <w:rFonts w:hint="eastAsia" w:ascii="仿宋_GB2312" w:eastAsia="仿宋_GB2312"/>
          <w:sz w:val="32"/>
          <w:szCs w:val="32"/>
        </w:rPr>
        <w:t>%。决算数小于年初预算数的主要原因</w:t>
      </w:r>
      <w:r>
        <w:rPr>
          <w:rFonts w:hint="eastAsia" w:ascii="仿宋_GB2312" w:eastAsia="仿宋_GB2312"/>
          <w:sz w:val="32"/>
          <w:szCs w:val="32"/>
          <w:lang w:val="en-US" w:eastAsia="zh-CN"/>
        </w:rPr>
        <w:t>新冠疫情影响经费支出</w:t>
      </w:r>
      <w:r>
        <w:rPr>
          <w:rFonts w:hint="eastAsia" w:ascii="仿宋_GB2312" w:eastAsia="仿宋_GB2312"/>
          <w:sz w:val="32"/>
          <w:szCs w:val="32"/>
          <w:highlight w:val="none"/>
        </w:rPr>
        <w:t>减少</w:t>
      </w:r>
      <w:r>
        <w:rPr>
          <w:rFonts w:hint="eastAsia" w:ascii="仿宋_GB2312" w:eastAsia="仿宋_GB2312"/>
          <w:sz w:val="32"/>
          <w:szCs w:val="32"/>
        </w:rPr>
        <w:t>。其中：</w:t>
      </w:r>
    </w:p>
    <w:p>
      <w:pPr>
        <w:numPr>
          <w:ilvl w:val="0"/>
          <w:numId w:val="1"/>
        </w:numPr>
        <w:ind w:firstLine="640" w:firstLineChars="200"/>
        <w:rPr>
          <w:rFonts w:hint="eastAsia" w:eastAsia="仿宋_GB2312"/>
          <w:highlight w:val="none"/>
          <w:lang w:eastAsia="zh-CN"/>
        </w:rPr>
      </w:pPr>
      <w:r>
        <w:rPr>
          <w:rFonts w:hint="eastAsia" w:ascii="仿宋_GB2312" w:eastAsia="仿宋_GB2312"/>
          <w:sz w:val="32"/>
          <w:szCs w:val="32"/>
        </w:rPr>
        <w:t>一般公共服务支出（类）政府办公厅（室）及相关机构事务（款） 一般行政管理事务（项）。主要反映用于</w:t>
      </w:r>
      <w:r>
        <w:rPr>
          <w:rFonts w:hint="eastAsia" w:ascii="仿宋_GB2312" w:eastAsia="仿宋_GB2312"/>
          <w:sz w:val="32"/>
          <w:szCs w:val="32"/>
          <w:highlight w:val="none"/>
          <w:lang w:eastAsia="zh-CN"/>
        </w:rPr>
        <w:t>招商引资指挥部办公室日常办公运转经费的</w:t>
      </w:r>
      <w:r>
        <w:rPr>
          <w:rFonts w:hint="eastAsia" w:ascii="仿宋_GB2312" w:eastAsia="仿宋_GB2312"/>
          <w:sz w:val="32"/>
          <w:szCs w:val="32"/>
        </w:rPr>
        <w:t>支出。年初预算为</w:t>
      </w:r>
      <w:r>
        <w:rPr>
          <w:rFonts w:hint="eastAsia" w:ascii="仿宋_GB2312" w:eastAsia="仿宋_GB2312"/>
          <w:sz w:val="32"/>
          <w:szCs w:val="32"/>
          <w:lang w:val="en-US" w:eastAsia="zh-CN"/>
        </w:rPr>
        <w:t>1.4</w:t>
      </w:r>
      <w:r>
        <w:rPr>
          <w:rFonts w:hint="eastAsia" w:ascii="仿宋_GB2312" w:eastAsia="仿宋_GB2312"/>
          <w:sz w:val="32"/>
          <w:szCs w:val="32"/>
        </w:rPr>
        <w:t>万元，支出决算为</w:t>
      </w:r>
      <w:r>
        <w:rPr>
          <w:rFonts w:hint="eastAsia" w:ascii="仿宋_GB2312" w:eastAsia="仿宋_GB2312"/>
          <w:sz w:val="32"/>
          <w:szCs w:val="32"/>
          <w:lang w:val="en-US" w:eastAsia="zh-CN"/>
        </w:rPr>
        <w:t>1.4</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%。决算数与年初预算基本持平主要原因是</w:t>
      </w:r>
      <w:r>
        <w:rPr>
          <w:rFonts w:hint="eastAsia" w:ascii="仿宋_GB2312" w:eastAsia="仿宋_GB2312"/>
          <w:sz w:val="32"/>
          <w:szCs w:val="32"/>
          <w:highlight w:val="none"/>
          <w:lang w:eastAsia="zh-CN"/>
        </w:rPr>
        <w:t>招商引资指挥部办公经费为专项经费，拨付后</w:t>
      </w:r>
      <w:r>
        <w:rPr>
          <w:rFonts w:hint="eastAsia" w:ascii="仿宋_GB2312" w:eastAsia="仿宋_GB2312"/>
          <w:sz w:val="32"/>
          <w:szCs w:val="32"/>
          <w:highlight w:val="none"/>
          <w:lang w:val="en-US" w:eastAsia="zh-CN"/>
        </w:rPr>
        <w:t>严格按照预算执行，</w:t>
      </w:r>
      <w:r>
        <w:rPr>
          <w:rFonts w:hint="eastAsia" w:ascii="仿宋_GB2312" w:eastAsia="仿宋_GB2312"/>
          <w:sz w:val="32"/>
          <w:szCs w:val="32"/>
          <w:highlight w:val="none"/>
          <w:lang w:eastAsia="zh-CN"/>
        </w:rPr>
        <w:t>全额用于指挥部办公运转支出。</w:t>
      </w:r>
    </w:p>
    <w:p>
      <w:pPr>
        <w:numPr>
          <w:ilvl w:val="0"/>
          <w:numId w:val="1"/>
        </w:numPr>
        <w:ind w:firstLine="640" w:firstLineChars="200"/>
        <w:rPr>
          <w:rFonts w:hint="eastAsia" w:eastAsia="仿宋_GB2312"/>
          <w:highlight w:val="none"/>
          <w:lang w:eastAsia="zh-CN"/>
        </w:rPr>
      </w:pPr>
      <w:r>
        <w:rPr>
          <w:rFonts w:hint="eastAsia" w:ascii="仿宋_GB2312" w:eastAsia="仿宋_GB2312"/>
          <w:sz w:val="32"/>
          <w:szCs w:val="32"/>
        </w:rPr>
        <w:t>一般公共服务支出（类）商贸事务（款）行政运行（项）。主要反映用于</w:t>
      </w:r>
      <w:r>
        <w:rPr>
          <w:rFonts w:hint="eastAsia" w:ascii="仿宋_GB2312" w:eastAsia="仿宋_GB2312"/>
          <w:sz w:val="32"/>
          <w:szCs w:val="32"/>
          <w:highlight w:val="none"/>
        </w:rPr>
        <w:t>单位人员工资福利及日常公用经费支出</w:t>
      </w:r>
      <w:r>
        <w:rPr>
          <w:rFonts w:hint="eastAsia" w:ascii="仿宋_GB2312" w:eastAsia="仿宋_GB2312"/>
          <w:sz w:val="32"/>
          <w:szCs w:val="32"/>
        </w:rPr>
        <w:t>。年初预算为</w:t>
      </w:r>
      <w:r>
        <w:rPr>
          <w:rFonts w:hint="eastAsia" w:ascii="仿宋_GB2312" w:eastAsia="仿宋_GB2312"/>
          <w:sz w:val="32"/>
          <w:szCs w:val="32"/>
          <w:lang w:val="en-US" w:eastAsia="zh-CN"/>
        </w:rPr>
        <w:t>343.39</w:t>
      </w:r>
      <w:r>
        <w:rPr>
          <w:rFonts w:hint="eastAsia" w:ascii="仿宋_GB2312" w:eastAsia="仿宋_GB2312"/>
          <w:sz w:val="32"/>
          <w:szCs w:val="32"/>
        </w:rPr>
        <w:t>万元，支出决算为331.44万元，完成年初预算的</w:t>
      </w:r>
      <w:r>
        <w:rPr>
          <w:rFonts w:hint="eastAsia" w:ascii="仿宋_GB2312" w:eastAsia="仿宋_GB2312"/>
          <w:sz w:val="32"/>
          <w:szCs w:val="32"/>
          <w:lang w:val="en-US" w:eastAsia="zh-CN"/>
        </w:rPr>
        <w:t>96.52</w:t>
      </w:r>
      <w:r>
        <w:rPr>
          <w:rFonts w:hint="eastAsia" w:ascii="仿宋_GB2312" w:eastAsia="仿宋_GB2312"/>
          <w:sz w:val="32"/>
          <w:szCs w:val="32"/>
        </w:rPr>
        <w:t>%。决算数小于年初预算数主要原因是</w:t>
      </w:r>
      <w:r>
        <w:rPr>
          <w:rFonts w:hint="eastAsia" w:ascii="仿宋_GB2312" w:eastAsia="仿宋_GB2312"/>
          <w:sz w:val="32"/>
          <w:szCs w:val="32"/>
          <w:lang w:val="en-US" w:eastAsia="zh-CN"/>
        </w:rPr>
        <w:t>单位三公经费</w:t>
      </w:r>
      <w:r>
        <w:rPr>
          <w:rFonts w:hint="eastAsia" w:ascii="仿宋_GB2312" w:eastAsia="仿宋_GB2312"/>
          <w:sz w:val="32"/>
          <w:szCs w:val="32"/>
          <w:highlight w:val="none"/>
        </w:rPr>
        <w:t>支出</w:t>
      </w:r>
      <w:r>
        <w:rPr>
          <w:rFonts w:hint="eastAsia" w:ascii="仿宋_GB2312" w:eastAsia="仿宋_GB2312"/>
          <w:sz w:val="32"/>
          <w:szCs w:val="32"/>
          <w:highlight w:val="none"/>
          <w:lang w:val="en-US" w:eastAsia="zh-CN"/>
        </w:rPr>
        <w:t>减少</w:t>
      </w:r>
      <w:r>
        <w:rPr>
          <w:rFonts w:hint="eastAsia" w:ascii="仿宋_GB2312" w:eastAsia="仿宋_GB2312"/>
          <w:sz w:val="32"/>
          <w:szCs w:val="32"/>
        </w:rPr>
        <w:t>。</w:t>
      </w:r>
    </w:p>
    <w:p>
      <w:pPr>
        <w:numPr>
          <w:ilvl w:val="0"/>
          <w:numId w:val="1"/>
        </w:numPr>
        <w:ind w:firstLine="640" w:firstLineChars="200"/>
        <w:rPr>
          <w:rFonts w:hint="eastAsia" w:eastAsia="仿宋_GB2312"/>
          <w:highlight w:val="none"/>
          <w:lang w:eastAsia="zh-CN"/>
        </w:rPr>
      </w:pPr>
      <w:r>
        <w:rPr>
          <w:rFonts w:hint="eastAsia" w:ascii="仿宋_GB2312" w:eastAsia="仿宋_GB2312"/>
          <w:sz w:val="32"/>
          <w:szCs w:val="32"/>
        </w:rPr>
        <w:t>一般公共服务支出（类）商贸事务（款）一般行政管理事务（项）。主要反映用于</w:t>
      </w:r>
      <w:r>
        <w:rPr>
          <w:rFonts w:hint="eastAsia" w:ascii="仿宋_GB2312" w:eastAsia="仿宋_GB2312"/>
          <w:sz w:val="32"/>
          <w:szCs w:val="32"/>
          <w:highlight w:val="none"/>
          <w:lang w:eastAsia="zh-CN"/>
        </w:rPr>
        <w:t>单位工作补助类经费</w:t>
      </w:r>
      <w:r>
        <w:rPr>
          <w:rFonts w:hint="eastAsia" w:ascii="仿宋_GB2312" w:eastAsia="仿宋_GB2312"/>
          <w:sz w:val="32"/>
          <w:szCs w:val="32"/>
          <w:highlight w:val="none"/>
          <w:lang w:val="en-US" w:eastAsia="zh-CN"/>
        </w:rPr>
        <w:t>支出</w:t>
      </w:r>
      <w:r>
        <w:rPr>
          <w:rFonts w:hint="eastAsia" w:ascii="仿宋_GB2312" w:eastAsia="仿宋_GB2312"/>
          <w:sz w:val="32"/>
          <w:szCs w:val="32"/>
        </w:rPr>
        <w:t>。年初预算为</w:t>
      </w:r>
      <w:r>
        <w:rPr>
          <w:rFonts w:hint="eastAsia" w:ascii="仿宋_GB2312" w:eastAsia="仿宋_GB2312"/>
          <w:sz w:val="32"/>
          <w:szCs w:val="32"/>
          <w:lang w:val="en-US" w:eastAsia="zh-CN"/>
        </w:rPr>
        <w:t>3.56</w:t>
      </w:r>
      <w:r>
        <w:rPr>
          <w:rFonts w:hint="eastAsia" w:ascii="仿宋_GB2312" w:eastAsia="仿宋_GB2312"/>
          <w:sz w:val="32"/>
          <w:szCs w:val="32"/>
        </w:rPr>
        <w:t>万元，支出决算为</w:t>
      </w:r>
      <w:r>
        <w:rPr>
          <w:rFonts w:hint="eastAsia" w:ascii="仿宋_GB2312" w:eastAsia="仿宋_GB2312"/>
          <w:sz w:val="32"/>
          <w:szCs w:val="32"/>
          <w:lang w:val="en-US" w:eastAsia="zh-CN"/>
        </w:rPr>
        <w:t>3.56</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%。决算数与年初预算基本持平主要原因是</w:t>
      </w:r>
      <w:r>
        <w:rPr>
          <w:rFonts w:hint="eastAsia" w:ascii="仿宋_GB2312" w:eastAsia="仿宋_GB2312"/>
          <w:sz w:val="32"/>
          <w:szCs w:val="32"/>
          <w:highlight w:val="none"/>
          <w:lang w:eastAsia="zh-CN"/>
        </w:rPr>
        <w:t>补助类专项资金全部按上级统筹规定支出。</w:t>
      </w:r>
    </w:p>
    <w:p>
      <w:pPr>
        <w:numPr>
          <w:ilvl w:val="0"/>
          <w:numId w:val="1"/>
        </w:numPr>
        <w:ind w:firstLine="640" w:firstLineChars="200"/>
        <w:rPr>
          <w:rFonts w:ascii="仿宋_GB2312" w:eastAsia="仿宋_GB2312"/>
          <w:sz w:val="32"/>
          <w:szCs w:val="32"/>
        </w:rPr>
      </w:pPr>
      <w:r>
        <w:rPr>
          <w:rFonts w:hint="eastAsia" w:ascii="仿宋_GB2312" w:eastAsia="仿宋_GB2312"/>
          <w:sz w:val="32"/>
          <w:szCs w:val="32"/>
        </w:rPr>
        <w:t>一般公共服务支出（类）商贸事务（款）招商引资（项）。主要反映用于</w:t>
      </w:r>
      <w:r>
        <w:rPr>
          <w:rFonts w:hint="eastAsia" w:ascii="仿宋_GB2312" w:eastAsia="仿宋_GB2312"/>
          <w:sz w:val="32"/>
          <w:szCs w:val="32"/>
          <w:highlight w:val="none"/>
        </w:rPr>
        <w:t>招商引资</w:t>
      </w:r>
      <w:r>
        <w:rPr>
          <w:rFonts w:hint="eastAsia" w:ascii="仿宋_GB2312" w:eastAsia="仿宋_GB2312"/>
          <w:sz w:val="32"/>
          <w:szCs w:val="32"/>
          <w:highlight w:val="none"/>
          <w:lang w:val="en-US" w:eastAsia="zh-CN"/>
        </w:rPr>
        <w:t>相关工作的</w:t>
      </w:r>
      <w:r>
        <w:rPr>
          <w:rFonts w:hint="eastAsia" w:ascii="仿宋_GB2312" w:eastAsia="仿宋_GB2312"/>
          <w:sz w:val="32"/>
          <w:szCs w:val="32"/>
          <w:highlight w:val="none"/>
        </w:rPr>
        <w:t>支出</w:t>
      </w:r>
      <w:r>
        <w:rPr>
          <w:rFonts w:hint="eastAsia" w:ascii="仿宋_GB2312" w:eastAsia="仿宋_GB2312"/>
          <w:sz w:val="32"/>
          <w:szCs w:val="32"/>
        </w:rPr>
        <w:t>。年初预算为</w:t>
      </w:r>
      <w:r>
        <w:rPr>
          <w:rFonts w:hint="eastAsia" w:ascii="仿宋_GB2312" w:eastAsia="仿宋_GB2312"/>
          <w:sz w:val="32"/>
          <w:szCs w:val="32"/>
          <w:lang w:val="en-US" w:eastAsia="zh-CN"/>
        </w:rPr>
        <w:t>660</w:t>
      </w:r>
      <w:r>
        <w:rPr>
          <w:rFonts w:hint="eastAsia" w:ascii="仿宋_GB2312" w:eastAsia="仿宋_GB2312"/>
          <w:sz w:val="32"/>
          <w:szCs w:val="32"/>
        </w:rPr>
        <w:t>万元，支出决算为</w:t>
      </w:r>
      <w:r>
        <w:rPr>
          <w:rFonts w:hint="eastAsia" w:ascii="仿宋_GB2312" w:eastAsia="仿宋_GB2312"/>
          <w:sz w:val="32"/>
          <w:szCs w:val="32"/>
          <w:lang w:val="en-US" w:eastAsia="zh-CN"/>
        </w:rPr>
        <w:t>155.41</w:t>
      </w:r>
      <w:r>
        <w:rPr>
          <w:rFonts w:hint="eastAsia" w:ascii="仿宋_GB2312" w:eastAsia="仿宋_GB2312"/>
          <w:sz w:val="32"/>
          <w:szCs w:val="32"/>
        </w:rPr>
        <w:t>万元，完成年初预算的</w:t>
      </w:r>
      <w:r>
        <w:rPr>
          <w:rFonts w:hint="eastAsia" w:ascii="仿宋_GB2312" w:eastAsia="仿宋_GB2312"/>
          <w:sz w:val="32"/>
          <w:szCs w:val="32"/>
          <w:lang w:val="en-US" w:eastAsia="zh-CN"/>
        </w:rPr>
        <w:t>23.55</w:t>
      </w:r>
      <w:r>
        <w:rPr>
          <w:rFonts w:hint="eastAsia" w:ascii="仿宋_GB2312" w:eastAsia="仿宋_GB2312"/>
          <w:sz w:val="32"/>
          <w:szCs w:val="32"/>
        </w:rPr>
        <w:t>%。决算数小于年初预算数主要原因是</w:t>
      </w:r>
      <w:r>
        <w:rPr>
          <w:rFonts w:hint="eastAsia" w:ascii="仿宋_GB2312" w:eastAsia="仿宋_GB2312"/>
          <w:sz w:val="32"/>
          <w:szCs w:val="32"/>
          <w:lang w:val="en-US" w:eastAsia="zh-CN"/>
        </w:rPr>
        <w:t>受新冠疫情影响赴外地开展招商工作天数、</w:t>
      </w:r>
      <w:r>
        <w:rPr>
          <w:rFonts w:hint="eastAsia" w:ascii="仿宋_GB2312" w:eastAsia="仿宋_GB2312"/>
          <w:sz w:val="32"/>
          <w:szCs w:val="32"/>
        </w:rPr>
        <w:t>集中举办</w:t>
      </w:r>
      <w:r>
        <w:rPr>
          <w:rFonts w:hint="eastAsia" w:ascii="仿宋_GB2312" w:eastAsia="仿宋_GB2312"/>
          <w:sz w:val="32"/>
          <w:szCs w:val="32"/>
          <w:lang w:val="en-US" w:eastAsia="zh-CN"/>
        </w:rPr>
        <w:t>招商</w:t>
      </w:r>
      <w:r>
        <w:rPr>
          <w:rFonts w:hint="eastAsia" w:ascii="仿宋_GB2312" w:eastAsia="仿宋_GB2312"/>
          <w:sz w:val="32"/>
          <w:szCs w:val="32"/>
        </w:rPr>
        <w:t>会议次数</w:t>
      </w:r>
      <w:r>
        <w:rPr>
          <w:rFonts w:hint="eastAsia" w:ascii="仿宋_GB2312" w:eastAsia="仿宋_GB2312"/>
          <w:sz w:val="32"/>
          <w:szCs w:val="32"/>
          <w:lang w:val="en-US" w:eastAsia="zh-CN"/>
        </w:rPr>
        <w:t>等活动减少</w:t>
      </w:r>
      <w:r>
        <w:rPr>
          <w:rFonts w:hint="eastAsia" w:ascii="仿宋_GB2312" w:eastAsia="仿宋_GB2312"/>
          <w:sz w:val="32"/>
          <w:szCs w:val="32"/>
          <w:lang w:eastAsia="zh-CN"/>
        </w:rPr>
        <w:t>，</w:t>
      </w:r>
      <w:r>
        <w:rPr>
          <w:rFonts w:hint="eastAsia" w:ascii="仿宋_GB2312" w:eastAsia="仿宋_GB2312"/>
          <w:sz w:val="32"/>
          <w:szCs w:val="32"/>
          <w:lang w:val="en-US" w:eastAsia="zh-CN"/>
        </w:rPr>
        <w:t>招商引资经费支出缩减</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331.44</w:t>
      </w:r>
      <w:r>
        <w:rPr>
          <w:rFonts w:hint="eastAsia" w:ascii="仿宋_GB2312" w:eastAsia="仿宋_GB2312"/>
          <w:sz w:val="32"/>
          <w:szCs w:val="32"/>
        </w:rPr>
        <w:t>万元，包括人员经费和公用经费，支出具体情况如下：</w:t>
      </w:r>
    </w:p>
    <w:p>
      <w:pPr>
        <w:ind w:firstLine="640" w:firstLineChars="200"/>
        <w:rPr>
          <w:rFonts w:ascii="仿宋_GB2312" w:eastAsia="仿宋_GB2312"/>
          <w:b/>
          <w:sz w:val="32"/>
          <w:szCs w:val="32"/>
        </w:rPr>
      </w:pPr>
      <w:r>
        <w:rPr>
          <w:rFonts w:hint="eastAsia" w:ascii="仿宋_GB2312" w:eastAsia="仿宋_GB2312"/>
          <w:sz w:val="32"/>
          <w:szCs w:val="32"/>
          <w:highlight w:val="none"/>
        </w:rPr>
        <w:t>人员经费</w:t>
      </w:r>
      <w:r>
        <w:rPr>
          <w:rFonts w:hint="eastAsia" w:ascii="仿宋_GB2312" w:eastAsia="仿宋_GB2312"/>
          <w:sz w:val="32"/>
          <w:szCs w:val="32"/>
        </w:rPr>
        <w:t>324.52万元，主要包括：基本工资、津贴补贴、奖金</w:t>
      </w:r>
      <w:r>
        <w:rPr>
          <w:rFonts w:hint="eastAsia" w:ascii="仿宋_GB2312" w:eastAsia="仿宋_GB2312"/>
          <w:sz w:val="32"/>
          <w:szCs w:val="32"/>
          <w:lang w:eastAsia="zh-CN"/>
        </w:rPr>
        <w:t>、绩效工资、机关事业单位基本养老保险缴费、职业年金缴费、职工基本医疗保险缴费、其他社会保障缴费、 住房公积金、其他工资福利支出</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rPr>
        <w:t>公用经费</w:t>
      </w:r>
      <w:r>
        <w:rPr>
          <w:rFonts w:hint="eastAsia" w:ascii="仿宋_GB2312" w:eastAsia="仿宋_GB2312"/>
          <w:sz w:val="32"/>
          <w:szCs w:val="32"/>
          <w:lang w:val="en-US" w:eastAsia="zh-CN"/>
        </w:rPr>
        <w:t>6.92</w:t>
      </w:r>
      <w:r>
        <w:rPr>
          <w:rFonts w:hint="eastAsia" w:ascii="仿宋_GB2312" w:eastAsia="仿宋_GB2312"/>
          <w:sz w:val="32"/>
          <w:szCs w:val="32"/>
        </w:rPr>
        <w:t>万元，主要包括：办公费</w:t>
      </w:r>
      <w:r>
        <w:rPr>
          <w:rFonts w:hint="eastAsia" w:ascii="仿宋_GB2312" w:eastAsia="仿宋_GB2312"/>
          <w:sz w:val="32"/>
          <w:szCs w:val="32"/>
          <w:lang w:eastAsia="zh-CN"/>
        </w:rPr>
        <w:t>、</w:t>
      </w:r>
      <w:r>
        <w:rPr>
          <w:rFonts w:hint="eastAsia" w:ascii="仿宋_GB2312" w:eastAsia="仿宋_GB2312"/>
          <w:sz w:val="32"/>
          <w:szCs w:val="32"/>
        </w:rPr>
        <w:t>邮电费</w:t>
      </w:r>
      <w:r>
        <w:rPr>
          <w:rFonts w:hint="eastAsia" w:ascii="仿宋_GB2312" w:eastAsia="仿宋_GB2312"/>
          <w:sz w:val="32"/>
          <w:szCs w:val="32"/>
          <w:lang w:eastAsia="zh-CN"/>
        </w:rPr>
        <w:t>、工会经费、公务用车运行维护费、 其他交通费用。</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w:t>
      </w:r>
      <w:r>
        <w:rPr>
          <w:rFonts w:hint="eastAsia" w:ascii="仿宋_GB2312" w:hAnsi="宋体" w:eastAsia="仿宋_GB2312" w:cs="Courier New"/>
          <w:sz w:val="32"/>
          <w:szCs w:val="32"/>
          <w:lang w:val="en-US" w:eastAsia="zh-CN"/>
        </w:rPr>
        <w:t>泗水县投资促进中心</w:t>
      </w:r>
      <w:r>
        <w:rPr>
          <w:rFonts w:hint="eastAsia" w:ascii="仿宋_GB2312" w:hAnsi="宋体" w:eastAsia="仿宋_GB2312" w:cs="Courier New"/>
          <w:sz w:val="32"/>
          <w:szCs w:val="32"/>
        </w:rPr>
        <w:t>机关及其所属预算单位，共</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个预算单位。</w:t>
      </w:r>
      <w:r>
        <w:rPr>
          <w:rFonts w:hint="eastAsia" w:ascii="仿宋_GB2312" w:eastAsia="仿宋_GB2312"/>
          <w:sz w:val="32"/>
          <w:szCs w:val="32"/>
        </w:rPr>
        <w:t>2020年度一般公共预算财政拨款“三公”经费决算数为</w:t>
      </w:r>
      <w:r>
        <w:rPr>
          <w:rFonts w:hint="eastAsia" w:ascii="仿宋_GB2312" w:eastAsia="仿宋_GB2312"/>
          <w:sz w:val="32"/>
          <w:szCs w:val="32"/>
          <w:lang w:val="en-US" w:eastAsia="zh-CN"/>
        </w:rPr>
        <w:t>1.47</w:t>
      </w:r>
      <w:r>
        <w:rPr>
          <w:rFonts w:hint="eastAsia" w:ascii="仿宋_GB2312" w:eastAsia="仿宋_GB2312"/>
          <w:sz w:val="32"/>
          <w:szCs w:val="32"/>
        </w:rPr>
        <w:t>万元，完成年初预算的</w:t>
      </w:r>
      <w:r>
        <w:rPr>
          <w:rFonts w:hint="eastAsia" w:ascii="仿宋_GB2312" w:eastAsia="仿宋_GB2312"/>
          <w:sz w:val="32"/>
          <w:szCs w:val="32"/>
          <w:lang w:val="en-US" w:eastAsia="zh-CN"/>
        </w:rPr>
        <w:t>18.82</w:t>
      </w:r>
      <w:r>
        <w:rPr>
          <w:rFonts w:hint="eastAsia" w:ascii="仿宋_GB2312" w:eastAsia="仿宋_GB2312"/>
          <w:sz w:val="32"/>
          <w:szCs w:val="32"/>
        </w:rPr>
        <w:t>%，其中：因公出国（境）费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0.93</w:t>
      </w:r>
      <w:r>
        <w:rPr>
          <w:rFonts w:hint="eastAsia" w:ascii="仿宋_GB2312" w:eastAsia="仿宋_GB2312"/>
          <w:sz w:val="32"/>
          <w:szCs w:val="32"/>
        </w:rPr>
        <w:t>万元，完成年初预算的</w:t>
      </w:r>
      <w:r>
        <w:rPr>
          <w:rFonts w:hint="eastAsia" w:ascii="仿宋_GB2312" w:eastAsia="仿宋_GB2312"/>
          <w:sz w:val="32"/>
          <w:szCs w:val="32"/>
          <w:lang w:val="en-US" w:eastAsia="zh-CN"/>
        </w:rPr>
        <w:t>0.31</w:t>
      </w:r>
      <w:r>
        <w:rPr>
          <w:rFonts w:hint="eastAsia" w:ascii="仿宋_GB2312" w:eastAsia="仿宋_GB2312"/>
          <w:sz w:val="32"/>
          <w:szCs w:val="32"/>
        </w:rPr>
        <w:t>%；公务接待费</w:t>
      </w:r>
      <w:r>
        <w:rPr>
          <w:rFonts w:hint="eastAsia" w:ascii="仿宋_GB2312" w:eastAsia="仿宋_GB2312"/>
          <w:sz w:val="32"/>
          <w:szCs w:val="32"/>
          <w:lang w:val="en-US" w:eastAsia="zh-CN"/>
        </w:rPr>
        <w:t>0.54</w:t>
      </w:r>
      <w:r>
        <w:rPr>
          <w:rFonts w:hint="eastAsia" w:ascii="仿宋_GB2312" w:eastAsia="仿宋_GB2312"/>
          <w:sz w:val="32"/>
          <w:szCs w:val="32"/>
        </w:rPr>
        <w:t>万元，完成年初预算的</w:t>
      </w:r>
      <w:r>
        <w:rPr>
          <w:rFonts w:hint="eastAsia" w:ascii="仿宋_GB2312" w:eastAsia="仿宋_GB2312"/>
          <w:sz w:val="32"/>
          <w:szCs w:val="32"/>
          <w:lang w:val="en-US" w:eastAsia="zh-CN"/>
        </w:rPr>
        <w:t>11.23</w:t>
      </w:r>
      <w:r>
        <w:rPr>
          <w:rFonts w:hint="eastAsia" w:ascii="仿宋_GB2312" w:eastAsia="仿宋_GB2312"/>
          <w:sz w:val="32"/>
          <w:szCs w:val="32"/>
        </w:rPr>
        <w:t>%。</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2020年“三公”经费决算比年初预算数减少</w:t>
      </w:r>
      <w:r>
        <w:rPr>
          <w:rFonts w:hint="eastAsia" w:ascii="仿宋_GB2312" w:eastAsia="仿宋_GB2312"/>
          <w:sz w:val="32"/>
          <w:szCs w:val="32"/>
          <w:lang w:val="en-US" w:eastAsia="zh-CN"/>
        </w:rPr>
        <w:t>6.34</w:t>
      </w:r>
      <w:r>
        <w:rPr>
          <w:rFonts w:hint="eastAsia" w:ascii="仿宋_GB2312" w:eastAsia="仿宋_GB2312"/>
          <w:sz w:val="32"/>
          <w:szCs w:val="32"/>
        </w:rPr>
        <w:t>万元，主要原因是</w:t>
      </w:r>
      <w:r>
        <w:rPr>
          <w:rFonts w:hint="eastAsia" w:ascii="仿宋_GB2312" w:eastAsia="仿宋_GB2312"/>
          <w:sz w:val="32"/>
          <w:szCs w:val="32"/>
          <w:lang w:val="en-US" w:eastAsia="zh-CN"/>
        </w:rPr>
        <w:t>受新冠疫情影响</w:t>
      </w:r>
      <w:r>
        <w:rPr>
          <w:rFonts w:hint="eastAsia" w:ascii="仿宋_GB2312" w:eastAsia="仿宋_GB2312"/>
          <w:sz w:val="32"/>
          <w:szCs w:val="32"/>
        </w:rPr>
        <w:t>公务接待次数减少。其中：因公出国（境）费与2020年预算基本持平</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万元、公务用车购置及运行费减少</w:t>
      </w:r>
      <w:r>
        <w:rPr>
          <w:rFonts w:hint="eastAsia" w:ascii="仿宋_GB2312" w:eastAsia="仿宋_GB2312"/>
          <w:sz w:val="32"/>
          <w:szCs w:val="32"/>
          <w:lang w:val="en-US" w:eastAsia="zh-CN"/>
        </w:rPr>
        <w:t>2.07</w:t>
      </w:r>
      <w:r>
        <w:rPr>
          <w:rFonts w:hint="eastAsia" w:ascii="仿宋_GB2312" w:eastAsia="仿宋_GB2312"/>
          <w:sz w:val="32"/>
          <w:szCs w:val="32"/>
        </w:rPr>
        <w:t>万元、公务接待费减少</w:t>
      </w:r>
      <w:r>
        <w:rPr>
          <w:rFonts w:hint="eastAsia" w:ascii="仿宋_GB2312" w:eastAsia="仿宋_GB2312"/>
          <w:sz w:val="32"/>
          <w:szCs w:val="32"/>
          <w:lang w:val="en-US" w:eastAsia="zh-CN"/>
        </w:rPr>
        <w:t>4.27</w:t>
      </w:r>
      <w:r>
        <w:rPr>
          <w:rFonts w:hint="eastAsia" w:ascii="仿宋_GB2312" w:eastAsia="仿宋_GB2312"/>
          <w:sz w:val="32"/>
          <w:szCs w:val="32"/>
        </w:rPr>
        <w:t>万元。因公出国（境）费与2020年预算基本持平的主要原因是</w:t>
      </w:r>
      <w:r>
        <w:rPr>
          <w:rFonts w:hint="eastAsia" w:ascii="仿宋_GB2312" w:eastAsia="仿宋_GB2312"/>
          <w:sz w:val="32"/>
          <w:szCs w:val="32"/>
          <w:lang w:val="en-US" w:eastAsia="zh-CN"/>
        </w:rPr>
        <w:t>没有预算安排也没有支出</w:t>
      </w:r>
      <w:r>
        <w:rPr>
          <w:rFonts w:hint="eastAsia" w:ascii="仿宋_GB2312" w:eastAsia="仿宋_GB2312"/>
          <w:sz w:val="32"/>
          <w:szCs w:val="32"/>
        </w:rPr>
        <w:t>。公务用车购置及运行费减少的主要原因是公务用车次数减少</w:t>
      </w:r>
      <w:r>
        <w:rPr>
          <w:rFonts w:hint="eastAsia" w:ascii="仿宋_GB2312" w:eastAsia="仿宋_GB2312"/>
          <w:sz w:val="32"/>
          <w:szCs w:val="32"/>
          <w:lang w:eastAsia="zh-CN"/>
        </w:rPr>
        <w:t>，</w:t>
      </w:r>
      <w:r>
        <w:rPr>
          <w:rFonts w:hint="eastAsia" w:ascii="仿宋_GB2312" w:eastAsia="仿宋_GB2312"/>
          <w:sz w:val="32"/>
          <w:szCs w:val="32"/>
          <w:lang w:val="en-US" w:eastAsia="zh-CN"/>
        </w:rPr>
        <w:t>日常维修、燃油费用减少</w:t>
      </w:r>
      <w:r>
        <w:rPr>
          <w:rFonts w:hint="eastAsia" w:ascii="仿宋_GB2312" w:eastAsia="仿宋_GB2312"/>
          <w:sz w:val="32"/>
          <w:szCs w:val="32"/>
        </w:rPr>
        <w:t>。公务接待费减少的主要原因是</w:t>
      </w:r>
      <w:r>
        <w:rPr>
          <w:rFonts w:hint="eastAsia" w:ascii="仿宋_GB2312" w:eastAsia="仿宋_GB2312"/>
          <w:sz w:val="32"/>
          <w:szCs w:val="32"/>
          <w:lang w:val="en-US" w:eastAsia="zh-CN"/>
        </w:rPr>
        <w:t>受新冠疫情影响</w:t>
      </w:r>
      <w:r>
        <w:rPr>
          <w:rFonts w:hint="eastAsia" w:ascii="仿宋_GB2312" w:eastAsia="仿宋_GB2312"/>
          <w:sz w:val="32"/>
          <w:szCs w:val="32"/>
        </w:rPr>
        <w:t>公务接待次数</w:t>
      </w:r>
      <w:r>
        <w:rPr>
          <w:rFonts w:hint="eastAsia" w:ascii="仿宋_GB2312" w:eastAsia="仿宋_GB2312"/>
          <w:sz w:val="32"/>
          <w:szCs w:val="32"/>
          <w:lang w:val="en-US" w:eastAsia="zh-CN"/>
        </w:rPr>
        <w:t>减少</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ascii="仿宋_GB2312" w:eastAsia="仿宋_GB2312"/>
          <w:b/>
          <w:sz w:val="32"/>
          <w:szCs w:val="32"/>
        </w:rPr>
      </w:pPr>
      <w:r>
        <w:rPr>
          <w:rFonts w:hint="eastAsia" w:ascii="仿宋_GB2312" w:eastAsia="仿宋_GB2312"/>
          <w:sz w:val="32"/>
          <w:szCs w:val="32"/>
        </w:rPr>
        <w:t>1、因公出国（境）费决算数为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%。2020年</w:t>
      </w:r>
      <w:r>
        <w:rPr>
          <w:rFonts w:hint="eastAsia" w:ascii="仿宋_GB2312" w:eastAsia="仿宋_GB2312"/>
          <w:sz w:val="32"/>
          <w:szCs w:val="32"/>
          <w:lang w:val="en-US" w:eastAsia="zh-CN"/>
        </w:rPr>
        <w:t>没有</w:t>
      </w:r>
      <w:r>
        <w:rPr>
          <w:rFonts w:hint="eastAsia" w:ascii="仿宋_GB2312" w:eastAsia="仿宋_GB2312"/>
          <w:sz w:val="32"/>
          <w:szCs w:val="32"/>
        </w:rPr>
        <w:t>使用财政拨款安排</w:t>
      </w:r>
      <w:r>
        <w:rPr>
          <w:rFonts w:hint="eastAsia" w:ascii="仿宋_GB2312" w:eastAsia="仿宋_GB2312"/>
          <w:sz w:val="32"/>
          <w:szCs w:val="32"/>
          <w:lang w:val="en-US" w:eastAsia="zh-CN"/>
        </w:rPr>
        <w:t>的</w:t>
      </w:r>
      <w:r>
        <w:rPr>
          <w:rFonts w:hint="eastAsia" w:ascii="仿宋_GB2312" w:eastAsia="仿宋_GB2312"/>
          <w:sz w:val="32"/>
          <w:szCs w:val="32"/>
        </w:rPr>
        <w:t>单位，因公出国（境）团组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w:t>
      </w:r>
      <w:r>
        <w:rPr>
          <w:rFonts w:hint="eastAsia" w:ascii="仿宋_GB2312" w:eastAsia="仿宋_GB2312"/>
          <w:sz w:val="32"/>
          <w:szCs w:val="32"/>
          <w:lang w:val="en-US" w:eastAsia="zh-CN"/>
        </w:rPr>
        <w:t>0.93</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63.27</w:t>
      </w:r>
      <w:r>
        <w:rPr>
          <w:rFonts w:hint="eastAsia" w:ascii="仿宋_GB2312" w:eastAsia="仿宋_GB2312"/>
          <w:sz w:val="32"/>
          <w:szCs w:val="32"/>
        </w:rPr>
        <w:t>%。其中：公务用车购置费支出</w:t>
      </w:r>
      <w:r>
        <w:rPr>
          <w:rFonts w:hint="eastAsia" w:ascii="仿宋_GB2312" w:eastAsia="仿宋_GB2312"/>
          <w:sz w:val="32"/>
          <w:szCs w:val="32"/>
          <w:lang w:val="en-US" w:eastAsia="zh-CN"/>
        </w:rPr>
        <w:t>0</w:t>
      </w:r>
      <w:r>
        <w:rPr>
          <w:rFonts w:hint="eastAsia" w:ascii="仿宋_GB2312" w:eastAsia="仿宋_GB2312"/>
          <w:sz w:val="32"/>
          <w:szCs w:val="32"/>
        </w:rPr>
        <w:t>万元，2020年</w:t>
      </w:r>
      <w:r>
        <w:rPr>
          <w:rFonts w:hint="eastAsia" w:ascii="仿宋_GB2312" w:eastAsia="仿宋_GB2312"/>
          <w:sz w:val="32"/>
          <w:szCs w:val="32"/>
          <w:lang w:val="en-US" w:eastAsia="zh-CN"/>
        </w:rPr>
        <w:t>没有</w:t>
      </w:r>
      <w:r>
        <w:rPr>
          <w:rFonts w:hint="eastAsia" w:ascii="仿宋_GB2312" w:eastAsia="仿宋_GB2312"/>
          <w:sz w:val="32"/>
          <w:szCs w:val="32"/>
        </w:rPr>
        <w:t>使用财政拨款购置公务用车；公务用车运行维护费</w:t>
      </w:r>
      <w:r>
        <w:rPr>
          <w:rFonts w:hint="eastAsia" w:ascii="仿宋_GB2312" w:eastAsia="仿宋_GB2312"/>
          <w:sz w:val="32"/>
          <w:szCs w:val="32"/>
          <w:lang w:val="en-US" w:eastAsia="zh-CN"/>
        </w:rPr>
        <w:t>0.93</w:t>
      </w:r>
      <w:r>
        <w:rPr>
          <w:rFonts w:hint="eastAsia" w:ascii="仿宋_GB2312" w:eastAsia="仿宋_GB2312"/>
          <w:sz w:val="32"/>
          <w:szCs w:val="32"/>
        </w:rPr>
        <w:t>万元，主要用于</w:t>
      </w:r>
      <w:r>
        <w:rPr>
          <w:rFonts w:hint="eastAsia" w:ascii="仿宋_GB2312" w:eastAsia="仿宋_GB2312"/>
          <w:sz w:val="32"/>
          <w:szCs w:val="32"/>
          <w:lang w:val="en-US" w:eastAsia="zh-CN"/>
        </w:rPr>
        <w:t>单位公务车辆的维修、燃油等费用</w:t>
      </w:r>
      <w:r>
        <w:rPr>
          <w:rFonts w:hint="eastAsia" w:ascii="仿宋_GB2312" w:eastAsia="仿宋_GB2312"/>
          <w:sz w:val="32"/>
          <w:szCs w:val="32"/>
        </w:rPr>
        <w:t>。2020年</w:t>
      </w:r>
      <w:r>
        <w:rPr>
          <w:rFonts w:hint="eastAsia" w:ascii="仿宋_GB2312" w:eastAsia="仿宋_GB2312"/>
          <w:sz w:val="32"/>
          <w:szCs w:val="32"/>
          <w:lang w:val="en-US" w:eastAsia="zh-CN"/>
        </w:rPr>
        <w:t>泗水县投资促进中心</w:t>
      </w:r>
      <w:r>
        <w:rPr>
          <w:rFonts w:hint="eastAsia" w:ascii="仿宋_GB2312" w:eastAsia="仿宋_GB2312"/>
          <w:sz w:val="32"/>
          <w:szCs w:val="32"/>
        </w:rPr>
        <w:t>财政拨款开支运行维护费的公务用车保有量为</w:t>
      </w:r>
      <w:r>
        <w:rPr>
          <w:rFonts w:hint="eastAsia" w:ascii="仿宋_GB2312" w:eastAsia="仿宋_GB2312"/>
          <w:sz w:val="32"/>
          <w:szCs w:val="32"/>
          <w:lang w:val="en-US" w:eastAsia="zh-CN"/>
        </w:rPr>
        <w:t>1</w:t>
      </w:r>
      <w:r>
        <w:rPr>
          <w:rFonts w:hint="eastAsia" w:ascii="仿宋_GB2312" w:eastAsia="仿宋_GB2312"/>
          <w:sz w:val="32"/>
          <w:szCs w:val="32"/>
        </w:rPr>
        <w:t>辆。</w:t>
      </w:r>
    </w:p>
    <w:p>
      <w:pPr>
        <w:ind w:firstLine="640" w:firstLineChars="200"/>
        <w:rPr>
          <w:rFonts w:ascii="仿宋_GB2312" w:eastAsia="仿宋_GB2312"/>
          <w:sz w:val="32"/>
          <w:szCs w:val="32"/>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0.54</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36.73</w:t>
      </w:r>
      <w:r>
        <w:rPr>
          <w:rFonts w:hint="eastAsia" w:ascii="仿宋_GB2312" w:eastAsia="仿宋_GB2312"/>
          <w:sz w:val="32"/>
          <w:szCs w:val="32"/>
        </w:rPr>
        <w:t>%。其中：国内接待费</w:t>
      </w:r>
      <w:r>
        <w:rPr>
          <w:rFonts w:hint="eastAsia" w:ascii="仿宋_GB2312" w:eastAsia="仿宋_GB2312"/>
          <w:sz w:val="32"/>
          <w:szCs w:val="32"/>
          <w:lang w:val="en-US" w:eastAsia="zh-CN"/>
        </w:rPr>
        <w:t>0.54</w:t>
      </w:r>
      <w:r>
        <w:rPr>
          <w:rFonts w:hint="eastAsia" w:ascii="仿宋_GB2312" w:eastAsia="仿宋_GB2312"/>
          <w:sz w:val="32"/>
          <w:szCs w:val="32"/>
        </w:rPr>
        <w:t>万元，主要用于</w:t>
      </w:r>
      <w:r>
        <w:rPr>
          <w:rFonts w:hint="eastAsia" w:ascii="仿宋_GB2312" w:eastAsia="仿宋_GB2312"/>
          <w:sz w:val="32"/>
          <w:szCs w:val="32"/>
          <w:lang w:val="en-US" w:eastAsia="zh-CN"/>
        </w:rPr>
        <w:t>接待来泗参观考察的客商</w:t>
      </w:r>
      <w:r>
        <w:rPr>
          <w:rFonts w:hint="eastAsia" w:ascii="仿宋_GB2312" w:eastAsia="仿宋_GB2312"/>
          <w:sz w:val="32"/>
          <w:szCs w:val="32"/>
        </w:rPr>
        <w:t>，共计接待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55</w:t>
      </w:r>
      <w:r>
        <w:rPr>
          <w:rFonts w:hint="eastAsia" w:ascii="仿宋_GB2312" w:eastAsia="仿宋_GB2312"/>
          <w:sz w:val="32"/>
          <w:szCs w:val="32"/>
        </w:rPr>
        <w:t>人次（含外事接待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人次）；国（境）外接待费</w:t>
      </w:r>
      <w:r>
        <w:rPr>
          <w:rFonts w:hint="eastAsia" w:ascii="仿宋_GB2312" w:eastAsia="仿宋_GB2312"/>
          <w:sz w:val="32"/>
          <w:szCs w:val="32"/>
          <w:lang w:val="en-US" w:eastAsia="zh-CN"/>
        </w:rPr>
        <w:t>0</w:t>
      </w:r>
      <w:r>
        <w:rPr>
          <w:rFonts w:hint="eastAsia" w:ascii="仿宋_GB2312" w:eastAsia="仿宋_GB2312"/>
          <w:sz w:val="32"/>
          <w:szCs w:val="32"/>
        </w:rPr>
        <w:t>万元，共计接待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本部门没有政府性基金财政拨款收支。</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hint="eastAsia" w:ascii="仿宋_GB2312" w:eastAsia="仿宋_GB2312"/>
          <w:sz w:val="32"/>
          <w:szCs w:val="32"/>
        </w:rPr>
      </w:pPr>
      <w:r>
        <w:rPr>
          <w:rFonts w:hint="eastAsia" w:ascii="仿宋_GB2312" w:eastAsia="仿宋_GB2312"/>
          <w:sz w:val="32"/>
          <w:szCs w:val="32"/>
        </w:rPr>
        <w:t>本部门所属预算单位全部为事业单位，无机关运行经费支出。</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hAnsi="宋体" w:eastAsia="仿宋_GB2312" w:cs="Courier New"/>
          <w:sz w:val="32"/>
          <w:szCs w:val="32"/>
          <w:highlight w:val="lightGray"/>
        </w:rPr>
      </w:pPr>
      <w:r>
        <w:rPr>
          <w:rFonts w:hint="eastAsia" w:ascii="仿宋_GB2312" w:hAnsi="宋体" w:eastAsia="仿宋_GB2312" w:cs="Courier New"/>
          <w:sz w:val="32"/>
          <w:szCs w:val="32"/>
        </w:rPr>
        <w:t>2020年度政府采购支出总额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日，部门（单位）共有车辆</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kern w:val="0"/>
          <w:sz w:val="32"/>
          <w:szCs w:val="32"/>
          <w:lang w:val="en-US" w:eastAsia="zh-CN"/>
        </w:rPr>
        <w:t>泗水县投资促进中心</w:t>
      </w:r>
      <w:r>
        <w:rPr>
          <w:rFonts w:hint="eastAsia" w:ascii="仿宋_GB2312" w:eastAsia="仿宋_GB2312"/>
          <w:kern w:val="0"/>
          <w:sz w:val="32"/>
          <w:szCs w:val="32"/>
        </w:rPr>
        <w:t>按照“谁用款、谁评价”的原则，组织对</w:t>
      </w:r>
      <w:r>
        <w:rPr>
          <w:rFonts w:hint="eastAsia" w:ascii="仿宋_GB2312" w:eastAsia="仿宋_GB2312"/>
          <w:kern w:val="0"/>
          <w:sz w:val="32"/>
          <w:szCs w:val="32"/>
          <w:lang w:val="en-US" w:eastAsia="zh-CN"/>
        </w:rPr>
        <w:t>本</w:t>
      </w:r>
      <w:r>
        <w:rPr>
          <w:rFonts w:hint="eastAsia" w:ascii="仿宋_GB2312" w:eastAsia="仿宋_GB2312"/>
          <w:kern w:val="0"/>
          <w:sz w:val="32"/>
          <w:szCs w:val="32"/>
        </w:rPr>
        <w:t>机关及所属单位，对2020年度</w:t>
      </w:r>
      <w:r>
        <w:rPr>
          <w:rFonts w:hint="eastAsia" w:ascii="仿宋_GB2312" w:eastAsia="仿宋_GB2312"/>
          <w:kern w:val="0"/>
          <w:sz w:val="32"/>
          <w:szCs w:val="32"/>
          <w:lang w:val="en-US" w:eastAsia="zh-CN"/>
        </w:rPr>
        <w:t>县</w:t>
      </w:r>
      <w:r>
        <w:rPr>
          <w:rFonts w:hint="eastAsia" w:ascii="仿宋_GB2312" w:eastAsia="仿宋_GB2312"/>
          <w:kern w:val="0"/>
          <w:sz w:val="32"/>
          <w:szCs w:val="32"/>
        </w:rPr>
        <w:t>级部门预算项目进行全面自评，涵盖项目</w:t>
      </w:r>
      <w:r>
        <w:rPr>
          <w:rFonts w:hint="eastAsia" w:ascii="仿宋_GB2312" w:eastAsia="仿宋_GB2312"/>
          <w:kern w:val="0"/>
          <w:sz w:val="32"/>
          <w:szCs w:val="32"/>
          <w:lang w:val="en-US" w:eastAsia="zh-CN"/>
        </w:rPr>
        <w:t>1</w:t>
      </w:r>
      <w:r>
        <w:rPr>
          <w:rFonts w:hint="eastAsia" w:ascii="仿宋_GB2312" w:eastAsia="仿宋_GB2312"/>
          <w:kern w:val="0"/>
          <w:sz w:val="32"/>
          <w:szCs w:val="32"/>
        </w:rPr>
        <w:t>个，涉及预算资金</w:t>
      </w:r>
      <w:r>
        <w:rPr>
          <w:rFonts w:hint="eastAsia" w:ascii="仿宋_GB2312" w:eastAsia="仿宋_GB2312"/>
          <w:kern w:val="0"/>
          <w:sz w:val="32"/>
          <w:szCs w:val="32"/>
          <w:lang w:val="en-US" w:eastAsia="zh-CN"/>
        </w:rPr>
        <w:t>290</w:t>
      </w:r>
      <w:r>
        <w:rPr>
          <w:rFonts w:hint="eastAsia" w:ascii="仿宋_GB2312" w:eastAsia="仿宋_GB2312"/>
          <w:kern w:val="0"/>
          <w:sz w:val="32"/>
          <w:szCs w:val="32"/>
        </w:rPr>
        <w:t>万元，占部门预算项目支出总额的</w:t>
      </w:r>
      <w:r>
        <w:rPr>
          <w:rFonts w:hint="eastAsia" w:ascii="仿宋_GB2312" w:eastAsia="仿宋_GB2312"/>
          <w:kern w:val="0"/>
          <w:sz w:val="32"/>
          <w:szCs w:val="32"/>
          <w:lang w:val="en-US" w:eastAsia="zh-CN"/>
        </w:rPr>
        <w:t>100</w:t>
      </w:r>
      <w:r>
        <w:rPr>
          <w:rFonts w:hint="eastAsia" w:ascii="仿宋_GB2312" w:eastAsia="仿宋_GB2312"/>
          <w:kern w:val="0"/>
          <w:sz w:val="32"/>
          <w:szCs w:val="32"/>
        </w:rPr>
        <w:t xml:space="preserve">%。 </w:t>
      </w:r>
    </w:p>
    <w:p>
      <w:pPr>
        <w:pStyle w:val="4"/>
        <w:numPr>
          <w:ilvl w:val="0"/>
          <w:numId w:val="0"/>
        </w:numPr>
        <w:autoSpaceDE/>
        <w:autoSpaceDN/>
        <w:adjustRightInd w:val="0"/>
        <w:snapToGrid w:val="0"/>
        <w:spacing w:line="580" w:lineRule="exact"/>
        <w:ind w:firstLine="640" w:firstLineChars="200"/>
        <w:jc w:val="both"/>
        <w:rPr>
          <w:rFonts w:hint="eastAsia" w:ascii="仿宋_GB2312" w:eastAsia="仿宋_GB2312"/>
          <w:sz w:val="32"/>
          <w:szCs w:val="32"/>
        </w:rPr>
      </w:pPr>
      <w:r>
        <w:rPr>
          <w:rFonts w:hint="eastAsia" w:ascii="仿宋_GB2312" w:eastAsia="仿宋_GB2312"/>
          <w:sz w:val="32"/>
          <w:szCs w:val="32"/>
        </w:rPr>
        <w:t>组织对</w:t>
      </w:r>
      <w:r>
        <w:rPr>
          <w:rFonts w:hint="eastAsia" w:ascii="仿宋_GB2312" w:eastAsia="仿宋_GB2312"/>
          <w:sz w:val="32"/>
          <w:szCs w:val="32"/>
          <w:lang w:val="en-US" w:eastAsia="zh-CN"/>
        </w:rPr>
        <w:t>定点招商1</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290</w:t>
      </w:r>
      <w:r>
        <w:rPr>
          <w:rFonts w:hint="eastAsia" w:ascii="仿宋_GB2312" w:eastAsia="仿宋_GB2312"/>
          <w:sz w:val="32"/>
          <w:szCs w:val="32"/>
        </w:rPr>
        <w:t>万元，上述项目委托第三方机构开展绩效评价。从评价情况来看，上述</w:t>
      </w:r>
      <w:r>
        <w:rPr>
          <w:rFonts w:hint="eastAsia" w:ascii="仿宋_GB2312" w:eastAsia="仿宋_GB2312"/>
          <w:sz w:val="32"/>
          <w:szCs w:val="32"/>
          <w:lang w:val="en-US" w:eastAsia="zh-CN"/>
        </w:rPr>
        <w:t>1</w:t>
      </w:r>
      <w:r>
        <w:rPr>
          <w:rFonts w:hint="eastAsia" w:ascii="仿宋_GB2312" w:eastAsia="仿宋_GB2312"/>
          <w:sz w:val="32"/>
          <w:szCs w:val="32"/>
        </w:rPr>
        <w:t>个项目完成情况较好，主要表现为：项目立项程序完整、规范，设置了明确的绩效目标，财务相关管理制度较健全，预算执行及时、有效，群众满意度较高，基本实现了预期。绩效评价指标完成情况</w:t>
      </w:r>
      <w:r>
        <w:rPr>
          <w:rFonts w:hint="eastAsia" w:ascii="仿宋_GB2312" w:eastAsia="仿宋_GB2312"/>
          <w:sz w:val="32"/>
          <w:szCs w:val="32"/>
          <w:lang w:eastAsia="zh-CN"/>
        </w:rPr>
        <w:t>：</w:t>
      </w:r>
      <w:r>
        <w:rPr>
          <w:rFonts w:hint="eastAsia" w:ascii="仿宋_GB2312" w:eastAsia="仿宋_GB2312"/>
          <w:sz w:val="32"/>
          <w:szCs w:val="32"/>
          <w:lang w:val="en-US" w:eastAsia="zh-CN"/>
        </w:rPr>
        <w:t>亿元以上合同项目22个，其中1-5亿元项目14个，5-10亿元项目4个，10亿元以上项目4个；省“十强”内资到位资金30.65亿元，完成全年任务的139.32%，按任务完成率排名列全市第六位；到位外资2300万美元（全县任务2000万美元）。</w:t>
      </w:r>
      <w:r>
        <w:rPr>
          <w:rFonts w:hint="eastAsia" w:eastAsia="仿宋_GB2312" w:cs="宋体"/>
          <w:bCs/>
          <w:snapToGrid w:val="0"/>
          <w:sz w:val="32"/>
          <w:szCs w:val="32"/>
          <w:lang w:val="en-US" w:eastAsia="zh-CN" w:bidi="ar-SA"/>
        </w:rPr>
        <w:t>新建项目建成全部投产后预计可实现税收3.6亿元；实现“十强”产业项目内资到位总额40亿元。</w:t>
      </w:r>
    </w:p>
    <w:p>
      <w:pPr>
        <w:numPr>
          <w:ilvl w:val="0"/>
          <w:numId w:val="2"/>
        </w:numPr>
        <w:spacing w:line="600" w:lineRule="exact"/>
        <w:ind w:firstLine="643" w:firstLineChars="200"/>
        <w:rPr>
          <w:rFonts w:hint="eastAsia" w:ascii="仿宋_GB2312" w:eastAsia="仿宋_GB2312" w:cs="仿宋_GB2312"/>
          <w:sz w:val="32"/>
          <w:szCs w:val="32"/>
        </w:rPr>
      </w:pPr>
      <w:r>
        <w:rPr>
          <w:rFonts w:hint="eastAsia" w:ascii="仿宋_GB2312" w:eastAsia="仿宋_GB2312"/>
          <w:b/>
          <w:bCs/>
          <w:kern w:val="0"/>
          <w:sz w:val="32"/>
          <w:szCs w:val="32"/>
        </w:rPr>
        <w:t>部门决算中项目绩效自评结果。</w:t>
      </w:r>
      <w:r>
        <w:rPr>
          <w:rFonts w:hint="eastAsia" w:ascii="仿宋_GB2312" w:eastAsia="仿宋_GB2312"/>
          <w:sz w:val="32"/>
          <w:szCs w:val="32"/>
          <w:lang w:val="en-US" w:eastAsia="zh-CN"/>
        </w:rPr>
        <w:t>泗水县投资促进中心</w:t>
      </w:r>
      <w:r>
        <w:rPr>
          <w:rFonts w:hint="eastAsia" w:ascii="仿宋_GB2312" w:eastAsia="仿宋_GB2312"/>
          <w:sz w:val="32"/>
          <w:szCs w:val="32"/>
        </w:rPr>
        <w:t>2020年度</w:t>
      </w:r>
      <w:r>
        <w:rPr>
          <w:rFonts w:hint="eastAsia" w:ascii="仿宋_GB2312" w:eastAsia="仿宋_GB2312"/>
          <w:sz w:val="32"/>
          <w:szCs w:val="32"/>
          <w:lang w:val="en-US" w:eastAsia="zh-CN"/>
        </w:rPr>
        <w:t>县</w:t>
      </w:r>
      <w:r>
        <w:rPr>
          <w:rFonts w:hint="eastAsia" w:ascii="仿宋_GB2312" w:eastAsia="仿宋_GB2312"/>
          <w:sz w:val="32"/>
          <w:szCs w:val="32"/>
        </w:rPr>
        <w:t>级部门预算项目绩效自评的</w:t>
      </w:r>
      <w:r>
        <w:rPr>
          <w:rFonts w:hint="eastAsia" w:ascii="仿宋_GB2312" w:eastAsia="仿宋_GB2312"/>
          <w:sz w:val="32"/>
          <w:szCs w:val="32"/>
          <w:lang w:val="en-US" w:eastAsia="zh-CN"/>
        </w:rPr>
        <w:t>1</w:t>
      </w:r>
      <w:r>
        <w:rPr>
          <w:rFonts w:hint="eastAsia" w:ascii="仿宋_GB2312" w:eastAsia="仿宋_GB2312"/>
          <w:sz w:val="32"/>
          <w:szCs w:val="32"/>
        </w:rPr>
        <w:t>个项目中，有</w:t>
      </w:r>
      <w:r>
        <w:rPr>
          <w:rFonts w:hint="eastAsia" w:ascii="仿宋_GB2312" w:eastAsia="仿宋_GB2312"/>
          <w:sz w:val="32"/>
          <w:szCs w:val="32"/>
          <w:lang w:val="en-US" w:eastAsia="zh-CN"/>
        </w:rPr>
        <w:t>1</w:t>
      </w:r>
      <w:r>
        <w:rPr>
          <w:rFonts w:hint="eastAsia" w:ascii="仿宋_GB2312" w:eastAsia="仿宋_GB2312"/>
          <w:sz w:val="32"/>
          <w:szCs w:val="32"/>
        </w:rPr>
        <w:t>个项目自评等级为优，</w:t>
      </w:r>
      <w:r>
        <w:rPr>
          <w:rFonts w:hint="eastAsia" w:ascii="仿宋_GB2312" w:eastAsia="仿宋_GB2312"/>
          <w:sz w:val="32"/>
          <w:szCs w:val="32"/>
          <w:lang w:val="en-US" w:eastAsia="zh-CN"/>
        </w:rPr>
        <w:t>0</w:t>
      </w:r>
      <w:r>
        <w:rPr>
          <w:rFonts w:hint="eastAsia" w:ascii="仿宋_GB2312" w:eastAsia="仿宋_GB2312"/>
          <w:sz w:val="32"/>
          <w:szCs w:val="32"/>
        </w:rPr>
        <w:t>个项目自评等级为良，</w:t>
      </w:r>
      <w:r>
        <w:rPr>
          <w:rFonts w:hint="eastAsia" w:ascii="仿宋_GB2312" w:eastAsia="仿宋_GB2312"/>
          <w:sz w:val="32"/>
          <w:szCs w:val="32"/>
          <w:lang w:val="en-US" w:eastAsia="zh-CN"/>
        </w:rPr>
        <w:t>0</w:t>
      </w:r>
      <w:r>
        <w:rPr>
          <w:rFonts w:hint="eastAsia" w:ascii="仿宋_GB2312" w:eastAsia="仿宋_GB2312"/>
          <w:sz w:val="32"/>
          <w:szCs w:val="32"/>
        </w:rPr>
        <w:t>个项目自评等级为中。</w:t>
      </w:r>
      <w:r>
        <w:rPr>
          <w:rFonts w:hint="eastAsia" w:ascii="仿宋_GB2312" w:eastAsia="仿宋_GB2312" w:cs="仿宋_GB2312"/>
          <w:sz w:val="32"/>
          <w:szCs w:val="32"/>
        </w:rPr>
        <w:t>从自评情况看，项目支出绩效管理的重视程度进一步提升，大部分项目有序开展，执行和完成情况较好，资金使用比较规范，但也存在部分项目产出指标低于预期、项目实施进展慢等问题。</w:t>
      </w:r>
      <w:r>
        <w:rPr>
          <w:rFonts w:hint="eastAsia" w:ascii="仿宋_GB2312" w:eastAsia="仿宋_GB2312" w:cs="仿宋_GB2312"/>
          <w:sz w:val="32"/>
          <w:szCs w:val="32"/>
          <w:lang w:val="en-US" w:eastAsia="zh-CN"/>
        </w:rPr>
        <w:t>自评</w:t>
      </w:r>
      <w:r>
        <w:rPr>
          <w:rFonts w:hint="eastAsia" w:eastAsia="仿宋_GB2312"/>
          <w:snapToGrid w:val="0"/>
          <w:sz w:val="32"/>
          <w:szCs w:val="32"/>
          <w:lang w:val="en-US" w:eastAsia="zh-CN"/>
        </w:rPr>
        <w:t>项目组织具体实施情况：</w:t>
      </w:r>
      <w:r>
        <w:rPr>
          <w:rFonts w:hint="eastAsia" w:eastAsia="仿宋_GB2312"/>
          <w:snapToGrid w:val="0"/>
          <w:sz w:val="32"/>
          <w:szCs w:val="32"/>
          <w:lang w:val="en-US"/>
        </w:rPr>
        <w:t>开展外出招商活动共100余天，分别赴北京、杭州、福建等地拜访企业120余家，收集有效信息100余条，其中精准化组织开展9次集中“双招双引”洽谈活动，为宣传我县与对接企业奠定了良好基础。 1-12月份，共签订项目合同27个，其中，亿元以上项目22个，1-5亿元项目14个，5-10亿元项目4个，10亿元以上项目4个。</w:t>
      </w:r>
      <w:r>
        <w:rPr>
          <w:rFonts w:hint="eastAsia" w:eastAsia="仿宋_GB2312" w:cs="宋体"/>
          <w:snapToGrid w:val="0"/>
          <w:sz w:val="32"/>
          <w:szCs w:val="32"/>
          <w:lang w:val="en-US"/>
        </w:rPr>
        <w:t>内资</w:t>
      </w:r>
      <w:r>
        <w:rPr>
          <w:rFonts w:hint="eastAsia" w:eastAsia="仿宋_GB2312" w:cs="宋体"/>
          <w:snapToGrid w:val="0"/>
          <w:sz w:val="32"/>
          <w:szCs w:val="32"/>
          <w:lang w:val="en-US" w:eastAsia="zh-CN"/>
        </w:rPr>
        <w:t>方面：</w:t>
      </w:r>
      <w:r>
        <w:rPr>
          <w:rFonts w:hint="eastAsia" w:eastAsia="仿宋_GB2312" w:cs="宋体"/>
          <w:snapToGrid w:val="0"/>
          <w:sz w:val="32"/>
          <w:szCs w:val="32"/>
          <w:lang w:val="en-US"/>
        </w:rPr>
        <w:t>省“十强”内资到位资金30.65亿元，完成全年任务的139.32%，按任务完成率排名列全市第六位。外资</w:t>
      </w:r>
      <w:r>
        <w:rPr>
          <w:rFonts w:hint="eastAsia" w:eastAsia="仿宋_GB2312" w:cs="宋体"/>
          <w:snapToGrid w:val="0"/>
          <w:sz w:val="32"/>
          <w:szCs w:val="32"/>
          <w:lang w:val="en-US" w:eastAsia="zh-CN"/>
        </w:rPr>
        <w:t>方面：</w:t>
      </w:r>
      <w:r>
        <w:rPr>
          <w:rFonts w:hint="eastAsia" w:eastAsia="仿宋_GB2312" w:cs="宋体"/>
          <w:snapToGrid w:val="0"/>
          <w:sz w:val="32"/>
          <w:szCs w:val="32"/>
          <w:lang w:val="en-US"/>
        </w:rPr>
        <w:t>完成外资到位资金2300万美元，完成全县任务目标的115%</w:t>
      </w:r>
      <w:r>
        <w:rPr>
          <w:rFonts w:hint="eastAsia" w:eastAsia="仿宋_GB2312" w:cs="宋体"/>
          <w:snapToGrid w:val="0"/>
          <w:sz w:val="32"/>
          <w:szCs w:val="32"/>
          <w:lang w:val="en-US" w:eastAsia="zh-CN"/>
        </w:rPr>
        <w:t>；</w:t>
      </w:r>
      <w:r>
        <w:rPr>
          <w:rFonts w:hint="eastAsia" w:eastAsia="仿宋_GB2312" w:cs="宋体"/>
          <w:snapToGrid w:val="0"/>
          <w:sz w:val="32"/>
          <w:szCs w:val="32"/>
          <w:lang w:val="en-US"/>
        </w:rPr>
        <w:t>项目的主要问题</w:t>
      </w:r>
      <w:r>
        <w:rPr>
          <w:rFonts w:hint="eastAsia" w:eastAsia="仿宋_GB2312" w:cs="宋体"/>
          <w:snapToGrid w:val="0"/>
          <w:sz w:val="32"/>
          <w:szCs w:val="32"/>
          <w:lang w:val="en-US" w:eastAsia="zh-CN"/>
        </w:rPr>
        <w:t>：</w:t>
      </w:r>
      <w:r>
        <w:rPr>
          <w:rFonts w:hint="eastAsia" w:eastAsia="仿宋_GB2312"/>
          <w:snapToGrid w:val="0"/>
          <w:sz w:val="32"/>
          <w:szCs w:val="32"/>
        </w:rPr>
        <w:t>重视程度和精力投入不够</w:t>
      </w:r>
      <w:r>
        <w:rPr>
          <w:rFonts w:hint="eastAsia" w:eastAsia="仿宋_GB2312"/>
          <w:snapToGrid w:val="0"/>
          <w:sz w:val="32"/>
          <w:szCs w:val="32"/>
          <w:lang w:eastAsia="zh-CN"/>
        </w:rPr>
        <w:t>、</w:t>
      </w:r>
      <w:r>
        <w:rPr>
          <w:rFonts w:hint="eastAsia" w:eastAsia="仿宋_GB2312"/>
          <w:snapToGrid w:val="0"/>
          <w:sz w:val="32"/>
          <w:szCs w:val="32"/>
        </w:rPr>
        <w:t>招大引强的效果不明显</w:t>
      </w:r>
      <w:r>
        <w:rPr>
          <w:rFonts w:hint="eastAsia" w:eastAsia="仿宋_GB2312"/>
          <w:snapToGrid w:val="0"/>
          <w:sz w:val="32"/>
          <w:szCs w:val="32"/>
          <w:lang w:eastAsia="zh-CN"/>
        </w:rPr>
        <w:t>、</w:t>
      </w:r>
      <w:r>
        <w:rPr>
          <w:rFonts w:hint="eastAsia" w:eastAsia="仿宋_GB2312"/>
          <w:snapToGrid w:val="0"/>
          <w:sz w:val="32"/>
          <w:szCs w:val="32"/>
        </w:rPr>
        <w:t>“用工难”的短板问题亟需解决</w:t>
      </w:r>
      <w:r>
        <w:rPr>
          <w:rFonts w:hint="eastAsia" w:eastAsia="仿宋_GB2312"/>
          <w:snapToGrid w:val="0"/>
          <w:sz w:val="32"/>
          <w:szCs w:val="32"/>
          <w:lang w:eastAsia="zh-CN"/>
        </w:rPr>
        <w:t>、</w:t>
      </w:r>
      <w:r>
        <w:rPr>
          <w:rFonts w:hint="eastAsia" w:eastAsia="仿宋_GB2312"/>
          <w:snapToGrid w:val="0"/>
          <w:sz w:val="32"/>
          <w:szCs w:val="32"/>
        </w:rPr>
        <w:t>土地因素制约。</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w:t>
      </w:r>
      <w:r>
        <w:rPr>
          <w:rFonts w:hint="eastAsia" w:ascii="仿宋_GB2312" w:eastAsia="仿宋_GB2312"/>
          <w:sz w:val="32"/>
          <w:szCs w:val="32"/>
          <w:lang w:val="en-US" w:eastAsia="zh-CN"/>
        </w:rPr>
        <w:t>泗水县投资促进中心</w:t>
      </w:r>
      <w:r>
        <w:rPr>
          <w:rFonts w:hint="eastAsia" w:ascii="仿宋_GB2312" w:eastAsia="仿宋_GB2312"/>
          <w:sz w:val="32"/>
          <w:szCs w:val="32"/>
        </w:rPr>
        <w:t>项目支出绩效自评情况，以及“</w:t>
      </w:r>
      <w:r>
        <w:rPr>
          <w:rFonts w:hint="eastAsia" w:ascii="仿宋_GB2312" w:eastAsia="仿宋_GB2312"/>
          <w:sz w:val="32"/>
          <w:szCs w:val="32"/>
          <w:lang w:val="en-US" w:eastAsia="zh-CN"/>
        </w:rPr>
        <w:t>招商引资</w:t>
      </w:r>
      <w:r>
        <w:rPr>
          <w:rFonts w:hint="eastAsia" w:ascii="仿宋_GB2312" w:eastAsia="仿宋_GB2312"/>
          <w:sz w:val="32"/>
          <w:szCs w:val="32"/>
        </w:rPr>
        <w:t>”等</w:t>
      </w:r>
      <w:r>
        <w:rPr>
          <w:rFonts w:hint="eastAsia" w:ascii="仿宋_GB2312" w:eastAsia="仿宋_GB2312"/>
          <w:sz w:val="32"/>
          <w:szCs w:val="32"/>
          <w:lang w:val="en-US" w:eastAsia="zh-CN"/>
        </w:rPr>
        <w:t>1</w:t>
      </w:r>
      <w:r>
        <w:rPr>
          <w:rFonts w:hint="eastAsia" w:ascii="仿宋_GB2312" w:eastAsia="仿宋_GB2312"/>
          <w:sz w:val="32"/>
          <w:szCs w:val="32"/>
        </w:rPr>
        <w:t>个项目的绩效自评具体结果。（详见</w:t>
      </w:r>
      <w:r>
        <w:rPr>
          <w:rFonts w:hint="eastAsia" w:ascii="仿宋_GB2312" w:eastAsia="仿宋_GB2312"/>
          <w:kern w:val="0"/>
          <w:sz w:val="32"/>
          <w:szCs w:val="32"/>
        </w:rPr>
        <w:t>“第五部分 附件”</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40" w:firstLineChars="200"/>
        <w:rPr>
          <w:rFonts w:ascii="仿宋_GB2312" w:eastAsia="仿宋_GB2312"/>
          <w:b/>
          <w:bCs/>
          <w:kern w:val="0"/>
          <w:sz w:val="32"/>
          <w:szCs w:val="32"/>
        </w:rPr>
      </w:pPr>
      <w:r>
        <w:rPr>
          <w:rFonts w:hint="eastAsia" w:ascii="仿宋_GB2312" w:eastAsia="仿宋_GB2312"/>
          <w:kern w:val="0"/>
          <w:sz w:val="32"/>
          <w:szCs w:val="32"/>
        </w:rPr>
        <w:t>以“</w:t>
      </w:r>
      <w:r>
        <w:rPr>
          <w:rFonts w:hint="eastAsia" w:ascii="仿宋_GB2312" w:eastAsia="仿宋_GB2312"/>
          <w:kern w:val="0"/>
          <w:sz w:val="32"/>
          <w:szCs w:val="32"/>
          <w:lang w:val="en-US" w:eastAsia="zh-CN"/>
        </w:rPr>
        <w:t>定点招商</w:t>
      </w:r>
      <w:r>
        <w:rPr>
          <w:rFonts w:hint="eastAsia" w:ascii="仿宋_GB2312" w:eastAsia="仿宋_GB2312"/>
          <w:kern w:val="0"/>
          <w:sz w:val="32"/>
          <w:szCs w:val="32"/>
        </w:rPr>
        <w:t>”项目为例，该项目绩效评价综合得分</w:t>
      </w:r>
      <w:r>
        <w:rPr>
          <w:rFonts w:hint="eastAsia" w:ascii="仿宋_GB2312" w:eastAsia="仿宋_GB2312"/>
          <w:kern w:val="0"/>
          <w:sz w:val="32"/>
          <w:szCs w:val="32"/>
          <w:lang w:val="en-US" w:eastAsia="zh-CN"/>
        </w:rPr>
        <w:t>91</w:t>
      </w:r>
      <w:r>
        <w:rPr>
          <w:rFonts w:hint="eastAsia" w:ascii="仿宋_GB2312" w:eastAsia="仿宋_GB2312"/>
          <w:kern w:val="0"/>
          <w:sz w:val="32"/>
          <w:szCs w:val="32"/>
        </w:rPr>
        <w:t>，评价结果为“</w:t>
      </w:r>
      <w:r>
        <w:rPr>
          <w:rFonts w:hint="eastAsia" w:ascii="仿宋_GB2312" w:eastAsia="仿宋_GB2312"/>
          <w:kern w:val="0"/>
          <w:sz w:val="32"/>
          <w:szCs w:val="32"/>
          <w:lang w:val="en-US" w:eastAsia="zh-CN"/>
        </w:rPr>
        <w:t>优</w:t>
      </w:r>
      <w:r>
        <w:rPr>
          <w:rFonts w:hint="eastAsia" w:ascii="仿宋_GB2312" w:eastAsia="仿宋_GB2312"/>
          <w:kern w:val="0"/>
          <w:sz w:val="32"/>
          <w:szCs w:val="32"/>
        </w:rPr>
        <w:t>”。（绩效评价报告详见“第五部分 附件”）</w:t>
      </w: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rPr>
          <w:rFonts w:ascii="方正小标宋简体" w:eastAsia="方正小标宋简体"/>
          <w:spacing w:val="6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w:t>
      </w:r>
      <w:r>
        <w:rPr>
          <w:rFonts w:hint="eastAsia" w:ascii="仿宋_GB2312" w:eastAsia="仿宋_GB2312"/>
          <w:sz w:val="32"/>
          <w:szCs w:val="32"/>
          <w:lang w:val="en-US" w:eastAsia="zh-CN"/>
        </w:rPr>
        <w:t>县</w:t>
      </w:r>
      <w:r>
        <w:rPr>
          <w:rFonts w:hint="eastAsia" w:ascii="仿宋_GB2312" w:eastAsia="仿宋_GB2312"/>
          <w:sz w:val="32"/>
          <w:szCs w:val="32"/>
        </w:rPr>
        <w:t>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w:t>
      </w:r>
      <w:r>
        <w:rPr>
          <w:rFonts w:hint="eastAsia" w:ascii="仿宋_GB2312" w:eastAsia="仿宋_GB2312"/>
          <w:sz w:val="32"/>
          <w:szCs w:val="32"/>
          <w:lang w:val="en-US" w:eastAsia="zh-CN"/>
        </w:rPr>
        <w:t>县</w:t>
      </w:r>
      <w:r>
        <w:rPr>
          <w:rFonts w:hint="eastAsia" w:ascii="仿宋_GB2312" w:eastAsia="仿宋_GB2312"/>
          <w:sz w:val="32"/>
          <w:szCs w:val="32"/>
        </w:rPr>
        <w:t>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pPr>
      <w:r>
        <w:rPr>
          <w:rFonts w:hint="eastAsia" w:ascii="黑体" w:hAnsi="黑体" w:eastAsia="黑体"/>
          <w:sz w:val="32"/>
          <w:szCs w:val="32"/>
        </w:rPr>
        <w:t>十六、一般公共服务支出（类）政府办公厅（室）及相关机构事务（款）一般行政管理事务（项）：</w:t>
      </w:r>
      <w:r>
        <w:rPr>
          <w:rFonts w:hint="eastAsia" w:ascii="仿宋_GB2312" w:eastAsia="仿宋_GB2312"/>
          <w:sz w:val="32"/>
          <w:szCs w:val="32"/>
        </w:rPr>
        <w:t>反映行政单位(包括实行公务员管理的事业单位)未单独设置项级科目的其他项目支出。</w:t>
      </w:r>
    </w:p>
    <w:p>
      <w:pPr>
        <w:ind w:firstLine="640" w:firstLineChars="200"/>
        <w:rPr>
          <w:rFonts w:ascii="仿宋_GB2312" w:eastAsia="仿宋_GB2312"/>
          <w:sz w:val="32"/>
          <w:szCs w:val="32"/>
          <w:highlight w:val="yellow"/>
        </w:rPr>
      </w:pPr>
      <w:r>
        <w:rPr>
          <w:rFonts w:hint="eastAsia" w:ascii="黑体" w:hAnsi="黑体" w:eastAsia="黑体"/>
          <w:sz w:val="32"/>
          <w:szCs w:val="32"/>
        </w:rPr>
        <w:t>十七、一般公共服务支出（类）商贸事务（款）行政运行（项）：</w:t>
      </w:r>
      <w:r>
        <w:rPr>
          <w:rFonts w:hint="eastAsia" w:ascii="仿宋_GB2312" w:eastAsia="仿宋_GB2312"/>
          <w:sz w:val="32"/>
          <w:szCs w:val="32"/>
        </w:rPr>
        <w:t>反映行政单位（包括实行公务员管理的事业单位）的基本支出。</w:t>
      </w:r>
    </w:p>
    <w:p>
      <w:pPr>
        <w:ind w:firstLine="640" w:firstLineChars="200"/>
      </w:pPr>
      <w:r>
        <w:rPr>
          <w:rFonts w:hint="eastAsia" w:ascii="黑体" w:hAnsi="黑体" w:eastAsia="黑体"/>
          <w:sz w:val="32"/>
          <w:szCs w:val="32"/>
        </w:rPr>
        <w:t>十八、一般公共服务支出（类）商贸事务（款） 一般行政管理事务（项）：</w:t>
      </w:r>
      <w:r>
        <w:rPr>
          <w:rFonts w:hint="eastAsia" w:ascii="仿宋_GB2312" w:eastAsia="仿宋_GB2312"/>
          <w:sz w:val="32"/>
          <w:szCs w:val="32"/>
        </w:rPr>
        <w:t>反映行政单位(包括实行公务员管理的事业单位)未单独设置项级科目的其他项目支出。</w:t>
      </w:r>
    </w:p>
    <w:p>
      <w:pPr>
        <w:ind w:firstLine="640" w:firstLineChars="200"/>
        <w:rPr>
          <w:rFonts w:ascii="黑体" w:hAnsi="黑体" w:eastAsia="黑体"/>
          <w:sz w:val="32"/>
          <w:szCs w:val="32"/>
        </w:rPr>
      </w:pPr>
      <w:r>
        <w:rPr>
          <w:rFonts w:hint="eastAsia" w:ascii="黑体" w:hAnsi="黑体" w:eastAsia="黑体"/>
          <w:sz w:val="32"/>
          <w:szCs w:val="32"/>
        </w:rPr>
        <w:t xml:space="preserve"> 十九、一般公共服务支出（类）商贸事务（款）招商引资（项）：</w:t>
      </w:r>
      <w:r>
        <w:rPr>
          <w:rFonts w:hint="eastAsia" w:ascii="仿宋_GB2312" w:eastAsia="仿宋_GB2312"/>
          <w:sz w:val="32"/>
          <w:szCs w:val="32"/>
        </w:rPr>
        <w:t>反映用于招商引资、优化经济环境等方面的支出。</w:t>
      </w:r>
    </w:p>
    <w:p>
      <w:pPr>
        <w:ind w:firstLine="643" w:firstLineChars="200"/>
        <w:rPr>
          <w:rFonts w:ascii="仿宋_GB2312" w:eastAsia="仿宋_GB2312"/>
          <w:b/>
          <w:color w:val="FF0000"/>
          <w:sz w:val="32"/>
          <w:szCs w:val="32"/>
          <w:highlight w:val="yellow"/>
        </w:rPr>
      </w:pPr>
    </w:p>
    <w:p>
      <w:pPr>
        <w:ind w:firstLine="643" w:firstLineChars="200"/>
        <w:rPr>
          <w:rFonts w:ascii="仿宋_GB2312" w:eastAsia="仿宋_GB2312"/>
          <w:b/>
          <w:sz w:val="32"/>
          <w:szCs w:val="32"/>
          <w:highlight w:val="lightGray"/>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w:t>
      </w:r>
      <w:r>
        <w:rPr>
          <w:rFonts w:hint="eastAsia" w:ascii="方正小标宋简体" w:hAnsi="方正小标宋简体" w:eastAsia="方正小标宋简体" w:cs="方正小标宋简体"/>
          <w:sz w:val="44"/>
          <w:szCs w:val="44"/>
          <w:lang w:val="en-US" w:eastAsia="zh-CN"/>
        </w:rPr>
        <w:t>泗水县投资促进中心</w:t>
      </w:r>
      <w:r>
        <w:rPr>
          <w:rFonts w:hint="eastAsia" w:ascii="方正小标宋简体" w:hAnsi="方正小标宋简体" w:eastAsia="方正小标宋简体" w:cs="方正小标宋简体"/>
          <w:sz w:val="44"/>
          <w:szCs w:val="44"/>
        </w:rPr>
        <w:t>部门预算项目绩效自评情况汇总表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2"/>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68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56"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68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56"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招商引资</w:t>
            </w: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泗水县投资促进中心及全县各任务部门</w:t>
            </w:r>
          </w:p>
        </w:tc>
        <w:tc>
          <w:tcPr>
            <w:tcW w:w="1783" w:type="dxa"/>
            <w:tcBorders>
              <w:top w:val="single" w:color="000000" w:sz="4" w:space="0"/>
              <w:bottom w:val="single" w:color="000000" w:sz="4" w:space="0"/>
              <w:right w:val="single" w:color="000000" w:sz="4" w:space="0"/>
            </w:tcBorders>
            <w:vAlign w:val="center"/>
          </w:tcPr>
          <w:p>
            <w:pPr>
              <w:jc w:val="center"/>
              <w:rPr>
                <w:rFonts w:hint="default"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91</w:t>
            </w: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宋体" w:eastAsia="仿宋_GB2312" w:cs="仿宋_GB2312"/>
                <w:color w:val="000000"/>
                <w:sz w:val="24"/>
                <w:lang w:val="en-US" w:eastAsia="zh-CN"/>
              </w:rPr>
            </w:pPr>
            <w:r>
              <w:rPr>
                <w:rFonts w:hint="eastAsia" w:ascii="仿宋_GB2312" w:hAnsi="宋体" w:eastAsia="仿宋_GB2312" w:cs="仿宋_GB2312"/>
                <w:color w:val="000000"/>
                <w:sz w:val="24"/>
                <w:lang w:val="en-US" w:eastAsia="zh-CN"/>
              </w:rPr>
              <w:t>优</w:t>
            </w: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78"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686"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83"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5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2"/>
        <w:tblW w:w="9358" w:type="dxa"/>
        <w:jc w:val="center"/>
        <w:tblLayout w:type="fixed"/>
        <w:tblCellMar>
          <w:top w:w="0" w:type="dxa"/>
          <w:left w:w="108" w:type="dxa"/>
          <w:bottom w:w="0" w:type="dxa"/>
          <w:right w:w="108" w:type="dxa"/>
        </w:tblCellMar>
      </w:tblPr>
      <w:tblGrid>
        <w:gridCol w:w="419"/>
        <w:gridCol w:w="827"/>
        <w:gridCol w:w="955"/>
        <w:gridCol w:w="708"/>
        <w:gridCol w:w="1343"/>
        <w:gridCol w:w="241"/>
        <w:gridCol w:w="1161"/>
        <w:gridCol w:w="893"/>
        <w:gridCol w:w="349"/>
        <w:gridCol w:w="292"/>
        <w:gridCol w:w="516"/>
        <w:gridCol w:w="130"/>
        <w:gridCol w:w="747"/>
        <w:gridCol w:w="777"/>
      </w:tblGrid>
      <w:tr>
        <w:tblPrEx>
          <w:tblCellMar>
            <w:top w:w="0" w:type="dxa"/>
            <w:left w:w="108" w:type="dxa"/>
            <w:bottom w:w="0" w:type="dxa"/>
            <w:right w:w="108" w:type="dxa"/>
          </w:tblCellMar>
        </w:tblPrEx>
        <w:trPr>
          <w:trHeight w:val="418"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val="en-US" w:eastAsia="zh-CN"/>
              </w:rPr>
              <w:t>县</w:t>
            </w:r>
            <w:r>
              <w:rPr>
                <w:rFonts w:hint="eastAsia" w:ascii="方正小标宋简体" w:hAnsi="方正小标宋简体" w:eastAsia="方正小标宋简体" w:cs="方正小标宋简体"/>
                <w:color w:val="000000"/>
                <w:kern w:val="0"/>
                <w:sz w:val="40"/>
                <w:szCs w:val="40"/>
              </w:rPr>
              <w:t>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14"/>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招商引资</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泗水县人民政府</w:t>
            </w:r>
          </w:p>
        </w:tc>
      </w:tr>
      <w:tr>
        <w:tblPrEx>
          <w:tblCellMar>
            <w:top w:w="0" w:type="dxa"/>
            <w:left w:w="108" w:type="dxa"/>
            <w:bottom w:w="0" w:type="dxa"/>
            <w:right w:w="108" w:type="dxa"/>
          </w:tblCellMar>
        </w:tblPrEx>
        <w:trPr>
          <w:trHeight w:val="307" w:hRule="atLeast"/>
          <w:jc w:val="center"/>
        </w:trPr>
        <w:tc>
          <w:tcPr>
            <w:tcW w:w="12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泗水县投资促进中心及全县各任务部门</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sz w:val="16"/>
                <w:szCs w:val="16"/>
              </w:rPr>
              <w:t>4266158</w:t>
            </w:r>
          </w:p>
        </w:tc>
      </w:tr>
      <w:tr>
        <w:tblPrEx>
          <w:tblCellMar>
            <w:top w:w="0" w:type="dxa"/>
            <w:left w:w="108" w:type="dxa"/>
            <w:bottom w:w="0" w:type="dxa"/>
            <w:right w:w="108" w:type="dxa"/>
          </w:tblCellMar>
        </w:tblPrEx>
        <w:trPr>
          <w:trHeight w:val="635"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66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6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710.81</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710.81</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231.81</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32.61%</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8</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6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670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670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191</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tabs>
                <w:tab w:val="left" w:pos="510"/>
              </w:tabs>
              <w:spacing w:line="280" w:lineRule="exact"/>
              <w:jc w:val="center"/>
              <w:rPr>
                <w:rFonts w:hint="eastAsia" w:ascii="宋体" w:hAnsi="宋体" w:cs="宋体" w:eastAsiaTheme="minorEastAsia"/>
                <w:sz w:val="16"/>
                <w:szCs w:val="16"/>
                <w:lang w:eastAsia="zh-CN"/>
              </w:rPr>
            </w:pPr>
            <w:r>
              <w:rPr>
                <w:rFonts w:hint="eastAsia" w:ascii="宋体" w:hAnsi="宋体" w:cs="宋体"/>
                <w:sz w:val="16"/>
                <w:szCs w:val="16"/>
                <w:lang w:eastAsia="zh-CN"/>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28.51%</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eastAsia="zh-CN"/>
              </w:rPr>
              <w:t>——</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6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40.81</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40.81</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40.81</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eastAsia="zh-CN"/>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sz w:val="16"/>
                <w:szCs w:val="16"/>
                <w:lang w:val="en-US" w:eastAsia="zh-CN"/>
              </w:rPr>
            </w:pPr>
            <w:r>
              <w:rPr>
                <w:rFonts w:hint="eastAsia" w:ascii="宋体" w:hAnsi="宋体" w:cs="宋体"/>
                <w:sz w:val="16"/>
                <w:szCs w:val="16"/>
                <w:lang w:val="en-US" w:eastAsia="zh-CN"/>
              </w:rPr>
              <w:t>100%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eastAsia="zh-CN"/>
              </w:rPr>
              <w:t>——</w:t>
            </w:r>
          </w:p>
        </w:tc>
      </w:tr>
      <w:tr>
        <w:tblPrEx>
          <w:tblCellMar>
            <w:top w:w="0" w:type="dxa"/>
            <w:left w:w="108" w:type="dxa"/>
            <w:bottom w:w="0" w:type="dxa"/>
            <w:right w:w="108" w:type="dxa"/>
          </w:tblCellMar>
        </w:tblPrEx>
        <w:trPr>
          <w:trHeight w:val="419" w:hRule="exac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66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0</w:t>
            </w:r>
          </w:p>
        </w:tc>
        <w:tc>
          <w:tcPr>
            <w:tcW w:w="140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val="en-US" w:eastAsia="zh-CN"/>
              </w:rPr>
              <w:t>0</w:t>
            </w:r>
          </w:p>
        </w:tc>
        <w:tc>
          <w:tcPr>
            <w:tcW w:w="124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0</w:t>
            </w:r>
          </w:p>
        </w:tc>
        <w:tc>
          <w:tcPr>
            <w:tcW w:w="80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eastAsia="zh-CN"/>
              </w:rPr>
              <w:t>——</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cs="宋体" w:eastAsiaTheme="minorEastAsia"/>
                <w:sz w:val="16"/>
                <w:szCs w:val="16"/>
                <w:lang w:val="en-US" w:eastAsia="zh-CN"/>
              </w:rPr>
            </w:pPr>
            <w:r>
              <w:rPr>
                <w:rFonts w:hint="eastAsia" w:ascii="宋体" w:hAnsi="宋体" w:cs="宋体"/>
                <w:sz w:val="16"/>
                <w:szCs w:val="16"/>
                <w:lang w:val="en-US" w:eastAsia="zh-CN"/>
              </w:rPr>
              <w:t>0</w:t>
            </w:r>
          </w:p>
        </w:tc>
        <w:tc>
          <w:tcPr>
            <w:tcW w:w="77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r>
              <w:rPr>
                <w:rFonts w:hint="eastAsia" w:ascii="宋体" w:hAnsi="宋体" w:cs="宋体"/>
                <w:sz w:val="16"/>
                <w:szCs w:val="16"/>
                <w:lang w:eastAsia="zh-CN"/>
              </w:rPr>
              <w:t>——</w:t>
            </w:r>
          </w:p>
        </w:tc>
      </w:tr>
      <w:tr>
        <w:tblPrEx>
          <w:tblCellMar>
            <w:top w:w="0" w:type="dxa"/>
            <w:left w:w="108" w:type="dxa"/>
            <w:bottom w:w="0" w:type="dxa"/>
            <w:right w:w="108" w:type="dxa"/>
          </w:tblCellMar>
        </w:tblPrEx>
        <w:trPr>
          <w:trHeight w:val="269" w:hRule="atLeast"/>
          <w:jc w:val="center"/>
        </w:trPr>
        <w:tc>
          <w:tcPr>
            <w:tcW w:w="124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sz w:val="16"/>
                <w:szCs w:val="16"/>
              </w:rPr>
            </w:pPr>
            <w:r>
              <w:rPr>
                <w:rFonts w:hint="eastAsia" w:ascii="宋体" w:hAnsi="宋体" w:cs="宋体"/>
                <w:sz w:val="16"/>
                <w:szCs w:val="16"/>
              </w:rPr>
              <w:t>年内引进过亿元工业项目20个、其中过5亿元2个，到位市内外资20亿元，实际利用外资1500万美元。</w:t>
            </w:r>
          </w:p>
        </w:tc>
        <w:tc>
          <w:tcPr>
            <w:tcW w:w="3704"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cs="宋体"/>
                <w:sz w:val="16"/>
                <w:szCs w:val="16"/>
              </w:rPr>
            </w:pPr>
            <w:r>
              <w:rPr>
                <w:rFonts w:hint="eastAsia" w:ascii="宋体" w:hAnsi="宋体" w:cs="宋体"/>
                <w:sz w:val="16"/>
                <w:szCs w:val="16"/>
              </w:rPr>
              <w:t>亿元以上合同项目22个，其中1-5亿元项目14个，5-10亿元项目4个，10亿元以上项目4个；省“十强”内资到位资金30.65亿元，完成全年任务的139.32%，按任务完成率排名列全市第六位；到位外资2300万美元（全县任务2000万美元）。</w:t>
            </w:r>
          </w:p>
        </w:tc>
      </w:tr>
      <w:tr>
        <w:tblPrEx>
          <w:tblCellMar>
            <w:top w:w="0" w:type="dxa"/>
            <w:left w:w="108" w:type="dxa"/>
            <w:bottom w:w="0" w:type="dxa"/>
            <w:right w:w="108" w:type="dxa"/>
          </w:tblCellMar>
        </w:tblPrEx>
        <w:trPr>
          <w:trHeight w:val="476" w:hRule="atLeast"/>
          <w:jc w:val="center"/>
        </w:trPr>
        <w:tc>
          <w:tcPr>
            <w:tcW w:w="4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9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527" w:hRule="exact"/>
          <w:jc w:val="center"/>
        </w:trPr>
        <w:tc>
          <w:tcPr>
            <w:tcW w:w="419" w:type="dxa"/>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955" w:type="dxa"/>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rPr>
            </w:pPr>
            <w:r>
              <w:rPr>
                <w:rFonts w:hint="eastAsia" w:ascii="宋体" w:hAnsi="宋体" w:cs="宋体"/>
                <w:sz w:val="16"/>
                <w:szCs w:val="16"/>
                <w:lang w:val="en-US" w:eastAsia="zh-CN"/>
              </w:rPr>
              <w:t>在京津冀、长三角、珠三角、环渤海、湘鄂渝等重点区域举办专项招商推介活动。</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4—6次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503"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rPr>
            </w:pPr>
            <w:r>
              <w:rPr>
                <w:rFonts w:hint="eastAsia" w:ascii="宋体" w:hAnsi="宋体" w:cs="宋体"/>
                <w:sz w:val="16"/>
                <w:szCs w:val="16"/>
                <w:lang w:val="en-US" w:eastAsia="zh-CN"/>
              </w:rPr>
              <w:t>在青岛、上海等泗水籍成功人士较为聚集的城市举办返乡创业座谈会。</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每半年举办1次，不少于2次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2</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47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rPr>
            </w:pPr>
            <w:r>
              <w:rPr>
                <w:rFonts w:hint="eastAsia" w:ascii="宋体" w:hAnsi="宋体" w:cs="宋体"/>
                <w:sz w:val="16"/>
                <w:szCs w:val="16"/>
                <w:lang w:val="en-US" w:eastAsia="zh-CN"/>
              </w:rPr>
              <w:t>参加港、澳、台及新加坡等重点城市、国家举办的外资招商推介会。</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不少于2次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2020年度受新冠疫情影响，未能参加此类活动。</w:t>
            </w:r>
          </w:p>
        </w:tc>
      </w:tr>
      <w:tr>
        <w:tblPrEx>
          <w:tblCellMar>
            <w:top w:w="0" w:type="dxa"/>
            <w:left w:w="108" w:type="dxa"/>
            <w:bottom w:w="0" w:type="dxa"/>
            <w:right w:w="108" w:type="dxa"/>
          </w:tblCellMar>
        </w:tblPrEx>
        <w:trPr>
          <w:trHeight w:val="532"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rPr>
            </w:pPr>
            <w:r>
              <w:rPr>
                <w:rFonts w:hint="eastAsia" w:ascii="宋体" w:hAnsi="宋体" w:cs="宋体"/>
                <w:sz w:val="16"/>
                <w:szCs w:val="16"/>
                <w:lang w:val="en-US" w:eastAsia="zh-CN"/>
              </w:rPr>
              <w:t>精心包装一批文化旅游、现代高效农业项目对外集中推介，举办专题推介会。</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至少举办4次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3</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3</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2020年度受新冠疫情影响集中举办会议次数缩减。</w:t>
            </w:r>
          </w:p>
        </w:tc>
      </w:tr>
      <w:tr>
        <w:tblPrEx>
          <w:tblCellMar>
            <w:top w:w="0" w:type="dxa"/>
            <w:left w:w="108" w:type="dxa"/>
            <w:bottom w:w="0" w:type="dxa"/>
            <w:right w:w="108" w:type="dxa"/>
          </w:tblCellMar>
        </w:tblPrEx>
        <w:trPr>
          <w:trHeight w:val="1169"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rPr>
            </w:pPr>
            <w:r>
              <w:rPr>
                <w:rFonts w:hint="eastAsia" w:ascii="宋体" w:hAnsi="宋体" w:cs="宋体"/>
                <w:sz w:val="16"/>
                <w:szCs w:val="16"/>
                <w:lang w:val="en-US" w:eastAsia="zh-CN"/>
              </w:rPr>
              <w:t>“双招双引”工作专班在外招商要常态化，区域联络办每月要在驻地区域开展招引活动；县直有关单位“双招双引”分队每月均要外出开展招引活动；根据实际情况适时举办各类小型招商推介活动。</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每月15天以上</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b/>
                <w:bCs/>
                <w:sz w:val="16"/>
                <w:szCs w:val="16"/>
              </w:rPr>
            </w:pPr>
            <w:r>
              <w:rPr>
                <w:rFonts w:hint="default" w:ascii="Times New Roman" w:hAnsi="Times New Roman" w:eastAsia="宋体" w:cs="Times New Roman"/>
                <w:b/>
                <w:bCs/>
                <w:i w:val="0"/>
                <w:iCs w:val="0"/>
                <w:color w:val="000000"/>
                <w:kern w:val="0"/>
                <w:sz w:val="16"/>
                <w:szCs w:val="16"/>
                <w:u w:val="none"/>
                <w:lang w:val="en-US" w:eastAsia="zh-CN" w:bidi="ar"/>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2</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2020年度全县外出招商受新冠疫情影响，仅下半年开始正常开展工作，故外出天数未能达到年度指标。</w:t>
            </w: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妥善解决项目服务各项问题；健全完善“双招双引”信息库、推进库、签约库、服务库，实现动态管理。</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协调项目服务问题若干次。</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随时更新健全</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按照县委、县政府下达的目标任务保证按时完成。</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2020年1月1日-12月31日</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务实、高效、节约开展各项工作，严格按照预算批复和财务规定的标准列支各项经费。</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争取不超过上年支出</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9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新建项目建成全部投产后预计可实现税收数额；</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r>
              <w:rPr>
                <w:rFonts w:hint="eastAsia" w:ascii="宋体" w:hAnsi="宋体"/>
                <w:sz w:val="16"/>
                <w:szCs w:val="16"/>
                <w:lang w:val="en-US" w:eastAsia="zh-CN"/>
              </w:rPr>
              <w:t>不小于</w:t>
            </w:r>
            <w:r>
              <w:rPr>
                <w:rFonts w:hint="eastAsia" w:ascii="宋体" w:hAnsi="宋体"/>
                <w:sz w:val="16"/>
                <w:szCs w:val="16"/>
              </w:rPr>
              <w:t>3.6亿元</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eastAsiaTheme="minorEastAsia"/>
                <w:sz w:val="16"/>
                <w:szCs w:val="16"/>
                <w:lang w:val="en-US" w:eastAsia="zh-CN"/>
              </w:rPr>
            </w:pPr>
            <w:r>
              <w:rPr>
                <w:rFonts w:hint="eastAsia" w:ascii="宋体" w:hAnsi="宋体"/>
                <w:sz w:val="16"/>
                <w:szCs w:val="16"/>
                <w:lang w:val="en-US" w:eastAsia="zh-CN"/>
              </w:rPr>
              <w:t>3.6亿元</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r>
              <w:rPr>
                <w:rFonts w:hint="eastAsia" w:ascii="宋体" w:hAnsi="宋体"/>
                <w:sz w:val="16"/>
                <w:szCs w:val="16"/>
              </w:rPr>
              <w:t>促进就业</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宋体" w:hAnsi="宋体" w:eastAsiaTheme="minorEastAsia"/>
                <w:sz w:val="16"/>
                <w:szCs w:val="16"/>
                <w:lang w:val="en-US" w:eastAsia="zh-CN"/>
              </w:rPr>
            </w:pPr>
            <w:r>
              <w:rPr>
                <w:rFonts w:hint="eastAsia" w:ascii="宋体" w:hAnsi="宋体"/>
                <w:sz w:val="16"/>
                <w:szCs w:val="16"/>
                <w:lang w:val="en-US" w:eastAsia="zh-CN"/>
              </w:rPr>
              <w:t>显著</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default" w:ascii="宋体" w:hAnsi="宋体" w:cs="宋体"/>
                <w:sz w:val="16"/>
                <w:szCs w:val="16"/>
                <w:lang w:val="en-US" w:eastAsia="zh-CN"/>
              </w:rPr>
              <w:t>实现持续、健康、绿色发展</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eastAsia" w:ascii="宋体" w:hAnsi="宋体" w:cs="宋体"/>
                <w:sz w:val="16"/>
                <w:szCs w:val="16"/>
                <w:lang w:val="en-US" w:eastAsia="zh-CN"/>
              </w:rPr>
              <w:t>杜绝引进污染企业、生态招商、绿色招商</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955"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r>
              <w:rPr>
                <w:rFonts w:hint="default" w:ascii="宋体" w:hAnsi="宋体" w:cs="宋体"/>
                <w:sz w:val="16"/>
                <w:szCs w:val="16"/>
                <w:lang w:val="en-US" w:eastAsia="zh-CN"/>
              </w:rPr>
              <w:t>吸引更多的投资商前来投资。</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sz w:val="16"/>
                <w:szCs w:val="16"/>
                <w:lang w:val="en-US" w:eastAsia="zh-CN"/>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eastAsia" w:ascii="Times New Roman" w:hAnsi="Times New Roman" w:eastAsia="宋体" w:cs="Times New Roman"/>
                <w:b/>
                <w:bCs/>
                <w:i w:val="0"/>
                <w:iCs w:val="0"/>
                <w:color w:val="000000"/>
                <w:kern w:val="0"/>
                <w:sz w:val="16"/>
                <w:szCs w:val="16"/>
                <w:u w:val="none"/>
                <w:lang w:val="en-US" w:eastAsia="zh-CN" w:bidi="ar"/>
              </w:rPr>
              <w:t>7.5</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419"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82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95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229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sz w:val="16"/>
                <w:szCs w:val="16"/>
                <w:lang w:val="en-US" w:eastAsia="zh-CN"/>
              </w:rPr>
            </w:pPr>
            <w:r>
              <w:rPr>
                <w:rFonts w:hint="eastAsia" w:ascii="宋体" w:hAnsi="宋体" w:cs="宋体"/>
                <w:sz w:val="16"/>
                <w:szCs w:val="16"/>
                <w:lang w:val="en-US" w:eastAsia="zh-CN"/>
              </w:rPr>
              <w:t>深化改革，简政放权，提高办事效率和服务意识，营造良好的法治化招商环境，确保服务对象满意。</w:t>
            </w:r>
          </w:p>
        </w:tc>
        <w:tc>
          <w:tcPr>
            <w:tcW w:w="11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sz w:val="16"/>
                <w:szCs w:val="16"/>
                <w:lang w:val="en-US" w:eastAsia="zh-CN"/>
              </w:rPr>
            </w:pPr>
            <w:r>
              <w:rPr>
                <w:rFonts w:hint="eastAsia" w:ascii="宋体" w:hAnsi="宋体" w:cs="宋体"/>
                <w:sz w:val="16"/>
                <w:szCs w:val="16"/>
                <w:lang w:val="en-US" w:eastAsia="zh-CN"/>
              </w:rPr>
              <w:t>满意度达100</w:t>
            </w:r>
            <w:r>
              <w:rPr>
                <w:rFonts w:hint="default" w:ascii="宋体" w:hAnsi="宋体" w:cs="宋体"/>
                <w:sz w:val="16"/>
                <w:szCs w:val="16"/>
                <w:lang w:val="en-US" w:eastAsia="zh-CN"/>
              </w:rPr>
              <w:t>%</w:t>
            </w:r>
          </w:p>
        </w:tc>
        <w:tc>
          <w:tcPr>
            <w:tcW w:w="8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sz w:val="16"/>
                <w:szCs w:val="16"/>
                <w:lang w:val="en-US" w:eastAsia="zh-CN"/>
              </w:rPr>
            </w:pPr>
            <w:r>
              <w:rPr>
                <w:rFonts w:hint="eastAsia" w:ascii="宋体" w:hAnsi="宋体" w:cs="宋体"/>
                <w:sz w:val="16"/>
                <w:szCs w:val="16"/>
                <w:lang w:val="en-US" w:eastAsia="zh-CN"/>
              </w:rPr>
              <w:t>满意度达98</w:t>
            </w:r>
            <w:r>
              <w:rPr>
                <w:rFonts w:hint="default" w:ascii="宋体" w:hAnsi="宋体" w:cs="宋体"/>
                <w:sz w:val="16"/>
                <w:szCs w:val="16"/>
                <w:lang w:val="en-US" w:eastAsia="zh-CN"/>
              </w:rPr>
              <w:t>%</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6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16"/>
                <w:szCs w:val="16"/>
                <w:u w:val="none"/>
                <w:lang w:val="en-US" w:eastAsia="zh-CN" w:bidi="ar"/>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15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sz w:val="16"/>
                <w:szCs w:val="16"/>
                <w:lang w:val="en-US" w:eastAsia="zh-CN"/>
              </w:rPr>
            </w:pPr>
          </w:p>
        </w:tc>
      </w:tr>
      <w:tr>
        <w:tblPrEx>
          <w:tblCellMar>
            <w:top w:w="0" w:type="dxa"/>
            <w:left w:w="108" w:type="dxa"/>
            <w:bottom w:w="0" w:type="dxa"/>
            <w:right w:w="108" w:type="dxa"/>
          </w:tblCellMar>
        </w:tblPrEx>
        <w:trPr>
          <w:trHeight w:val="364" w:hRule="atLeast"/>
          <w:jc w:val="center"/>
        </w:trPr>
        <w:tc>
          <w:tcPr>
            <w:tcW w:w="22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157"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91</w:t>
            </w:r>
          </w:p>
        </w:tc>
      </w:tr>
      <w:tr>
        <w:tblPrEx>
          <w:tblCellMar>
            <w:top w:w="0" w:type="dxa"/>
            <w:left w:w="108" w:type="dxa"/>
            <w:bottom w:w="0" w:type="dxa"/>
            <w:right w:w="108" w:type="dxa"/>
          </w:tblCellMar>
        </w:tblPrEx>
        <w:trPr>
          <w:trHeight w:val="353" w:hRule="atLeast"/>
          <w:jc w:val="center"/>
        </w:trPr>
        <w:tc>
          <w:tcPr>
            <w:tcW w:w="2201"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7157" w:type="dxa"/>
            <w:gridSpan w:val="11"/>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bl>
    <w:p>
      <w:pPr>
        <w:overflowPunct w:val="0"/>
        <w:adjustRightInd w:val="0"/>
        <w:snapToGrid w:val="0"/>
        <w:spacing w:line="600" w:lineRule="exact"/>
        <w:jc w:val="center"/>
        <w:outlineLvl w:val="0"/>
        <w:rPr>
          <w:rFonts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r>
        <w:rPr>
          <w:rFonts w:hint="eastAsia" w:ascii="方正小标宋简体" w:hAnsi="方正小标宋简体" w:eastAsia="方正小标宋简体" w:cs="方正小标宋简体"/>
          <w:kern w:val="0"/>
          <w:sz w:val="44"/>
          <w:szCs w:val="44"/>
        </w:rPr>
        <w:t>2020年度</w:t>
      </w:r>
      <w:r>
        <w:rPr>
          <w:rFonts w:hint="eastAsia" w:ascii="方正小标宋简体" w:eastAsia="方正小标宋简体"/>
          <w:sz w:val="44"/>
          <w:szCs w:val="44"/>
          <w:lang w:val="en-US" w:eastAsia="zh-CN"/>
        </w:rPr>
        <w:t xml:space="preserve">泗水县投资促进中心          </w:t>
      </w:r>
      <w:r>
        <w:rPr>
          <w:rFonts w:hint="eastAsia" w:ascii="方正小标宋简体" w:eastAsia="方正小标宋简体"/>
          <w:sz w:val="44"/>
          <w:szCs w:val="44"/>
        </w:rPr>
        <w:t>绩效自评工作总结</w:t>
      </w: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pStyle w:val="4"/>
        <w:adjustRightInd w:val="0"/>
        <w:snapToGrid w:val="0"/>
        <w:spacing w:line="580" w:lineRule="exact"/>
        <w:ind w:firstLine="643" w:firstLineChars="200"/>
        <w:jc w:val="both"/>
        <w:rPr>
          <w:rFonts w:ascii="Times New Roman" w:hAnsi="Times New Roman" w:eastAsia="方正黑体简体"/>
          <w:b/>
          <w:sz w:val="32"/>
          <w:szCs w:val="32"/>
        </w:rPr>
      </w:pPr>
      <w:r>
        <w:rPr>
          <w:rFonts w:hint="eastAsia" w:ascii="Times New Roman" w:hAnsi="Times New Roman" w:eastAsia="方正黑体简体"/>
          <w:b/>
          <w:sz w:val="32"/>
          <w:szCs w:val="32"/>
        </w:rPr>
        <w:t>一、自评工作开展情况</w:t>
      </w:r>
    </w:p>
    <w:p>
      <w:pPr>
        <w:adjustRightInd w:val="0"/>
        <w:snapToGrid w:val="0"/>
        <w:spacing w:line="590" w:lineRule="exact"/>
        <w:ind w:firstLine="643" w:firstLineChars="200"/>
        <w:rPr>
          <w:rFonts w:eastAsia="仿宋_GB2312"/>
          <w:snapToGrid w:val="0"/>
          <w:sz w:val="32"/>
          <w:szCs w:val="32"/>
        </w:rPr>
      </w:pPr>
      <w:r>
        <w:rPr>
          <w:rFonts w:hint="eastAsia" w:eastAsia="仿宋_GB2312"/>
          <w:b/>
          <w:snapToGrid w:val="0"/>
          <w:sz w:val="32"/>
          <w:szCs w:val="32"/>
          <w:lang w:val="en-US"/>
        </w:rPr>
        <w:t>1.  立项背景及目的</w:t>
      </w:r>
      <w:r>
        <w:rPr>
          <w:rFonts w:hint="eastAsia" w:eastAsia="仿宋_GB2312"/>
          <w:snapToGrid w:val="0"/>
          <w:sz w:val="32"/>
          <w:szCs w:val="32"/>
          <w:lang w:val="en-US"/>
        </w:rPr>
        <w:t xml:space="preserve">  </w:t>
      </w:r>
    </w:p>
    <w:p>
      <w:pPr>
        <w:adjustRightInd w:val="0"/>
        <w:snapToGrid w:val="0"/>
        <w:spacing w:line="590" w:lineRule="exact"/>
        <w:ind w:firstLine="640" w:firstLineChars="200"/>
        <w:rPr>
          <w:rFonts w:eastAsia="仿宋_GB2312"/>
          <w:snapToGrid w:val="0"/>
          <w:sz w:val="32"/>
          <w:szCs w:val="32"/>
          <w:lang w:val="en-US"/>
        </w:rPr>
      </w:pPr>
      <w:r>
        <w:rPr>
          <w:rFonts w:hint="eastAsia" w:eastAsia="仿宋_GB2312"/>
          <w:snapToGrid w:val="0"/>
          <w:sz w:val="32"/>
          <w:szCs w:val="32"/>
          <w:lang w:val="en-US"/>
        </w:rPr>
        <w:t>招商引资是经济社会发展的助推器，是省市县各级抓经济建设、促产业发展、搞城乡建设的重要抓手，近几年来，我县大力加强招商引资，全县经济社会、城乡面貌、产业转型、园区建设等均取得了重大发展，随着国家“一带一路”</w:t>
      </w:r>
      <w:r>
        <w:rPr>
          <w:rFonts w:hint="eastAsia" w:eastAsia="仿宋_GB2312"/>
          <w:snapToGrid w:val="0"/>
          <w:sz w:val="32"/>
          <w:szCs w:val="32"/>
          <w:lang w:val="en-US" w:eastAsia="zh-CN"/>
        </w:rPr>
        <w:t>倡议</w:t>
      </w:r>
      <w:r>
        <w:rPr>
          <w:rFonts w:hint="eastAsia" w:eastAsia="仿宋_GB2312"/>
          <w:snapToGrid w:val="0"/>
          <w:sz w:val="32"/>
          <w:szCs w:val="32"/>
          <w:lang w:val="en-US"/>
        </w:rPr>
        <w:t>的实施，为继续做好我县招商引资工作，保障招商引资项目包装、推介宣传、外出招商、代理招商、重大项目前期、日常洽谈接待、招商业务培训等工作开展以及招商奖惩工作机制的有效落实，确保2020年招商引资各项工作顺利实施和落实，特制定本项目。</w:t>
      </w:r>
    </w:p>
    <w:p>
      <w:pPr>
        <w:adjustRightInd w:val="0"/>
        <w:snapToGrid w:val="0"/>
        <w:spacing w:line="590" w:lineRule="exact"/>
        <w:ind w:firstLine="643" w:firstLineChars="200"/>
        <w:rPr>
          <w:rFonts w:eastAsia="仿宋_GB2312"/>
          <w:b/>
          <w:snapToGrid w:val="0"/>
          <w:sz w:val="32"/>
          <w:szCs w:val="32"/>
          <w:lang w:val="en-US"/>
        </w:rPr>
      </w:pPr>
      <w:r>
        <w:rPr>
          <w:rFonts w:hint="eastAsia" w:eastAsia="仿宋_GB2312"/>
          <w:b/>
          <w:snapToGrid w:val="0"/>
          <w:sz w:val="32"/>
          <w:szCs w:val="32"/>
          <w:lang w:val="en-US"/>
        </w:rPr>
        <w:t>2. 项目的基本实施情况</w:t>
      </w:r>
    </w:p>
    <w:p>
      <w:pPr>
        <w:snapToGrid w:val="0"/>
        <w:spacing w:line="590" w:lineRule="exact"/>
        <w:ind w:firstLine="640" w:firstLineChars="200"/>
        <w:jc w:val="both"/>
        <w:rPr>
          <w:rFonts w:eastAsia="仿宋_GB2312"/>
          <w:snapToGrid w:val="0"/>
          <w:sz w:val="32"/>
          <w:szCs w:val="32"/>
          <w:lang w:val="en-US"/>
        </w:rPr>
      </w:pPr>
      <w:r>
        <w:rPr>
          <w:rFonts w:hint="eastAsia" w:eastAsia="仿宋_GB2312"/>
          <w:snapToGrid w:val="0"/>
          <w:sz w:val="32"/>
          <w:szCs w:val="32"/>
          <w:lang w:val="en-US"/>
        </w:rPr>
        <w:t>项目数1个，预算总金额670万元。</w:t>
      </w:r>
    </w:p>
    <w:p>
      <w:pPr>
        <w:tabs>
          <w:tab w:val="left" w:pos="312"/>
        </w:tabs>
        <w:autoSpaceDE/>
        <w:autoSpaceDN/>
        <w:adjustRightInd w:val="0"/>
        <w:snapToGrid w:val="0"/>
        <w:spacing w:line="590" w:lineRule="exact"/>
        <w:ind w:firstLine="640" w:firstLineChars="200"/>
        <w:jc w:val="both"/>
        <w:rPr>
          <w:rFonts w:eastAsia="仿宋_GB2312"/>
          <w:snapToGrid w:val="0"/>
          <w:sz w:val="32"/>
          <w:szCs w:val="32"/>
        </w:rPr>
      </w:pPr>
      <w:r>
        <w:rPr>
          <w:rFonts w:hint="eastAsia" w:eastAsia="仿宋_GB2312"/>
          <w:snapToGrid w:val="0"/>
          <w:sz w:val="32"/>
          <w:szCs w:val="32"/>
          <w:lang w:val="en-US"/>
        </w:rPr>
        <w:t xml:space="preserve">（1）组织及管理情况。  </w:t>
      </w:r>
    </w:p>
    <w:p>
      <w:pPr>
        <w:adjustRightInd w:val="0"/>
        <w:snapToGrid w:val="0"/>
        <w:spacing w:line="590" w:lineRule="exact"/>
        <w:ind w:firstLine="640" w:firstLineChars="200"/>
        <w:rPr>
          <w:rFonts w:eastAsia="仿宋_GB2312"/>
          <w:snapToGrid w:val="0"/>
          <w:sz w:val="32"/>
          <w:szCs w:val="32"/>
        </w:rPr>
      </w:pPr>
      <w:r>
        <w:rPr>
          <w:rFonts w:hint="eastAsia" w:eastAsia="仿宋_GB2312"/>
          <w:snapToGrid w:val="0"/>
          <w:sz w:val="32"/>
          <w:szCs w:val="32"/>
          <w:lang w:val="en-US"/>
        </w:rPr>
        <w:t>根据项目需求与项目预算匹配、由泗水县投资促进中心和全县各任务部门组织项目实施，项目资金拨付由县财政统一拨付至县各单位预算账户。</w:t>
      </w:r>
    </w:p>
    <w:p>
      <w:pPr>
        <w:snapToGrid w:val="0"/>
        <w:spacing w:line="590" w:lineRule="exact"/>
        <w:ind w:firstLine="640" w:firstLineChars="200"/>
        <w:jc w:val="both"/>
        <w:rPr>
          <w:rFonts w:eastAsia="仿宋_GB2312"/>
          <w:bCs/>
          <w:snapToGrid w:val="0"/>
          <w:sz w:val="32"/>
          <w:szCs w:val="32"/>
          <w:lang w:val="en-US"/>
        </w:rPr>
      </w:pPr>
      <w:r>
        <w:rPr>
          <w:rFonts w:hint="eastAsia" w:eastAsia="仿宋_GB2312"/>
          <w:snapToGrid w:val="0"/>
          <w:sz w:val="32"/>
          <w:szCs w:val="32"/>
          <w:lang w:val="en-US"/>
        </w:rPr>
        <w:t>（2）项目具体</w:t>
      </w:r>
      <w:r>
        <w:rPr>
          <w:rFonts w:hint="eastAsia" w:eastAsia="仿宋_GB2312"/>
          <w:bCs/>
          <w:snapToGrid w:val="0"/>
          <w:sz w:val="32"/>
          <w:szCs w:val="32"/>
          <w:lang w:val="en-US"/>
        </w:rPr>
        <w:t>工作措施：</w:t>
      </w:r>
    </w:p>
    <w:p>
      <w:pPr>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rPr>
        <w:t>①</w:t>
      </w:r>
      <w:r>
        <w:rPr>
          <w:rFonts w:hint="eastAsia" w:eastAsia="仿宋_GB2312"/>
          <w:bCs/>
          <w:snapToGrid w:val="0"/>
          <w:sz w:val="32"/>
          <w:szCs w:val="32"/>
          <w:lang w:val="en-US"/>
        </w:rPr>
        <w:t>完善工作机制。一是坚持指挥部运作模式。调整充实指挥部组成人员，抽调精兵强将充实到指挥部集中办公，共组建6个工作专班、4个区域联络组，9个项目服务专班，集中精力专攻招商。二是优化项目推进流程。明确了项目论证、合同起草、征求意见、提报指挥部讨论并形成会议纪要、有关部门和县政府领导成员会签的项目合同签订流程，大大提高了项目推进速度。三是建立招商引资项目风险防控机制。前期强化项目尽调工作，对投资企业做好筛选和考察，规范合同签订流程。强化项目后期跟踪，按照合同约定，对投资主体、投资规模、建设内容等项目履约情况实行监督管理，严格项目优惠政策兑现。</w:t>
      </w:r>
    </w:p>
    <w:p>
      <w:pPr>
        <w:adjustRightInd w:val="0"/>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rPr>
        <w:t>②</w:t>
      </w:r>
      <w:r>
        <w:rPr>
          <w:rFonts w:hint="eastAsia" w:eastAsia="仿宋_GB2312"/>
          <w:bCs/>
          <w:snapToGrid w:val="0"/>
          <w:sz w:val="32"/>
          <w:szCs w:val="32"/>
          <w:lang w:val="en-US"/>
        </w:rPr>
        <w:t>夯实招商引资工作基础。开展“招商引资集中攻坚”活动，全力做好招商项目谋划、宣传册修改完善等前期准备工作，包装一批重点招商项目通过微信公众号、济宁市“招商项目信息平台”对外发布，着力收集一批有效招商信息、引进一批大项目，为招商工作打好了基础。</w:t>
      </w:r>
    </w:p>
    <w:p>
      <w:pPr>
        <w:adjustRightInd w:val="0"/>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rPr>
        <w:t>③</w:t>
      </w:r>
      <w:r>
        <w:rPr>
          <w:rFonts w:hint="eastAsia" w:eastAsia="仿宋_GB2312"/>
          <w:bCs/>
          <w:snapToGrid w:val="0"/>
          <w:sz w:val="32"/>
          <w:szCs w:val="32"/>
          <w:lang w:val="en-US"/>
        </w:rPr>
        <w:t>进一步加大招引力度。一是县领导率先垂范。在疫情防控形势严峻的情况下，县委、县政府主要领导、指挥部领导仍然坚持带队招商，亲赴安徽、浙江、福建、广东、上海、江西等地开展招商活动，对接煌上煌食品、祖名豆制品股份有限公司、安徽夏星集团、新希望六和股份有限公司、协鑫集团等大型国企、央企和知名民企。二是召开项目推介会。先后在杭州、上海、青岛等地召开项目推介会、经济合作恳谈会等，推介重点项目。三是举办集中签约仪式。为了最大限度降低疫情对招商引资工作影响，采用网络签约与现场签约相结合的方式举行3次“双招双引”项目集中签约仪式。</w:t>
      </w:r>
    </w:p>
    <w:p>
      <w:pPr>
        <w:adjustRightInd w:val="0"/>
        <w:snapToGrid w:val="0"/>
        <w:spacing w:line="590" w:lineRule="exact"/>
        <w:ind w:firstLine="643" w:firstLineChars="200"/>
        <w:rPr>
          <w:rFonts w:eastAsia="仿宋_GB2312"/>
          <w:b/>
          <w:snapToGrid w:val="0"/>
          <w:sz w:val="32"/>
          <w:szCs w:val="32"/>
          <w:lang w:val="en-US"/>
        </w:rPr>
      </w:pPr>
      <w:r>
        <w:rPr>
          <w:rFonts w:hint="eastAsia" w:eastAsia="仿宋_GB2312"/>
          <w:b/>
          <w:snapToGrid w:val="0"/>
          <w:sz w:val="32"/>
          <w:szCs w:val="32"/>
          <w:lang w:val="en-US"/>
        </w:rPr>
        <w:t>3.自评工作的组织实施情况</w:t>
      </w:r>
    </w:p>
    <w:p>
      <w:pPr>
        <w:adjustRightInd w:val="0"/>
        <w:snapToGrid w:val="0"/>
        <w:spacing w:line="590" w:lineRule="exact"/>
        <w:ind w:firstLine="640" w:firstLineChars="200"/>
        <w:jc w:val="both"/>
        <w:rPr>
          <w:rFonts w:eastAsia="仿宋_GB2312"/>
          <w:snapToGrid w:val="0"/>
          <w:sz w:val="32"/>
          <w:szCs w:val="32"/>
          <w:lang w:val="en-US"/>
        </w:rPr>
      </w:pPr>
      <w:r>
        <w:rPr>
          <w:rFonts w:hint="eastAsia" w:eastAsia="仿宋_GB2312"/>
          <w:snapToGrid w:val="0"/>
          <w:sz w:val="32"/>
          <w:szCs w:val="32"/>
          <w:lang w:val="en-US"/>
        </w:rPr>
        <w:t>2020年，县投促中心按照县委县政府有关指示精神，以高质量“双招双引”推动高质量发展为指导，开展外出招商活动共100余天，分别赴北京、杭州、福建等地拜访企业120余家，收集有效信息100余条，其中精准化组织开展9次集中“双招双引”洽谈活动，为宣传我县与对接企业奠定了良好基础。 1-12月份，共签订项目合同27个，其中，亿元以上项目22个，1-5亿元项目14个，5-10亿元项目4个，10亿元以上项目4个。</w:t>
      </w:r>
    </w:p>
    <w:p>
      <w:pPr>
        <w:pStyle w:val="4"/>
        <w:adjustRightInd w:val="0"/>
        <w:snapToGrid w:val="0"/>
        <w:spacing w:line="580"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二、自评结果概述</w:t>
      </w:r>
    </w:p>
    <w:p>
      <w:pPr>
        <w:pStyle w:val="4"/>
        <w:adjustRightInd w:val="0"/>
        <w:snapToGrid w:val="0"/>
        <w:spacing w:line="580" w:lineRule="exact"/>
        <w:ind w:firstLine="640" w:firstLineChars="200"/>
        <w:jc w:val="both"/>
        <w:rPr>
          <w:rFonts w:eastAsia="仿宋_GB2312" w:cs="宋体"/>
          <w:snapToGrid w:val="0"/>
          <w:sz w:val="32"/>
          <w:szCs w:val="32"/>
          <w:lang w:val="en-US"/>
        </w:rPr>
      </w:pPr>
      <w:r>
        <w:rPr>
          <w:rFonts w:hint="eastAsia" w:eastAsia="仿宋_GB2312" w:cs="宋体"/>
          <w:snapToGrid w:val="0"/>
          <w:sz w:val="32"/>
          <w:szCs w:val="32"/>
          <w:lang w:val="en-US"/>
        </w:rPr>
        <w:t>1.自评结果总体情况</w:t>
      </w:r>
    </w:p>
    <w:p>
      <w:pPr>
        <w:pStyle w:val="4"/>
        <w:adjustRightInd w:val="0"/>
        <w:snapToGrid w:val="0"/>
        <w:spacing w:line="580" w:lineRule="exact"/>
        <w:ind w:firstLine="640" w:firstLineChars="200"/>
        <w:jc w:val="both"/>
        <w:rPr>
          <w:rFonts w:eastAsia="仿宋_GB2312" w:cs="宋体"/>
          <w:snapToGrid w:val="0"/>
          <w:sz w:val="32"/>
          <w:szCs w:val="32"/>
          <w:lang w:val="en-US"/>
        </w:rPr>
      </w:pPr>
      <w:r>
        <w:rPr>
          <w:rFonts w:eastAsia="仿宋_GB2312" w:cs="宋体"/>
          <w:snapToGrid w:val="0"/>
          <w:sz w:val="32"/>
          <w:szCs w:val="32"/>
          <w:lang w:val="en-US"/>
        </w:rPr>
        <w:t>自评总分数</w:t>
      </w:r>
      <w:r>
        <w:rPr>
          <w:rFonts w:hint="eastAsia" w:eastAsia="仿宋_GB2312" w:cs="宋体"/>
          <w:snapToGrid w:val="0"/>
          <w:sz w:val="32"/>
          <w:szCs w:val="32"/>
          <w:lang w:val="en-US"/>
        </w:rPr>
        <w:t>91分。</w:t>
      </w:r>
    </w:p>
    <w:p>
      <w:pPr>
        <w:pStyle w:val="4"/>
        <w:adjustRightInd w:val="0"/>
        <w:snapToGrid w:val="0"/>
        <w:spacing w:line="580" w:lineRule="exact"/>
        <w:ind w:firstLine="640" w:firstLineChars="200"/>
        <w:jc w:val="both"/>
        <w:rPr>
          <w:rFonts w:eastAsia="仿宋_GB2312" w:cs="宋体"/>
          <w:snapToGrid w:val="0"/>
          <w:sz w:val="32"/>
          <w:szCs w:val="32"/>
          <w:lang w:val="en-US"/>
        </w:rPr>
      </w:pPr>
      <w:r>
        <w:rPr>
          <w:rFonts w:hint="eastAsia" w:eastAsia="仿宋_GB2312" w:cs="宋体"/>
          <w:snapToGrid w:val="0"/>
          <w:sz w:val="32"/>
          <w:szCs w:val="32"/>
          <w:lang w:val="en-US"/>
        </w:rPr>
        <w:t>2.项目取得的主要成效。（1）内资。1-11月，省“十强”内资到位资金30.65亿元，完成全年任务的139.32%，按任务完成率排名列全市第六位。500强项目。根据考核办法判断，目前我县已达到考核标准的500强项目8个：华能生物质热电联产项目、中联水泥水泥磨产能转移项目、新希望集团养殖项目、水发达丰废钢资源再生项目、济宁海中项目、圣锦文化农业产业示范园项目、海螺集团智慧能源项目、新希望集团百福水产饲料项目，年底争取实现8个500强项目达到加分标准。（2）外资。2020年度完成外资到位资金2300万美元，完成全县任务目标的115%。加大外资企业对接力度，8月，在青岛举办泗水（青岛）韩资企业交流会，邀请青岛朝鲜族企业家协会、青岛东海消防装备有限公司、青岛天泰饮乐多食品有限公司等16家企业和协会参会。9月，拜访了青岛饮乐多食品有限公司、青岛东海消防有限公司、青岛食品有限公司、青岛龙得云长寿米酒有限公司，洽谈对接合作事宜。9月25日，赴潍坊参加中日韩中小企业对接会及中日韩智能制造项目对接会；力促亲亲食品山东生产基地项目外资增资，共到位外资1100万美元；碧桂园房地产开发项目10月22日到位外资1200万美元。</w:t>
      </w:r>
    </w:p>
    <w:p>
      <w:pPr>
        <w:pStyle w:val="4"/>
        <w:adjustRightInd w:val="0"/>
        <w:snapToGrid w:val="0"/>
        <w:spacing w:line="580" w:lineRule="exact"/>
        <w:ind w:firstLine="640" w:firstLineChars="200"/>
        <w:jc w:val="both"/>
        <w:rPr>
          <w:rFonts w:eastAsia="仿宋_GB2312" w:cs="宋体"/>
          <w:snapToGrid w:val="0"/>
          <w:sz w:val="32"/>
          <w:szCs w:val="32"/>
          <w:lang w:val="en-US"/>
        </w:rPr>
      </w:pPr>
      <w:r>
        <w:rPr>
          <w:rFonts w:hint="eastAsia" w:eastAsia="仿宋_GB2312" w:cs="宋体"/>
          <w:snapToGrid w:val="0"/>
          <w:sz w:val="32"/>
          <w:szCs w:val="32"/>
          <w:lang w:val="en-US"/>
        </w:rPr>
        <w:t>3.项目的主要问题和产生的原因。</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（1）重视程度和精力投入不够。存在上热下凉、压力传达不到位的现象，部分镇街党政主要负责人和县直单位主要负责人精力投入不够，带头抓招商的积极性不足。</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 xml:space="preserve">（2）招大引强的效果不明显。一是目前国内外500强、知名品牌企业落地泗水项目少。二是对接国字号、央字号和国内外500强企业的力度不够。  </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3）“用工难”的短板问题亟需解决。开发区一些企业反映存在招工困难的现象，有关部门要进一步研究探讨和调整劳务输出政策，留住年轻外出务工人员，切实把我县的劳动力资源优势凸显出来，成为招商引资的金字招牌。</w:t>
      </w:r>
    </w:p>
    <w:p>
      <w:pPr>
        <w:adjustRightInd w:val="0"/>
        <w:snapToGrid w:val="0"/>
        <w:spacing w:line="590" w:lineRule="exact"/>
        <w:ind w:firstLine="640" w:firstLineChars="200"/>
        <w:rPr>
          <w:rFonts w:eastAsia="仿宋_GB2312"/>
          <w:snapToGrid w:val="0"/>
          <w:sz w:val="32"/>
          <w:szCs w:val="32"/>
        </w:rPr>
      </w:pPr>
      <w:r>
        <w:rPr>
          <w:rFonts w:hint="eastAsia" w:eastAsia="仿宋_GB2312"/>
          <w:snapToGrid w:val="0"/>
          <w:sz w:val="32"/>
          <w:szCs w:val="32"/>
        </w:rPr>
        <w:t>（4）土地因素制约。由于土地政策进一步趋紧，项目用地指标紧缺，土地置换时间周期长，土地资源缺乏已成为制约招商引资的突出问题，不少项目因土地问题被搁置，出现小项目“缺指标”、大项目“等指标”的情况。</w:t>
      </w:r>
    </w:p>
    <w:p>
      <w:pPr>
        <w:pStyle w:val="4"/>
        <w:adjustRightInd w:val="0"/>
        <w:snapToGrid w:val="0"/>
        <w:spacing w:line="580" w:lineRule="exact"/>
        <w:ind w:firstLine="640" w:firstLineChars="200"/>
        <w:jc w:val="both"/>
        <w:rPr>
          <w:rFonts w:eastAsia="仿宋_GB2312" w:cs="宋体"/>
          <w:snapToGrid w:val="0"/>
          <w:sz w:val="32"/>
          <w:szCs w:val="32"/>
          <w:lang w:val="en-US"/>
        </w:rPr>
      </w:pPr>
      <w:r>
        <w:rPr>
          <w:rFonts w:hint="eastAsia" w:eastAsia="仿宋_GB2312" w:cs="宋体"/>
          <w:snapToGrid w:val="0"/>
          <w:sz w:val="32"/>
          <w:szCs w:val="32"/>
          <w:lang w:val="en-US"/>
        </w:rPr>
        <w:t>4.改进的具体措施。</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1）加大对招商引资重视力度。坚持把招商引资作为经济发展的“生命线”，坚持把短期依靠投资补短板稳增长与长期依靠招商引资调结构促发展结合起来。突出正向引导激励，体现“以业绩论英雄”的结果导向和鼓励实干的原则，鼓励多引大项目、好项目。</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2）科学谋划招商引资工作。一是精准开展招商引资活动，围绕重点区域国企、央企、知名品牌企业，加强对产业布局和产业转移动向的研究。二是加大对重点项目补链强链力度。立足我县产业基础和优势特色产业，明确新经济业态，精准实施“强链补链”工程，围绕食品产业、生物医药、高端装备等优势产业，针对缺失链条、薄弱链条、关键链条精准谋划项目。三是进一步探索市场化运作招商引资，汇聚各方力量，拓宽信息收集渠道，提升收集信息质量，确保招商引资各项工作高质量完成。</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3）加大招商环境优化力度。一是打造发展平台。集中人力、物力、财力，依托园区特点打造特色园区，为新一轮大招商、大发展开辟新的发展空间。二是健全各项机制。在招商环境上继续实施重大项目推进组、服务组运行模式，力争做到“定人、定责、定目标”“三个定位”，坚持“一个重点项目、一个县级领导、一个责任单位、一个工作班子、一个倒排工期表、一揽子抓到底”的“六个一”推进机制，用制度构建运行高效的的发展环境。</w:t>
      </w:r>
    </w:p>
    <w:p>
      <w:pPr>
        <w:pStyle w:val="4"/>
        <w:adjustRightInd w:val="0"/>
        <w:snapToGrid w:val="0"/>
        <w:spacing w:line="580"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三、下一步工作措施</w:t>
      </w:r>
    </w:p>
    <w:p>
      <w:pPr>
        <w:adjustRightInd w:val="0"/>
        <w:snapToGrid w:val="0"/>
        <w:spacing w:line="590" w:lineRule="exact"/>
        <w:ind w:firstLine="640" w:firstLineChars="200"/>
        <w:rPr>
          <w:rFonts w:eastAsia="仿宋_GB2312"/>
          <w:snapToGrid w:val="0"/>
          <w:sz w:val="32"/>
          <w:szCs w:val="32"/>
        </w:rPr>
      </w:pPr>
      <w:r>
        <w:rPr>
          <w:rFonts w:eastAsia="仿宋_GB2312"/>
          <w:snapToGrid w:val="0"/>
          <w:sz w:val="32"/>
          <w:szCs w:val="32"/>
        </w:rPr>
        <w:t>1.后续工作计划。</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1）在项目包装上实现新突破。围绕省、市“十强”产业和“两高两新”产业，更新完善招商信息。围绕“两高两新”产业和“5+3”产业体系包装生成一批重点对外合作项目。以新技术、新产业、新业态、新模式等策划包装食品饮料、纸品包装、绿色建材、现代农业、文化旅游等项目，推动传统产业转型发展，推进高端装备、新能源新材料、医养健康产业，培育形成新动能，适时对外推介发布。</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2）在“231”和物流产业项目招商上实现新突破。根据全市确立的“231”产业集聚（指高端装备、高端化工“两高”，新一代信息技术、新材料、新能源“三新”和医药这些先进制造业），明确主导产业的基础上，重点围绕“两高两新”产业开展深入调研，在县级层面理清“两高两新”产业上下游产业链条及横向配套产业，找准产业链条关键环节重点目标企业，编制产业招商专案。围绕“两高两新”产业，适时在北京、上海、深圳等重点区域举办专题招商推介活动，拉长产业链条、放大产业优势，促进特色产业集群集聚发展。高端装备产业集群，以食品机械、汽车及零部件、高端刀具为招商重点；新一代信息技术产业集群，以九思新材料、占邦电子为重点，以智能终端制造和电子制造产业为招商重点；医药产业集群，以生物医药、中药提取加工为招商重点。</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3）在招引重大产业项目上实现新突破。将500强企业及投资10亿元以上产业大项目作为招商引资工作的重中之重，紧盯国际国内500强、行业龙头企业和机构，分析研判其产业布局、投资动向，寻找与我县产业发展契合点，有的放矢开展对接洽谈。继续推动实施县级领导包保重点项目制度，开展高层走访推进重大项目。对已签约的重点项目，紧盯难点痛点堵点，梳理存在的问题，进一步优化流程，集中力量攻关，加快推进速度。</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4）在以商招商上实现新突破。利用大数据手段对企业发展情况进行判断分析，对“僵尸”企业及低效企业，通过破产或鼓励对外合资合作等方式，有效盘活企业资产，推动土地高效利用。对企业闲置厂房和土地，积极寻求对外招商合作，倒逼企业有效盘活企业资产，加快推进企业以商招商。发挥企业招商主体作用，帮助企业量身制作招商专案，通过合资、并购、联合开发等形式，与国内外行业领军企业开展合作，借力发展壮大，增强竞争实力。</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5）在开展驻外招商上实现新突破。成立工作专班和区域联络办，区分重点招商产业和区域开展驻外招商工作。明确招商引资任务目标，积极对接北京疏解非首都功能和京津冀、长三角、珠三角等重点区域产业转移，重点招引符合省市“十强”产业、投资规模大、科技含量高的大项目、好项目。</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6）在创新招商模式上实现新突破。进一步解放思想，拓宽招商渠道，创新招商方式，积极开展网上招商。依托国内外知名机构、商会协会、我县企业驻外机构，在县级层面聘请县政府经济顾问和招商大使，通过市场化方式，开展委托代理招商。鼓励引导社会化招商，表彰奖励招商引资有功人员，提高招商引资实效。</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7）在园区招商上实现新突破。园区是对外开放的主阵地、“双招双引”的主战场。按照“项目园区化、产业集群化”的发展思路，根据园区产业实际，主攻食品饮料、装备制造等主导产业，围绕主导产业链条中的关键环节和配套项目，有针对性地开展精准招商。积极对接科研院所、高层次人才，加强产学研合作，开展招才引智活动，着力提升“双招双引”实效。</w:t>
      </w: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spacing w:line="560" w:lineRule="exact"/>
        <w:jc w:val="center"/>
        <w:rPr>
          <w:rFonts w:ascii="Times New Roman" w:hAnsi="Times New Roman" w:cs="Times New Roman"/>
          <w:b/>
          <w:sz w:val="16"/>
        </w:rPr>
      </w:pPr>
      <w:r>
        <w:rPr>
          <w:rFonts w:hint="eastAsia" w:ascii="Times New Roman" w:hAnsi="Times New Roman" w:eastAsia="方正小标宋简体" w:cs="Times New Roman"/>
          <w:b/>
          <w:sz w:val="44"/>
          <w:lang w:val="en-US" w:eastAsia="zh-CN"/>
        </w:rPr>
        <w:t>定点招商</w:t>
      </w:r>
      <w:r>
        <w:rPr>
          <w:rFonts w:ascii="Times New Roman" w:hAnsi="Times New Roman" w:eastAsia="方正小标宋简体" w:cs="Times New Roman"/>
          <w:b/>
          <w:sz w:val="44"/>
        </w:rPr>
        <w:t>项目支出绩效评价报告</w:t>
      </w: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before="55"/>
        <w:ind w:left="717"/>
        <w:rPr>
          <w:rFonts w:ascii="Times New Roman" w:hAnsi="Times New Roman" w:eastAsia="黑体"/>
          <w:spacing w:val="3"/>
        </w:rPr>
      </w:pPr>
    </w:p>
    <w:p>
      <w:pPr>
        <w:pStyle w:val="4"/>
        <w:spacing w:line="800" w:lineRule="exact"/>
        <w:ind w:firstLine="1309" w:firstLineChars="400"/>
        <w:jc w:val="both"/>
        <w:rPr>
          <w:rFonts w:hint="eastAsia" w:ascii="Times New Roman" w:hAnsi="Times New Roman" w:eastAsia="方正黑体简体"/>
          <w:b/>
          <w:sz w:val="32"/>
          <w:szCs w:val="32"/>
        </w:rPr>
      </w:pPr>
      <w:r>
        <w:rPr>
          <w:rFonts w:hint="eastAsia" w:ascii="Times New Roman" w:hAnsi="Times New Roman" w:eastAsia="方正黑体简体"/>
          <w:b/>
          <w:spacing w:val="3"/>
          <w:sz w:val="32"/>
          <w:szCs w:val="32"/>
          <w:lang w:val="en-US" w:eastAsia="zh-CN"/>
        </w:rPr>
        <w:t>项目名称</w:t>
      </w:r>
      <w:r>
        <w:rPr>
          <w:rFonts w:hint="eastAsia" w:ascii="Times New Roman" w:hAnsi="Times New Roman" w:eastAsia="方正黑体简体"/>
          <w:b/>
          <w:spacing w:val="3"/>
          <w:sz w:val="32"/>
          <w:szCs w:val="32"/>
        </w:rPr>
        <w:t xml:space="preserve">： </w:t>
      </w:r>
      <w:r>
        <w:rPr>
          <w:rFonts w:hint="eastAsia" w:ascii="Times New Roman" w:hAnsi="Times New Roman" w:eastAsia="方正黑体简体"/>
          <w:b/>
          <w:sz w:val="32"/>
          <w:szCs w:val="32"/>
          <w:u w:val="single"/>
          <w:lang w:val="en-US" w:eastAsia="zh-CN"/>
        </w:rPr>
        <w:t>2020年度定点招商经费项目</w:t>
      </w:r>
    </w:p>
    <w:p>
      <w:pPr>
        <w:pStyle w:val="4"/>
        <w:spacing w:line="800" w:lineRule="exact"/>
        <w:ind w:firstLine="1269" w:firstLineChars="400"/>
        <w:jc w:val="both"/>
        <w:rPr>
          <w:rFonts w:hint="default" w:ascii="Times New Roman" w:hAnsi="Times New Roman" w:eastAsia="方正黑体简体"/>
          <w:b/>
          <w:sz w:val="32"/>
          <w:szCs w:val="32"/>
          <w:lang w:val="en-US" w:eastAsia="zh-CN"/>
        </w:rPr>
      </w:pPr>
      <w:r>
        <w:rPr>
          <w:rFonts w:hint="eastAsia" w:ascii="Times New Roman" w:hAnsi="Times New Roman" w:eastAsia="方正黑体简体"/>
          <w:b/>
          <w:spacing w:val="-2"/>
          <w:sz w:val="32"/>
          <w:szCs w:val="32"/>
        </w:rPr>
        <w:t xml:space="preserve">项目主管部门： </w:t>
      </w:r>
      <w:r>
        <w:rPr>
          <w:rFonts w:hint="eastAsia" w:ascii="Times New Roman" w:hAnsi="Times New Roman" w:eastAsia="方正黑体简体"/>
          <w:b/>
          <w:sz w:val="32"/>
          <w:szCs w:val="32"/>
          <w:u w:val="single"/>
          <w:lang w:val="en-US" w:eastAsia="zh-CN"/>
        </w:rPr>
        <w:t>泗水县人民政府</w:t>
      </w:r>
    </w:p>
    <w:p>
      <w:pPr>
        <w:pStyle w:val="4"/>
        <w:spacing w:line="800" w:lineRule="exact"/>
        <w:ind w:firstLine="1309" w:firstLineChars="400"/>
        <w:jc w:val="both"/>
        <w:rPr>
          <w:rFonts w:hint="eastAsia" w:ascii="Times New Roman" w:hAnsi="Times New Roman" w:eastAsia="方正黑体简体"/>
          <w:b/>
          <w:sz w:val="32"/>
          <w:szCs w:val="32"/>
        </w:rPr>
      </w:pPr>
      <w:r>
        <w:rPr>
          <w:rFonts w:hint="eastAsia" w:ascii="Times New Roman" w:hAnsi="Times New Roman" w:eastAsia="方正黑体简体"/>
          <w:b/>
          <w:spacing w:val="3"/>
          <w:sz w:val="32"/>
          <w:szCs w:val="32"/>
        </w:rPr>
        <w:t xml:space="preserve">评 价 机 构 ： </w:t>
      </w:r>
      <w:r>
        <w:rPr>
          <w:rFonts w:hint="eastAsia" w:ascii="Times New Roman" w:hAnsi="Times New Roman" w:eastAsia="方正黑体简体"/>
          <w:b/>
          <w:sz w:val="32"/>
          <w:szCs w:val="32"/>
          <w:u w:val="single"/>
          <w:lang w:val="en-US" w:eastAsia="zh-CN"/>
        </w:rPr>
        <w:t>泗水县投资促进中心</w:t>
      </w:r>
    </w:p>
    <w:p>
      <w:pPr>
        <w:widowControl/>
        <w:autoSpaceDE/>
        <w:autoSpaceDN/>
        <w:rPr>
          <w:rFonts w:ascii="Times New Roman" w:hAnsi="Times New Roman" w:cs="Times New Roman"/>
          <w:sz w:val="27"/>
          <w:szCs w:val="20"/>
        </w:rPr>
      </w:pPr>
      <w:r>
        <w:rPr>
          <w:rFonts w:ascii="Times New Roman" w:hAnsi="Times New Roman" w:cs="Times New Roman"/>
          <w:sz w:val="27"/>
        </w:rPr>
        <w:br w:type="page"/>
      </w:r>
    </w:p>
    <w:p>
      <w:pPr>
        <w:pStyle w:val="2"/>
        <w:tabs>
          <w:tab w:val="left" w:pos="1100"/>
        </w:tabs>
        <w:autoSpaceDE/>
        <w:autoSpaceDN/>
        <w:adjustRightInd w:val="0"/>
        <w:snapToGrid w:val="0"/>
        <w:spacing w:line="700" w:lineRule="exact"/>
        <w:rPr>
          <w:rFonts w:hint="eastAsia" w:ascii="Times New Roman" w:hAnsi="Times New Roman" w:eastAsia="方正小标宋简体"/>
        </w:rPr>
      </w:pPr>
    </w:p>
    <w:p>
      <w:pPr>
        <w:pStyle w:val="2"/>
        <w:tabs>
          <w:tab w:val="left" w:pos="1100"/>
        </w:tabs>
        <w:autoSpaceDE/>
        <w:autoSpaceDN/>
        <w:adjustRightInd w:val="0"/>
        <w:snapToGrid w:val="0"/>
        <w:spacing w:line="700" w:lineRule="exact"/>
        <w:rPr>
          <w:rFonts w:hint="eastAsia" w:ascii="Times New Roman" w:hAnsi="Times New Roman" w:eastAsia="方正小标宋简体"/>
        </w:rPr>
      </w:pPr>
      <w:r>
        <w:rPr>
          <w:rFonts w:hint="eastAsia" w:ascii="Times New Roman" w:hAnsi="Times New Roman" w:eastAsia="方正小标宋简体"/>
        </w:rPr>
        <w:t>目      录</w:t>
      </w:r>
    </w:p>
    <w:p>
      <w:pPr>
        <w:spacing w:line="700" w:lineRule="exact"/>
        <w:jc w:val="center"/>
        <w:rPr>
          <w:rFonts w:hint="eastAsia" w:ascii="Times New Roman" w:hAnsi="Times New Roman" w:eastAsia="方正楷体简体" w:cs="Times New Roman"/>
          <w:b/>
          <w:sz w:val="44"/>
          <w:szCs w:val="44"/>
        </w:rPr>
      </w:pPr>
    </w:p>
    <w:p>
      <w:pPr>
        <w:autoSpaceDE/>
        <w:autoSpaceDN/>
        <w:adjustRightInd w:val="0"/>
        <w:snapToGrid w:val="0"/>
        <w:spacing w:line="560" w:lineRule="exact"/>
        <w:jc w:val="center"/>
        <w:rPr>
          <w:rFonts w:hint="eastAsia" w:ascii="Times New Roman" w:hAnsi="Times New Roman" w:eastAsia="方正楷体简体" w:cs="Times New Roman"/>
          <w:b/>
          <w:sz w:val="32"/>
          <w:szCs w:val="32"/>
        </w:rPr>
      </w:pP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rPr>
        <w:t>一、项目基本情况</w:t>
      </w:r>
    </w:p>
    <w:p>
      <w:pPr>
        <w:pStyle w:val="4"/>
        <w:autoSpaceDE/>
        <w:autoSpaceDN/>
        <w:adjustRightInd w:val="0"/>
        <w:snapToGrid w:val="0"/>
        <w:spacing w:line="560" w:lineRule="exact"/>
        <w:ind w:firstLine="643" w:firstLineChars="200"/>
        <w:jc w:val="both"/>
        <w:rPr>
          <w:rFonts w:hint="eastAsia" w:ascii="Times New Roman" w:hAnsi="Times New Roman" w:eastAsia="方正仿宋简体"/>
          <w:b/>
          <w:sz w:val="32"/>
          <w:szCs w:val="32"/>
        </w:rPr>
      </w:pPr>
      <w:r>
        <w:rPr>
          <w:rFonts w:hint="eastAsia" w:ascii="Times New Roman" w:hAnsi="Times New Roman" w:eastAsia="方正仿宋简体"/>
          <w:b/>
          <w:sz w:val="32"/>
          <w:szCs w:val="32"/>
        </w:rPr>
        <w:t>（一）项目立项背景</w:t>
      </w:r>
    </w:p>
    <w:p>
      <w:pPr>
        <w:pStyle w:val="4"/>
        <w:autoSpaceDE/>
        <w:autoSpaceDN/>
        <w:adjustRightInd w:val="0"/>
        <w:snapToGrid w:val="0"/>
        <w:spacing w:line="560" w:lineRule="exact"/>
        <w:ind w:firstLine="643" w:firstLineChars="200"/>
        <w:jc w:val="both"/>
        <w:rPr>
          <w:rFonts w:hint="eastAsia" w:ascii="Times New Roman" w:hAnsi="Times New Roman" w:eastAsia="方正仿宋简体"/>
          <w:b/>
          <w:sz w:val="32"/>
          <w:szCs w:val="32"/>
        </w:rPr>
      </w:pPr>
      <w:r>
        <w:rPr>
          <w:rFonts w:hint="eastAsia" w:ascii="Times New Roman" w:hAnsi="Times New Roman" w:eastAsia="方正仿宋简体"/>
          <w:b/>
          <w:sz w:val="32"/>
          <w:szCs w:val="32"/>
        </w:rPr>
        <w:t>（二）项目预算安排</w:t>
      </w:r>
    </w:p>
    <w:p>
      <w:pPr>
        <w:pStyle w:val="4"/>
        <w:autoSpaceDE/>
        <w:autoSpaceDN/>
        <w:adjustRightInd w:val="0"/>
        <w:snapToGrid w:val="0"/>
        <w:spacing w:line="560" w:lineRule="exact"/>
        <w:ind w:firstLine="643" w:firstLineChars="200"/>
        <w:jc w:val="both"/>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rPr>
        <w:t>（三）项目</w:t>
      </w:r>
      <w:r>
        <w:rPr>
          <w:rFonts w:hint="eastAsia" w:ascii="Times New Roman" w:hAnsi="Times New Roman" w:eastAsia="方正仿宋简体"/>
          <w:b/>
          <w:sz w:val="32"/>
          <w:szCs w:val="32"/>
          <w:lang w:val="en-US" w:eastAsia="zh-CN"/>
        </w:rPr>
        <w:t>计划实施内容</w:t>
      </w:r>
    </w:p>
    <w:p>
      <w:pPr>
        <w:pStyle w:val="4"/>
        <w:autoSpaceDE/>
        <w:autoSpaceDN/>
        <w:adjustRightInd w:val="0"/>
        <w:snapToGrid w:val="0"/>
        <w:spacing w:line="560" w:lineRule="exact"/>
        <w:ind w:firstLine="643" w:firstLineChars="200"/>
        <w:jc w:val="both"/>
        <w:rPr>
          <w:rFonts w:hint="default"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（四）相机组织管理</w:t>
      </w:r>
    </w:p>
    <w:p>
      <w:pPr>
        <w:pStyle w:val="4"/>
        <w:autoSpaceDE/>
        <w:autoSpaceDN/>
        <w:adjustRightInd w:val="0"/>
        <w:snapToGrid w:val="0"/>
        <w:spacing w:line="560" w:lineRule="exact"/>
        <w:ind w:firstLine="643" w:firstLineChars="200"/>
        <w:jc w:val="both"/>
        <w:rPr>
          <w:rFonts w:hint="eastAsia" w:ascii="Times New Roman" w:hAnsi="Times New Roman" w:eastAsia="方正仿宋简体"/>
          <w:b/>
          <w:sz w:val="32"/>
          <w:szCs w:val="32"/>
        </w:rPr>
      </w:pPr>
      <w:r>
        <w:rPr>
          <w:rFonts w:ascii="Times New Roman" w:hAnsi="Times New Roman" w:eastAsia="方正黑体简体"/>
          <w:b/>
          <w:sz w:val="32"/>
          <w:szCs w:val="32"/>
        </w:rPr>
        <w:t>二、项目绩效目标</w:t>
      </w: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r>
        <w:rPr>
          <w:rFonts w:hint="eastAsia" w:ascii="Times New Roman" w:hAnsi="Times New Roman" w:eastAsia="方正黑体简体"/>
          <w:b/>
          <w:sz w:val="32"/>
          <w:szCs w:val="32"/>
          <w:lang w:val="en-US" w:eastAsia="zh-CN"/>
        </w:rPr>
        <w:t>三</w:t>
      </w:r>
      <w:r>
        <w:rPr>
          <w:rFonts w:ascii="Times New Roman" w:hAnsi="Times New Roman" w:eastAsia="方正黑体简体"/>
          <w:b/>
          <w:sz w:val="32"/>
          <w:szCs w:val="32"/>
        </w:rPr>
        <w:t>、绩效评价结论和绩效分析</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lang w:val="en-US" w:eastAsia="zh-CN"/>
        </w:rPr>
      </w:pPr>
      <w:r>
        <w:rPr>
          <w:rFonts w:hint="eastAsia" w:ascii="Times New Roman" w:hAnsi="Times New Roman" w:eastAsia="方正黑体简体"/>
          <w:b/>
          <w:sz w:val="32"/>
          <w:szCs w:val="32"/>
          <w:lang w:val="en-US" w:eastAsia="zh-CN"/>
        </w:rPr>
        <w:t>四、绩效评价指标完成情况及评价分析</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lang w:val="en-US" w:eastAsia="zh-CN"/>
        </w:rPr>
      </w:pPr>
      <w:r>
        <w:rPr>
          <w:rFonts w:hint="eastAsia" w:ascii="Times New Roman" w:hAnsi="Times New Roman" w:eastAsia="方正黑体简体"/>
          <w:b/>
          <w:sz w:val="32"/>
          <w:szCs w:val="32"/>
          <w:lang w:val="en-US" w:eastAsia="zh-CN"/>
        </w:rPr>
        <w:t>（一）产出指标</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lang w:val="en-US" w:eastAsia="zh-CN"/>
        </w:rPr>
      </w:pPr>
      <w:r>
        <w:rPr>
          <w:rFonts w:hint="eastAsia" w:ascii="Times New Roman" w:hAnsi="Times New Roman" w:eastAsia="方正黑体简体"/>
          <w:b/>
          <w:sz w:val="32"/>
          <w:szCs w:val="32"/>
          <w:lang w:val="en-US" w:eastAsia="zh-CN"/>
        </w:rPr>
        <w:t>（二）效益指标</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lang w:val="en-US" w:eastAsia="zh-CN"/>
        </w:rPr>
      </w:pPr>
      <w:r>
        <w:rPr>
          <w:rFonts w:hint="eastAsia" w:ascii="Times New Roman" w:hAnsi="Times New Roman" w:eastAsia="方正黑体简体"/>
          <w:b/>
          <w:sz w:val="32"/>
          <w:szCs w:val="32"/>
          <w:lang w:val="en-US" w:eastAsia="zh-CN"/>
        </w:rPr>
        <w:t>（三）满意度指标</w:t>
      </w:r>
    </w:p>
    <w:p>
      <w:pPr>
        <w:pStyle w:val="4"/>
        <w:autoSpaceDE/>
        <w:autoSpaceDN/>
        <w:adjustRightInd w:val="0"/>
        <w:snapToGrid w:val="0"/>
        <w:spacing w:line="560" w:lineRule="exact"/>
        <w:ind w:firstLine="643" w:firstLineChars="200"/>
        <w:jc w:val="both"/>
        <w:rPr>
          <w:rFonts w:hint="default" w:ascii="Times New Roman" w:hAnsi="Times New Roman" w:eastAsia="方正黑体简体"/>
          <w:b/>
          <w:sz w:val="32"/>
          <w:szCs w:val="32"/>
          <w:lang w:val="en-US" w:eastAsia="zh-CN"/>
        </w:rPr>
      </w:pPr>
      <w:r>
        <w:rPr>
          <w:rFonts w:hint="eastAsia" w:ascii="Times New Roman" w:hAnsi="Times New Roman" w:eastAsia="方正黑体简体"/>
          <w:b/>
          <w:sz w:val="32"/>
          <w:szCs w:val="32"/>
          <w:lang w:val="en-US" w:eastAsia="zh-CN"/>
        </w:rPr>
        <w:t>五、项目主要经验做法</w:t>
      </w: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r>
        <w:rPr>
          <w:rFonts w:hint="eastAsia" w:ascii="Times New Roman" w:hAnsi="Times New Roman" w:eastAsia="方正黑体简体"/>
          <w:b/>
          <w:sz w:val="32"/>
          <w:szCs w:val="32"/>
          <w:lang w:val="en-US" w:eastAsia="zh-CN"/>
        </w:rPr>
        <w:t>六</w:t>
      </w:r>
      <w:r>
        <w:rPr>
          <w:rFonts w:ascii="Times New Roman" w:hAnsi="Times New Roman" w:eastAsia="方正黑体简体"/>
          <w:b/>
          <w:sz w:val="32"/>
          <w:szCs w:val="32"/>
        </w:rPr>
        <w:t>、存在问题及原因分析</w:t>
      </w: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r>
        <w:rPr>
          <w:rFonts w:hint="eastAsia" w:ascii="Times New Roman" w:hAnsi="Times New Roman" w:eastAsia="方正黑体简体"/>
          <w:b/>
          <w:sz w:val="32"/>
          <w:szCs w:val="32"/>
          <w:lang w:val="en-US" w:eastAsia="zh-CN"/>
        </w:rPr>
        <w:t>七</w:t>
      </w:r>
      <w:r>
        <w:rPr>
          <w:rFonts w:ascii="Times New Roman" w:hAnsi="Times New Roman" w:eastAsia="方正黑体简体"/>
          <w:b/>
          <w:sz w:val="32"/>
          <w:szCs w:val="32"/>
        </w:rPr>
        <w:t>、有关建议</w:t>
      </w: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p>
    <w:p>
      <w:pPr>
        <w:pStyle w:val="2"/>
        <w:autoSpaceDE/>
        <w:autoSpaceDN/>
        <w:adjustRightInd w:val="0"/>
        <w:snapToGrid w:val="0"/>
        <w:spacing w:line="700" w:lineRule="exact"/>
        <w:rPr>
          <w:rFonts w:ascii="Times New Roman" w:hAnsi="Times New Roman" w:eastAsia="方正小标宋简体"/>
          <w:szCs w:val="32"/>
        </w:rPr>
      </w:pPr>
    </w:p>
    <w:p>
      <w:pPr>
        <w:pStyle w:val="4"/>
        <w:autoSpaceDE/>
        <w:autoSpaceDN/>
        <w:adjustRightInd w:val="0"/>
        <w:snapToGrid w:val="0"/>
        <w:spacing w:line="700" w:lineRule="exact"/>
        <w:jc w:val="center"/>
        <w:rPr>
          <w:rFonts w:ascii="Times New Roman" w:hAnsi="Times New Roman" w:eastAsia="仿宋_GB2312"/>
          <w:b/>
          <w:sz w:val="32"/>
          <w:szCs w:val="32"/>
        </w:rPr>
      </w:pP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一、项目基本情况</w:t>
      </w:r>
    </w:p>
    <w:p>
      <w:pPr>
        <w:pStyle w:val="4"/>
        <w:autoSpaceDE/>
        <w:autoSpaceDN/>
        <w:adjustRightInd w:val="0"/>
        <w:snapToGrid w:val="0"/>
        <w:spacing w:line="580" w:lineRule="exact"/>
        <w:ind w:firstLine="643" w:firstLineChars="200"/>
        <w:jc w:val="both"/>
        <w:rPr>
          <w:rFonts w:hint="eastAsia" w:ascii="Times New Roman" w:hAnsi="Times New Roman" w:eastAsia="方正楷体简体"/>
          <w:b/>
          <w:sz w:val="32"/>
          <w:szCs w:val="32"/>
        </w:rPr>
      </w:pPr>
      <w:r>
        <w:rPr>
          <w:rFonts w:hint="eastAsia" w:ascii="Times New Roman" w:hAnsi="Times New Roman" w:eastAsia="方正楷体简体"/>
          <w:b/>
          <w:sz w:val="32"/>
          <w:szCs w:val="32"/>
        </w:rPr>
        <w:t>（一）项目立项。</w:t>
      </w:r>
    </w:p>
    <w:p>
      <w:pPr>
        <w:adjustRightInd w:val="0"/>
        <w:snapToGrid w:val="0"/>
        <w:spacing w:line="590" w:lineRule="exact"/>
        <w:ind w:firstLine="640" w:firstLineChars="200"/>
        <w:rPr>
          <w:rFonts w:eastAsia="仿宋_GB2312"/>
          <w:snapToGrid w:val="0"/>
          <w:sz w:val="32"/>
          <w:szCs w:val="32"/>
          <w:lang w:val="en-US"/>
        </w:rPr>
      </w:pPr>
      <w:r>
        <w:rPr>
          <w:rFonts w:hint="eastAsia" w:eastAsia="仿宋_GB2312"/>
          <w:snapToGrid w:val="0"/>
          <w:sz w:val="32"/>
          <w:szCs w:val="32"/>
          <w:lang w:val="en-US"/>
        </w:rPr>
        <w:t>招商引资是经济社会发展的助推器，是省市县各级抓经济建设、促产业发展、搞城乡建设的重要抓手，近几年来，我县大力加强招商引资，全县经济社会、城乡面貌、产业转型、园区建设等均取得了重大发展，随着国家“</w:t>
      </w:r>
      <w:bookmarkStart w:id="0" w:name="_GoBack"/>
      <w:r>
        <w:rPr>
          <w:rFonts w:hint="eastAsia" w:eastAsia="仿宋_GB2312"/>
          <w:snapToGrid w:val="0"/>
          <w:sz w:val="32"/>
          <w:szCs w:val="32"/>
          <w:lang w:val="en-US"/>
        </w:rPr>
        <w:t>一带一路</w:t>
      </w:r>
      <w:bookmarkEnd w:id="0"/>
      <w:r>
        <w:rPr>
          <w:rFonts w:hint="eastAsia" w:eastAsia="仿宋_GB2312"/>
          <w:snapToGrid w:val="0"/>
          <w:sz w:val="32"/>
          <w:szCs w:val="32"/>
          <w:lang w:val="en-US"/>
        </w:rPr>
        <w:t>”</w:t>
      </w:r>
      <w:r>
        <w:rPr>
          <w:rFonts w:hint="eastAsia" w:eastAsia="仿宋_GB2312"/>
          <w:snapToGrid w:val="0"/>
          <w:sz w:val="32"/>
          <w:szCs w:val="32"/>
          <w:lang w:val="en-US" w:eastAsia="zh-CN"/>
        </w:rPr>
        <w:t>倡议</w:t>
      </w:r>
      <w:r>
        <w:rPr>
          <w:rFonts w:hint="eastAsia" w:eastAsia="仿宋_GB2312"/>
          <w:snapToGrid w:val="0"/>
          <w:sz w:val="32"/>
          <w:szCs w:val="32"/>
          <w:lang w:val="en-US"/>
        </w:rPr>
        <w:t>的实施，为继续做好我县招商引资工作，保障招商引资项目包装、推介宣传、外出招商、代理招商、重大项目前期、日常洽谈接待、招商业务培训等工作开展以及招商奖惩工作机制的有效落实，确保2020年招商引资各项工作顺利实施和落实，特制定本项目。</w:t>
      </w:r>
    </w:p>
    <w:p>
      <w:pPr>
        <w:pStyle w:val="4"/>
        <w:autoSpaceDE/>
        <w:autoSpaceDN/>
        <w:adjustRightInd w:val="0"/>
        <w:snapToGrid w:val="0"/>
        <w:spacing w:line="580" w:lineRule="exact"/>
        <w:ind w:firstLine="643" w:firstLineChars="200"/>
        <w:jc w:val="both"/>
        <w:rPr>
          <w:rFonts w:hint="eastAsia" w:ascii="Times New Roman" w:hAnsi="Times New Roman" w:eastAsia="方正楷体简体"/>
          <w:b/>
          <w:sz w:val="32"/>
          <w:szCs w:val="32"/>
        </w:rPr>
      </w:pPr>
      <w:r>
        <w:rPr>
          <w:rFonts w:hint="eastAsia" w:ascii="Times New Roman" w:hAnsi="Times New Roman" w:eastAsia="方正楷体简体"/>
          <w:b/>
          <w:sz w:val="32"/>
          <w:szCs w:val="32"/>
        </w:rPr>
        <w:t>（二）项目预算。</w:t>
      </w:r>
    </w:p>
    <w:p>
      <w:pPr>
        <w:snapToGrid w:val="0"/>
        <w:spacing w:line="590" w:lineRule="exact"/>
        <w:ind w:firstLine="640" w:firstLineChars="200"/>
        <w:jc w:val="both"/>
        <w:rPr>
          <w:rFonts w:hint="eastAsia" w:eastAsia="仿宋_GB2312"/>
          <w:snapToGrid w:val="0"/>
          <w:sz w:val="32"/>
          <w:szCs w:val="32"/>
          <w:lang w:val="en-US" w:eastAsia="zh-CN"/>
        </w:rPr>
      </w:pPr>
      <w:r>
        <w:rPr>
          <w:rFonts w:hint="eastAsia" w:eastAsia="仿宋_GB2312"/>
          <w:snapToGrid w:val="0"/>
          <w:sz w:val="32"/>
          <w:szCs w:val="32"/>
          <w:lang w:val="en-US"/>
        </w:rPr>
        <w:t>项目数1个，预算总金额</w:t>
      </w:r>
      <w:r>
        <w:rPr>
          <w:rFonts w:hint="eastAsia" w:eastAsia="仿宋_GB2312"/>
          <w:snapToGrid w:val="0"/>
          <w:sz w:val="32"/>
          <w:szCs w:val="32"/>
          <w:lang w:val="en-US" w:eastAsia="zh-CN"/>
        </w:rPr>
        <w:t>290</w:t>
      </w:r>
      <w:r>
        <w:rPr>
          <w:rFonts w:hint="eastAsia" w:eastAsia="仿宋_GB2312"/>
          <w:snapToGrid w:val="0"/>
          <w:sz w:val="32"/>
          <w:szCs w:val="32"/>
          <w:lang w:val="en-US"/>
        </w:rPr>
        <w:t>万元。</w:t>
      </w:r>
      <w:r>
        <w:rPr>
          <w:rFonts w:hint="eastAsia" w:eastAsia="仿宋_GB2312"/>
          <w:snapToGrid w:val="0"/>
          <w:sz w:val="32"/>
          <w:szCs w:val="32"/>
          <w:lang w:val="en-US" w:eastAsia="zh-CN"/>
        </w:rPr>
        <w:t>包括参加外出招商活动，参加展会、打印招商材料和手册，接待来访客商等各种费用。</w:t>
      </w:r>
    </w:p>
    <w:p>
      <w:pPr>
        <w:snapToGrid w:val="0"/>
        <w:spacing w:line="590" w:lineRule="exact"/>
        <w:ind w:firstLine="643" w:firstLineChars="200"/>
        <w:jc w:val="both"/>
        <w:rPr>
          <w:rFonts w:hint="eastAsia" w:ascii="Times New Roman" w:hAnsi="Times New Roman" w:eastAsia="方正楷体简体"/>
          <w:b/>
          <w:sz w:val="32"/>
          <w:szCs w:val="32"/>
        </w:rPr>
      </w:pPr>
      <w:r>
        <w:rPr>
          <w:rFonts w:hint="eastAsia" w:ascii="Times New Roman" w:hAnsi="Times New Roman" w:eastAsia="方正楷体简体"/>
          <w:b/>
          <w:sz w:val="32"/>
          <w:szCs w:val="32"/>
        </w:rPr>
        <w:t>（三）项目计划实施内容。</w:t>
      </w:r>
    </w:p>
    <w:p>
      <w:pPr>
        <w:pStyle w:val="4"/>
        <w:autoSpaceDE/>
        <w:autoSpaceDN/>
        <w:adjustRightInd w:val="0"/>
        <w:snapToGrid w:val="0"/>
        <w:spacing w:line="580" w:lineRule="exact"/>
        <w:ind w:firstLine="640" w:firstLineChars="200"/>
        <w:jc w:val="both"/>
        <w:rPr>
          <w:rFonts w:hint="default" w:ascii="宋体" w:hAnsi="宋体" w:eastAsia="仿宋_GB2312" w:cs="宋体"/>
          <w:snapToGrid w:val="0"/>
          <w:sz w:val="32"/>
          <w:szCs w:val="32"/>
          <w:lang w:val="en-US" w:eastAsia="zh-CN" w:bidi="ar-SA"/>
        </w:rPr>
      </w:pPr>
      <w:r>
        <w:rPr>
          <w:rFonts w:hint="eastAsia" w:ascii="宋体" w:hAnsi="宋体" w:eastAsia="仿宋_GB2312" w:cs="宋体"/>
          <w:snapToGrid w:val="0"/>
          <w:sz w:val="32"/>
          <w:szCs w:val="32"/>
          <w:lang w:val="en-US" w:eastAsia="zh-CN" w:bidi="ar-SA"/>
        </w:rPr>
        <w:t>抽调精兵强将充实到指挥部集中办公，共组建4个专班组、5个区域办</w:t>
      </w:r>
      <w:r>
        <w:rPr>
          <w:rFonts w:hint="eastAsia" w:eastAsia="仿宋_GB2312" w:cs="宋体"/>
          <w:snapToGrid w:val="0"/>
          <w:sz w:val="32"/>
          <w:szCs w:val="32"/>
          <w:lang w:val="en-US" w:eastAsia="zh-CN" w:bidi="ar-SA"/>
        </w:rPr>
        <w:t>，集中精力专攻招商。</w:t>
      </w:r>
    </w:p>
    <w:p>
      <w:pPr>
        <w:pStyle w:val="4"/>
        <w:autoSpaceDE/>
        <w:autoSpaceDN/>
        <w:adjustRightInd w:val="0"/>
        <w:snapToGrid w:val="0"/>
        <w:spacing w:line="580" w:lineRule="exact"/>
        <w:ind w:firstLine="643" w:firstLineChars="200"/>
        <w:jc w:val="both"/>
        <w:rPr>
          <w:rFonts w:hint="eastAsia" w:ascii="Times New Roman" w:hAnsi="Times New Roman" w:eastAsia="方正楷体简体"/>
          <w:b/>
          <w:sz w:val="32"/>
          <w:szCs w:val="32"/>
        </w:rPr>
      </w:pPr>
      <w:r>
        <w:rPr>
          <w:rFonts w:hint="eastAsia" w:ascii="Times New Roman" w:hAnsi="Times New Roman" w:eastAsia="方正楷体简体"/>
          <w:b/>
          <w:sz w:val="32"/>
          <w:szCs w:val="32"/>
        </w:rPr>
        <w:t>（四）项目组织管理。</w:t>
      </w:r>
    </w:p>
    <w:p>
      <w:pPr>
        <w:pStyle w:val="4"/>
        <w:autoSpaceDE/>
        <w:autoSpaceDN/>
        <w:adjustRightInd w:val="0"/>
        <w:snapToGrid w:val="0"/>
        <w:spacing w:line="560" w:lineRule="exact"/>
        <w:ind w:firstLine="640" w:firstLineChars="200"/>
        <w:jc w:val="both"/>
        <w:rPr>
          <w:rFonts w:hint="eastAsia" w:eastAsia="仿宋_GB2312"/>
          <w:snapToGrid w:val="0"/>
          <w:sz w:val="32"/>
          <w:szCs w:val="32"/>
          <w:lang w:val="en-US"/>
        </w:rPr>
      </w:pPr>
      <w:r>
        <w:rPr>
          <w:rFonts w:hint="eastAsia" w:eastAsia="仿宋_GB2312"/>
          <w:snapToGrid w:val="0"/>
          <w:sz w:val="32"/>
          <w:szCs w:val="32"/>
          <w:lang w:val="en-US"/>
        </w:rPr>
        <w:t>根据项目需求与项目预算匹配、由泗水县投资促进中心和全县各任务部门组织项目实施，项目资金拨付由县财政统一拨付至县各单位预算账户。</w:t>
      </w:r>
    </w:p>
    <w:p>
      <w:pPr>
        <w:pStyle w:val="4"/>
        <w:autoSpaceDE/>
        <w:autoSpaceDN/>
        <w:adjustRightInd w:val="0"/>
        <w:snapToGrid w:val="0"/>
        <w:spacing w:line="560" w:lineRule="exact"/>
        <w:ind w:firstLine="643" w:firstLineChars="200"/>
        <w:jc w:val="both"/>
        <w:rPr>
          <w:rFonts w:ascii="Times New Roman" w:hAnsi="Times New Roman" w:eastAsia="方正黑体简体"/>
          <w:b/>
          <w:sz w:val="32"/>
          <w:szCs w:val="32"/>
        </w:rPr>
      </w:pPr>
      <w:r>
        <w:rPr>
          <w:rFonts w:ascii="Times New Roman" w:hAnsi="Times New Roman" w:eastAsia="方正黑体简体"/>
          <w:b/>
          <w:sz w:val="32"/>
          <w:szCs w:val="32"/>
        </w:rPr>
        <w:t>二、项目绩效目标</w:t>
      </w:r>
    </w:p>
    <w:p>
      <w:pPr>
        <w:pStyle w:val="4"/>
        <w:autoSpaceDE/>
        <w:autoSpaceDN/>
        <w:adjustRightInd w:val="0"/>
        <w:snapToGrid w:val="0"/>
        <w:spacing w:line="560" w:lineRule="exact"/>
        <w:ind w:firstLine="640" w:firstLineChars="200"/>
        <w:jc w:val="both"/>
        <w:rPr>
          <w:rFonts w:hint="eastAsia" w:ascii="Times New Roman" w:hAnsi="Times New Roman" w:eastAsia="方正仿宋简体"/>
          <w:b/>
          <w:sz w:val="32"/>
          <w:szCs w:val="32"/>
        </w:rPr>
      </w:pPr>
      <w:r>
        <w:rPr>
          <w:rFonts w:hint="eastAsia" w:eastAsia="仿宋_GB2312"/>
          <w:snapToGrid w:val="0"/>
          <w:sz w:val="32"/>
          <w:szCs w:val="32"/>
          <w:lang w:val="en-US"/>
        </w:rPr>
        <w:t>每个工作专班至少落地1个亿元以上产业项目；每个区域办至少落地1个亿元以上产业项目，提供10条有价值的信息。</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lang w:val="en-US" w:eastAsia="zh-CN"/>
        </w:rPr>
        <w:t>三</w:t>
      </w:r>
      <w:r>
        <w:rPr>
          <w:rFonts w:hint="eastAsia" w:ascii="Times New Roman" w:hAnsi="Times New Roman" w:eastAsia="方正黑体简体"/>
          <w:b/>
          <w:sz w:val="32"/>
          <w:szCs w:val="32"/>
        </w:rPr>
        <w:t>、</w:t>
      </w:r>
      <w:r>
        <w:rPr>
          <w:rFonts w:hint="eastAsia" w:ascii="Times New Roman" w:hAnsi="Times New Roman" w:eastAsia="方正黑体简体"/>
          <w:b/>
          <w:sz w:val="32"/>
          <w:szCs w:val="32"/>
          <w:lang w:val="en-US" w:eastAsia="zh-CN"/>
        </w:rPr>
        <w:t>绩效</w:t>
      </w:r>
      <w:r>
        <w:rPr>
          <w:rFonts w:hint="eastAsia" w:ascii="Times New Roman" w:hAnsi="Times New Roman" w:eastAsia="方正黑体简体"/>
          <w:b/>
          <w:sz w:val="32"/>
          <w:szCs w:val="32"/>
        </w:rPr>
        <w:t>评价结论及分析</w:t>
      </w:r>
    </w:p>
    <w:p>
      <w:pPr>
        <w:pStyle w:val="4"/>
        <w:adjustRightInd w:val="0"/>
        <w:snapToGrid w:val="0"/>
        <w:spacing w:line="580" w:lineRule="exact"/>
        <w:ind w:firstLine="640" w:firstLineChars="200"/>
        <w:jc w:val="both"/>
        <w:rPr>
          <w:rFonts w:hint="eastAsia" w:eastAsia="仿宋_GB2312" w:cs="宋体"/>
          <w:snapToGrid w:val="0"/>
          <w:sz w:val="32"/>
          <w:szCs w:val="32"/>
          <w:lang w:val="en-US"/>
        </w:rPr>
      </w:pPr>
      <w:r>
        <w:rPr>
          <w:rFonts w:hint="eastAsia" w:eastAsia="仿宋_GB2312" w:cs="宋体"/>
          <w:snapToGrid w:val="0"/>
          <w:sz w:val="32"/>
          <w:szCs w:val="32"/>
          <w:lang w:val="en-US"/>
        </w:rPr>
        <w:t>（</w:t>
      </w:r>
      <w:r>
        <w:rPr>
          <w:rFonts w:hint="eastAsia" w:eastAsia="仿宋_GB2312" w:cs="宋体"/>
          <w:snapToGrid w:val="0"/>
          <w:sz w:val="32"/>
          <w:szCs w:val="32"/>
          <w:lang w:val="en-US" w:eastAsia="zh-CN"/>
        </w:rPr>
        <w:t>一</w:t>
      </w:r>
      <w:r>
        <w:rPr>
          <w:rFonts w:hint="eastAsia" w:eastAsia="仿宋_GB2312" w:cs="宋体"/>
          <w:snapToGrid w:val="0"/>
          <w:sz w:val="32"/>
          <w:szCs w:val="32"/>
          <w:lang w:val="en-US"/>
        </w:rPr>
        <w:t>）内资。1-11月，省“十强”内资到位资金30.65亿元，完成全年任务的139.32%，按任务完成率排名列全市第六位。500强项目。根据考核办法判断，目前我县已达到考核标准的500强项目8个：华能生物质热电联产项目、中联水泥水泥磨产能转移项目、新希望集团养殖项目、水发达丰废钢资源再生项目、济宁海中项目、圣锦文化农业产业示范园项目、海螺集团智慧能源项目、新希望集团百福水产饲料项目，年底争取实现8个500强项目达到加分标准。</w:t>
      </w:r>
    </w:p>
    <w:p>
      <w:pPr>
        <w:pStyle w:val="4"/>
        <w:adjustRightInd w:val="0"/>
        <w:snapToGrid w:val="0"/>
        <w:spacing w:line="580" w:lineRule="exact"/>
        <w:ind w:firstLine="640" w:firstLineChars="200"/>
        <w:jc w:val="both"/>
        <w:rPr>
          <w:rFonts w:hint="eastAsia" w:ascii="Times New Roman" w:hAnsi="Times New Roman" w:eastAsia="方正黑体简体"/>
          <w:b/>
          <w:sz w:val="32"/>
          <w:szCs w:val="32"/>
        </w:rPr>
      </w:pPr>
      <w:r>
        <w:rPr>
          <w:rFonts w:hint="eastAsia" w:eastAsia="仿宋_GB2312" w:cs="宋体"/>
          <w:snapToGrid w:val="0"/>
          <w:sz w:val="32"/>
          <w:szCs w:val="32"/>
          <w:lang w:val="en-US"/>
        </w:rPr>
        <w:t>（</w:t>
      </w:r>
      <w:r>
        <w:rPr>
          <w:rFonts w:hint="eastAsia" w:eastAsia="仿宋_GB2312" w:cs="宋体"/>
          <w:snapToGrid w:val="0"/>
          <w:sz w:val="32"/>
          <w:szCs w:val="32"/>
          <w:lang w:val="en-US" w:eastAsia="zh-CN"/>
        </w:rPr>
        <w:t>二</w:t>
      </w:r>
      <w:r>
        <w:rPr>
          <w:rFonts w:hint="eastAsia" w:eastAsia="仿宋_GB2312" w:cs="宋体"/>
          <w:snapToGrid w:val="0"/>
          <w:sz w:val="32"/>
          <w:szCs w:val="32"/>
          <w:lang w:val="en-US"/>
        </w:rPr>
        <w:t>）外资。2020年度完成外资到位资金2300万美元，完成全县任务目标的115%。加大外资企业对接力度，8月，在青岛举办泗水（青岛）韩资企业交流会，邀请青岛朝鲜族企业家协会、青岛东海消防装备有限公司、青岛天泰饮乐多食品有限公司等16家企业和协会参会。9月，拜访了青岛饮乐多食品有限公司、青岛东海消防有限公司、青岛食品有限公司、青岛龙得云长寿米酒有限公司，洽谈对接合作事宜。9月25日，赴潍坊参加中日韩中小企业对接会及中日韩智能制造项目对接会；力促亲亲食品山东生产基地项目外资增资，共到位外资1100万美元；碧桂园房地产开发项目10月22日到位外资1200万美元。</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lang w:val="en-US" w:eastAsia="zh-CN"/>
        </w:rPr>
        <w:t>四</w:t>
      </w:r>
      <w:r>
        <w:rPr>
          <w:rFonts w:hint="eastAsia" w:ascii="Times New Roman" w:hAnsi="Times New Roman" w:eastAsia="方正黑体简体"/>
          <w:b/>
          <w:sz w:val="32"/>
          <w:szCs w:val="32"/>
        </w:rPr>
        <w:t>、绩效评价指标</w:t>
      </w:r>
      <w:r>
        <w:rPr>
          <w:rFonts w:hint="eastAsia" w:ascii="Times New Roman" w:hAnsi="Times New Roman" w:eastAsia="方正黑体简体"/>
          <w:b/>
          <w:sz w:val="32"/>
          <w:szCs w:val="32"/>
          <w:lang w:val="en-US" w:eastAsia="zh-CN"/>
        </w:rPr>
        <w:t>完成情况及评价</w:t>
      </w:r>
      <w:r>
        <w:rPr>
          <w:rFonts w:hint="eastAsia" w:ascii="Times New Roman" w:hAnsi="Times New Roman" w:eastAsia="方正黑体简体"/>
          <w:b/>
          <w:sz w:val="32"/>
          <w:szCs w:val="32"/>
        </w:rPr>
        <w:t>分析</w:t>
      </w:r>
    </w:p>
    <w:p>
      <w:pPr>
        <w:pStyle w:val="4"/>
        <w:numPr>
          <w:ilvl w:val="0"/>
          <w:numId w:val="0"/>
        </w:numPr>
        <w:autoSpaceDE/>
        <w:autoSpaceDN/>
        <w:adjustRightInd w:val="0"/>
        <w:snapToGrid w:val="0"/>
        <w:spacing w:line="580" w:lineRule="exact"/>
        <w:ind w:leftChars="200"/>
        <w:jc w:val="both"/>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rPr>
        <w:t>（一）</w:t>
      </w:r>
      <w:r>
        <w:rPr>
          <w:rFonts w:hint="eastAsia" w:ascii="Times New Roman" w:hAnsi="Times New Roman" w:eastAsia="方正仿宋简体"/>
          <w:b/>
          <w:sz w:val="32"/>
          <w:szCs w:val="32"/>
          <w:lang w:val="en-US" w:eastAsia="zh-CN"/>
        </w:rPr>
        <w:t>产出指标</w:t>
      </w:r>
    </w:p>
    <w:p>
      <w:pPr>
        <w:pStyle w:val="4"/>
        <w:numPr>
          <w:ilvl w:val="0"/>
          <w:numId w:val="0"/>
        </w:numPr>
        <w:autoSpaceDE/>
        <w:autoSpaceDN/>
        <w:adjustRightInd w:val="0"/>
        <w:snapToGrid w:val="0"/>
        <w:spacing w:line="580" w:lineRule="exact"/>
        <w:ind w:leftChars="200" w:firstLine="320" w:firstLineChars="100"/>
        <w:jc w:val="both"/>
        <w:rPr>
          <w:rFonts w:hint="eastAsia" w:eastAsia="仿宋_GB2312" w:cs="宋体"/>
          <w:bCs/>
          <w:snapToGrid w:val="0"/>
          <w:sz w:val="32"/>
          <w:szCs w:val="32"/>
          <w:lang w:val="en-US" w:eastAsia="zh-CN" w:bidi="ar-SA"/>
        </w:rPr>
      </w:pPr>
      <w:r>
        <w:rPr>
          <w:rFonts w:hint="eastAsia" w:ascii="宋体" w:hAnsi="宋体" w:eastAsia="仿宋_GB2312" w:cs="宋体"/>
          <w:bCs/>
          <w:snapToGrid w:val="0"/>
          <w:sz w:val="32"/>
          <w:szCs w:val="32"/>
          <w:lang w:val="en-US" w:eastAsia="zh-CN" w:bidi="ar-SA"/>
        </w:rPr>
        <w:t>数量指标</w:t>
      </w:r>
      <w:r>
        <w:rPr>
          <w:rFonts w:hint="eastAsia" w:eastAsia="仿宋_GB2312" w:cs="宋体"/>
          <w:bCs/>
          <w:snapToGrid w:val="0"/>
          <w:sz w:val="32"/>
          <w:szCs w:val="32"/>
          <w:lang w:val="en-US" w:eastAsia="zh-CN" w:bidi="ar-SA"/>
        </w:rPr>
        <w:t>：亿元以上合同项目22个，其中1-5亿元项</w:t>
      </w:r>
    </w:p>
    <w:p>
      <w:pPr>
        <w:pStyle w:val="4"/>
        <w:numPr>
          <w:ilvl w:val="0"/>
          <w:numId w:val="0"/>
        </w:numPr>
        <w:autoSpaceDE/>
        <w:autoSpaceDN/>
        <w:adjustRightInd w:val="0"/>
        <w:snapToGrid w:val="0"/>
        <w:spacing w:line="580" w:lineRule="exact"/>
        <w:jc w:val="both"/>
        <w:rPr>
          <w:rFonts w:hint="default" w:ascii="宋体" w:hAnsi="宋体" w:eastAsia="仿宋_GB2312" w:cs="宋体"/>
          <w:bCs/>
          <w:snapToGrid w:val="0"/>
          <w:sz w:val="32"/>
          <w:szCs w:val="32"/>
          <w:lang w:val="en-US" w:eastAsia="zh-CN" w:bidi="ar-SA"/>
        </w:rPr>
      </w:pPr>
      <w:r>
        <w:rPr>
          <w:rFonts w:hint="eastAsia" w:eastAsia="仿宋_GB2312" w:cs="宋体"/>
          <w:bCs/>
          <w:snapToGrid w:val="0"/>
          <w:sz w:val="32"/>
          <w:szCs w:val="32"/>
          <w:lang w:val="en-US" w:eastAsia="zh-CN" w:bidi="ar-SA"/>
        </w:rPr>
        <w:t>目14个，5-10亿元项目4个，10亿元以上项目4个；省“十强”内资到位资金30.65亿元，完成全年任务的139.32%，按任务完成率排名列全市第六位；到位外资2300万美元（全县任务2000万美元）。</w:t>
      </w:r>
    </w:p>
    <w:p>
      <w:pPr>
        <w:pStyle w:val="4"/>
        <w:numPr>
          <w:ilvl w:val="0"/>
          <w:numId w:val="3"/>
        </w:numPr>
        <w:autoSpaceDE/>
        <w:autoSpaceDN/>
        <w:adjustRightInd w:val="0"/>
        <w:snapToGrid w:val="0"/>
        <w:spacing w:line="580" w:lineRule="exact"/>
        <w:ind w:leftChars="200"/>
        <w:jc w:val="both"/>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效益指标</w:t>
      </w:r>
    </w:p>
    <w:p>
      <w:pPr>
        <w:pStyle w:val="4"/>
        <w:numPr>
          <w:ilvl w:val="0"/>
          <w:numId w:val="0"/>
        </w:numPr>
        <w:autoSpaceDE/>
        <w:autoSpaceDN/>
        <w:adjustRightInd w:val="0"/>
        <w:snapToGrid w:val="0"/>
        <w:spacing w:line="580" w:lineRule="exact"/>
        <w:ind w:firstLine="640" w:firstLineChars="200"/>
        <w:jc w:val="both"/>
        <w:rPr>
          <w:rFonts w:hint="eastAsia" w:ascii="Times New Roman" w:hAnsi="Times New Roman" w:eastAsia="方正仿宋简体"/>
          <w:b/>
          <w:sz w:val="32"/>
          <w:szCs w:val="32"/>
          <w:lang w:val="en-US" w:eastAsia="zh-CN"/>
        </w:rPr>
      </w:pPr>
      <w:r>
        <w:rPr>
          <w:rFonts w:hint="eastAsia" w:eastAsia="仿宋_GB2312" w:cs="宋体"/>
          <w:bCs/>
          <w:snapToGrid w:val="0"/>
          <w:sz w:val="32"/>
          <w:szCs w:val="32"/>
          <w:lang w:val="en-US" w:eastAsia="zh-CN" w:bidi="ar-SA"/>
        </w:rPr>
        <w:t>新建项目建成全部投产后预计可实现税收3.6亿元；实现“十强”产业项目内资到位总额40亿元。</w:t>
      </w:r>
    </w:p>
    <w:p>
      <w:pPr>
        <w:pStyle w:val="4"/>
        <w:numPr>
          <w:ilvl w:val="0"/>
          <w:numId w:val="0"/>
        </w:numPr>
        <w:autoSpaceDE/>
        <w:autoSpaceDN/>
        <w:adjustRightInd w:val="0"/>
        <w:snapToGrid w:val="0"/>
        <w:spacing w:line="580" w:lineRule="exact"/>
        <w:ind w:leftChars="200"/>
        <w:jc w:val="both"/>
        <w:rPr>
          <w:rFonts w:hint="default"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（三）满意度指标</w:t>
      </w:r>
    </w:p>
    <w:p>
      <w:pPr>
        <w:pStyle w:val="4"/>
        <w:numPr>
          <w:ilvl w:val="0"/>
          <w:numId w:val="0"/>
        </w:numPr>
        <w:autoSpaceDE/>
        <w:autoSpaceDN/>
        <w:adjustRightInd w:val="0"/>
        <w:snapToGrid w:val="0"/>
        <w:spacing w:line="580" w:lineRule="exact"/>
        <w:ind w:firstLine="640" w:firstLineChars="200"/>
        <w:jc w:val="both"/>
        <w:rPr>
          <w:rFonts w:hint="eastAsia" w:eastAsia="仿宋_GB2312" w:cs="宋体"/>
          <w:bCs/>
          <w:snapToGrid w:val="0"/>
          <w:sz w:val="32"/>
          <w:szCs w:val="32"/>
          <w:lang w:val="en-US" w:eastAsia="zh-CN" w:bidi="ar-SA"/>
        </w:rPr>
      </w:pPr>
      <w:r>
        <w:rPr>
          <w:rFonts w:hint="eastAsia" w:eastAsia="仿宋_GB2312" w:cs="宋体"/>
          <w:bCs/>
          <w:snapToGrid w:val="0"/>
          <w:sz w:val="32"/>
          <w:szCs w:val="32"/>
          <w:lang w:val="en-US" w:eastAsia="zh-CN" w:bidi="ar-SA"/>
        </w:rPr>
        <w:t>明确与人靠上服务，确保项目在谈、签约、落地全过程 都有与人负责跟踪服务，切实营造“亲商、安商”的发展环 境。</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lang w:val="en-US" w:eastAsia="zh-CN"/>
        </w:rPr>
        <w:t>五</w:t>
      </w:r>
      <w:r>
        <w:rPr>
          <w:rFonts w:hint="eastAsia" w:ascii="Times New Roman" w:hAnsi="Times New Roman" w:eastAsia="方正黑体简体"/>
          <w:b/>
          <w:sz w:val="32"/>
          <w:szCs w:val="32"/>
        </w:rPr>
        <w:t>、项目主要经验及做法</w:t>
      </w:r>
    </w:p>
    <w:p>
      <w:pPr>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eastAsia="zh-CN"/>
        </w:rPr>
        <w:t>（一）</w:t>
      </w:r>
      <w:r>
        <w:rPr>
          <w:rFonts w:hint="eastAsia" w:eastAsia="仿宋_GB2312"/>
          <w:bCs/>
          <w:snapToGrid w:val="0"/>
          <w:sz w:val="32"/>
          <w:szCs w:val="32"/>
          <w:lang w:val="en-US"/>
        </w:rPr>
        <w:t>完善工作机制。一是坚持指挥部运作模式。调整充实指挥部组成人员，抽调精兵强将充实到指挥部集中办公，共组建6个工作专班、4个区域联络组，9个项目服务专班，集中精力专攻招商。二是优化项目推进流程。明确了项目论证、合同起草、征求意见、提报指挥部讨论并形成会议纪要、有关部门和县政府领导成员会签的项目合同签订流程，大大提高了项目推进速度。三是建立招商引资项目风险防控机制。前期强化项目尽调工作，对投资企业做好筛选和考察，规范合同签订流程。强化项目后期跟踪，按照合同约定，对投资主体、投资规模、建设内容等项目履约情况实行监督管理，严格项目优惠政策兑现。</w:t>
      </w:r>
    </w:p>
    <w:p>
      <w:pPr>
        <w:adjustRightInd w:val="0"/>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eastAsia="zh-CN"/>
        </w:rPr>
        <w:t>（二）</w:t>
      </w:r>
      <w:r>
        <w:rPr>
          <w:rFonts w:hint="eastAsia" w:eastAsia="仿宋_GB2312"/>
          <w:bCs/>
          <w:snapToGrid w:val="0"/>
          <w:sz w:val="32"/>
          <w:szCs w:val="32"/>
          <w:lang w:val="en-US"/>
        </w:rPr>
        <w:t>夯实招商引资工作基础。开展“招商引资集中攻坚”活动，全力做好招商项目谋划、宣传册修改完善等前期准备工作，包装一批重点招商项目通过微信公众号、济宁市“招商项目信息平台”对外发布，着力收集一批有效招商信息、引进一批大项目，为招商工作打好了基础。</w:t>
      </w:r>
    </w:p>
    <w:p>
      <w:pPr>
        <w:adjustRightInd w:val="0"/>
        <w:snapToGrid w:val="0"/>
        <w:spacing w:line="590" w:lineRule="exact"/>
        <w:ind w:firstLine="640" w:firstLineChars="200"/>
        <w:jc w:val="both"/>
        <w:rPr>
          <w:rFonts w:eastAsia="仿宋_GB2312"/>
          <w:bCs/>
          <w:snapToGrid w:val="0"/>
          <w:sz w:val="32"/>
          <w:szCs w:val="32"/>
          <w:lang w:val="en-US"/>
        </w:rPr>
      </w:pPr>
      <w:r>
        <w:rPr>
          <w:rFonts w:hint="eastAsia" w:ascii="仿宋" w:hAnsi="仿宋" w:eastAsia="仿宋"/>
          <w:bCs/>
          <w:snapToGrid w:val="0"/>
          <w:sz w:val="32"/>
          <w:szCs w:val="32"/>
          <w:lang w:val="en-US" w:eastAsia="zh-CN"/>
        </w:rPr>
        <w:t>（三）</w:t>
      </w:r>
      <w:r>
        <w:rPr>
          <w:rFonts w:hint="eastAsia" w:eastAsia="仿宋_GB2312"/>
          <w:bCs/>
          <w:snapToGrid w:val="0"/>
          <w:sz w:val="32"/>
          <w:szCs w:val="32"/>
          <w:lang w:val="en-US"/>
        </w:rPr>
        <w:t>进一步加大招引力度。一是县领导率先垂范。在疫情防控形势严峻的情况下，县委、县政府主要领导、指挥部领导仍然坚持带队招商，亲赴安徽、浙江、福建、广东、上海、江西等地开展招商活动，对接煌上煌食品、祖名豆制品股份有限公司、安徽夏星集团、新希望六和股份有限公司、协鑫集团等大型国企、央企和知名民企。二是召开项目推介会。先后在杭州、上海、青岛等地召开项目推介会、经济合作恳谈会等，推介重点项目。三是举办集中签约仪式。为了最大限度降低疫情对招商引资工作影响，采用网络签约与现场签约相结合的方式举行3次“双招双引”项目集中签约仪式。</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lang w:val="en-US" w:eastAsia="zh-CN"/>
        </w:rPr>
        <w:t>六</w:t>
      </w:r>
      <w:r>
        <w:rPr>
          <w:rFonts w:hint="eastAsia" w:ascii="Times New Roman" w:hAnsi="Times New Roman" w:eastAsia="方正黑体简体"/>
          <w:b/>
          <w:sz w:val="32"/>
          <w:szCs w:val="32"/>
        </w:rPr>
        <w:t>、存在的问题及原因分析</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w:t>
      </w:r>
      <w:r>
        <w:rPr>
          <w:rFonts w:hint="eastAsia" w:eastAsia="仿宋_GB2312"/>
          <w:snapToGrid w:val="0"/>
          <w:sz w:val="32"/>
          <w:szCs w:val="32"/>
          <w:lang w:val="en-US" w:eastAsia="zh-CN"/>
        </w:rPr>
        <w:t>一</w:t>
      </w:r>
      <w:r>
        <w:rPr>
          <w:rFonts w:hint="eastAsia" w:eastAsia="仿宋_GB2312"/>
          <w:snapToGrid w:val="0"/>
          <w:sz w:val="32"/>
          <w:szCs w:val="32"/>
        </w:rPr>
        <w:t>）重视程度和精力投入不够。存在上热下凉、压力传达不到位的现象，部分镇街党政主要负责人和县直单位主要负责人精力投入不够，带头抓招商的积极性不足。</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w:t>
      </w:r>
      <w:r>
        <w:rPr>
          <w:rFonts w:hint="eastAsia" w:eastAsia="仿宋_GB2312"/>
          <w:snapToGrid w:val="0"/>
          <w:sz w:val="32"/>
          <w:szCs w:val="32"/>
          <w:lang w:val="en-US" w:eastAsia="zh-CN"/>
        </w:rPr>
        <w:t>二</w:t>
      </w:r>
      <w:r>
        <w:rPr>
          <w:rFonts w:hint="eastAsia" w:eastAsia="仿宋_GB2312"/>
          <w:snapToGrid w:val="0"/>
          <w:sz w:val="32"/>
          <w:szCs w:val="32"/>
        </w:rPr>
        <w:t xml:space="preserve">）招大引强的效果不明显。一是目前国内外500强、知名品牌企业落地泗水项目少。二是对接国字号、央字号和国内外500强企业的力度不够。  </w:t>
      </w:r>
    </w:p>
    <w:p>
      <w:pPr>
        <w:adjustRightInd w:val="0"/>
        <w:snapToGrid w:val="0"/>
        <w:spacing w:line="590" w:lineRule="exact"/>
        <w:ind w:firstLine="640" w:firstLineChars="200"/>
        <w:rPr>
          <w:rFonts w:hint="eastAsia" w:eastAsia="仿宋_GB2312"/>
          <w:snapToGrid w:val="0"/>
          <w:sz w:val="32"/>
          <w:szCs w:val="32"/>
        </w:rPr>
      </w:pPr>
      <w:r>
        <w:rPr>
          <w:rFonts w:hint="eastAsia" w:eastAsia="仿宋_GB2312"/>
          <w:snapToGrid w:val="0"/>
          <w:sz w:val="32"/>
          <w:szCs w:val="32"/>
        </w:rPr>
        <w:t>（</w:t>
      </w:r>
      <w:r>
        <w:rPr>
          <w:rFonts w:hint="eastAsia" w:eastAsia="仿宋_GB2312"/>
          <w:snapToGrid w:val="0"/>
          <w:sz w:val="32"/>
          <w:szCs w:val="32"/>
          <w:lang w:val="en-US" w:eastAsia="zh-CN"/>
        </w:rPr>
        <w:t>三</w:t>
      </w:r>
      <w:r>
        <w:rPr>
          <w:rFonts w:hint="eastAsia" w:eastAsia="仿宋_GB2312"/>
          <w:snapToGrid w:val="0"/>
          <w:sz w:val="32"/>
          <w:szCs w:val="32"/>
        </w:rPr>
        <w:t>）“用工难”的短板问题亟需解决。开发区一些企业反映存在招工困难的现象，有关部门要进一步研究探讨和调整劳务输出政策，留住年轻外出务工人员，切实把我县的劳动力资源优势凸显出来，成为招商引资的金字招牌。</w:t>
      </w:r>
    </w:p>
    <w:p>
      <w:pPr>
        <w:adjustRightInd w:val="0"/>
        <w:snapToGrid w:val="0"/>
        <w:spacing w:line="590" w:lineRule="exact"/>
        <w:ind w:firstLine="640" w:firstLineChars="200"/>
        <w:rPr>
          <w:rFonts w:eastAsia="仿宋_GB2312"/>
          <w:snapToGrid w:val="0"/>
          <w:sz w:val="32"/>
          <w:szCs w:val="32"/>
        </w:rPr>
      </w:pPr>
      <w:r>
        <w:rPr>
          <w:rFonts w:hint="eastAsia" w:eastAsia="仿宋_GB2312"/>
          <w:snapToGrid w:val="0"/>
          <w:sz w:val="32"/>
          <w:szCs w:val="32"/>
        </w:rPr>
        <w:t>（</w:t>
      </w:r>
      <w:r>
        <w:rPr>
          <w:rFonts w:hint="eastAsia" w:eastAsia="仿宋_GB2312"/>
          <w:snapToGrid w:val="0"/>
          <w:sz w:val="32"/>
          <w:szCs w:val="32"/>
          <w:lang w:val="en-US" w:eastAsia="zh-CN"/>
        </w:rPr>
        <w:t>四</w:t>
      </w:r>
      <w:r>
        <w:rPr>
          <w:rFonts w:hint="eastAsia" w:eastAsia="仿宋_GB2312"/>
          <w:snapToGrid w:val="0"/>
          <w:sz w:val="32"/>
          <w:szCs w:val="32"/>
        </w:rPr>
        <w:t>）土地因素制约。由于土地政策进一步趋紧，项目用地指标紧缺，土地置换时间周期长，土地资源缺乏已成为制约招商引资的突出问题，不少项目因土地问题被搁置，出现小项目“缺指标”、大项目“等指标”的情况。</w:t>
      </w:r>
    </w:p>
    <w:p>
      <w:pPr>
        <w:pStyle w:val="4"/>
        <w:autoSpaceDE/>
        <w:autoSpaceDN/>
        <w:adjustRightInd w:val="0"/>
        <w:snapToGrid w:val="0"/>
        <w:spacing w:line="560" w:lineRule="exact"/>
        <w:ind w:firstLine="643" w:firstLineChars="200"/>
        <w:jc w:val="both"/>
        <w:rPr>
          <w:rFonts w:hint="eastAsia" w:ascii="Times New Roman" w:hAnsi="Times New Roman" w:eastAsia="方正黑体简体"/>
          <w:b/>
          <w:sz w:val="32"/>
          <w:szCs w:val="32"/>
        </w:rPr>
      </w:pPr>
      <w:r>
        <w:rPr>
          <w:rFonts w:hint="eastAsia" w:ascii="Times New Roman" w:hAnsi="Times New Roman" w:eastAsia="方正黑体简体"/>
          <w:b/>
          <w:sz w:val="32"/>
          <w:szCs w:val="32"/>
          <w:lang w:val="en-US" w:eastAsia="zh-CN"/>
        </w:rPr>
        <w:t>七</w:t>
      </w:r>
      <w:r>
        <w:rPr>
          <w:rFonts w:hint="eastAsia" w:ascii="Times New Roman" w:hAnsi="Times New Roman" w:eastAsia="方正黑体简体"/>
          <w:b/>
          <w:sz w:val="32"/>
          <w:szCs w:val="32"/>
        </w:rPr>
        <w:t>、意见建议</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一</w:t>
      </w:r>
      <w:r>
        <w:rPr>
          <w:rFonts w:hint="eastAsia" w:eastAsia="仿宋_GB2312" w:cs="宋体"/>
          <w:snapToGrid w:val="0"/>
          <w:sz w:val="32"/>
          <w:szCs w:val="32"/>
        </w:rPr>
        <w:t>）在项目包装上实现新突破。围绕省、市“十强”产业和“两高两新”产业，更新完善招商信息。围绕“两高两新”产业和“5+3”产业体系包装生成一批重点对外合作项目。以新技术、新产业、新业态、新模式等策划包装食品饮料、纸品包装、绿色建材、现代农业、文化旅游等项目，推动传统产业转型发展，推进高端装备、新能源新材料、医养健康产业，培育形成新动能，适时对外推介发布。</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二</w:t>
      </w:r>
      <w:r>
        <w:rPr>
          <w:rFonts w:hint="eastAsia" w:eastAsia="仿宋_GB2312" w:cs="宋体"/>
          <w:snapToGrid w:val="0"/>
          <w:sz w:val="32"/>
          <w:szCs w:val="32"/>
        </w:rPr>
        <w:t>）在“231”和物流产业项目招商上实现新突破。根据全市确立的“231”产业集聚（指高端装备、高端化工“两高”，新一代信息技术、新材料、新能源“三新”和医药这些先进制造业），明确主导产业的基础上，重点围绕“两高两新”产业开展深入调研，在县级层面理清“两高两新”产业上下游产业链条及横向配套产业，找准产业链条关键环节重点目标企业，编制产业招商专案。围绕“两高两新”产业，适时在北京、上海、深圳等重点区域举办专题招商推介活动，拉长产业链条、放大产业优势，促进特色产业集群集聚发展。高端装备产业集群，以食品机械、汽车及零部件、高端刀具为招商重点；新一代信息技术产业集群，以九思新材料、占邦电子为重点，以智能终端制造和电子制造产业为招商重点；医药产业集群，以生物医药、中药提取加工为招商重点。</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三</w:t>
      </w:r>
      <w:r>
        <w:rPr>
          <w:rFonts w:hint="eastAsia" w:eastAsia="仿宋_GB2312" w:cs="宋体"/>
          <w:snapToGrid w:val="0"/>
          <w:sz w:val="32"/>
          <w:szCs w:val="32"/>
        </w:rPr>
        <w:t>）在招引重大产业项目上实现新突破。将500强企业及投资10亿元以上产业大项目作为招商引资工作的重中之重，紧盯国际国内500强、行业龙头企业和机构，分析研判其产业布局、投资动向，寻找与我县产业发展契合点，有的放矢开展对接洽谈。继续推动实施县级领导包保重点项目制度，开展高层走访推进重大项目。对已签约的重点项目，紧盯难点痛点堵点，梳理存在的问题，进一步优化流程，集中力量攻关，加快推进速度。</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四</w:t>
      </w:r>
      <w:r>
        <w:rPr>
          <w:rFonts w:hint="eastAsia" w:eastAsia="仿宋_GB2312" w:cs="宋体"/>
          <w:snapToGrid w:val="0"/>
          <w:sz w:val="32"/>
          <w:szCs w:val="32"/>
        </w:rPr>
        <w:t>）在以商招商上实现新突破。利用大数据手段对企业发展情况进行判断分析，对“僵尸”企业及低效企业，通过破产或鼓励对外合资合作等方式，有效盘活企业资产，推动土地高效利用。对企业闲置厂房和土地，积极寻求对外招商合作，倒逼企业有效盘活企业资产，加快推进企业以商招商。发挥企业招商主体作用，帮助企业量身制作招商专案，通过合资、并购、联合开发等形式，与国内外行业领军企业开展合作，借力发展壮大，增强竞争实力。</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五</w:t>
      </w:r>
      <w:r>
        <w:rPr>
          <w:rFonts w:hint="eastAsia" w:eastAsia="仿宋_GB2312" w:cs="宋体"/>
          <w:snapToGrid w:val="0"/>
          <w:sz w:val="32"/>
          <w:szCs w:val="32"/>
        </w:rPr>
        <w:t>）在开展驻外招商上实现新突破。成立工作专班和区域联络办，区分重点招商产业和区域开展驻外招商工作。明确招商引资任务目标，积极对接北京疏解非首都功能和京津冀、长三角、珠三角等重点区域产业转移，重点招引符合省市“十强”产业、投资规模大、科技含量高的大项目、好项目。</w:t>
      </w:r>
    </w:p>
    <w:p>
      <w:pPr>
        <w:pStyle w:val="4"/>
        <w:adjustRightInd w:val="0"/>
        <w:snapToGrid w:val="0"/>
        <w:spacing w:line="580" w:lineRule="exact"/>
        <w:ind w:firstLine="640" w:firstLineChars="200"/>
        <w:jc w:val="both"/>
        <w:rPr>
          <w:rFonts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六</w:t>
      </w:r>
      <w:r>
        <w:rPr>
          <w:rFonts w:hint="eastAsia" w:eastAsia="仿宋_GB2312" w:cs="宋体"/>
          <w:snapToGrid w:val="0"/>
          <w:sz w:val="32"/>
          <w:szCs w:val="32"/>
        </w:rPr>
        <w:t>）在创新招商模式上实现新突破。进一步解放思想，拓宽招商渠道，创新招商方式，积极开展网上招商。依托国内外知名机构、商会协会、我县企业驻外机构，在县级层面聘请县政府经济顾问和招商大使，通过市场化方式，开展委托代理招商。鼓励引导社会化招商，表彰奖励招商引资有功人员，提高招商引资实效。</w:t>
      </w:r>
    </w:p>
    <w:p>
      <w:pPr>
        <w:pStyle w:val="4"/>
        <w:adjustRightInd w:val="0"/>
        <w:snapToGrid w:val="0"/>
        <w:spacing w:line="580" w:lineRule="exact"/>
        <w:ind w:firstLine="640" w:firstLineChars="200"/>
        <w:jc w:val="both"/>
        <w:rPr>
          <w:rFonts w:hint="eastAsia" w:eastAsia="仿宋_GB2312" w:cs="宋体"/>
          <w:snapToGrid w:val="0"/>
          <w:sz w:val="32"/>
          <w:szCs w:val="32"/>
        </w:rPr>
      </w:pPr>
      <w:r>
        <w:rPr>
          <w:rFonts w:hint="eastAsia" w:eastAsia="仿宋_GB2312" w:cs="宋体"/>
          <w:snapToGrid w:val="0"/>
          <w:sz w:val="32"/>
          <w:szCs w:val="32"/>
        </w:rPr>
        <w:t>（</w:t>
      </w:r>
      <w:r>
        <w:rPr>
          <w:rFonts w:hint="eastAsia" w:eastAsia="仿宋_GB2312" w:cs="宋体"/>
          <w:snapToGrid w:val="0"/>
          <w:sz w:val="32"/>
          <w:szCs w:val="32"/>
          <w:lang w:val="en-US" w:eastAsia="zh-CN"/>
        </w:rPr>
        <w:t>七</w:t>
      </w:r>
      <w:r>
        <w:rPr>
          <w:rFonts w:hint="eastAsia" w:eastAsia="仿宋_GB2312" w:cs="宋体"/>
          <w:snapToGrid w:val="0"/>
          <w:sz w:val="32"/>
          <w:szCs w:val="32"/>
        </w:rPr>
        <w:t>）在园区招商上实现新突破。园区是对外开放的主阵地、“双招双引”的主战场。按照“项目园区化、产业集群化”的发展思路，根据园区产业实际，主攻食品饮料、装备制造等主导产业，围绕主导产业链条中的关键环节和配套项目，有针对性地开展精准招商。积极对接科研院所、高层次人才，加强产学研合作，开展招才引智活动，着力提升“双招双引”实效。</w:t>
      </w:r>
    </w:p>
    <w:p>
      <w:pPr>
        <w:pStyle w:val="4"/>
        <w:adjustRightInd w:val="0"/>
        <w:snapToGrid w:val="0"/>
        <w:spacing w:line="580" w:lineRule="exact"/>
        <w:ind w:firstLine="640" w:firstLineChars="200"/>
        <w:jc w:val="both"/>
        <w:rPr>
          <w:rFonts w:hint="eastAsia" w:eastAsia="仿宋_GB2312" w:cs="宋体"/>
          <w:snapToGrid w:val="0"/>
          <w:sz w:val="32"/>
          <w:szCs w:val="32"/>
        </w:rPr>
      </w:pPr>
    </w:p>
    <w:p>
      <w:pPr>
        <w:pStyle w:val="4"/>
        <w:adjustRightInd w:val="0"/>
        <w:snapToGrid w:val="0"/>
        <w:spacing w:line="580" w:lineRule="exact"/>
        <w:ind w:firstLine="640" w:firstLineChars="200"/>
        <w:jc w:val="both"/>
        <w:rPr>
          <w:rFonts w:hint="eastAsia"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0" w:firstLineChars="200"/>
        <w:jc w:val="both"/>
        <w:rPr>
          <w:rFonts w:eastAsia="仿宋_GB2312" w:cs="宋体"/>
          <w:snapToGrid w:val="0"/>
          <w:sz w:val="32"/>
          <w:szCs w:val="32"/>
        </w:rPr>
      </w:pPr>
    </w:p>
    <w:p>
      <w:pPr>
        <w:pStyle w:val="4"/>
        <w:adjustRightInd w:val="0"/>
        <w:snapToGrid w:val="0"/>
        <w:spacing w:line="580" w:lineRule="exact"/>
        <w:ind w:firstLine="643" w:firstLineChars="200"/>
        <w:jc w:val="both"/>
        <w:rPr>
          <w:rFonts w:ascii="Times New Roman" w:hAnsi="Times New Roman" w:eastAsia="方正仿宋简体"/>
          <w:b/>
          <w:sz w:val="32"/>
          <w:szCs w:val="32"/>
        </w:rPr>
      </w:pPr>
    </w:p>
    <w:p>
      <w:pPr>
        <w:spacing w:line="580" w:lineRule="exact"/>
        <w:rPr>
          <w:rFonts w:ascii="Times New Roman" w:hAnsi="Times New Roman" w:eastAsia="方正仿宋简体" w:cs="Times New Roman"/>
          <w:b/>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overflowPunct w:val="0"/>
        <w:adjustRightInd w:val="0"/>
        <w:snapToGrid w:val="0"/>
        <w:spacing w:line="600" w:lineRule="exact"/>
        <w:jc w:val="center"/>
        <w:outlineLvl w:val="0"/>
        <w:rPr>
          <w:rFonts w:hint="eastAsia" w:ascii="方正小标宋简体" w:eastAsia="方正小标宋简体"/>
          <w:sz w:val="44"/>
          <w:szCs w:val="44"/>
        </w:rPr>
      </w:pPr>
    </w:p>
    <w:p>
      <w:pPr>
        <w:jc w:val="center"/>
        <w:rPr>
          <w:rFonts w:ascii="仿宋_GB2312" w:eastAsia="仿宋_GB2312"/>
          <w:sz w:val="32"/>
          <w:szCs w:val="32"/>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6F35"/>
    <w:multiLevelType w:val="singleLevel"/>
    <w:tmpl w:val="CAFC6F35"/>
    <w:lvl w:ilvl="0" w:tentative="0">
      <w:start w:val="2"/>
      <w:numFmt w:val="decimal"/>
      <w:suff w:val="nothing"/>
      <w:lvlText w:val="%1、"/>
      <w:lvlJc w:val="left"/>
    </w:lvl>
  </w:abstractNum>
  <w:abstractNum w:abstractNumId="1">
    <w:nsid w:val="DCC96B99"/>
    <w:multiLevelType w:val="singleLevel"/>
    <w:tmpl w:val="DCC96B99"/>
    <w:lvl w:ilvl="0" w:tentative="0">
      <w:start w:val="2"/>
      <w:numFmt w:val="chineseCounting"/>
      <w:suff w:val="nothing"/>
      <w:lvlText w:val="（%1）"/>
      <w:lvlJc w:val="left"/>
      <w:rPr>
        <w:rFonts w:hint="eastAsia"/>
      </w:rPr>
    </w:lvl>
  </w:abstractNum>
  <w:abstractNum w:abstractNumId="2">
    <w:nsid w:val="47D5639E"/>
    <w:multiLevelType w:val="singleLevel"/>
    <w:tmpl w:val="47D5639E"/>
    <w:lvl w:ilvl="0" w:tentative="0">
      <w:start w:val="1"/>
      <w:numFmt w:val="decimal"/>
      <w:suff w:val="nothing"/>
      <w:lvlText w:val="%1、"/>
      <w:lvlJc w:val="left"/>
      <w:rPr>
        <w:rFonts w:hint="default"/>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4440"/>
    <w:rsid w:val="00003E5B"/>
    <w:rsid w:val="00006FF7"/>
    <w:rsid w:val="0001197D"/>
    <w:rsid w:val="00027A87"/>
    <w:rsid w:val="000328FA"/>
    <w:rsid w:val="000345DF"/>
    <w:rsid w:val="00046FD8"/>
    <w:rsid w:val="00066AF4"/>
    <w:rsid w:val="00074B56"/>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B20"/>
    <w:rsid w:val="00151522"/>
    <w:rsid w:val="00152A5D"/>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61220"/>
    <w:rsid w:val="00377EFE"/>
    <w:rsid w:val="0039152C"/>
    <w:rsid w:val="0039416A"/>
    <w:rsid w:val="003A6F38"/>
    <w:rsid w:val="003B207E"/>
    <w:rsid w:val="003C149E"/>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275E"/>
    <w:rsid w:val="008545C6"/>
    <w:rsid w:val="00857E55"/>
    <w:rsid w:val="008857D8"/>
    <w:rsid w:val="008C2CB9"/>
    <w:rsid w:val="0091139F"/>
    <w:rsid w:val="00914BD8"/>
    <w:rsid w:val="00941B09"/>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7F84"/>
    <w:rsid w:val="00AD430D"/>
    <w:rsid w:val="00AF66C3"/>
    <w:rsid w:val="00B0646E"/>
    <w:rsid w:val="00B20EE8"/>
    <w:rsid w:val="00B23C3D"/>
    <w:rsid w:val="00B24E0E"/>
    <w:rsid w:val="00B60B53"/>
    <w:rsid w:val="00B641F1"/>
    <w:rsid w:val="00B64536"/>
    <w:rsid w:val="00B740D0"/>
    <w:rsid w:val="00B83A79"/>
    <w:rsid w:val="00B9411C"/>
    <w:rsid w:val="00BA6768"/>
    <w:rsid w:val="00BB007F"/>
    <w:rsid w:val="00BB0FCA"/>
    <w:rsid w:val="00BC691B"/>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5268"/>
    <w:rsid w:val="00D17472"/>
    <w:rsid w:val="00D1769C"/>
    <w:rsid w:val="00D17C29"/>
    <w:rsid w:val="00D516F3"/>
    <w:rsid w:val="00D61F63"/>
    <w:rsid w:val="00D745F7"/>
    <w:rsid w:val="00D86C5A"/>
    <w:rsid w:val="00D94351"/>
    <w:rsid w:val="00DA2B56"/>
    <w:rsid w:val="00DA6582"/>
    <w:rsid w:val="00DC4A12"/>
    <w:rsid w:val="00DC4F2C"/>
    <w:rsid w:val="00DC6101"/>
    <w:rsid w:val="00DC712E"/>
    <w:rsid w:val="00DC76D6"/>
    <w:rsid w:val="00DC7E1B"/>
    <w:rsid w:val="00DF624E"/>
    <w:rsid w:val="00E0706F"/>
    <w:rsid w:val="00E4100E"/>
    <w:rsid w:val="00E43CAE"/>
    <w:rsid w:val="00E702ED"/>
    <w:rsid w:val="00E75ED5"/>
    <w:rsid w:val="00E76695"/>
    <w:rsid w:val="00E952DB"/>
    <w:rsid w:val="00EB656E"/>
    <w:rsid w:val="00EB793C"/>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13A563F"/>
    <w:rsid w:val="01EB0C0C"/>
    <w:rsid w:val="030A0448"/>
    <w:rsid w:val="031B376C"/>
    <w:rsid w:val="036D001C"/>
    <w:rsid w:val="03D25454"/>
    <w:rsid w:val="03D94588"/>
    <w:rsid w:val="0470359C"/>
    <w:rsid w:val="04E6524C"/>
    <w:rsid w:val="060D1313"/>
    <w:rsid w:val="063A7D22"/>
    <w:rsid w:val="06870F8B"/>
    <w:rsid w:val="069922F5"/>
    <w:rsid w:val="06E4351A"/>
    <w:rsid w:val="078C5EA6"/>
    <w:rsid w:val="08004885"/>
    <w:rsid w:val="090169A4"/>
    <w:rsid w:val="09187A2D"/>
    <w:rsid w:val="098B43EF"/>
    <w:rsid w:val="09903692"/>
    <w:rsid w:val="09CA6D60"/>
    <w:rsid w:val="0A926DF6"/>
    <w:rsid w:val="0AF34561"/>
    <w:rsid w:val="0BA001FE"/>
    <w:rsid w:val="0BA81746"/>
    <w:rsid w:val="0BE30922"/>
    <w:rsid w:val="0BF85D05"/>
    <w:rsid w:val="0C3F23E4"/>
    <w:rsid w:val="0C5E4F97"/>
    <w:rsid w:val="0DF84959"/>
    <w:rsid w:val="0E407FAD"/>
    <w:rsid w:val="0F402311"/>
    <w:rsid w:val="0FEC3508"/>
    <w:rsid w:val="10162668"/>
    <w:rsid w:val="10163633"/>
    <w:rsid w:val="10640A7D"/>
    <w:rsid w:val="109C6409"/>
    <w:rsid w:val="10AD3A88"/>
    <w:rsid w:val="11205509"/>
    <w:rsid w:val="11253183"/>
    <w:rsid w:val="11F24311"/>
    <w:rsid w:val="12212BD9"/>
    <w:rsid w:val="12284A61"/>
    <w:rsid w:val="14AC6489"/>
    <w:rsid w:val="14EA3552"/>
    <w:rsid w:val="1532269D"/>
    <w:rsid w:val="1585647A"/>
    <w:rsid w:val="158C4574"/>
    <w:rsid w:val="1599392D"/>
    <w:rsid w:val="1599633A"/>
    <w:rsid w:val="16635468"/>
    <w:rsid w:val="16FA2429"/>
    <w:rsid w:val="16FA2FB7"/>
    <w:rsid w:val="17205125"/>
    <w:rsid w:val="17CC3555"/>
    <w:rsid w:val="17FC5430"/>
    <w:rsid w:val="184F4A8A"/>
    <w:rsid w:val="18B10B31"/>
    <w:rsid w:val="1906289A"/>
    <w:rsid w:val="19310BCA"/>
    <w:rsid w:val="1955562F"/>
    <w:rsid w:val="196A1867"/>
    <w:rsid w:val="1996052C"/>
    <w:rsid w:val="1B5F6AE7"/>
    <w:rsid w:val="1B741B99"/>
    <w:rsid w:val="1C2133CC"/>
    <w:rsid w:val="1CA72F63"/>
    <w:rsid w:val="1D6108FD"/>
    <w:rsid w:val="1E933534"/>
    <w:rsid w:val="20333255"/>
    <w:rsid w:val="206F258D"/>
    <w:rsid w:val="20907DB8"/>
    <w:rsid w:val="217A7304"/>
    <w:rsid w:val="21A13EA8"/>
    <w:rsid w:val="224C640D"/>
    <w:rsid w:val="22C52B9A"/>
    <w:rsid w:val="243A6C1E"/>
    <w:rsid w:val="24483EAD"/>
    <w:rsid w:val="246D4ECF"/>
    <w:rsid w:val="24CF0DCB"/>
    <w:rsid w:val="24E3660C"/>
    <w:rsid w:val="256B249A"/>
    <w:rsid w:val="256C4D86"/>
    <w:rsid w:val="256D5287"/>
    <w:rsid w:val="26EB39DD"/>
    <w:rsid w:val="270B7920"/>
    <w:rsid w:val="27651BA5"/>
    <w:rsid w:val="27735DB0"/>
    <w:rsid w:val="283A11EE"/>
    <w:rsid w:val="28FE394B"/>
    <w:rsid w:val="2948465A"/>
    <w:rsid w:val="29C12B76"/>
    <w:rsid w:val="29E573E8"/>
    <w:rsid w:val="2AFC589E"/>
    <w:rsid w:val="2B5E16B4"/>
    <w:rsid w:val="2D127913"/>
    <w:rsid w:val="2D58530F"/>
    <w:rsid w:val="2E307A6D"/>
    <w:rsid w:val="2E5C62C8"/>
    <w:rsid w:val="2ED62B24"/>
    <w:rsid w:val="2F4B1017"/>
    <w:rsid w:val="2FA5037E"/>
    <w:rsid w:val="2FEC533F"/>
    <w:rsid w:val="30356DC9"/>
    <w:rsid w:val="3063526E"/>
    <w:rsid w:val="308C17EB"/>
    <w:rsid w:val="318867A0"/>
    <w:rsid w:val="31B64EB5"/>
    <w:rsid w:val="32395D5B"/>
    <w:rsid w:val="328B631F"/>
    <w:rsid w:val="328D665B"/>
    <w:rsid w:val="32B12A1F"/>
    <w:rsid w:val="33080A22"/>
    <w:rsid w:val="33571367"/>
    <w:rsid w:val="3378091A"/>
    <w:rsid w:val="341C6B59"/>
    <w:rsid w:val="34DE1ACD"/>
    <w:rsid w:val="352E07A7"/>
    <w:rsid w:val="36690AD5"/>
    <w:rsid w:val="37057AC6"/>
    <w:rsid w:val="373810A0"/>
    <w:rsid w:val="374215BA"/>
    <w:rsid w:val="3779776A"/>
    <w:rsid w:val="37C52E69"/>
    <w:rsid w:val="385C3686"/>
    <w:rsid w:val="38602666"/>
    <w:rsid w:val="38AC4E21"/>
    <w:rsid w:val="398E13B4"/>
    <w:rsid w:val="39A67BE1"/>
    <w:rsid w:val="3A3612F8"/>
    <w:rsid w:val="3A9E55BA"/>
    <w:rsid w:val="3AA21FBD"/>
    <w:rsid w:val="3B152379"/>
    <w:rsid w:val="3C04154F"/>
    <w:rsid w:val="3D784384"/>
    <w:rsid w:val="3E0865B8"/>
    <w:rsid w:val="3E206F07"/>
    <w:rsid w:val="3E722990"/>
    <w:rsid w:val="3EC920FA"/>
    <w:rsid w:val="3F5476E3"/>
    <w:rsid w:val="4175210F"/>
    <w:rsid w:val="41E52C8C"/>
    <w:rsid w:val="43210531"/>
    <w:rsid w:val="43A64D34"/>
    <w:rsid w:val="44AA511D"/>
    <w:rsid w:val="44DB12A5"/>
    <w:rsid w:val="45A30942"/>
    <w:rsid w:val="46322211"/>
    <w:rsid w:val="47B91DE5"/>
    <w:rsid w:val="47D90573"/>
    <w:rsid w:val="4847221C"/>
    <w:rsid w:val="48704822"/>
    <w:rsid w:val="49464073"/>
    <w:rsid w:val="49624118"/>
    <w:rsid w:val="499B3B5C"/>
    <w:rsid w:val="49F33325"/>
    <w:rsid w:val="4ABD2554"/>
    <w:rsid w:val="4B852DA2"/>
    <w:rsid w:val="4D2F45CD"/>
    <w:rsid w:val="4E042C8D"/>
    <w:rsid w:val="4E143058"/>
    <w:rsid w:val="4EB47DE4"/>
    <w:rsid w:val="4F1C4178"/>
    <w:rsid w:val="4FC453F5"/>
    <w:rsid w:val="5028584D"/>
    <w:rsid w:val="50C94164"/>
    <w:rsid w:val="532311BB"/>
    <w:rsid w:val="53B25C32"/>
    <w:rsid w:val="541B385A"/>
    <w:rsid w:val="54B04E11"/>
    <w:rsid w:val="55271115"/>
    <w:rsid w:val="55A64330"/>
    <w:rsid w:val="55AE60F7"/>
    <w:rsid w:val="565B16CD"/>
    <w:rsid w:val="584B747A"/>
    <w:rsid w:val="588829D8"/>
    <w:rsid w:val="588C1F4D"/>
    <w:rsid w:val="58E939AD"/>
    <w:rsid w:val="593023CA"/>
    <w:rsid w:val="59A95219"/>
    <w:rsid w:val="59B7393E"/>
    <w:rsid w:val="59EE0C69"/>
    <w:rsid w:val="5A291561"/>
    <w:rsid w:val="5AAE5BB6"/>
    <w:rsid w:val="5B390AE9"/>
    <w:rsid w:val="5B78528D"/>
    <w:rsid w:val="5B8513E0"/>
    <w:rsid w:val="5C3F769C"/>
    <w:rsid w:val="5C454B66"/>
    <w:rsid w:val="5C6C1B5E"/>
    <w:rsid w:val="5CA30332"/>
    <w:rsid w:val="5D800125"/>
    <w:rsid w:val="5DFD068C"/>
    <w:rsid w:val="5E411212"/>
    <w:rsid w:val="5E6F3042"/>
    <w:rsid w:val="5E726E8F"/>
    <w:rsid w:val="5E86333D"/>
    <w:rsid w:val="5EDC7663"/>
    <w:rsid w:val="5F2968CA"/>
    <w:rsid w:val="5FED25E3"/>
    <w:rsid w:val="61033512"/>
    <w:rsid w:val="621040D6"/>
    <w:rsid w:val="621D0978"/>
    <w:rsid w:val="62605379"/>
    <w:rsid w:val="628F6E56"/>
    <w:rsid w:val="62C37399"/>
    <w:rsid w:val="630818A5"/>
    <w:rsid w:val="63C015EE"/>
    <w:rsid w:val="64232AC7"/>
    <w:rsid w:val="642E007C"/>
    <w:rsid w:val="64904C07"/>
    <w:rsid w:val="6501290D"/>
    <w:rsid w:val="652C2275"/>
    <w:rsid w:val="65F63DA5"/>
    <w:rsid w:val="66CA3419"/>
    <w:rsid w:val="682C18DF"/>
    <w:rsid w:val="684966B7"/>
    <w:rsid w:val="69820DBB"/>
    <w:rsid w:val="698E5B31"/>
    <w:rsid w:val="69BD420F"/>
    <w:rsid w:val="6A0E71DB"/>
    <w:rsid w:val="6B8C3940"/>
    <w:rsid w:val="6C35633B"/>
    <w:rsid w:val="6CDC3B13"/>
    <w:rsid w:val="6CF348F4"/>
    <w:rsid w:val="6D3A3586"/>
    <w:rsid w:val="6E565A70"/>
    <w:rsid w:val="6E696A04"/>
    <w:rsid w:val="6E950203"/>
    <w:rsid w:val="6EC6415C"/>
    <w:rsid w:val="6F5E3B6F"/>
    <w:rsid w:val="6FB50910"/>
    <w:rsid w:val="6FD65A30"/>
    <w:rsid w:val="7028469B"/>
    <w:rsid w:val="70397351"/>
    <w:rsid w:val="70C24883"/>
    <w:rsid w:val="71BA68B3"/>
    <w:rsid w:val="71EC0068"/>
    <w:rsid w:val="72492162"/>
    <w:rsid w:val="7390006C"/>
    <w:rsid w:val="739713BF"/>
    <w:rsid w:val="73C640D4"/>
    <w:rsid w:val="755D0CE4"/>
    <w:rsid w:val="7575484E"/>
    <w:rsid w:val="7580678D"/>
    <w:rsid w:val="758F3177"/>
    <w:rsid w:val="75AF6CB4"/>
    <w:rsid w:val="764E4C4F"/>
    <w:rsid w:val="76B012F4"/>
    <w:rsid w:val="76B91893"/>
    <w:rsid w:val="773E323F"/>
    <w:rsid w:val="773F6450"/>
    <w:rsid w:val="777F2EDC"/>
    <w:rsid w:val="77DB61D5"/>
    <w:rsid w:val="78200EA2"/>
    <w:rsid w:val="785E6486"/>
    <w:rsid w:val="788B0E61"/>
    <w:rsid w:val="789B1E37"/>
    <w:rsid w:val="789C783E"/>
    <w:rsid w:val="78C11330"/>
    <w:rsid w:val="7A9474BC"/>
    <w:rsid w:val="7BC350E6"/>
    <w:rsid w:val="7BC410AC"/>
    <w:rsid w:val="7C223EAB"/>
    <w:rsid w:val="7C9B2C4E"/>
    <w:rsid w:val="7C9F6930"/>
    <w:rsid w:val="7CC608AF"/>
    <w:rsid w:val="7E317F8B"/>
    <w:rsid w:val="7E9569F3"/>
    <w:rsid w:val="7FC3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jc w:val="center"/>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qFormat/>
    <w:uiPriority w:val="0"/>
    <w:rPr>
      <w:rFonts w:ascii="宋体"/>
      <w:sz w:val="18"/>
      <w:szCs w:val="18"/>
    </w:rPr>
  </w:style>
  <w:style w:type="paragraph" w:styleId="4">
    <w:name w:val="Body Text"/>
    <w:basedOn w:val="1"/>
    <w:link w:val="19"/>
    <w:uiPriority w:val="0"/>
    <w:pPr>
      <w:spacing w:after="120"/>
    </w:pPr>
    <w:rPr>
      <w:rFonts w:ascii="Times New Roman" w:hAnsi="Times New Roman" w:eastAsia="宋体" w:cs="Times New Roman"/>
      <w:szCs w:val="24"/>
    </w:rPr>
  </w:style>
  <w:style w:type="paragraph" w:styleId="5">
    <w:name w:val="Date"/>
    <w:basedOn w:val="1"/>
    <w:next w:val="1"/>
    <w:link w:val="18"/>
    <w:semiHidden/>
    <w:unhideWhenUsed/>
    <w:qFormat/>
    <w:uiPriority w:val="99"/>
    <w:pPr>
      <w:ind w:left="100" w:leftChars="2500"/>
    </w:pPr>
  </w:style>
  <w:style w:type="paragraph" w:styleId="6">
    <w:name w:val="Body Text Indent 2"/>
    <w:basedOn w:val="1"/>
    <w:link w:val="32"/>
    <w:qFormat/>
    <w:uiPriority w:val="0"/>
    <w:pPr>
      <w:ind w:firstLine="640" w:firstLineChars="200"/>
    </w:pPr>
    <w:rPr>
      <w:rFonts w:ascii="楷体_GB2312" w:hAnsi="Courier New" w:eastAsia="楷体_GB2312"/>
      <w:sz w:val="32"/>
    </w:rPr>
  </w:style>
  <w:style w:type="paragraph" w:styleId="7">
    <w:name w:val="Balloon Text"/>
    <w:basedOn w:val="1"/>
    <w:link w:val="20"/>
    <w:semiHidden/>
    <w:unhideWhenUsed/>
    <w:qFormat/>
    <w:uiPriority w:val="0"/>
    <w:rPr>
      <w:sz w:val="18"/>
      <w:szCs w:val="18"/>
    </w:rPr>
  </w:style>
  <w:style w:type="paragraph" w:styleId="8">
    <w:name w:val="footer"/>
    <w:basedOn w:val="1"/>
    <w:link w:val="17"/>
    <w:unhideWhenUsed/>
    <w:qFormat/>
    <w:uiPriority w:val="0"/>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4"/>
    <w:qFormat/>
    <w:uiPriority w:val="11"/>
    <w:pPr>
      <w:spacing w:before="240" w:after="60" w:line="312" w:lineRule="auto"/>
      <w:jc w:val="center"/>
      <w:outlineLvl w:val="1"/>
    </w:pPr>
    <w:rPr>
      <w:rFonts w:ascii="Cambria" w:hAnsi="Cambria"/>
      <w:b/>
      <w:bCs/>
      <w:kern w:val="28"/>
      <w:sz w:val="32"/>
      <w:szCs w:val="32"/>
    </w:rPr>
  </w:style>
  <w:style w:type="paragraph" w:styleId="11">
    <w:name w:val="Title"/>
    <w:basedOn w:val="1"/>
    <w:next w:val="1"/>
    <w:link w:val="33"/>
    <w:qFormat/>
    <w:uiPriority w:val="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customStyle="1" w:styleId="16">
    <w:name w:val="页眉 Char"/>
    <w:basedOn w:val="14"/>
    <w:link w:val="9"/>
    <w:uiPriority w:val="0"/>
    <w:rPr>
      <w:sz w:val="18"/>
      <w:szCs w:val="18"/>
    </w:rPr>
  </w:style>
  <w:style w:type="character" w:customStyle="1" w:styleId="17">
    <w:name w:val="页脚 Char"/>
    <w:basedOn w:val="14"/>
    <w:link w:val="8"/>
    <w:qFormat/>
    <w:uiPriority w:val="0"/>
    <w:rPr>
      <w:sz w:val="18"/>
      <w:szCs w:val="18"/>
    </w:rPr>
  </w:style>
  <w:style w:type="character" w:customStyle="1" w:styleId="18">
    <w:name w:val="日期 Char"/>
    <w:basedOn w:val="14"/>
    <w:link w:val="5"/>
    <w:semiHidden/>
    <w:qFormat/>
    <w:uiPriority w:val="99"/>
  </w:style>
  <w:style w:type="character" w:customStyle="1" w:styleId="19">
    <w:name w:val="正文文本 Char"/>
    <w:basedOn w:val="14"/>
    <w:link w:val="4"/>
    <w:qFormat/>
    <w:uiPriority w:val="0"/>
    <w:rPr>
      <w:rFonts w:ascii="Times New Roman" w:hAnsi="Times New Roman" w:eastAsia="宋体" w:cs="Times New Roman"/>
      <w:szCs w:val="24"/>
    </w:rPr>
  </w:style>
  <w:style w:type="character" w:customStyle="1" w:styleId="20">
    <w:name w:val="批注框文本 Char"/>
    <w:basedOn w:val="14"/>
    <w:link w:val="7"/>
    <w:semiHidden/>
    <w:qFormat/>
    <w:uiPriority w:val="0"/>
    <w:rPr>
      <w:sz w:val="18"/>
      <w:szCs w:val="18"/>
    </w:rPr>
  </w:style>
  <w:style w:type="paragraph" w:styleId="21">
    <w:name w:val="List Paragraph"/>
    <w:basedOn w:val="1"/>
    <w:qFormat/>
    <w:uiPriority w:val="34"/>
    <w:pPr>
      <w:ind w:firstLine="420" w:firstLineChars="200"/>
    </w:pPr>
  </w:style>
  <w:style w:type="paragraph" w:customStyle="1" w:styleId="22">
    <w:name w:val="Char"/>
    <w:basedOn w:val="1"/>
    <w:qFormat/>
    <w:uiPriority w:val="0"/>
    <w:rPr>
      <w:rFonts w:ascii="Tahoma" w:hAnsi="Tahoma" w:eastAsia="宋体" w:cs="Times New Roman"/>
      <w:sz w:val="24"/>
      <w:szCs w:val="20"/>
    </w:rPr>
  </w:style>
  <w:style w:type="paragraph" w:customStyle="1" w:styleId="23">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4">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5">
    <w:name w:val="p0{858D7CFB-ED40-4347-BF05-701D383B685F}"/>
    <w:link w:val="26"/>
    <w:qFormat/>
    <w:uiPriority w:val="0"/>
    <w:rPr>
      <w:szCs w:val="21"/>
    </w:rPr>
  </w:style>
  <w:style w:type="paragraph" w:customStyle="1" w:styleId="26">
    <w:name w:val="p0"/>
    <w:basedOn w:val="1"/>
    <w:link w:val="25"/>
    <w:qFormat/>
    <w:uiPriority w:val="0"/>
    <w:pPr>
      <w:widowControl/>
    </w:pPr>
    <w:rPr>
      <w:szCs w:val="21"/>
    </w:rPr>
  </w:style>
  <w:style w:type="character" w:customStyle="1" w:styleId="27">
    <w:name w:val="标题 Char"/>
    <w:link w:val="11"/>
    <w:qFormat/>
    <w:uiPriority w:val="0"/>
    <w:rPr>
      <w:rFonts w:ascii="Cambria" w:hAnsi="Cambria"/>
      <w:b/>
      <w:bCs/>
      <w:sz w:val="32"/>
      <w:szCs w:val="32"/>
    </w:rPr>
  </w:style>
  <w:style w:type="character" w:customStyle="1" w:styleId="28">
    <w:name w:val="文档结构图 Char"/>
    <w:link w:val="3"/>
    <w:qFormat/>
    <w:uiPriority w:val="0"/>
    <w:rPr>
      <w:rFonts w:ascii="宋体"/>
      <w:sz w:val="18"/>
      <w:szCs w:val="18"/>
    </w:rPr>
  </w:style>
  <w:style w:type="character" w:customStyle="1" w:styleId="29">
    <w:name w:val="副标题 Char"/>
    <w:link w:val="10"/>
    <w:qFormat/>
    <w:uiPriority w:val="11"/>
    <w:rPr>
      <w:rFonts w:ascii="Cambria" w:hAnsi="Cambria"/>
      <w:b/>
      <w:bCs/>
      <w:kern w:val="28"/>
      <w:sz w:val="32"/>
      <w:szCs w:val="32"/>
    </w:rPr>
  </w:style>
  <w:style w:type="character" w:customStyle="1" w:styleId="30">
    <w:name w:val="正文文本缩进 2 Char"/>
    <w:link w:val="6"/>
    <w:qFormat/>
    <w:uiPriority w:val="0"/>
    <w:rPr>
      <w:rFonts w:ascii="楷体_GB2312" w:hAnsi="Courier New" w:eastAsia="楷体_GB2312"/>
      <w:sz w:val="32"/>
    </w:rPr>
  </w:style>
  <w:style w:type="character" w:customStyle="1" w:styleId="31">
    <w:name w:val="文档结构图 Char1"/>
    <w:basedOn w:val="14"/>
    <w:link w:val="3"/>
    <w:semiHidden/>
    <w:qFormat/>
    <w:uiPriority w:val="99"/>
    <w:rPr>
      <w:rFonts w:ascii="宋体" w:eastAsia="宋体"/>
      <w:sz w:val="18"/>
      <w:szCs w:val="18"/>
    </w:rPr>
  </w:style>
  <w:style w:type="character" w:customStyle="1" w:styleId="32">
    <w:name w:val="正文文本缩进 2 Char1"/>
    <w:basedOn w:val="14"/>
    <w:link w:val="6"/>
    <w:semiHidden/>
    <w:qFormat/>
    <w:uiPriority w:val="99"/>
  </w:style>
  <w:style w:type="character" w:customStyle="1" w:styleId="33">
    <w:name w:val="标题 Char1"/>
    <w:basedOn w:val="14"/>
    <w:link w:val="11"/>
    <w:qFormat/>
    <w:uiPriority w:val="10"/>
    <w:rPr>
      <w:rFonts w:eastAsia="宋体" w:asciiTheme="majorHAnsi" w:hAnsiTheme="majorHAnsi" w:cstheme="majorBidi"/>
      <w:b/>
      <w:bCs/>
      <w:sz w:val="32"/>
      <w:szCs w:val="32"/>
    </w:rPr>
  </w:style>
  <w:style w:type="character" w:customStyle="1" w:styleId="34">
    <w:name w:val="副标题 Char1"/>
    <w:basedOn w:val="14"/>
    <w:link w:val="10"/>
    <w:qFormat/>
    <w:uiPriority w:val="11"/>
    <w:rPr>
      <w:rFonts w:eastAsia="宋体" w:asciiTheme="majorHAnsi" w:hAnsiTheme="majorHAnsi" w:cstheme="majorBidi"/>
      <w:b/>
      <w:bCs/>
      <w:kern w:val="28"/>
      <w:sz w:val="32"/>
      <w:szCs w:val="32"/>
    </w:rPr>
  </w:style>
  <w:style w:type="character" w:customStyle="1" w:styleId="35">
    <w:name w:val="font11"/>
    <w:basedOn w:val="14"/>
    <w:uiPriority w:val="0"/>
    <w:rPr>
      <w:rFonts w:hint="default" w:ascii="Times New Roman" w:hAnsi="Times New Roman" w:cs="Times New Roman"/>
      <w:color w:val="000000"/>
      <w:sz w:val="20"/>
      <w:szCs w:val="20"/>
      <w:u w:val="none"/>
    </w:rPr>
  </w:style>
  <w:style w:type="character" w:customStyle="1" w:styleId="36">
    <w:name w:val="font21"/>
    <w:basedOn w:val="1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619.35</c:v>
                </c:pt>
                <c:pt idx="1">
                  <c:v>0</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extLst>
                <c:ext xmlns:c15="http://schemas.microsoft.com/office/drawing/2012/chart" uri="{02D57815-91ED-43cb-92C2-25804820EDAC}">
                  <c15:fullRef>
                    <c15:sqref>Sheet1!$A$2:$A$5</c15:sqref>
                  </c15:fullRef>
                </c:ext>
              </c:extLst>
              <c:f>Sheet1!$A$2:$A$3</c:f>
              <c:strCache>
                <c:ptCount val="2"/>
                <c:pt idx="0">
                  <c:v>2019年</c:v>
                </c:pt>
                <c:pt idx="1">
                  <c:v>2020年</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0</c:v>
                </c:pt>
                <c:pt idx="1">
                  <c:v>525.88</c:v>
                </c:pt>
              </c:numCache>
            </c:numRef>
          </c:val>
        </c:ser>
        <c:dLbls>
          <c:showLegendKey val="0"/>
          <c:showVal val="0"/>
          <c:showCatName val="0"/>
          <c:showSerName val="0"/>
          <c:showPercent val="0"/>
          <c:showBubbleSize val="0"/>
        </c:dLbls>
        <c:gapWidth val="219"/>
        <c:overlap val="-27"/>
        <c:axId val="692838723"/>
        <c:axId val="577903064"/>
      </c:barChart>
      <c:catAx>
        <c:axId val="6928387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7903064"/>
        <c:crosses val="autoZero"/>
        <c:auto val="1"/>
        <c:lblAlgn val="ctr"/>
        <c:lblOffset val="100"/>
        <c:noMultiLvlLbl val="0"/>
      </c:catAx>
      <c:valAx>
        <c:axId val="577903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83872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460.99</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Sheet1!$A$2:$A$6</c:f>
              <c:strCache>
                <c:ptCount val="5"/>
                <c:pt idx="0">
                  <c:v>基本支出</c:v>
                </c:pt>
                <c:pt idx="1">
                  <c:v>项目支出 </c:v>
                </c:pt>
                <c:pt idx="2">
                  <c:v>上缴上级支出</c:v>
                </c:pt>
                <c:pt idx="3">
                  <c:v>经营支出</c:v>
                </c:pt>
                <c:pt idx="4">
                  <c:v>对附属单位补助支出</c:v>
                </c:pt>
              </c:strCache>
            </c:strRef>
          </c:cat>
          <c:val>
            <c:numRef>
              <c:f>Sheet1!$B$2:$B$6</c:f>
              <c:numCache>
                <c:formatCode>General</c:formatCode>
                <c:ptCount val="5"/>
                <c:pt idx="0">
                  <c:v>331.44</c:v>
                </c:pt>
                <c:pt idx="1">
                  <c:v>160.38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619.35</c:v>
                </c:pt>
                <c:pt idx="1">
                  <c:v>0</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Sheet1!$C$2:$C$3</c:f>
              <c:numCache>
                <c:formatCode>General</c:formatCode>
                <c:ptCount val="2"/>
                <c:pt idx="0">
                  <c:v>0</c:v>
                </c:pt>
                <c:pt idx="1">
                  <c:v>525.88</c:v>
                </c:pt>
              </c:numCache>
            </c:numRef>
          </c:val>
        </c:ser>
        <c:dLbls>
          <c:showLegendKey val="0"/>
          <c:showVal val="0"/>
          <c:showCatName val="0"/>
          <c:showSerName val="0"/>
          <c:showPercent val="0"/>
          <c:showBubbleSize val="0"/>
        </c:dLbls>
        <c:gapWidth val="219"/>
        <c:overlap val="-27"/>
        <c:axId val="365888035"/>
        <c:axId val="157062746"/>
      </c:barChart>
      <c:catAx>
        <c:axId val="3658880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062746"/>
        <c:crosses val="autoZero"/>
        <c:auto val="1"/>
        <c:lblAlgn val="ctr"/>
        <c:lblOffset val="100"/>
        <c:noMultiLvlLbl val="0"/>
      </c:catAx>
      <c:valAx>
        <c:axId val="15706274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8880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delete val="1"/>
          </c:dLbls>
          <c:cat>
            <c:strRef>
              <c:f>Sheet1!$A$2:$A$3</c:f>
              <c:strCache>
                <c:ptCount val="2"/>
                <c:pt idx="0">
                  <c:v>2019年</c:v>
                </c:pt>
                <c:pt idx="1">
                  <c:v>2020年</c:v>
                </c:pt>
              </c:strCache>
            </c:strRef>
          </c:cat>
          <c:val>
            <c:numRef>
              <c:f>Sheet1!$B$2:$B$3</c:f>
              <c:numCache>
                <c:formatCode>General</c:formatCode>
                <c:ptCount val="2"/>
                <c:pt idx="0">
                  <c:v>554.43</c:v>
                </c:pt>
                <c:pt idx="1">
                  <c:v>0</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Sheet1!$A$2:$A$3</c:f>
              <c:strCache>
                <c:ptCount val="2"/>
                <c:pt idx="0">
                  <c:v>2019年</c:v>
                </c:pt>
                <c:pt idx="1">
                  <c:v>2020年</c:v>
                </c:pt>
              </c:strCache>
            </c:strRef>
          </c:cat>
          <c:val>
            <c:numRef>
              <c:f>Sheet1!$C$2:$C$3</c:f>
              <c:numCache>
                <c:formatCode>General</c:formatCode>
                <c:ptCount val="2"/>
                <c:pt idx="0">
                  <c:v>0</c:v>
                </c:pt>
                <c:pt idx="1">
                  <c:v>491.82</c:v>
                </c:pt>
              </c:numCache>
            </c:numRef>
          </c:val>
        </c:ser>
        <c:dLbls>
          <c:showLegendKey val="0"/>
          <c:showVal val="0"/>
          <c:showCatName val="0"/>
          <c:showSerName val="0"/>
          <c:showPercent val="0"/>
          <c:showBubbleSize val="0"/>
        </c:dLbls>
        <c:gapWidth val="219"/>
        <c:overlap val="-27"/>
        <c:axId val="179901846"/>
        <c:axId val="78262618"/>
      </c:barChart>
      <c:catAx>
        <c:axId val="179901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262618"/>
        <c:crosses val="autoZero"/>
        <c:auto val="1"/>
        <c:lblAlgn val="ctr"/>
        <c:lblOffset val="100"/>
        <c:noMultiLvlLbl val="0"/>
      </c:catAx>
      <c:valAx>
        <c:axId val="7826261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9018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c:v>
                </c:pt>
                <c:pt idx="1">
                  <c:v>国防</c:v>
                </c:pt>
                <c:pt idx="2">
                  <c:v>公共安全</c:v>
                </c:pt>
                <c:pt idx="3">
                  <c:v>教育</c:v>
                </c:pt>
              </c:strCache>
            </c:strRef>
          </c:cat>
          <c:val>
            <c:numRef>
              <c:f>Sheet1!$B$2:$B$5</c:f>
              <c:numCache>
                <c:formatCode>General</c:formatCode>
                <c:ptCount val="4"/>
                <c:pt idx="0">
                  <c:v>491.82</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9C764-D7D0-4648-928A-040154C7F8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20349</Characters>
  <Lines>169</Lines>
  <Paragraphs>47</Paragraphs>
  <TotalTime>11</TotalTime>
  <ScaleCrop>false</ScaleCrop>
  <LinksUpToDate>false</LinksUpToDate>
  <CharactersWithSpaces>23872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2013-10-28T04:29:00Z</dcterms:created>
  <dc:creator>微软用户</dc:creator>
  <cp:lastModifiedBy>lenovo</cp:lastModifiedBy>
  <cp:lastPrinted>2021-09-08T08:56:00Z</cp:lastPrinted>
  <dcterms:modified xsi:type="dcterms:W3CDTF">2022-01-25T13:38:18Z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D02D15C19C434276824D77856DA9A978</vt:lpwstr>
  </property>
</Properties>
</file>