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2" w:name="_GoBack"/>
      <w:bookmarkEnd w:id="2"/>
    </w:p>
    <w:p w14:paraId="3E75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泗水县工业和信息化局2025年度法治政府</w:t>
      </w:r>
    </w:p>
    <w:p w14:paraId="245F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建设情况的报告</w:t>
      </w:r>
    </w:p>
    <w:p w14:paraId="6C09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0A5298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outlineLvl w:val="6"/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2025年，在县委、县政府的坚强领导下，县工信局坚持以新时代中国特色社会主义思想为指导，深入践行习近平法治思想，全面落实中央及省、市、县关于法治政府建设的决策部署，紧密结合工信工作实际，扎实推进各项法治建设任务，为全县工业经济高质量发展提供坚实法治保障。现将有关情况报告如下。</w:t>
      </w:r>
    </w:p>
    <w:p w14:paraId="19119B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outlineLvl w:val="6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一、工作开展情况</w:t>
      </w:r>
    </w:p>
    <w:p w14:paraId="7ED3BE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outlineLvl w:val="6"/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（一）主要负责人履行推进法治建设第一责任人职责。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局党组始终将法治政府建设工作摆在全局工作突出位置，纳入全局年度工作计划，与业务工作同部署、同推进。及时调整充实局法治政府建设工作领导小组，由局主要负责人任组长，班子成员任副组长，各科室负责人为成员，构建“主要领导牵头抓总、分管领导具体负责、责任科室全面落实”的工作格局。主要负责人认真履行推进法治建设第一责任人职责，坚持带头学法用法，通过党组会、集体会议等方式，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深入学习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习近平法治思想、法律法规与政策条例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引领全体干部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自觉运用法治思维和法治方式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推动工作。定期召开专题会议，研究部署法治建设重点工作，协调解决重大问题，督导重点任务落实，确保各项任务有序推进。</w:t>
      </w:r>
    </w:p>
    <w:p w14:paraId="03383A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outlineLvl w:val="6"/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（二）深化普法宣传，营造浓厚法治氛围。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严格落实“谁执法谁普法”普法责任制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，制定并实施《县工信局2025年普法依法治理工作要点》，明确目标任务，细化责任分工，压实工作责任。组建法治宣传队伍，常态化开展“送法入企”“政策上门”等活动，编发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《工业领域政策汇编》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4期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深入企业精准宣贯。紧扣“碘盐宣传日”“无线电宣传月”“宪法宣传周”等重要时间节点，通过悬挂横幅、发放资料、现场解答等方式，深入开展普法宣传活动。组织开展知识竞答、旁听庭审、惠企政策学习培训会等活动，不断增强全体干部职工的法治理念、法律素质和依法行政、依法管理的能力。</w:t>
      </w:r>
    </w:p>
    <w:p w14:paraId="6CB07B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outlineLvl w:val="6"/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（三）规范执法行为，提升依法行政效能。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完善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法律顾问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工作机制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，聘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请1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名法律顾问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，提供咨询解答、合法审查等法律服务。认真贯彻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行政执法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“三项制度”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落实系统报备、入企扫码、执法亮证等程序，严格规范公正文明执法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严格执行行政执法人员持证上岗和资格管理制度，动态注销执法证3个，规范在库管理19名执法人员。组织</w:t>
      </w:r>
      <w:r>
        <w:rPr>
          <w:rFonts w:hint="default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Times New Roman" w:hAnsi="Times New Roman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学法用法考试、执法人员轮训活动，参与率与合格率均达到100%。</w:t>
      </w:r>
    </w:p>
    <w:p w14:paraId="68D6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（四）优化涉企服务，护航经济高质量发展。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将法治思维融入企业服务全过程，在企业业务办理过程中，加强程序指引和合规辅导，助力项目合法合规推进。实施“政策敲门”服务，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采用“线上+线下”、“集中+上门”相结合模式，常态化开展政策解读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，常态化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组织开展政策培训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、法律服务合作对接等活动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，有效提升企业理解、运用、享受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40"/>
          <w:highlight w:val="none"/>
          <w:lang w:val="en-US" w:eastAsia="zh-CN"/>
        </w:rPr>
        <w:t>政策能力。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组织业务骨干深入企业现场，开展“点对点”业务辅导，服务企业争政策、争项目、争资金。</w:t>
      </w:r>
    </w:p>
    <w:p w14:paraId="0AED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 存在的问题</w:t>
      </w:r>
    </w:p>
    <w:p w14:paraId="22D703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简体"/>
          <w:b/>
          <w:bCs/>
          <w:sz w:val="32"/>
          <w:szCs w:val="32"/>
          <w:lang w:val="en-US" w:eastAsia="zh-CN"/>
        </w:rPr>
        <w:t>一是工作人员法治素养需持续提升。部分干部职工对新颁布《稀土管理条例》等法律法规的学习深度和实际应用能力有待加强，法治思维与业务融合需进一步深化。二是政策宣传与精准服务水平尚需加强。目前主要通过培训会、走访等形式开展政策宣贯，覆盖面较广，但针对企业的差异化需求，服务供给的精细化能力有待提升。三是协同执法机制仍待完善。在联合执法的信息共享、协同行动等方面的协作配合</w:t>
      </w:r>
      <w:r>
        <w:rPr>
          <w:rFonts w:hint="default" w:ascii="Times New Roman" w:hAnsi="Times New Roman" w:cs="方正仿宋简体"/>
          <w:b/>
          <w:bCs/>
          <w:sz w:val="32"/>
          <w:szCs w:val="32"/>
          <w:lang w:val="en-US" w:eastAsia="zh-CN"/>
        </w:rPr>
        <w:t>有待进一步</w:t>
      </w:r>
      <w:r>
        <w:rPr>
          <w:rFonts w:hint="eastAsia" w:ascii="Times New Roman" w:hAnsi="Times New Roman" w:cs="方正仿宋简体"/>
          <w:b/>
          <w:bCs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cs="方正仿宋简体"/>
          <w:b/>
          <w:bCs/>
          <w:sz w:val="32"/>
          <w:szCs w:val="32"/>
          <w:lang w:val="en-US" w:eastAsia="zh-CN"/>
        </w:rPr>
        <w:t>。</w:t>
      </w:r>
    </w:p>
    <w:p w14:paraId="4DE99B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 下一步工作打算</w:t>
      </w:r>
    </w:p>
    <w:p w14:paraId="0EFF18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（一）强化法治引领，筑牢思想根基。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持续深入学习贯彻习近平法治思想和党的二十大及历次全会精神，将法治思维和法治理念深度融入产业规划、政策制定与服务企业全过程。严格落实法治建设第一责任人职责，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发挥领导干部带头作用，引领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全局干部自觉做尊法学法守法用法的模范。</w:t>
      </w:r>
    </w:p>
    <w:p w14:paraId="68B887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（二）深化依法行政，规范执法行为。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严格落实行政执法“三项制度”，细化执法流程与标准，确保执法规范透明。加强执法人员常态化培训，通过旁听庭审、案卷评查等方式提升专业能力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联合检查协调机制，提升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执法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效能，减少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企业正常经营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的干扰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。</w:t>
      </w:r>
    </w:p>
    <w:p w14:paraId="48EADCD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（三）优化普法供给，提升服务质效。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加强领导干部和工作人员的法治宣传教育，不断提升行政执法队伍政治素质和理论水平。深化“谁执法谁普法”责任制，将经济发展与普法任务相结合，深入开展普法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、政策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宣传进企业活动，</w:t>
      </w:r>
      <w:bookmarkStart w:id="1" w:name="OLE_LINK2"/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加强政策解读与合规指导，提升法治惠企服务质效。</w:t>
      </w:r>
      <w:bookmarkEnd w:id="1"/>
    </w:p>
    <w:p w14:paraId="7495D4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（四）聚焦中心工作，优化营商环境。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将法治建设与产业培育、科技创新等工作协同推进，运用法治方式服务新型工业化建设。聚焦企业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发展中的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急难愁盼问题，开展精准服务，不断提升企业感受度和获得感。持续深化“放管服”改革，严格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公平竞争审查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制度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，保障各类市场主体平等准入，全力营造稳定、公平、透明的法治化营商环境。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6FB38-49C6-45D2-AC85-F4E0FD95AE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5E8883-BEBF-487F-B776-E0DC09E7EE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E6A9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796BE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E796BE">
                    <w:pPr>
                      <w:pStyle w:val="8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E2727"/>
    <w:rsid w:val="04F600CC"/>
    <w:rsid w:val="07F45FBF"/>
    <w:rsid w:val="10363CB8"/>
    <w:rsid w:val="17930935"/>
    <w:rsid w:val="18034B10"/>
    <w:rsid w:val="18673587"/>
    <w:rsid w:val="19DA2C42"/>
    <w:rsid w:val="1A641F6F"/>
    <w:rsid w:val="1B5763C6"/>
    <w:rsid w:val="1D9B7CC2"/>
    <w:rsid w:val="1FC21573"/>
    <w:rsid w:val="27560730"/>
    <w:rsid w:val="2B0B60E6"/>
    <w:rsid w:val="2D9F7288"/>
    <w:rsid w:val="3187231A"/>
    <w:rsid w:val="35AE2727"/>
    <w:rsid w:val="367A7539"/>
    <w:rsid w:val="3B7D3126"/>
    <w:rsid w:val="41575D60"/>
    <w:rsid w:val="421A21C9"/>
    <w:rsid w:val="42CF214E"/>
    <w:rsid w:val="43337F19"/>
    <w:rsid w:val="43F867AA"/>
    <w:rsid w:val="48FA0B36"/>
    <w:rsid w:val="4A1F433A"/>
    <w:rsid w:val="4DE027B5"/>
    <w:rsid w:val="55A01C24"/>
    <w:rsid w:val="59AA5B12"/>
    <w:rsid w:val="5E2C743E"/>
    <w:rsid w:val="60386BE5"/>
    <w:rsid w:val="614646BA"/>
    <w:rsid w:val="6D332FD6"/>
    <w:rsid w:val="6D8170CB"/>
    <w:rsid w:val="6ED2254D"/>
    <w:rsid w:val="71371F04"/>
    <w:rsid w:val="73504D4A"/>
    <w:rsid w:val="7756779D"/>
    <w:rsid w:val="7C4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paragraph" w:styleId="7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文件格式"/>
    <w:basedOn w:val="1"/>
    <w:qFormat/>
    <w:uiPriority w:val="0"/>
    <w:pPr>
      <w:widowControl/>
      <w:spacing w:before="100" w:beforeLines="0" w:beforeAutospacing="1" w:after="100" w:afterLines="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customStyle="1" w:styleId="14">
    <w:name w:val="BodyText1I2"/>
    <w:basedOn w:val="15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5">
    <w:name w:val="BodyTextIndent"/>
    <w:basedOn w:val="1"/>
    <w:next w:val="16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6">
    <w:name w:val="NormalIndent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1826</Words>
  <Characters>1839</Characters>
  <Lines>0</Lines>
  <Paragraphs>0</Paragraphs>
  <TotalTime>11</TotalTime>
  <ScaleCrop>false</ScaleCrop>
  <LinksUpToDate>false</LinksUpToDate>
  <CharactersWithSpaces>1841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2024-12-26T07:20:00Z</dcterms:created>
  <dc:creator>沈雁翔</dc:creator>
  <cp:lastModifiedBy>七月</cp:lastModifiedBy>
  <cp:lastPrinted>2025-12-30T01:08:00Z</cp:lastPrinted>
  <dcterms:modified xsi:type="dcterms:W3CDTF">2026-01-06T01:46:13Z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34FA1C5B38BD47FFAAA8240EE7E63195_13</vt:lpwstr>
  </property>
  <property fmtid="{D5CDD505-2E9C-101B-9397-08002B2CF9AE}" pid="4" name="KSOTemplateDocerSaveRecord">
    <vt:lpwstr>eyJoZGlkIjoiZWQzM2I1YjU5YjI2YTcwZGYxNzI2MThhMjI4ZGExZTgiLCJ1c2VySWQiOiIyNjM4NjA0ODUifQ==</vt:lpwstr>
  </property>
</Properties>
</file>