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7ECFA">
      <w:pPr>
        <w:pStyle w:val="4"/>
        <w:keepNext w:val="0"/>
        <w:keepLines w:val="0"/>
        <w:pageBreakBefore w:val="0"/>
        <w:widowControl/>
        <w:shd w:val="clear"/>
        <w:kinsoku/>
        <w:wordWrap/>
        <w:overflowPunct/>
        <w:topLinePunct w:val="0"/>
        <w:autoSpaceDE/>
        <w:autoSpaceDN/>
        <w:bidi w:val="0"/>
        <w:adjustRightInd/>
        <w:snapToGrid/>
        <w:spacing w:before="0" w:beforeAutospacing="0" w:after="157" w:afterLines="50" w:afterAutospacing="0" w:line="560" w:lineRule="exact"/>
        <w:jc w:val="center"/>
        <w:textAlignment w:val="auto"/>
        <w:rPr>
          <w:rFonts w:hint="eastAsia" w:ascii="Times New Roman" w:hAnsi="Times New Roman" w:eastAsia="方正小标宋简体" w:cs="方正小标宋简体"/>
          <w:b/>
          <w:bCs w:val="0"/>
          <w:color w:val="auto"/>
          <w:sz w:val="44"/>
          <w:szCs w:val="44"/>
          <w:lang w:eastAsia="zh-CN"/>
        </w:rPr>
      </w:pPr>
    </w:p>
    <w:p w14:paraId="364F2241">
      <w:pPr>
        <w:pStyle w:val="4"/>
        <w:keepNext w:val="0"/>
        <w:keepLines w:val="0"/>
        <w:pageBreakBefore w:val="0"/>
        <w:widowControl/>
        <w:shd w:val="clear"/>
        <w:kinsoku/>
        <w:wordWrap/>
        <w:overflowPunct/>
        <w:topLinePunct w:val="0"/>
        <w:autoSpaceDE/>
        <w:autoSpaceDN/>
        <w:bidi w:val="0"/>
        <w:adjustRightInd/>
        <w:snapToGrid/>
        <w:spacing w:before="0" w:beforeAutospacing="0" w:after="157" w:afterLines="50" w:afterAutospacing="0" w:line="560" w:lineRule="exact"/>
        <w:jc w:val="center"/>
        <w:textAlignment w:val="auto"/>
        <w:rPr>
          <w:rFonts w:hint="eastAsia" w:ascii="Times New Roman" w:hAnsi="Times New Roman" w:eastAsia="方正小标宋简体" w:cs="方正小标宋简体"/>
          <w:b/>
          <w:bCs w:val="0"/>
          <w:color w:val="auto"/>
          <w:sz w:val="44"/>
          <w:szCs w:val="44"/>
        </w:rPr>
      </w:pPr>
      <w:r>
        <w:rPr>
          <w:rFonts w:hint="eastAsia" w:ascii="Times New Roman" w:hAnsi="Times New Roman" w:eastAsia="方正小标宋简体" w:cs="方正小标宋简体"/>
          <w:b/>
          <w:bCs w:val="0"/>
          <w:color w:val="auto"/>
          <w:sz w:val="44"/>
          <w:szCs w:val="44"/>
          <w:lang w:eastAsia="zh-CN"/>
        </w:rPr>
        <w:t>泗水</w:t>
      </w:r>
      <w:r>
        <w:rPr>
          <w:rFonts w:hint="eastAsia" w:ascii="Times New Roman" w:hAnsi="Times New Roman" w:eastAsia="方正小标宋简体" w:cs="方正小标宋简体"/>
          <w:b/>
          <w:bCs w:val="0"/>
          <w:color w:val="auto"/>
          <w:sz w:val="44"/>
          <w:szCs w:val="44"/>
        </w:rPr>
        <w:t>县</w:t>
      </w:r>
      <w:r>
        <w:rPr>
          <w:rFonts w:hint="eastAsia" w:ascii="Times New Roman" w:hAnsi="Times New Roman" w:eastAsia="方正小标宋简体" w:cs="方正小标宋简体"/>
          <w:b/>
          <w:bCs w:val="0"/>
          <w:color w:val="auto"/>
          <w:sz w:val="44"/>
          <w:szCs w:val="44"/>
          <w:lang w:val="en-US" w:eastAsia="zh-CN"/>
        </w:rPr>
        <w:t>机关事务服务中心</w:t>
      </w:r>
      <w:r>
        <w:rPr>
          <w:rFonts w:hint="eastAsia" w:ascii="Times New Roman" w:hAnsi="Times New Roman" w:eastAsia="方正小标宋简体" w:cs="方正小标宋简体"/>
          <w:b/>
          <w:bCs w:val="0"/>
          <w:color w:val="auto"/>
          <w:sz w:val="44"/>
          <w:szCs w:val="44"/>
          <w:lang w:eastAsia="zh-CN"/>
        </w:rPr>
        <w:t>202</w:t>
      </w:r>
      <w:r>
        <w:rPr>
          <w:rFonts w:hint="eastAsia" w:ascii="Times New Roman" w:hAnsi="Times New Roman" w:eastAsia="方正小标宋简体" w:cs="方正小标宋简体"/>
          <w:b/>
          <w:bCs w:val="0"/>
          <w:color w:val="auto"/>
          <w:sz w:val="44"/>
          <w:szCs w:val="44"/>
          <w:lang w:val="en-US" w:eastAsia="zh-CN"/>
        </w:rPr>
        <w:t>5</w:t>
      </w:r>
      <w:r>
        <w:rPr>
          <w:rFonts w:hint="eastAsia" w:ascii="Times New Roman" w:hAnsi="Times New Roman" w:eastAsia="方正小标宋简体" w:cs="方正小标宋简体"/>
          <w:b/>
          <w:bCs w:val="0"/>
          <w:color w:val="auto"/>
          <w:sz w:val="44"/>
          <w:szCs w:val="44"/>
          <w:lang w:eastAsia="zh-CN"/>
        </w:rPr>
        <w:t>年</w:t>
      </w:r>
      <w:r>
        <w:rPr>
          <w:rFonts w:hint="eastAsia" w:ascii="Times New Roman" w:hAnsi="Times New Roman" w:eastAsia="方正小标宋简体" w:cs="方正小标宋简体"/>
          <w:b/>
          <w:bCs w:val="0"/>
          <w:color w:val="auto"/>
          <w:sz w:val="44"/>
          <w:szCs w:val="44"/>
        </w:rPr>
        <w:t>政府信息</w:t>
      </w:r>
    </w:p>
    <w:p w14:paraId="1F0AA8F7">
      <w:pPr>
        <w:pStyle w:val="4"/>
        <w:keepNext w:val="0"/>
        <w:keepLines w:val="0"/>
        <w:pageBreakBefore w:val="0"/>
        <w:widowControl/>
        <w:shd w:val="clear"/>
        <w:kinsoku/>
        <w:wordWrap/>
        <w:overflowPunct/>
        <w:topLinePunct w:val="0"/>
        <w:autoSpaceDE/>
        <w:autoSpaceDN/>
        <w:bidi w:val="0"/>
        <w:adjustRightInd/>
        <w:snapToGrid/>
        <w:spacing w:before="0" w:beforeAutospacing="0" w:after="157" w:afterLines="50" w:afterAutospacing="0" w:line="56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方正小标宋简体" w:cs="方正小标宋简体"/>
          <w:b/>
          <w:bCs w:val="0"/>
          <w:color w:val="auto"/>
          <w:sz w:val="44"/>
          <w:szCs w:val="44"/>
        </w:rPr>
        <w:t>公开工作年度报告</w:t>
      </w:r>
    </w:p>
    <w:p w14:paraId="12CC764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7"/>
          <w:rFonts w:hint="eastAsia" w:ascii="Times New Roman" w:hAnsi="Times New Roman" w:eastAsia="方正仿宋简体" w:cs="方正仿宋简体"/>
          <w:b/>
          <w:bCs w:val="0"/>
          <w:i w:val="0"/>
          <w:iCs w:val="0"/>
          <w:caps w:val="0"/>
          <w:color w:val="auto"/>
          <w:spacing w:val="0"/>
          <w:kern w:val="2"/>
          <w:sz w:val="32"/>
          <w:szCs w:val="32"/>
          <w:lang w:bidi="ar-SA"/>
        </w:rPr>
      </w:pPr>
    </w:p>
    <w:p w14:paraId="02A59FC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pPr>
      <w:r>
        <w:rPr>
          <w:rStyle w:val="7"/>
          <w:rFonts w:hint="eastAsia" w:ascii="Times New Roman" w:hAnsi="Times New Roman" w:eastAsia="方正仿宋简体" w:cs="方正仿宋简体"/>
          <w:b/>
          <w:bCs w:val="0"/>
          <w:i w:val="0"/>
          <w:iCs w:val="0"/>
          <w:caps w:val="0"/>
          <w:color w:val="auto"/>
          <w:spacing w:val="0"/>
          <w:kern w:val="2"/>
          <w:sz w:val="32"/>
          <w:szCs w:val="32"/>
          <w:lang w:bidi="ar-SA"/>
        </w:rPr>
        <w:t>本报告由泗水县</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机关事务服务中心</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按照《中华人民共和国政府信息公开条例》（以下简称《条例》）和《中华人民共和国政府信息公开工作年度报告格式》（国办公开办函〔2021〕30号）要求编制。</w:t>
      </w:r>
    </w:p>
    <w:p w14:paraId="34FAFA4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Times New Roman" w:hAnsi="Times New Roman" w:eastAsia="方正仿宋简体" w:cs="方正仿宋简体"/>
          <w:b/>
          <w:bCs w:val="0"/>
          <w:i w:val="0"/>
          <w:iCs w:val="0"/>
          <w:caps w:val="0"/>
          <w:color w:val="auto"/>
          <w:spacing w:val="0"/>
          <w:sz w:val="32"/>
          <w:szCs w:val="32"/>
        </w:rPr>
      </w:pPr>
      <w:r>
        <w:rPr>
          <w:rStyle w:val="7"/>
          <w:rFonts w:hint="eastAsia" w:ascii="Times New Roman" w:hAnsi="Times New Roman" w:eastAsia="方正仿宋简体" w:cs="方正仿宋简体"/>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14:paraId="03CCC71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7"/>
          <w:rFonts w:hint="eastAsia" w:ascii="Times New Roman" w:hAnsi="Times New Roman" w:eastAsia="方正仿宋简体" w:cs="方正仿宋简体"/>
          <w:b/>
          <w:bCs w:val="0"/>
          <w:i w:val="0"/>
          <w:iCs w:val="0"/>
          <w:caps w:val="0"/>
          <w:color w:val="auto"/>
          <w:spacing w:val="0"/>
          <w:kern w:val="2"/>
          <w:sz w:val="32"/>
          <w:szCs w:val="32"/>
          <w:lang w:bidi="ar-SA"/>
        </w:rPr>
      </w:pP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本</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报告中所列数据的统计期限自202</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5</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年1月1日起至202</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5</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年12月31日止。本报告电子版可在</w:t>
      </w:r>
      <w:r>
        <w:rPr>
          <w:rStyle w:val="7"/>
          <w:rFonts w:hint="eastAsia" w:ascii="Times New Roman" w:hAnsi="Times New Roman" w:eastAsia="方正仿宋简体" w:cs="方正仿宋简体"/>
          <w:b/>
          <w:bCs w:val="0"/>
          <w:i w:val="0"/>
          <w:iCs w:val="0"/>
          <w:caps w:val="0"/>
          <w:color w:val="auto"/>
          <w:spacing w:val="0"/>
          <w:kern w:val="2"/>
          <w:sz w:val="32"/>
          <w:szCs w:val="32"/>
          <w:lang w:eastAsia="zh-CN" w:bidi="ar-SA"/>
        </w:rPr>
        <w:t>“</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中国·泗水</w:t>
      </w:r>
      <w:r>
        <w:rPr>
          <w:rStyle w:val="7"/>
          <w:rFonts w:hint="eastAsia" w:ascii="Times New Roman" w:hAnsi="Times New Roman" w:eastAsia="方正仿宋简体" w:cs="方正仿宋简体"/>
          <w:b/>
          <w:bCs w:val="0"/>
          <w:i w:val="0"/>
          <w:iCs w:val="0"/>
          <w:caps w:val="0"/>
          <w:color w:val="auto"/>
          <w:spacing w:val="0"/>
          <w:kern w:val="2"/>
          <w:sz w:val="32"/>
          <w:szCs w:val="32"/>
          <w:lang w:eastAsia="zh-CN" w:bidi="ar-SA"/>
        </w:rPr>
        <w:t>”</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政府</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门户网站（www.sishui.gov.cn）</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查阅或</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下载。如对本报告有疑问，请与泗水县</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机关事务服务中心</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办公室联系</w:t>
      </w:r>
      <w:r>
        <w:rPr>
          <w:rStyle w:val="7"/>
          <w:rFonts w:hint="eastAsia" w:ascii="Times New Roman" w:hAnsi="Times New Roman" w:eastAsia="方正仿宋简体" w:cs="方正仿宋简体"/>
          <w:b/>
          <w:bCs w:val="0"/>
          <w:i w:val="0"/>
          <w:iCs w:val="0"/>
          <w:caps w:val="0"/>
          <w:color w:val="auto"/>
          <w:spacing w:val="0"/>
          <w:kern w:val="2"/>
          <w:sz w:val="32"/>
          <w:szCs w:val="32"/>
          <w:lang w:eastAsia="zh-CN" w:bidi="ar-SA"/>
        </w:rPr>
        <w:t>（</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地址：泗水县泉兴路7号，联系电话：</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0537-4</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363466</w:t>
      </w:r>
      <w:r>
        <w:rPr>
          <w:rStyle w:val="7"/>
          <w:rFonts w:hint="eastAsia" w:ascii="Times New Roman" w:hAnsi="Times New Roman" w:eastAsia="方正仿宋简体" w:cs="方正仿宋简体"/>
          <w:b/>
          <w:bCs w:val="0"/>
          <w:i w:val="0"/>
          <w:iCs w:val="0"/>
          <w:caps w:val="0"/>
          <w:color w:val="auto"/>
          <w:spacing w:val="0"/>
          <w:kern w:val="2"/>
          <w:sz w:val="32"/>
          <w:szCs w:val="32"/>
          <w:lang w:eastAsia="zh-CN" w:bidi="ar-SA"/>
        </w:rPr>
        <w:t>）</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w:t>
      </w:r>
    </w:p>
    <w:p w14:paraId="610056C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shd w:val="clear" w:color="auto" w:fill="FFFFFF"/>
        </w:rPr>
      </w:pPr>
      <w:r>
        <w:rPr>
          <w:rFonts w:hint="eastAsia" w:ascii="Times New Roman" w:hAnsi="Times New Roman" w:eastAsia="方正黑体简体" w:cs="方正黑体简体"/>
          <w:b/>
          <w:bCs w:val="0"/>
          <w:i w:val="0"/>
          <w:iCs w:val="0"/>
          <w:caps w:val="0"/>
          <w:color w:val="auto"/>
          <w:spacing w:val="0"/>
          <w:sz w:val="32"/>
          <w:szCs w:val="32"/>
          <w:shd w:val="clear" w:color="auto" w:fill="FFFFFF"/>
        </w:rPr>
        <w:t>一、总体情况</w:t>
      </w:r>
    </w:p>
    <w:p w14:paraId="5113BEBE">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Times New Roman" w:hAnsi="Times New Roman" w:eastAsia="方正仿宋简体" w:cs="方正仿宋简体"/>
          <w:b/>
          <w:bCs w:val="0"/>
          <w:color w:val="auto"/>
          <w:kern w:val="2"/>
          <w:sz w:val="32"/>
          <w:szCs w:val="32"/>
          <w:lang w:val="en-US" w:eastAsia="zh-CN" w:bidi="ar-SA"/>
        </w:rPr>
      </w:pPr>
      <w:r>
        <w:rPr>
          <w:rFonts w:hint="eastAsia" w:ascii="Times New Roman" w:hAnsi="Times New Roman" w:eastAsia="方正仿宋简体" w:cs="方正仿宋简体"/>
          <w:b/>
          <w:bCs w:val="0"/>
          <w:color w:val="auto"/>
          <w:kern w:val="2"/>
          <w:sz w:val="32"/>
          <w:szCs w:val="32"/>
          <w:lang w:val="en-US" w:eastAsia="zh-CN" w:bidi="ar-SA"/>
        </w:rPr>
        <w:t>2025年，泗水县机关事务服务中心牢固树立以人民为中心的发展思想，认真贯彻落实《中华人民共和国信息公开条例》和国家、省、市、县关于政务公开工作的决策部署，坚持以公开为原则，不公开为例外，全面推进政府信息公开，进一步提升政务服务能力。</w:t>
      </w:r>
    </w:p>
    <w:p w14:paraId="26F15549">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jc w:val="both"/>
        <w:textAlignment w:val="auto"/>
        <w:rPr>
          <w:rStyle w:val="7"/>
          <w:rFonts w:hint="eastAsia" w:ascii="Times New Roman" w:hAnsi="Times New Roman" w:eastAsia="方正楷体简体" w:cs="方正楷体简体"/>
          <w:b/>
          <w:bCs w:val="0"/>
          <w:i w:val="0"/>
          <w:iCs w:val="0"/>
          <w:caps w:val="0"/>
          <w:color w:val="auto"/>
          <w:spacing w:val="0"/>
          <w:sz w:val="32"/>
          <w:szCs w:val="32"/>
          <w:lang w:val="en-US" w:eastAsia="zh-CN"/>
        </w:rPr>
      </w:pPr>
      <w:r>
        <w:rPr>
          <w:rStyle w:val="7"/>
          <w:rFonts w:hint="eastAsia" w:ascii="Times New Roman" w:hAnsi="Times New Roman" w:eastAsia="方正楷体简体" w:cs="方正楷体简体"/>
          <w:b/>
          <w:bCs w:val="0"/>
          <w:i w:val="0"/>
          <w:iCs w:val="0"/>
          <w:caps w:val="0"/>
          <w:color w:val="auto"/>
          <w:spacing w:val="0"/>
          <w:sz w:val="32"/>
          <w:szCs w:val="32"/>
          <w:lang w:eastAsia="zh-CN"/>
        </w:rPr>
        <w:t>（一）主动公开情况</w:t>
      </w:r>
    </w:p>
    <w:p w14:paraId="322206DA">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Times New Roman" w:hAnsi="Times New Roman" w:eastAsia="方正仿宋简体" w:cs="方正仿宋简体"/>
          <w:b/>
          <w:bCs w:val="0"/>
          <w:color w:val="auto"/>
          <w:sz w:val="32"/>
          <w:szCs w:val="32"/>
          <w:lang w:val="en-US" w:eastAsia="zh-CN"/>
        </w:rPr>
      </w:pPr>
      <w:r>
        <w:rPr>
          <w:rFonts w:hint="eastAsia" w:ascii="Times New Roman" w:hAnsi="Times New Roman" w:eastAsia="方正仿宋简体" w:cs="方正仿宋简体"/>
          <w:b/>
          <w:bCs w:val="0"/>
          <w:color w:val="auto"/>
          <w:sz w:val="32"/>
          <w:szCs w:val="32"/>
          <w:lang w:val="en-US" w:eastAsia="zh-CN"/>
        </w:rPr>
        <w:t>2025年，县机关事务服务中心通过中国·泗水党政门户网站共主动向社会公布各类政府信息6条。其中，图文解读1条，部门预算2条，部门决算1条，政府信息公开指南1条，政府信息公开年度报告1条，充分保障群众对政府信息的知情权、收悉权。</w:t>
      </w:r>
      <w:bookmarkStart w:id="0" w:name="_GoBack"/>
      <w:bookmarkEnd w:id="0"/>
    </w:p>
    <w:p w14:paraId="61AFC3FA">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jc w:val="both"/>
        <w:textAlignment w:val="auto"/>
        <w:rPr>
          <w:rStyle w:val="7"/>
          <w:rFonts w:hint="eastAsia" w:ascii="Times New Roman" w:hAnsi="Times New Roman" w:eastAsia="方正楷体简体" w:cs="方正楷体简体"/>
          <w:b/>
          <w:bCs w:val="0"/>
          <w:i w:val="0"/>
          <w:iCs w:val="0"/>
          <w:caps w:val="0"/>
          <w:color w:val="auto"/>
          <w:spacing w:val="0"/>
          <w:sz w:val="32"/>
          <w:szCs w:val="32"/>
          <w:lang w:val="en-US" w:eastAsia="zh-CN"/>
        </w:rPr>
      </w:pPr>
      <w:r>
        <w:rPr>
          <w:rStyle w:val="7"/>
          <w:rFonts w:hint="eastAsia" w:ascii="Times New Roman" w:hAnsi="Times New Roman" w:eastAsia="方正楷体简体" w:cs="方正楷体简体"/>
          <w:b/>
          <w:bCs w:val="0"/>
          <w:i w:val="0"/>
          <w:iCs w:val="0"/>
          <w:caps w:val="0"/>
          <w:color w:val="auto"/>
          <w:spacing w:val="0"/>
          <w:sz w:val="32"/>
          <w:szCs w:val="32"/>
          <w:lang w:val="en-US" w:eastAsia="zh-CN"/>
        </w:rPr>
        <w:t>（二）依申请公开情况</w:t>
      </w:r>
    </w:p>
    <w:p w14:paraId="4DA921B3">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Times New Roman" w:hAnsi="Times New Roman" w:eastAsia="方正仿宋简体" w:cs="方正仿宋简体"/>
          <w:b/>
          <w:bCs w:val="0"/>
          <w:sz w:val="32"/>
          <w:szCs w:val="32"/>
          <w:lang w:val="en-US" w:eastAsia="zh-CN"/>
        </w:rPr>
      </w:pPr>
      <w:r>
        <w:rPr>
          <w:rFonts w:hint="eastAsia" w:ascii="Times New Roman" w:hAnsi="Times New Roman" w:eastAsia="方正仿宋简体" w:cs="方正仿宋简体"/>
          <w:b/>
          <w:bCs w:val="0"/>
          <w:sz w:val="32"/>
          <w:szCs w:val="32"/>
          <w:lang w:val="en-US" w:eastAsia="zh-CN"/>
        </w:rPr>
        <w:t>2025年，县机关事务服务中心未收到依申请公开信息。</w:t>
      </w:r>
    </w:p>
    <w:p w14:paraId="44576A7E">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jc w:val="both"/>
        <w:textAlignment w:val="auto"/>
        <w:rPr>
          <w:rStyle w:val="7"/>
          <w:rFonts w:hint="eastAsia" w:ascii="Times New Roman" w:hAnsi="Times New Roman" w:eastAsia="方正楷体简体" w:cs="方正楷体简体"/>
          <w:b/>
          <w:bCs w:val="0"/>
          <w:i w:val="0"/>
          <w:iCs w:val="0"/>
          <w:caps w:val="0"/>
          <w:color w:val="auto"/>
          <w:spacing w:val="0"/>
          <w:sz w:val="32"/>
          <w:szCs w:val="32"/>
          <w:lang w:val="en-US" w:eastAsia="zh-CN"/>
        </w:rPr>
      </w:pPr>
      <w:r>
        <w:rPr>
          <w:rStyle w:val="7"/>
          <w:rFonts w:hint="eastAsia" w:ascii="Times New Roman" w:hAnsi="Times New Roman" w:eastAsia="方正楷体简体" w:cs="方正楷体简体"/>
          <w:b/>
          <w:bCs w:val="0"/>
          <w:i w:val="0"/>
          <w:iCs w:val="0"/>
          <w:caps w:val="0"/>
          <w:color w:val="auto"/>
          <w:spacing w:val="0"/>
          <w:sz w:val="32"/>
          <w:szCs w:val="32"/>
          <w:lang w:val="en-US" w:eastAsia="zh-CN"/>
        </w:rPr>
        <w:t>（三）政府信息管理情况</w:t>
      </w:r>
    </w:p>
    <w:p w14:paraId="2E29D132">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Times New Roman" w:hAnsi="Times New Roman" w:eastAsia="方正仿宋简体" w:cs="方正仿宋简体"/>
          <w:b/>
          <w:bCs w:val="0"/>
          <w:sz w:val="32"/>
          <w:szCs w:val="32"/>
          <w:lang w:val="en-US" w:eastAsia="zh-CN"/>
        </w:rPr>
      </w:pPr>
      <w:r>
        <w:rPr>
          <w:rFonts w:hint="eastAsia" w:ascii="Times New Roman" w:hAnsi="Times New Roman" w:eastAsia="方正仿宋简体" w:cs="方正仿宋简体"/>
          <w:b/>
          <w:bCs w:val="0"/>
          <w:sz w:val="32"/>
          <w:szCs w:val="32"/>
          <w:lang w:val="en-US" w:eastAsia="zh-CN"/>
        </w:rPr>
        <w:t>县机关事务服务中心高度重视政府信息公开工作，进一步加强政务公开网站信息管理，规范政务公开流程，定期更新各栏目内容，保证信息的时效性与质量。</w:t>
      </w:r>
    </w:p>
    <w:p w14:paraId="5116BE15">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jc w:val="both"/>
        <w:textAlignment w:val="auto"/>
        <w:rPr>
          <w:rStyle w:val="7"/>
          <w:rFonts w:hint="eastAsia" w:ascii="Times New Roman" w:hAnsi="Times New Roman" w:eastAsia="方正楷体简体" w:cs="方正楷体简体"/>
          <w:b/>
          <w:bCs w:val="0"/>
          <w:i w:val="0"/>
          <w:iCs w:val="0"/>
          <w:caps w:val="0"/>
          <w:color w:val="auto"/>
          <w:spacing w:val="0"/>
          <w:sz w:val="32"/>
          <w:szCs w:val="32"/>
          <w:lang w:val="en-US" w:eastAsia="zh-CN"/>
        </w:rPr>
      </w:pPr>
      <w:r>
        <w:rPr>
          <w:rStyle w:val="7"/>
          <w:rFonts w:hint="eastAsia" w:ascii="Times New Roman" w:hAnsi="Times New Roman" w:eastAsia="方正楷体简体" w:cs="方正楷体简体"/>
          <w:b/>
          <w:bCs w:val="0"/>
          <w:i w:val="0"/>
          <w:iCs w:val="0"/>
          <w:caps w:val="0"/>
          <w:color w:val="auto"/>
          <w:spacing w:val="0"/>
          <w:sz w:val="32"/>
          <w:szCs w:val="32"/>
          <w:lang w:val="en-US" w:eastAsia="zh-CN"/>
        </w:rPr>
        <w:t>（四）政府信息公开平台建设情况</w:t>
      </w:r>
    </w:p>
    <w:p w14:paraId="6807C056">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Times New Roman" w:hAnsi="Times New Roman" w:eastAsia="方正仿宋简体" w:cs="方正仿宋简体"/>
          <w:b/>
          <w:bCs w:val="0"/>
          <w:sz w:val="32"/>
          <w:szCs w:val="32"/>
          <w:lang w:val="en-US" w:eastAsia="zh-CN"/>
        </w:rPr>
      </w:pPr>
      <w:r>
        <w:rPr>
          <w:rFonts w:hint="eastAsia" w:ascii="Times New Roman" w:hAnsi="Times New Roman" w:eastAsia="方正仿宋简体" w:cs="方正仿宋简体"/>
          <w:b/>
          <w:bCs w:val="0"/>
          <w:sz w:val="32"/>
          <w:szCs w:val="32"/>
          <w:lang w:val="en-US" w:eastAsia="zh-CN"/>
        </w:rPr>
        <w:t>县机关事务服务中心持续推进政府信息公开目录的维护建设，对单位职责、领导信息、机构设置、政策文件等专题专栏做到动态更新。切实加强信息复核工作，信息一经发布，须由发布人及时再次核对显示、索引等情况，确保信息表述清楚、画面显示清晰。</w:t>
      </w:r>
    </w:p>
    <w:p w14:paraId="3B66C68F">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jc w:val="both"/>
        <w:textAlignment w:val="auto"/>
        <w:rPr>
          <w:rStyle w:val="7"/>
          <w:rFonts w:hint="eastAsia" w:ascii="Times New Roman" w:hAnsi="Times New Roman" w:eastAsia="方正楷体简体" w:cs="方正楷体简体"/>
          <w:b/>
          <w:bCs w:val="0"/>
          <w:i w:val="0"/>
          <w:iCs w:val="0"/>
          <w:caps w:val="0"/>
          <w:color w:val="auto"/>
          <w:spacing w:val="0"/>
          <w:sz w:val="32"/>
          <w:szCs w:val="32"/>
          <w:lang w:eastAsia="zh-CN"/>
        </w:rPr>
      </w:pPr>
      <w:r>
        <w:rPr>
          <w:rStyle w:val="7"/>
          <w:rFonts w:hint="eastAsia" w:ascii="Times New Roman" w:hAnsi="Times New Roman" w:eastAsia="方正楷体简体" w:cs="方正楷体简体"/>
          <w:b/>
          <w:bCs w:val="0"/>
          <w:i w:val="0"/>
          <w:iCs w:val="0"/>
          <w:caps w:val="0"/>
          <w:color w:val="auto"/>
          <w:spacing w:val="0"/>
          <w:sz w:val="32"/>
          <w:szCs w:val="32"/>
          <w:lang w:eastAsia="zh-CN"/>
        </w:rPr>
        <w:t>（五）监督保障情况</w:t>
      </w:r>
    </w:p>
    <w:p w14:paraId="1D28EE8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方正仿宋简体" w:cs="方正仿宋简体"/>
          <w:b/>
          <w:bCs w:val="0"/>
          <w:sz w:val="32"/>
          <w:szCs w:val="32"/>
        </w:rPr>
      </w:pPr>
      <w:r>
        <w:rPr>
          <w:rFonts w:hint="eastAsia" w:ascii="Times New Roman" w:hAnsi="Times New Roman" w:eastAsia="方正仿宋简体" w:cs="方正仿宋简体"/>
          <w:b/>
          <w:bCs w:val="0"/>
          <w:sz w:val="32"/>
          <w:szCs w:val="32"/>
          <w:lang w:val="en-US" w:eastAsia="zh-CN"/>
        </w:rPr>
        <w:t>县机关事务服务中心</w:t>
      </w:r>
      <w:r>
        <w:rPr>
          <w:rFonts w:hint="eastAsia" w:ascii="Times New Roman" w:hAnsi="Times New Roman" w:eastAsia="方正仿宋简体" w:cs="方正仿宋简体"/>
          <w:b/>
          <w:bCs w:val="0"/>
          <w:sz w:val="32"/>
          <w:szCs w:val="32"/>
        </w:rPr>
        <w:t>加强开展业务指导、监督检查、工作培训等工作，加大对发布虚假、不实、模糊信息的审核和处理力度，确保信息公示清晰明朗。定期举办政府信息公开专题培训，内容涵盖法律法规、操作技能、案例分析等，不断提升工作人员的专业素养与服务效能。</w:t>
      </w:r>
    </w:p>
    <w:p w14:paraId="0AB6ECC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shd w:val="clear" w:color="auto" w:fill="FFFFFF"/>
        </w:rPr>
      </w:pPr>
      <w:r>
        <w:rPr>
          <w:rFonts w:hint="eastAsia" w:ascii="Times New Roman" w:hAnsi="Times New Roman" w:eastAsia="方正黑体简体" w:cs="方正黑体简体"/>
          <w:b/>
          <w:bCs w:val="0"/>
          <w:i w:val="0"/>
          <w:iCs w:val="0"/>
          <w:caps w:val="0"/>
          <w:color w:val="auto"/>
          <w:spacing w:val="0"/>
          <w:sz w:val="32"/>
          <w:szCs w:val="32"/>
          <w:shd w:val="clear" w:color="auto" w:fill="FFFFFF"/>
        </w:rPr>
        <w:t>二、主动公开政府信息情况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0C60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459A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第二十条第（一）项</w:t>
            </w:r>
          </w:p>
        </w:tc>
      </w:tr>
      <w:tr w14:paraId="4973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4B5C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08B2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BC29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A454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现行有效件数</w:t>
            </w:r>
          </w:p>
        </w:tc>
      </w:tr>
      <w:tr w14:paraId="2F16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CDBD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BBDC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B143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20E1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Calibri"/>
                <w:b/>
                <w:bCs w:val="0"/>
                <w:color w:val="auto"/>
                <w:kern w:val="0"/>
                <w:sz w:val="21"/>
                <w:szCs w:val="21"/>
                <w:lang w:val="en-US" w:eastAsia="zh-CN" w:bidi="ar"/>
              </w:rPr>
              <w:t>0</w:t>
            </w:r>
          </w:p>
        </w:tc>
      </w:tr>
      <w:tr w14:paraId="09AB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F2A98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A438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66B7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F128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Calibri"/>
                <w:b/>
                <w:bCs w:val="0"/>
                <w:color w:val="auto"/>
                <w:kern w:val="0"/>
                <w:sz w:val="21"/>
                <w:szCs w:val="21"/>
                <w:lang w:val="en-US" w:eastAsia="zh-CN" w:bidi="ar"/>
              </w:rPr>
              <w:t>0</w:t>
            </w:r>
          </w:p>
        </w:tc>
      </w:tr>
      <w:tr w14:paraId="0F98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D94E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第二十条第（五）项</w:t>
            </w:r>
          </w:p>
        </w:tc>
      </w:tr>
      <w:tr w14:paraId="714B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9C58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0D554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本年处理决定数量</w:t>
            </w:r>
          </w:p>
        </w:tc>
      </w:tr>
      <w:tr w14:paraId="2DF4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DFA9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9701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Calibri"/>
                <w:b/>
                <w:bCs w:val="0"/>
                <w:color w:val="auto"/>
                <w:kern w:val="0"/>
                <w:sz w:val="21"/>
                <w:szCs w:val="21"/>
                <w:lang w:val="en-US" w:eastAsia="zh-CN" w:bidi="ar"/>
              </w:rPr>
              <w:t>0</w:t>
            </w:r>
          </w:p>
        </w:tc>
      </w:tr>
      <w:tr w14:paraId="63C6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3A67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第二十条第（六）项</w:t>
            </w:r>
          </w:p>
        </w:tc>
      </w:tr>
      <w:tr w14:paraId="0840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DFE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71BDE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本年处理决定数量</w:t>
            </w:r>
          </w:p>
        </w:tc>
      </w:tr>
      <w:tr w14:paraId="5FE9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48375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9942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r>
      <w:tr w14:paraId="09AC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4889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59C72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r>
      <w:tr w14:paraId="4725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2D0C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第二十条第（八）项</w:t>
            </w:r>
          </w:p>
        </w:tc>
      </w:tr>
      <w:tr w14:paraId="52F8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E4B4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1321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本年收费金额（单位：万元）</w:t>
            </w:r>
          </w:p>
        </w:tc>
      </w:tr>
      <w:tr w14:paraId="31BF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98F8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51DD129F">
            <w:pPr>
              <w:jc w:val="center"/>
              <w:rPr>
                <w:rFonts w:hint="eastAsia" w:ascii="Times New Roman" w:hAnsi="Times New Roman" w:eastAsia="宋体"/>
                <w:b/>
                <w:bCs w:val="0"/>
                <w:color w:val="auto"/>
                <w:sz w:val="24"/>
                <w:szCs w:val="24"/>
                <w:lang w:val="en-US" w:eastAsia="zh-CN"/>
              </w:rPr>
            </w:pPr>
            <w:r>
              <w:rPr>
                <w:rFonts w:hint="eastAsia" w:ascii="Times New Roman" w:hAnsi="Times New Roman"/>
                <w:b/>
                <w:bCs w:val="0"/>
                <w:color w:val="auto"/>
                <w:sz w:val="24"/>
                <w:szCs w:val="24"/>
                <w:lang w:val="en-US" w:eastAsia="zh-CN"/>
              </w:rPr>
              <w:t>0</w:t>
            </w:r>
          </w:p>
        </w:tc>
      </w:tr>
    </w:tbl>
    <w:p w14:paraId="03059A9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shd w:val="clear" w:color="auto" w:fill="FFFFFF"/>
        </w:rPr>
      </w:pPr>
      <w:r>
        <w:rPr>
          <w:rFonts w:hint="eastAsia" w:ascii="Times New Roman" w:hAnsi="Times New Roman" w:eastAsia="方正黑体简体" w:cs="方正黑体简体"/>
          <w:b/>
          <w:bCs w:val="0"/>
          <w:i w:val="0"/>
          <w:iCs w:val="0"/>
          <w:caps w:val="0"/>
          <w:color w:val="auto"/>
          <w:spacing w:val="0"/>
          <w:sz w:val="32"/>
          <w:szCs w:val="32"/>
          <w:shd w:val="clear" w:color="auto" w:fill="FFFFFF"/>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14:paraId="40D4ED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4930" w:type="dxa"/>
            <w:gridSpan w:val="3"/>
            <w:vMerge w:val="restart"/>
            <w:tcBorders>
              <w:top w:val="single" w:color="EE822F" w:themeColor="accent2" w:sz="6" w:space="0"/>
              <w:left w:val="single" w:color="EE822F" w:themeColor="accent2" w:sz="6" w:space="0"/>
              <w:bottom w:val="single" w:color="EE822F" w:themeColor="accent2" w:sz="6" w:space="0"/>
              <w:right w:val="single" w:color="F8CCAB" w:themeColor="accent2" w:themeTint="66" w:sz="6" w:space="0"/>
            </w:tcBorders>
            <w:shd w:val="clear" w:color="auto" w:fill="EE822F" w:themeFill="accent2"/>
            <w:noWrap w:val="0"/>
            <w:tcMar>
              <w:left w:w="108" w:type="dxa"/>
              <w:right w:w="108" w:type="dxa"/>
            </w:tcMar>
            <w:vAlign w:val="center"/>
          </w:tcPr>
          <w:p w14:paraId="0A47B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bCs w:val="0"/>
                <w:i w:val="0"/>
                <w:color w:val="FFFFFF"/>
              </w:rPr>
            </w:pPr>
            <w:r>
              <w:rPr>
                <w:rFonts w:ascii="Times New Roman" w:hAnsi="Times New Roman" w:eastAsia="楷体" w:cs="楷体"/>
                <w:b/>
                <w:bCs w:val="0"/>
                <w:i w:val="0"/>
                <w:color w:val="FFFFFF"/>
                <w:kern w:val="0"/>
                <w:sz w:val="20"/>
                <w:szCs w:val="20"/>
                <w:lang w:val="en-US" w:eastAsia="zh-CN" w:bidi="ar"/>
              </w:rPr>
              <w:t>（本列数据的勾稽关系为：第一项加第二项之和，等于第三项加第四项之和）</w:t>
            </w:r>
          </w:p>
        </w:tc>
        <w:tc>
          <w:tcPr>
            <w:tcW w:w="4818" w:type="dxa"/>
            <w:gridSpan w:val="7"/>
            <w:tcBorders>
              <w:top w:val="single" w:color="EE822F" w:themeColor="accent2" w:sz="6" w:space="0"/>
              <w:left w:val="single" w:color="F8CCAB" w:themeColor="accent2" w:themeTint="66" w:sz="6" w:space="0"/>
              <w:bottom w:val="single" w:color="EE822F" w:themeColor="accent2" w:sz="6" w:space="0"/>
              <w:right w:val="single" w:color="F8CCAB" w:themeColor="accent2" w:themeTint="66" w:sz="6" w:space="0"/>
            </w:tcBorders>
            <w:shd w:val="clear" w:color="auto" w:fill="EE822F" w:themeFill="accent2"/>
            <w:noWrap w:val="0"/>
            <w:tcMar>
              <w:left w:w="57" w:type="dxa"/>
              <w:right w:w="57" w:type="dxa"/>
            </w:tcMar>
            <w:vAlign w:val="center"/>
          </w:tcPr>
          <w:p w14:paraId="270DD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bCs w:val="0"/>
                <w:i w:val="0"/>
                <w:color w:val="FFFFFF"/>
              </w:rPr>
            </w:pPr>
            <w:r>
              <w:rPr>
                <w:rFonts w:hint="eastAsia" w:ascii="Times New Roman" w:hAnsi="Times New Roman" w:eastAsia="宋体" w:cs="宋体"/>
                <w:b/>
                <w:bCs w:val="0"/>
                <w:i w:val="0"/>
                <w:color w:val="FFFFFF"/>
                <w:kern w:val="0"/>
                <w:sz w:val="20"/>
                <w:szCs w:val="20"/>
                <w:lang w:val="en-US" w:eastAsia="zh-CN" w:bidi="ar"/>
              </w:rPr>
              <w:t>申请人情况</w:t>
            </w:r>
          </w:p>
        </w:tc>
      </w:tr>
      <w:tr w14:paraId="039542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EE822F" w:themeColor="accent2"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108" w:type="dxa"/>
              <w:right w:w="108" w:type="dxa"/>
            </w:tcMar>
            <w:vAlign w:val="center"/>
          </w:tcPr>
          <w:p w14:paraId="55DF6CDB">
            <w:pPr>
              <w:rPr>
                <w:rFonts w:hint="eastAsia" w:ascii="Times New Roman" w:hAnsi="Times New Roman"/>
                <w:b w:val="0"/>
                <w:bCs w:val="0"/>
                <w:i w:val="0"/>
                <w:color w:val="000000"/>
                <w:sz w:val="24"/>
                <w:szCs w:val="24"/>
              </w:rPr>
            </w:pPr>
          </w:p>
        </w:tc>
        <w:tc>
          <w:tcPr>
            <w:tcW w:w="688" w:type="dxa"/>
            <w:vMerge w:val="restart"/>
            <w:tcBorders>
              <w:top w:val="single" w:color="EE822F" w:themeColor="accent2"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8095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自然人</w:t>
            </w:r>
          </w:p>
        </w:tc>
        <w:tc>
          <w:tcPr>
            <w:tcW w:w="3441" w:type="dxa"/>
            <w:gridSpan w:val="5"/>
            <w:tcBorders>
              <w:top w:val="single" w:color="EE822F" w:themeColor="accent2"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3EE41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法人或其他组织</w:t>
            </w:r>
          </w:p>
        </w:tc>
        <w:tc>
          <w:tcPr>
            <w:tcW w:w="689" w:type="dxa"/>
            <w:vMerge w:val="restart"/>
            <w:tcBorders>
              <w:top w:val="single" w:color="EE822F" w:themeColor="accent2"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E077A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总计</w:t>
            </w:r>
          </w:p>
        </w:tc>
      </w:tr>
      <w:tr w14:paraId="0C7EFE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108" w:type="dxa"/>
              <w:right w:w="108" w:type="dxa"/>
            </w:tcMar>
            <w:vAlign w:val="center"/>
          </w:tcPr>
          <w:p w14:paraId="20EBBEF4">
            <w:pPr>
              <w:rPr>
                <w:rFonts w:hint="eastAsia" w:ascii="Times New Roman" w:hAnsi="Times New Roman"/>
                <w:b w:val="0"/>
                <w:bCs w:val="0"/>
                <w:i w:val="0"/>
                <w:color w:val="000000"/>
                <w:sz w:val="24"/>
                <w:szCs w:val="24"/>
              </w:rPr>
            </w:pPr>
          </w:p>
        </w:tc>
        <w:tc>
          <w:tcPr>
            <w:tcW w:w="688"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77F48B0">
            <w:pPr>
              <w:rPr>
                <w:rFonts w:hint="eastAsia" w:ascii="Times New Roman" w:hAnsi="Times New Roman"/>
                <w:b w:val="0"/>
                <w:bCs w:val="0"/>
                <w:i w:val="0"/>
                <w:color w:val="000000"/>
                <w:sz w:val="24"/>
                <w:szCs w:val="24"/>
              </w:rPr>
            </w:pP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B8D56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商业</w:t>
            </w:r>
          </w:p>
          <w:p w14:paraId="1B181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企业</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0B06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科研</w:t>
            </w:r>
          </w:p>
          <w:p w14:paraId="6537E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机构</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F22A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社会公益组织</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7CC9C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法律服务机构</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8786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其他</w:t>
            </w:r>
          </w:p>
        </w:tc>
        <w:tc>
          <w:tcPr>
            <w:tcW w:w="689"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683BCA55">
            <w:pPr>
              <w:rPr>
                <w:rFonts w:hint="eastAsia" w:ascii="Times New Roman" w:hAnsi="Times New Roman"/>
                <w:b w:val="0"/>
                <w:bCs w:val="0"/>
                <w:i w:val="0"/>
                <w:color w:val="000000"/>
                <w:sz w:val="24"/>
                <w:szCs w:val="24"/>
              </w:rPr>
            </w:pPr>
          </w:p>
        </w:tc>
      </w:tr>
      <w:tr w14:paraId="2A127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3FA22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一、本年新收政府信息公开申请数量</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9408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val="0"/>
                <w:bCs w:val="0"/>
                <w:i w:val="0"/>
                <w:color w:val="000000"/>
                <w:lang w:val="en-US"/>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C7D3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val="0"/>
                <w:bCs w:val="0"/>
                <w:i w:val="0"/>
                <w:color w:val="000000"/>
                <w:lang w:val="en-US"/>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30935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val="0"/>
                <w:bCs w:val="0"/>
                <w:i w:val="0"/>
                <w:color w:val="000000"/>
                <w:lang w:val="en-US"/>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4349C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9594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b w:val="0"/>
                <w:bCs w:val="0"/>
                <w:i w:val="0"/>
                <w:color w:val="000000"/>
                <w:lang w:val="en-US"/>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1636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top"/>
          </w:tcPr>
          <w:p w14:paraId="709E1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36CBAB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7622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二、上年结转政府信息公开申请数量</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88ED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499F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55F972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AE21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3DA6A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3F7FD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top"/>
          </w:tcPr>
          <w:p w14:paraId="2E77F2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3E5393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1E496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三、本年度办理结果</w:t>
            </w:r>
          </w:p>
        </w:tc>
        <w:tc>
          <w:tcPr>
            <w:tcW w:w="4162" w:type="dxa"/>
            <w:gridSpan w:val="2"/>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5F40A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（一）予以公开</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5D90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0383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3EB64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3242B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81E1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5A42E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083BD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151EE1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A07143C">
            <w:pPr>
              <w:rPr>
                <w:rFonts w:hint="eastAsia" w:ascii="Times New Roman" w:hAnsi="Times New Roman"/>
                <w:b w:val="0"/>
                <w:bCs w:val="0"/>
                <w:i w:val="0"/>
                <w:color w:val="000000"/>
                <w:sz w:val="24"/>
                <w:szCs w:val="24"/>
              </w:rPr>
            </w:pPr>
          </w:p>
        </w:tc>
        <w:tc>
          <w:tcPr>
            <w:tcW w:w="4162" w:type="dxa"/>
            <w:gridSpan w:val="2"/>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29E7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（二）部分公开</w:t>
            </w:r>
            <w:r>
              <w:rPr>
                <w:rFonts w:hint="eastAsia" w:ascii="Times New Roman" w:hAnsi="Times New Roman" w:eastAsia="楷体" w:cs="楷体"/>
                <w:b w:val="0"/>
                <w:bCs w:val="0"/>
                <w:i w:val="0"/>
                <w:color w:val="000000"/>
                <w:kern w:val="0"/>
                <w:sz w:val="20"/>
                <w:szCs w:val="20"/>
                <w:lang w:val="en-US" w:eastAsia="zh-CN" w:bidi="ar"/>
              </w:rPr>
              <w:t>（区分处理的，只计这一情形，不计其他情形）</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4B8C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2DBE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027F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FCEB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DB83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0B69B8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05228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Calibri"/>
                <w:b w:val="0"/>
                <w:bCs w:val="0"/>
                <w:i w:val="0"/>
                <w:color w:val="000000"/>
                <w:kern w:val="0"/>
                <w:sz w:val="20"/>
                <w:szCs w:val="20"/>
                <w:lang w:val="en-US" w:eastAsia="zh-CN" w:bidi="ar"/>
              </w:rPr>
            </w:pPr>
          </w:p>
          <w:p w14:paraId="7DB78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74FA41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6B9A4F9">
            <w:pPr>
              <w:rPr>
                <w:rFonts w:hint="eastAsia" w:ascii="Times New Roman" w:hAnsi="Times New Roman"/>
                <w:b w:val="0"/>
                <w:bCs w:val="0"/>
                <w:i w:val="0"/>
                <w:color w:val="000000"/>
                <w:sz w:val="24"/>
                <w:szCs w:val="24"/>
              </w:rPr>
            </w:pPr>
          </w:p>
        </w:tc>
        <w:tc>
          <w:tcPr>
            <w:tcW w:w="943" w:type="dxa"/>
            <w:vMerge w:val="restart"/>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7E7C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（三）不予公开</w:t>
            </w: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665386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1.属于国家秘密</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055C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DC2D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C062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365DD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6C3FA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48014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31A456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3F623F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64B92F5">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1447F78">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1E056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2.其他法律行政法规禁止公开</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B5AE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DCF21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CA91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39248E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193D0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6C76A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12A5A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62CFAB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92F53C2">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14BB9386">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286F3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3.危及“三安全一稳定”</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50FE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C7BA9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9142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0438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3F091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12A51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6A9850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16ACF3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38D7107">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0902043">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3883D0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4.保护第三方合法权益</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5E6CB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B5D3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952A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6289E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4F6E2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387A3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0065C5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7FE32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5514713">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CB9FD2D">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50010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5.属于三类内部事务信息</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8DD2B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7A421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9E0E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CD74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789AE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BDFA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1F1B42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4B5E80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F0B23D0">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93F3C86">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698DD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6.属于四类过程性信息</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512DD5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D823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741E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557F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116AC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32DBE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7B0A6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0BCAC9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E72039C">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3EB2965E">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498EBB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7.属于行政执法案卷</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3C55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4A57C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149F7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F88D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4748B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216A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7A084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175563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22A563D">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B91324B">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37CBA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8.属于行政查询事项</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B1F9B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78ED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A672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543F3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7DE10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5A13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2FFAA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381D0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37D08517">
            <w:pPr>
              <w:rPr>
                <w:rFonts w:hint="eastAsia" w:ascii="Times New Roman" w:hAnsi="Times New Roman"/>
                <w:b w:val="0"/>
                <w:bCs w:val="0"/>
                <w:i w:val="0"/>
                <w:color w:val="000000"/>
                <w:sz w:val="24"/>
                <w:szCs w:val="24"/>
              </w:rPr>
            </w:pPr>
          </w:p>
        </w:tc>
        <w:tc>
          <w:tcPr>
            <w:tcW w:w="943" w:type="dxa"/>
            <w:vMerge w:val="restart"/>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629C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（四）无法提供</w:t>
            </w: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250B3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1.本机关不掌握相关政府信息</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CE37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8F20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6E1F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3D14D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1A0135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C575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29C32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347390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1C9D47D">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ECC2296">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738C6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2.没有现成信息需要另行制作</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E376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6A86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8A67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5FD0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5AF98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657BC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458EC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15C31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713E4B1">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78251E2">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2E7A6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3.补正后申请内容仍不明确</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11224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43AF8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735A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27AAA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5D4C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D109C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2C80B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2166CB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6421152D">
            <w:pPr>
              <w:rPr>
                <w:rFonts w:hint="eastAsia" w:ascii="Times New Roman" w:hAnsi="Times New Roman"/>
                <w:b w:val="0"/>
                <w:bCs w:val="0"/>
                <w:i w:val="0"/>
                <w:color w:val="000000"/>
                <w:sz w:val="24"/>
                <w:szCs w:val="24"/>
              </w:rPr>
            </w:pPr>
          </w:p>
        </w:tc>
        <w:tc>
          <w:tcPr>
            <w:tcW w:w="943" w:type="dxa"/>
            <w:vMerge w:val="restart"/>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52835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（五）不予处理</w:t>
            </w: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44740B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1.信访举报投诉类申请</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B464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54CF1E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689C47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BE16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1117A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9CFD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0221A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165B47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29F29BD">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37CE342">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3F7123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2.重复申请</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44077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DF4C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5057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88CE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2E09A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4C0C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3288D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76D7FD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1F46CF4">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3B494F7">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41225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3.要求提供公开出版物</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5F1D2D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C40D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6AE7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B9DB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1D53A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2FC47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26A48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4B5F22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8B810D7">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DE1F23F">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3DB2B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4.无正当理由大量反复申请</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DE6E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5A61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29E4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6227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1F75E8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D663F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7557F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531D79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0784DE5">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361EA6A3">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4EC1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5.要求行政机关确认或重新出具已获取信息</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3FB77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9160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E647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30CB8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141BF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746CF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2571F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b w:val="0"/>
                <w:bCs w:val="0"/>
                <w:i w:val="0"/>
                <w:color w:val="000000"/>
                <w:lang w:val="en-US" w:eastAsia="zh-CN"/>
              </w:rPr>
            </w:pPr>
          </w:p>
          <w:p w14:paraId="41705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b w:val="0"/>
                <w:bCs w:val="0"/>
                <w:i w:val="0"/>
                <w:color w:val="000000"/>
                <w:lang w:val="en-US" w:eastAsia="zh-CN"/>
              </w:rPr>
            </w:pPr>
            <w:r>
              <w:rPr>
                <w:rFonts w:hint="eastAsia" w:ascii="Times New Roman" w:hAnsi="Times New Roman"/>
                <w:b w:val="0"/>
                <w:bCs w:val="0"/>
                <w:i w:val="0"/>
                <w:color w:val="000000"/>
                <w:lang w:val="en-US" w:eastAsia="zh-CN"/>
              </w:rPr>
              <w:t>0</w:t>
            </w:r>
          </w:p>
        </w:tc>
      </w:tr>
      <w:tr w14:paraId="4F0207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1CC28CC">
            <w:pPr>
              <w:rPr>
                <w:rFonts w:hint="eastAsia" w:ascii="Times New Roman" w:hAnsi="Times New Roman"/>
                <w:b w:val="0"/>
                <w:bCs w:val="0"/>
                <w:i w:val="0"/>
                <w:color w:val="000000"/>
                <w:sz w:val="24"/>
                <w:szCs w:val="24"/>
              </w:rPr>
            </w:pPr>
          </w:p>
        </w:tc>
        <w:tc>
          <w:tcPr>
            <w:tcW w:w="943" w:type="dxa"/>
            <w:vMerge w:val="restart"/>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CB75E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（六）其他处理</w:t>
            </w: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DE9D7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1.申请人无正当理由逾期不补正、行政机关不再处理其政府信息公开申请</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16874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DDF7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A4F15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7C69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58240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5E9F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5752E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cs="Calibri"/>
                <w:b w:val="0"/>
                <w:bCs w:val="0"/>
                <w:i w:val="0"/>
                <w:color w:val="000000"/>
                <w:kern w:val="0"/>
                <w:sz w:val="20"/>
                <w:szCs w:val="20"/>
                <w:lang w:val="en-US" w:eastAsia="zh-CN" w:bidi="ar"/>
              </w:rPr>
            </w:pPr>
          </w:p>
          <w:p w14:paraId="004EDF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701B00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BD1ECDD">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5FE09210">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4B2E1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2.申请人逾期未按收费通知要求缴纳费用、行政机关不再处理其政府信息公开申请</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1576B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697D7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6200E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6F92B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745DA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3A4851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4FA26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cs="Calibri"/>
                <w:b w:val="0"/>
                <w:bCs w:val="0"/>
                <w:i w:val="0"/>
                <w:color w:val="000000"/>
                <w:kern w:val="0"/>
                <w:sz w:val="20"/>
                <w:szCs w:val="20"/>
                <w:lang w:val="en-US" w:eastAsia="zh-CN" w:bidi="ar"/>
              </w:rPr>
            </w:pPr>
          </w:p>
          <w:p w14:paraId="064D7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7CBA59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772AE66F">
            <w:pPr>
              <w:rPr>
                <w:rFonts w:hint="eastAsia" w:ascii="Times New Roman" w:hAnsi="Times New Roman"/>
                <w:b w:val="0"/>
                <w:bCs w:val="0"/>
                <w:i w:val="0"/>
                <w:color w:val="000000"/>
                <w:sz w:val="24"/>
                <w:szCs w:val="24"/>
              </w:rPr>
            </w:pPr>
          </w:p>
        </w:tc>
        <w:tc>
          <w:tcPr>
            <w:tcW w:w="943" w:type="dxa"/>
            <w:vMerge w:val="continue"/>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CDE82DF">
            <w:pPr>
              <w:rPr>
                <w:rFonts w:hint="eastAsia" w:ascii="Times New Roman" w:hAnsi="Times New Roman"/>
                <w:b w:val="0"/>
                <w:bCs w:val="0"/>
                <w:i w:val="0"/>
                <w:color w:val="000000"/>
                <w:sz w:val="24"/>
                <w:szCs w:val="24"/>
              </w:rPr>
            </w:pPr>
          </w:p>
        </w:tc>
        <w:tc>
          <w:tcPr>
            <w:tcW w:w="321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211831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3.其他</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0DC293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18583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66CB6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36DD8C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FFFFF"/>
            <w:noWrap w:val="0"/>
            <w:tcMar>
              <w:left w:w="57" w:type="dxa"/>
              <w:right w:w="57" w:type="dxa"/>
            </w:tcMar>
            <w:vAlign w:val="center"/>
          </w:tcPr>
          <w:p w14:paraId="2DF224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center"/>
          </w:tcPr>
          <w:p w14:paraId="5B834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FFFFF"/>
            <w:noWrap w:val="0"/>
            <w:tcMar>
              <w:left w:w="57" w:type="dxa"/>
              <w:right w:w="57" w:type="dxa"/>
            </w:tcMar>
            <w:vAlign w:val="top"/>
          </w:tcPr>
          <w:p w14:paraId="2F227A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1A719C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F8CCAB" w:themeColor="accent2" w:themeTint="66" w:sz="6" w:space="0"/>
              <w:left w:val="single" w:color="EE822F" w:themeColor="accent2"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649B2C4E">
            <w:pPr>
              <w:rPr>
                <w:rFonts w:hint="eastAsia" w:ascii="Times New Roman" w:hAnsi="Times New Roman"/>
                <w:b w:val="0"/>
                <w:bCs w:val="0"/>
                <w:i w:val="0"/>
                <w:color w:val="000000"/>
                <w:sz w:val="24"/>
                <w:szCs w:val="24"/>
              </w:rPr>
            </w:pPr>
          </w:p>
        </w:tc>
        <w:tc>
          <w:tcPr>
            <w:tcW w:w="4162" w:type="dxa"/>
            <w:gridSpan w:val="2"/>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5E317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（七）总计</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49047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7B14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2D380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615F2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center"/>
          </w:tcPr>
          <w:p w14:paraId="04EDF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EE822F" w:themeColor="accent2" w:sz="6" w:space="0"/>
            </w:tcBorders>
            <w:shd w:val="clear" w:color="auto" w:fill="FDF2EA" w:themeFill="accent2" w:themeFillTint="19"/>
            <w:noWrap w:val="0"/>
            <w:tcMar>
              <w:left w:w="57" w:type="dxa"/>
              <w:right w:w="57" w:type="dxa"/>
            </w:tcMar>
            <w:vAlign w:val="center"/>
          </w:tcPr>
          <w:p w14:paraId="20B9C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F8CCAB" w:themeColor="accent2" w:themeTint="66" w:sz="6" w:space="0"/>
              <w:right w:val="single" w:color="F8CCAB" w:themeColor="accent2" w:themeTint="66" w:sz="6" w:space="0"/>
            </w:tcBorders>
            <w:shd w:val="clear" w:color="auto" w:fill="FDF2EA" w:themeFill="accent2" w:themeFillTint="19"/>
            <w:noWrap w:val="0"/>
            <w:tcMar>
              <w:left w:w="57" w:type="dxa"/>
              <w:right w:w="57" w:type="dxa"/>
            </w:tcMar>
            <w:vAlign w:val="top"/>
          </w:tcPr>
          <w:p w14:paraId="2A689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r w14:paraId="5CCD0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single" w:color="F8CCAB" w:themeColor="accent2" w:themeTint="66" w:sz="6" w:space="0"/>
              <w:left w:val="single" w:color="EE822F" w:themeColor="accent2" w:sz="6" w:space="0"/>
              <w:bottom w:val="single" w:color="EE822F" w:themeColor="accent2" w:sz="6" w:space="0"/>
              <w:right w:val="single" w:color="F8CCAB" w:themeColor="accent2" w:themeTint="66" w:sz="6" w:space="0"/>
            </w:tcBorders>
            <w:shd w:val="clear" w:color="auto" w:fill="FFFFFF"/>
            <w:noWrap w:val="0"/>
            <w:tcMar>
              <w:left w:w="57" w:type="dxa"/>
              <w:right w:w="57" w:type="dxa"/>
            </w:tcMar>
            <w:vAlign w:val="center"/>
          </w:tcPr>
          <w:p w14:paraId="440C3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四、结转下年度继续办理</w:t>
            </w:r>
          </w:p>
        </w:tc>
        <w:tc>
          <w:tcPr>
            <w:tcW w:w="688" w:type="dxa"/>
            <w:tcBorders>
              <w:top w:val="single" w:color="F8CCAB" w:themeColor="accent2" w:themeTint="66" w:sz="6" w:space="0"/>
              <w:left w:val="single" w:color="F8CCAB" w:themeColor="accent2" w:themeTint="66" w:sz="6" w:space="0"/>
              <w:bottom w:val="single" w:color="EE822F" w:themeColor="accent2" w:sz="6" w:space="0"/>
              <w:right w:val="single" w:color="F8CCAB" w:themeColor="accent2" w:themeTint="66" w:sz="6" w:space="0"/>
            </w:tcBorders>
            <w:shd w:val="clear" w:color="auto" w:fill="FFFFFF"/>
            <w:noWrap w:val="0"/>
            <w:tcMar>
              <w:left w:w="57" w:type="dxa"/>
              <w:right w:w="57" w:type="dxa"/>
            </w:tcMar>
            <w:vAlign w:val="center"/>
          </w:tcPr>
          <w:p w14:paraId="456F72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EE822F" w:themeColor="accent2" w:sz="6" w:space="0"/>
              <w:right w:val="single" w:color="F8CCAB" w:themeColor="accent2" w:themeTint="66" w:sz="6" w:space="0"/>
            </w:tcBorders>
            <w:shd w:val="clear" w:color="auto" w:fill="FFFFFF"/>
            <w:noWrap w:val="0"/>
            <w:tcMar>
              <w:left w:w="57" w:type="dxa"/>
              <w:right w:w="57" w:type="dxa"/>
            </w:tcMar>
            <w:vAlign w:val="center"/>
          </w:tcPr>
          <w:p w14:paraId="70771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EE822F" w:themeColor="accent2" w:sz="6" w:space="0"/>
              <w:right w:val="single" w:color="F8CCAB" w:themeColor="accent2" w:themeTint="66" w:sz="6" w:space="0"/>
            </w:tcBorders>
            <w:shd w:val="clear" w:color="auto" w:fill="FFFFFF"/>
            <w:noWrap w:val="0"/>
            <w:tcMar>
              <w:left w:w="57" w:type="dxa"/>
              <w:right w:w="57" w:type="dxa"/>
            </w:tcMar>
            <w:vAlign w:val="center"/>
          </w:tcPr>
          <w:p w14:paraId="5BF91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8" w:type="dxa"/>
            <w:tcBorders>
              <w:top w:val="single" w:color="F8CCAB" w:themeColor="accent2" w:themeTint="66" w:sz="6" w:space="0"/>
              <w:left w:val="single" w:color="F8CCAB" w:themeColor="accent2" w:themeTint="66" w:sz="6" w:space="0"/>
              <w:bottom w:val="single" w:color="EE822F" w:themeColor="accent2" w:sz="6" w:space="0"/>
              <w:right w:val="single" w:color="F8CCAB" w:themeColor="accent2" w:themeTint="66" w:sz="6" w:space="0"/>
            </w:tcBorders>
            <w:shd w:val="clear" w:color="auto" w:fill="FFFFFF"/>
            <w:noWrap w:val="0"/>
            <w:tcMar>
              <w:left w:w="57" w:type="dxa"/>
              <w:right w:w="57" w:type="dxa"/>
            </w:tcMar>
            <w:vAlign w:val="center"/>
          </w:tcPr>
          <w:p w14:paraId="39F8CD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8" w:type="dxa"/>
            <w:tcBorders>
              <w:top w:val="single" w:color="F8CCAB" w:themeColor="accent2" w:themeTint="66" w:sz="6" w:space="0"/>
              <w:left w:val="single" w:color="F8CCAB" w:themeColor="accent2" w:themeTint="66" w:sz="6" w:space="0"/>
              <w:bottom w:val="single" w:color="EE822F" w:themeColor="accent2" w:sz="6" w:space="0"/>
              <w:right w:val="single" w:color="F8CCAB" w:themeColor="accent2" w:themeTint="66" w:sz="6" w:space="0"/>
            </w:tcBorders>
            <w:shd w:val="clear" w:color="auto" w:fill="FFFFFF"/>
            <w:noWrap w:val="0"/>
            <w:tcMar>
              <w:left w:w="57" w:type="dxa"/>
              <w:right w:w="57" w:type="dxa"/>
            </w:tcMar>
            <w:vAlign w:val="center"/>
          </w:tcPr>
          <w:p w14:paraId="2FD05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default" w:ascii="Times New Roman" w:hAnsi="Times New Roman" w:eastAsia="宋体" w:cs="Calibri"/>
                <w:b w:val="0"/>
                <w:bCs w:val="0"/>
                <w:i w:val="0"/>
                <w:color w:val="000000"/>
                <w:kern w:val="0"/>
                <w:sz w:val="20"/>
                <w:szCs w:val="20"/>
                <w:lang w:val="en-US" w:eastAsia="zh-CN" w:bidi="ar"/>
              </w:rPr>
              <w:t> </w:t>
            </w:r>
            <w:r>
              <w:rPr>
                <w:rFonts w:hint="eastAsia" w:ascii="Times New Roman" w:hAnsi="Times New Roman" w:cs="Calibri"/>
                <w:b w:val="0"/>
                <w:bCs w:val="0"/>
                <w:i w:val="0"/>
                <w:color w:val="000000"/>
                <w:kern w:val="0"/>
                <w:sz w:val="20"/>
                <w:szCs w:val="20"/>
                <w:lang w:val="en-US" w:eastAsia="zh-CN" w:bidi="ar"/>
              </w:rPr>
              <w:t>0</w:t>
            </w:r>
          </w:p>
        </w:tc>
        <w:tc>
          <w:tcPr>
            <w:tcW w:w="689" w:type="dxa"/>
            <w:tcBorders>
              <w:top w:val="single" w:color="F8CCAB" w:themeColor="accent2" w:themeTint="66" w:sz="6" w:space="0"/>
              <w:left w:val="single" w:color="F8CCAB" w:themeColor="accent2" w:themeTint="66" w:sz="6" w:space="0"/>
              <w:bottom w:val="single" w:color="EE822F" w:themeColor="accent2" w:sz="6" w:space="0"/>
              <w:right w:val="single" w:color="F8CCAB" w:themeColor="accent2" w:themeTint="66" w:sz="6" w:space="0"/>
            </w:tcBorders>
            <w:shd w:val="clear" w:color="auto" w:fill="FFFFFF"/>
            <w:noWrap w:val="0"/>
            <w:tcMar>
              <w:left w:w="57" w:type="dxa"/>
              <w:right w:w="57" w:type="dxa"/>
            </w:tcMar>
            <w:vAlign w:val="center"/>
          </w:tcPr>
          <w:p w14:paraId="24EE3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c>
          <w:tcPr>
            <w:tcW w:w="689" w:type="dxa"/>
            <w:tcBorders>
              <w:top w:val="single" w:color="F8CCAB" w:themeColor="accent2" w:themeTint="66" w:sz="6" w:space="0"/>
              <w:left w:val="single" w:color="F8CCAB" w:themeColor="accent2" w:themeTint="66" w:sz="6" w:space="0"/>
              <w:bottom w:val="single" w:color="EE822F" w:themeColor="accent2" w:sz="6" w:space="0"/>
              <w:right w:val="single" w:color="EE822F" w:themeColor="accent2" w:sz="6" w:space="0"/>
            </w:tcBorders>
            <w:shd w:val="clear" w:color="auto" w:fill="FFFFFF"/>
            <w:noWrap w:val="0"/>
            <w:tcMar>
              <w:left w:w="57" w:type="dxa"/>
              <w:right w:w="57" w:type="dxa"/>
            </w:tcMar>
            <w:vAlign w:val="top"/>
          </w:tcPr>
          <w:p w14:paraId="71809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b w:val="0"/>
                <w:bCs w:val="0"/>
                <w:i w:val="0"/>
                <w:color w:val="000000"/>
                <w:sz w:val="24"/>
                <w:szCs w:val="24"/>
              </w:rPr>
            </w:pPr>
            <w:r>
              <w:rPr>
                <w:rFonts w:hint="eastAsia" w:ascii="Times New Roman" w:hAnsi="Times New Roman" w:cs="Calibri"/>
                <w:b w:val="0"/>
                <w:bCs w:val="0"/>
                <w:i w:val="0"/>
                <w:color w:val="000000"/>
                <w:kern w:val="0"/>
                <w:sz w:val="20"/>
                <w:szCs w:val="20"/>
                <w:lang w:val="en-US" w:eastAsia="zh-CN" w:bidi="ar"/>
              </w:rPr>
              <w:t>0</w:t>
            </w:r>
            <w:r>
              <w:rPr>
                <w:rFonts w:hint="default" w:ascii="Times New Roman" w:hAnsi="Times New Roman" w:eastAsia="宋体" w:cs="Calibri"/>
                <w:b w:val="0"/>
                <w:bCs w:val="0"/>
                <w:i w:val="0"/>
                <w:color w:val="000000"/>
                <w:kern w:val="0"/>
                <w:sz w:val="20"/>
                <w:szCs w:val="20"/>
                <w:lang w:val="en-US" w:eastAsia="zh-CN" w:bidi="ar"/>
              </w:rPr>
              <w:t> </w:t>
            </w:r>
          </w:p>
        </w:tc>
      </w:tr>
    </w:tbl>
    <w:p w14:paraId="15F14B7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shd w:val="clear" w:color="auto" w:fill="FFFFFF"/>
        </w:rPr>
      </w:pPr>
      <w:r>
        <w:rPr>
          <w:rFonts w:hint="eastAsia" w:ascii="Times New Roman" w:hAnsi="Times New Roman" w:eastAsia="方正黑体简体" w:cs="方正黑体简体"/>
          <w:b/>
          <w:bCs w:val="0"/>
          <w:i w:val="0"/>
          <w:iCs w:val="0"/>
          <w:caps w:val="0"/>
          <w:color w:val="auto"/>
          <w:spacing w:val="0"/>
          <w:sz w:val="32"/>
          <w:szCs w:val="32"/>
          <w:shd w:val="clear" w:color="auto" w:fill="FFFFFF"/>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E90EB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75BD42" w:themeColor="accent4" w:sz="6" w:space="0"/>
              <w:left w:val="single" w:color="75BD42" w:themeColor="accent4" w:sz="6" w:space="0"/>
              <w:bottom w:val="single" w:color="75BD42" w:themeColor="accent4" w:sz="6" w:space="0"/>
              <w:right w:val="single" w:color="C7E4B3" w:themeColor="accent4" w:themeTint="66" w:sz="6" w:space="0"/>
            </w:tcBorders>
            <w:shd w:val="clear" w:color="auto" w:fill="75BD42" w:themeFill="accent4"/>
            <w:noWrap w:val="0"/>
            <w:tcMar>
              <w:left w:w="108" w:type="dxa"/>
              <w:right w:w="108" w:type="dxa"/>
            </w:tcMar>
            <w:vAlign w:val="center"/>
          </w:tcPr>
          <w:p w14:paraId="67818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bCs w:val="0"/>
                <w:i w:val="0"/>
                <w:color w:val="FFFFFF"/>
              </w:rPr>
            </w:pPr>
            <w:r>
              <w:rPr>
                <w:rFonts w:hint="eastAsia" w:ascii="Times New Roman" w:hAnsi="Times New Roman" w:eastAsia="宋体" w:cs="宋体"/>
                <w:b/>
                <w:bCs w:val="0"/>
                <w:i w:val="0"/>
                <w:color w:val="FFFFFF"/>
                <w:kern w:val="0"/>
                <w:sz w:val="20"/>
                <w:szCs w:val="20"/>
                <w:lang w:val="en-US" w:eastAsia="zh-CN" w:bidi="ar"/>
              </w:rPr>
              <w:t>行政复议</w:t>
            </w:r>
          </w:p>
        </w:tc>
        <w:tc>
          <w:tcPr>
            <w:tcW w:w="6428" w:type="dxa"/>
            <w:gridSpan w:val="10"/>
            <w:tcBorders>
              <w:top w:val="single" w:color="75BD42" w:themeColor="accent4" w:sz="6" w:space="0"/>
              <w:left w:val="single" w:color="C7E4B3" w:themeColor="accent4" w:themeTint="66" w:sz="6" w:space="0"/>
              <w:bottom w:val="single" w:color="75BD42" w:themeColor="accent4" w:sz="6" w:space="0"/>
              <w:right w:val="single" w:color="C7E4B3" w:themeColor="accent4" w:themeTint="66" w:sz="6" w:space="0"/>
            </w:tcBorders>
            <w:shd w:val="clear" w:color="auto" w:fill="75BD42" w:themeFill="accent4"/>
            <w:noWrap w:val="0"/>
            <w:tcMar>
              <w:left w:w="108" w:type="dxa"/>
              <w:right w:w="108" w:type="dxa"/>
            </w:tcMar>
            <w:vAlign w:val="center"/>
          </w:tcPr>
          <w:p w14:paraId="7AB136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bCs w:val="0"/>
                <w:i w:val="0"/>
                <w:color w:val="FFFFFF"/>
              </w:rPr>
            </w:pPr>
            <w:r>
              <w:rPr>
                <w:rFonts w:hint="eastAsia" w:ascii="Times New Roman" w:hAnsi="Times New Roman" w:eastAsia="宋体" w:cs="宋体"/>
                <w:b/>
                <w:bCs w:val="0"/>
                <w:i w:val="0"/>
                <w:color w:val="FFFFFF"/>
                <w:kern w:val="0"/>
                <w:sz w:val="20"/>
                <w:szCs w:val="20"/>
                <w:lang w:val="en-US" w:eastAsia="zh-CN" w:bidi="ar"/>
              </w:rPr>
              <w:t>行政诉讼</w:t>
            </w:r>
          </w:p>
        </w:tc>
      </w:tr>
      <w:tr w14:paraId="1D270E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single" w:color="75BD42" w:themeColor="accent4" w:sz="6" w:space="0"/>
              <w:left w:val="single" w:color="75BD42" w:themeColor="accent4" w:sz="6" w:space="0"/>
              <w:bottom w:val="single" w:color="C7E4B3" w:themeColor="accent4" w:themeTint="66" w:sz="6" w:space="0"/>
              <w:right w:val="single" w:color="C7E4B3" w:themeColor="accent4" w:themeTint="66" w:sz="6" w:space="0"/>
            </w:tcBorders>
            <w:shd w:val="clear" w:color="auto" w:fill="FFFFFF"/>
            <w:noWrap w:val="0"/>
            <w:tcMar>
              <w:left w:w="108" w:type="dxa"/>
              <w:right w:w="108" w:type="dxa"/>
            </w:tcMar>
            <w:vAlign w:val="center"/>
          </w:tcPr>
          <w:p w14:paraId="00E45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结果维持</w:t>
            </w:r>
          </w:p>
        </w:tc>
        <w:tc>
          <w:tcPr>
            <w:tcW w:w="642" w:type="dxa"/>
            <w:vMerge w:val="restart"/>
            <w:tcBorders>
              <w:top w:val="single" w:color="75BD42" w:themeColor="accent4"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FFFFF"/>
            <w:noWrap w:val="0"/>
            <w:tcMar>
              <w:left w:w="108" w:type="dxa"/>
              <w:right w:w="108" w:type="dxa"/>
            </w:tcMar>
            <w:vAlign w:val="center"/>
          </w:tcPr>
          <w:p w14:paraId="2B0CE3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纠正</w:t>
            </w:r>
          </w:p>
        </w:tc>
        <w:tc>
          <w:tcPr>
            <w:tcW w:w="642" w:type="dxa"/>
            <w:vMerge w:val="restart"/>
            <w:tcBorders>
              <w:top w:val="single" w:color="75BD42" w:themeColor="accent4"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FFFFF"/>
            <w:noWrap w:val="0"/>
            <w:tcMar>
              <w:left w:w="108" w:type="dxa"/>
              <w:right w:w="108" w:type="dxa"/>
            </w:tcMar>
            <w:vAlign w:val="center"/>
          </w:tcPr>
          <w:p w14:paraId="30FD27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其他</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结果</w:t>
            </w:r>
          </w:p>
        </w:tc>
        <w:tc>
          <w:tcPr>
            <w:tcW w:w="642" w:type="dxa"/>
            <w:vMerge w:val="restart"/>
            <w:tcBorders>
              <w:top w:val="single" w:color="75BD42" w:themeColor="accent4"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FFFFF"/>
            <w:noWrap w:val="0"/>
            <w:tcMar>
              <w:left w:w="108" w:type="dxa"/>
              <w:right w:w="108" w:type="dxa"/>
            </w:tcMar>
            <w:vAlign w:val="center"/>
          </w:tcPr>
          <w:p w14:paraId="1BFC0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尚未</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审结</w:t>
            </w:r>
          </w:p>
        </w:tc>
        <w:tc>
          <w:tcPr>
            <w:tcW w:w="642" w:type="dxa"/>
            <w:vMerge w:val="restart"/>
            <w:tcBorders>
              <w:top w:val="single" w:color="75BD42" w:themeColor="accent4"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FFFFF"/>
            <w:noWrap w:val="0"/>
            <w:tcMar>
              <w:left w:w="108" w:type="dxa"/>
              <w:right w:w="108" w:type="dxa"/>
            </w:tcMar>
            <w:vAlign w:val="center"/>
          </w:tcPr>
          <w:p w14:paraId="50C35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总计</w:t>
            </w:r>
          </w:p>
        </w:tc>
        <w:tc>
          <w:tcPr>
            <w:tcW w:w="3213" w:type="dxa"/>
            <w:gridSpan w:val="5"/>
            <w:tcBorders>
              <w:top w:val="single" w:color="75BD42" w:themeColor="accent4"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FFFFF"/>
            <w:noWrap w:val="0"/>
            <w:tcMar>
              <w:left w:w="108" w:type="dxa"/>
              <w:right w:w="108" w:type="dxa"/>
            </w:tcMar>
            <w:vAlign w:val="center"/>
          </w:tcPr>
          <w:p w14:paraId="3251C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未经复议直接起诉</w:t>
            </w:r>
          </w:p>
        </w:tc>
        <w:tc>
          <w:tcPr>
            <w:tcW w:w="3215" w:type="dxa"/>
            <w:gridSpan w:val="5"/>
            <w:tcBorders>
              <w:top w:val="single" w:color="75BD42" w:themeColor="accent4"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FFFFF"/>
            <w:noWrap w:val="0"/>
            <w:tcMar>
              <w:left w:w="108" w:type="dxa"/>
              <w:right w:w="108" w:type="dxa"/>
            </w:tcMar>
            <w:vAlign w:val="center"/>
          </w:tcPr>
          <w:p w14:paraId="1433C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复议后起诉</w:t>
            </w:r>
          </w:p>
        </w:tc>
      </w:tr>
      <w:tr w14:paraId="08CC10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single" w:color="C7E4B3" w:themeColor="accent4" w:themeTint="66" w:sz="6" w:space="0"/>
              <w:left w:val="single" w:color="75BD42" w:themeColor="accent4"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02841FAF">
            <w:pPr>
              <w:rPr>
                <w:rFonts w:hint="eastAsia" w:ascii="Times New Roman" w:hAnsi="Times New Roman"/>
                <w:b w:val="0"/>
                <w:bCs w:val="0"/>
                <w:i w:val="0"/>
                <w:color w:val="000000"/>
                <w:sz w:val="24"/>
                <w:szCs w:val="24"/>
              </w:rPr>
            </w:pPr>
          </w:p>
        </w:tc>
        <w:tc>
          <w:tcPr>
            <w:tcW w:w="642" w:type="dxa"/>
            <w:vMerge w:val="continue"/>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20D729A2">
            <w:pPr>
              <w:rPr>
                <w:rFonts w:hint="eastAsia" w:ascii="Times New Roman" w:hAnsi="Times New Roman"/>
                <w:b w:val="0"/>
                <w:bCs w:val="0"/>
                <w:i w:val="0"/>
                <w:color w:val="000000"/>
                <w:sz w:val="24"/>
                <w:szCs w:val="24"/>
              </w:rPr>
            </w:pPr>
          </w:p>
        </w:tc>
        <w:tc>
          <w:tcPr>
            <w:tcW w:w="642" w:type="dxa"/>
            <w:vMerge w:val="continue"/>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3766A23A">
            <w:pPr>
              <w:rPr>
                <w:rFonts w:hint="eastAsia" w:ascii="Times New Roman" w:hAnsi="Times New Roman"/>
                <w:b w:val="0"/>
                <w:bCs w:val="0"/>
                <w:i w:val="0"/>
                <w:color w:val="000000"/>
                <w:sz w:val="24"/>
                <w:szCs w:val="24"/>
              </w:rPr>
            </w:pPr>
          </w:p>
        </w:tc>
        <w:tc>
          <w:tcPr>
            <w:tcW w:w="642" w:type="dxa"/>
            <w:vMerge w:val="continue"/>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3B85A5DF">
            <w:pPr>
              <w:rPr>
                <w:rFonts w:hint="eastAsia" w:ascii="Times New Roman" w:hAnsi="Times New Roman"/>
                <w:b w:val="0"/>
                <w:bCs w:val="0"/>
                <w:i w:val="0"/>
                <w:color w:val="000000"/>
                <w:sz w:val="24"/>
                <w:szCs w:val="24"/>
              </w:rPr>
            </w:pPr>
          </w:p>
        </w:tc>
        <w:tc>
          <w:tcPr>
            <w:tcW w:w="642" w:type="dxa"/>
            <w:vMerge w:val="continue"/>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67B20129">
            <w:pPr>
              <w:rPr>
                <w:rFonts w:hint="eastAsia" w:ascii="Times New Roman" w:hAnsi="Times New Roman"/>
                <w:b w:val="0"/>
                <w:bCs w:val="0"/>
                <w:i w:val="0"/>
                <w:color w:val="000000"/>
                <w:sz w:val="24"/>
                <w:szCs w:val="24"/>
              </w:rPr>
            </w:pPr>
          </w:p>
        </w:tc>
        <w:tc>
          <w:tcPr>
            <w:tcW w:w="642" w:type="dxa"/>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79D4F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维持</w:t>
            </w:r>
          </w:p>
        </w:tc>
        <w:tc>
          <w:tcPr>
            <w:tcW w:w="642" w:type="dxa"/>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0D04B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纠正</w:t>
            </w:r>
          </w:p>
        </w:tc>
        <w:tc>
          <w:tcPr>
            <w:tcW w:w="643" w:type="dxa"/>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1F29E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其他</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结果</w:t>
            </w:r>
          </w:p>
        </w:tc>
        <w:tc>
          <w:tcPr>
            <w:tcW w:w="643" w:type="dxa"/>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22EFF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尚未</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审结</w:t>
            </w:r>
          </w:p>
        </w:tc>
        <w:tc>
          <w:tcPr>
            <w:tcW w:w="643" w:type="dxa"/>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2B81F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总计</w:t>
            </w:r>
          </w:p>
        </w:tc>
        <w:tc>
          <w:tcPr>
            <w:tcW w:w="643" w:type="dxa"/>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69330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维持</w:t>
            </w:r>
          </w:p>
        </w:tc>
        <w:tc>
          <w:tcPr>
            <w:tcW w:w="643" w:type="dxa"/>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21278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纠正</w:t>
            </w:r>
          </w:p>
        </w:tc>
        <w:tc>
          <w:tcPr>
            <w:tcW w:w="643" w:type="dxa"/>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67195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其他</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结果</w:t>
            </w:r>
          </w:p>
        </w:tc>
        <w:tc>
          <w:tcPr>
            <w:tcW w:w="643" w:type="dxa"/>
            <w:tcBorders>
              <w:top w:val="single" w:color="C7E4B3" w:themeColor="accent4" w:themeTint="66" w:sz="6" w:space="0"/>
              <w:left w:val="single" w:color="C7E4B3" w:themeColor="accent4" w:themeTint="66" w:sz="6" w:space="0"/>
              <w:bottom w:val="single" w:color="C7E4B3" w:themeColor="accent4" w:themeTint="66" w:sz="6" w:space="0"/>
              <w:right w:val="single" w:color="C7E4B3" w:themeColor="accent4" w:themeTint="66" w:sz="6" w:space="0"/>
            </w:tcBorders>
            <w:shd w:val="clear" w:color="auto" w:fill="F1F8EC" w:themeFill="accent4" w:themeFillTint="19"/>
            <w:noWrap w:val="0"/>
            <w:tcMar>
              <w:left w:w="108" w:type="dxa"/>
              <w:right w:w="108" w:type="dxa"/>
            </w:tcMar>
            <w:vAlign w:val="center"/>
          </w:tcPr>
          <w:p w14:paraId="4AE5F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尚未</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审结</w:t>
            </w:r>
          </w:p>
        </w:tc>
        <w:tc>
          <w:tcPr>
            <w:tcW w:w="643" w:type="dxa"/>
            <w:tcBorders>
              <w:top w:val="single" w:color="C7E4B3" w:themeColor="accent4" w:themeTint="66" w:sz="6" w:space="0"/>
              <w:left w:val="single" w:color="C7E4B3" w:themeColor="accent4" w:themeTint="66" w:sz="6" w:space="0"/>
              <w:bottom w:val="single" w:color="C7E4B3" w:themeColor="accent4" w:themeTint="66" w:sz="6" w:space="0"/>
              <w:right w:val="single" w:color="75BD42" w:themeColor="accent4" w:sz="6" w:space="0"/>
            </w:tcBorders>
            <w:shd w:val="clear" w:color="auto" w:fill="F1F8EC" w:themeFill="accent4" w:themeFillTint="19"/>
            <w:noWrap w:val="0"/>
            <w:tcMar>
              <w:left w:w="108" w:type="dxa"/>
              <w:right w:w="108" w:type="dxa"/>
            </w:tcMar>
            <w:vAlign w:val="center"/>
          </w:tcPr>
          <w:p w14:paraId="30C7C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总计</w:t>
            </w:r>
          </w:p>
        </w:tc>
      </w:tr>
      <w:tr w14:paraId="30AA90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C7E4B3" w:themeColor="accent4" w:themeTint="66" w:sz="6" w:space="0"/>
              <w:left w:val="single" w:color="75BD42" w:themeColor="accent4"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79463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4A81C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3CDAF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431D0E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0D699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65F5C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293E6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5B293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2E21C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1E0ADA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24CC4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459D8B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13F49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C7E4B3" w:themeColor="accent4" w:themeTint="66" w:sz="6" w:space="0"/>
              <w:left w:val="single" w:color="C7E4B3" w:themeColor="accent4" w:themeTint="66" w:sz="6" w:space="0"/>
              <w:bottom w:val="single" w:color="75BD42" w:themeColor="accent4" w:sz="6" w:space="0"/>
              <w:right w:val="single" w:color="C7E4B3" w:themeColor="accent4" w:themeTint="66" w:sz="6" w:space="0"/>
            </w:tcBorders>
            <w:shd w:val="clear" w:color="auto" w:fill="FFFFFF"/>
            <w:noWrap w:val="0"/>
            <w:tcMar>
              <w:left w:w="108" w:type="dxa"/>
              <w:right w:w="108" w:type="dxa"/>
            </w:tcMar>
            <w:vAlign w:val="center"/>
          </w:tcPr>
          <w:p w14:paraId="0FFC9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C7E4B3" w:themeColor="accent4" w:themeTint="66" w:sz="6" w:space="0"/>
              <w:left w:val="single" w:color="C7E4B3" w:themeColor="accent4" w:themeTint="66" w:sz="6" w:space="0"/>
              <w:bottom w:val="single" w:color="75BD42" w:themeColor="accent4" w:sz="6" w:space="0"/>
              <w:right w:val="single" w:color="75BD42" w:themeColor="accent4" w:sz="6" w:space="0"/>
            </w:tcBorders>
            <w:shd w:val="clear" w:color="auto" w:fill="FFFFFF"/>
            <w:noWrap w:val="0"/>
            <w:tcMar>
              <w:left w:w="108" w:type="dxa"/>
              <w:right w:w="108" w:type="dxa"/>
            </w:tcMar>
            <w:vAlign w:val="center"/>
          </w:tcPr>
          <w:p w14:paraId="314ED8EC">
            <w:pPr>
              <w:jc w:val="center"/>
              <w:rPr>
                <w:rFonts w:hint="eastAsia" w:ascii="Times New Roman" w:hAnsi="Times New Roman" w:eastAsia="宋体"/>
                <w:b w:val="0"/>
                <w:bCs w:val="0"/>
                <w:i w:val="0"/>
                <w:color w:val="000000"/>
                <w:sz w:val="24"/>
                <w:szCs w:val="24"/>
                <w:lang w:val="en-US" w:eastAsia="zh-CN"/>
              </w:rPr>
            </w:pPr>
            <w:r>
              <w:rPr>
                <w:rFonts w:hint="eastAsia" w:ascii="Times New Roman" w:hAnsi="Times New Roman"/>
                <w:b w:val="0"/>
                <w:bCs w:val="0"/>
                <w:i w:val="0"/>
                <w:color w:val="000000"/>
                <w:sz w:val="24"/>
                <w:szCs w:val="24"/>
                <w:lang w:val="en-US" w:eastAsia="zh-CN"/>
              </w:rPr>
              <w:t>0</w:t>
            </w:r>
          </w:p>
        </w:tc>
      </w:tr>
    </w:tbl>
    <w:p w14:paraId="3FE6E24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shd w:val="clear" w:color="auto" w:fill="FFFFFF"/>
        </w:rPr>
      </w:pPr>
      <w:r>
        <w:rPr>
          <w:rFonts w:hint="eastAsia" w:ascii="Times New Roman" w:hAnsi="Times New Roman" w:eastAsia="方正黑体简体" w:cs="方正黑体简体"/>
          <w:b/>
          <w:bCs w:val="0"/>
          <w:i w:val="0"/>
          <w:iCs w:val="0"/>
          <w:caps w:val="0"/>
          <w:color w:val="auto"/>
          <w:spacing w:val="0"/>
          <w:sz w:val="32"/>
          <w:szCs w:val="32"/>
          <w:shd w:val="clear" w:color="auto" w:fill="FFFFFF"/>
        </w:rPr>
        <w:t>五、存在的主要问题及改进情况</w:t>
      </w:r>
    </w:p>
    <w:p w14:paraId="2ADF98C4">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outlineLvl w:val="9"/>
        <w:rPr>
          <w:rFonts w:hint="eastAsia" w:ascii="Times New Roman" w:hAnsi="Times New Roman" w:eastAsia="方正仿宋简体" w:cs="方正仿宋简体"/>
          <w:b/>
          <w:bCs w:val="0"/>
          <w:sz w:val="32"/>
          <w:szCs w:val="32"/>
          <w:lang w:val="en-US" w:eastAsia="zh-CN"/>
        </w:rPr>
      </w:pPr>
      <w:r>
        <w:rPr>
          <w:rStyle w:val="7"/>
          <w:rFonts w:hint="eastAsia" w:ascii="Times New Roman" w:hAnsi="Times New Roman" w:eastAsia="方正楷体简体" w:cs="方正楷体简体"/>
          <w:bCs w:val="0"/>
          <w:i w:val="0"/>
          <w:iCs w:val="0"/>
          <w:caps w:val="0"/>
          <w:color w:val="auto"/>
          <w:spacing w:val="0"/>
          <w:kern w:val="2"/>
          <w:sz w:val="32"/>
          <w:szCs w:val="32"/>
          <w:lang w:val="en-US" w:eastAsia="zh-CN" w:bidi="ar-SA"/>
        </w:rPr>
        <w:t>（一）存在问题：</w:t>
      </w:r>
      <w:r>
        <w:rPr>
          <w:rFonts w:hint="eastAsia" w:ascii="Times New Roman" w:hAnsi="Times New Roman" w:eastAsia="方正仿宋简体" w:cs="方正仿宋简体"/>
          <w:b/>
          <w:bCs w:val="0"/>
          <w:sz w:val="32"/>
          <w:szCs w:val="32"/>
          <w:lang w:val="en-US" w:eastAsia="zh-CN"/>
        </w:rPr>
        <w:t>一是公开的信息多是政策文件原文，对群众关心的后勤保障、节能降耗等重点工作，缺乏具体推进情况和相关数据，信息实用性不足。二是主要依赖政府网站单一渠道，未充分利用政务新媒体、线下公告栏等多元平台，覆盖范围有限。</w:t>
      </w:r>
    </w:p>
    <w:p w14:paraId="5D14D9C6">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outlineLvl w:val="9"/>
        <w:rPr>
          <w:rFonts w:hint="eastAsia" w:ascii="Times New Roman" w:hAnsi="Times New Roman" w:eastAsia="方正仿宋简体" w:cs="方正仿宋简体"/>
          <w:b/>
          <w:bCs w:val="0"/>
          <w:sz w:val="32"/>
          <w:szCs w:val="32"/>
          <w:lang w:val="en-US" w:eastAsia="zh-CN"/>
        </w:rPr>
      </w:pPr>
      <w:r>
        <w:rPr>
          <w:rStyle w:val="7"/>
          <w:rFonts w:hint="eastAsia" w:ascii="Times New Roman" w:hAnsi="Times New Roman" w:eastAsia="方正楷体简体" w:cs="方正楷体简体"/>
          <w:bCs w:val="0"/>
          <w:i w:val="0"/>
          <w:iCs w:val="0"/>
          <w:caps w:val="0"/>
          <w:color w:val="auto"/>
          <w:spacing w:val="0"/>
          <w:kern w:val="2"/>
          <w:sz w:val="32"/>
          <w:szCs w:val="32"/>
          <w:lang w:val="en-US" w:eastAsia="zh-CN" w:bidi="ar-SA"/>
        </w:rPr>
        <w:t>（二）改进情况：</w:t>
      </w:r>
      <w:r>
        <w:rPr>
          <w:rFonts w:hint="eastAsia" w:ascii="Times New Roman" w:hAnsi="Times New Roman" w:eastAsia="方正仿宋简体" w:cs="方正仿宋简体"/>
          <w:b/>
          <w:bCs w:val="0"/>
          <w:sz w:val="32"/>
          <w:szCs w:val="32"/>
          <w:lang w:val="en-US" w:eastAsia="zh-CN"/>
        </w:rPr>
        <w:t>一是梳理后勤保障、节能等重点领域相关内容，公布工作进展和相关数据，让群众清楚工作推进情况，避免过多专业术语，确保信息易懂实用。二是拓展公开渠道，除政府网站外，依托线上新媒体平台，发布通俗化解读和工作动态，在大厅设置公开专栏，张贴重点信息海报，方便线下群众查阅。</w:t>
      </w:r>
    </w:p>
    <w:p w14:paraId="61F1AEA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shd w:val="clear" w:color="auto" w:fill="FFFFFF"/>
        </w:rPr>
      </w:pPr>
      <w:r>
        <w:rPr>
          <w:rFonts w:hint="eastAsia" w:ascii="Times New Roman" w:hAnsi="Times New Roman" w:eastAsia="方正黑体简体" w:cs="方正黑体简体"/>
          <w:b/>
          <w:bCs w:val="0"/>
          <w:i w:val="0"/>
          <w:iCs w:val="0"/>
          <w:caps w:val="0"/>
          <w:color w:val="auto"/>
          <w:spacing w:val="0"/>
          <w:sz w:val="32"/>
          <w:szCs w:val="32"/>
          <w:shd w:val="clear" w:color="auto" w:fill="FFFFFF"/>
        </w:rPr>
        <w:t>六、其他需要报告的事项</w:t>
      </w:r>
    </w:p>
    <w:p w14:paraId="7B43829C">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jc w:val="both"/>
        <w:textAlignment w:val="auto"/>
        <w:rPr>
          <w:rStyle w:val="7"/>
          <w:rFonts w:hint="eastAsia" w:ascii="Times New Roman" w:hAnsi="Times New Roman" w:eastAsia="方正楷体简体" w:cs="方正楷体简体"/>
          <w:b/>
          <w:bCs w:val="0"/>
          <w:i w:val="0"/>
          <w:iCs w:val="0"/>
          <w:caps w:val="0"/>
          <w:color w:val="auto"/>
          <w:spacing w:val="0"/>
          <w:sz w:val="32"/>
          <w:szCs w:val="32"/>
          <w:lang w:val="en-US" w:eastAsia="zh-CN"/>
        </w:rPr>
      </w:pPr>
      <w:r>
        <w:rPr>
          <w:rStyle w:val="7"/>
          <w:rFonts w:hint="eastAsia" w:ascii="Times New Roman" w:hAnsi="Times New Roman" w:eastAsia="方正楷体简体" w:cs="方正楷体简体"/>
          <w:b/>
          <w:bCs w:val="0"/>
          <w:i w:val="0"/>
          <w:iCs w:val="0"/>
          <w:caps w:val="0"/>
          <w:color w:val="auto"/>
          <w:spacing w:val="0"/>
          <w:sz w:val="32"/>
          <w:szCs w:val="32"/>
          <w:lang w:val="en-US" w:eastAsia="zh-CN"/>
        </w:rPr>
        <w:t>（一）依据《政府信息公开信息处理费管理办法》收取信息处理费情况</w:t>
      </w:r>
    </w:p>
    <w:p w14:paraId="6F868BD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val="0"/>
          <w:sz w:val="32"/>
          <w:szCs w:val="32"/>
          <w:lang w:val="en-US" w:eastAsia="zh-CN"/>
        </w:rPr>
      </w:pPr>
      <w:r>
        <w:rPr>
          <w:rFonts w:hint="eastAsia" w:ascii="Times New Roman" w:hAnsi="Times New Roman" w:eastAsia="方正仿宋简体" w:cs="方正仿宋简体"/>
          <w:b/>
          <w:bCs w:val="0"/>
          <w:sz w:val="32"/>
          <w:szCs w:val="32"/>
          <w:lang w:val="en-US" w:eastAsia="zh-CN"/>
        </w:rPr>
        <w:t>2025年，县机关事务服务中心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14:paraId="6429489A">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jc w:val="both"/>
        <w:textAlignment w:val="auto"/>
        <w:rPr>
          <w:rStyle w:val="7"/>
          <w:rFonts w:hint="eastAsia" w:ascii="Times New Roman" w:hAnsi="Times New Roman" w:eastAsia="方正楷体简体" w:cs="方正楷体简体"/>
          <w:b/>
          <w:bCs w:val="0"/>
          <w:i w:val="0"/>
          <w:iCs w:val="0"/>
          <w:caps w:val="0"/>
          <w:color w:val="auto"/>
          <w:spacing w:val="0"/>
          <w:sz w:val="32"/>
          <w:szCs w:val="32"/>
          <w:lang w:val="en-US" w:eastAsia="zh-CN"/>
        </w:rPr>
      </w:pPr>
      <w:r>
        <w:rPr>
          <w:rStyle w:val="7"/>
          <w:rFonts w:hint="eastAsia" w:ascii="Times New Roman" w:hAnsi="Times New Roman" w:eastAsia="方正楷体简体" w:cs="方正楷体简体"/>
          <w:b/>
          <w:bCs w:val="0"/>
          <w:i w:val="0"/>
          <w:iCs w:val="0"/>
          <w:caps w:val="0"/>
          <w:color w:val="auto"/>
          <w:spacing w:val="0"/>
          <w:sz w:val="32"/>
          <w:szCs w:val="32"/>
          <w:lang w:val="en-US" w:eastAsia="zh-CN"/>
        </w:rPr>
        <w:t>（二）落实上级年度政务公开工作要点情况</w:t>
      </w:r>
    </w:p>
    <w:p w14:paraId="33F6310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val="0"/>
          <w:sz w:val="32"/>
          <w:szCs w:val="32"/>
          <w:lang w:val="en-US" w:eastAsia="zh-CN"/>
        </w:rPr>
      </w:pPr>
      <w:r>
        <w:rPr>
          <w:rFonts w:hint="eastAsia" w:ascii="Times New Roman" w:hAnsi="Times New Roman" w:eastAsia="方正仿宋简体" w:cs="方正仿宋简体"/>
          <w:b/>
          <w:bCs w:val="0"/>
          <w:sz w:val="32"/>
          <w:szCs w:val="32"/>
          <w:lang w:val="en-US" w:eastAsia="zh-CN"/>
        </w:rPr>
        <w:t>县机关事务服务中心秉持高度的责任感与使命感，不折不扣严格落实本年度政务公开各项工作要点，并通过健全工作机制、规范公开流程、优化公开渠道，持续提升政府信息公开的规范化、制度化、科学化水平。</w:t>
      </w:r>
    </w:p>
    <w:p w14:paraId="4ED7272E">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jc w:val="both"/>
        <w:textAlignment w:val="auto"/>
        <w:rPr>
          <w:rStyle w:val="7"/>
          <w:rFonts w:hint="eastAsia" w:ascii="Times New Roman" w:hAnsi="Times New Roman" w:eastAsia="方正楷体简体" w:cs="方正楷体简体"/>
          <w:b/>
          <w:bCs w:val="0"/>
          <w:i w:val="0"/>
          <w:iCs w:val="0"/>
          <w:caps w:val="0"/>
          <w:color w:val="auto"/>
          <w:spacing w:val="0"/>
          <w:sz w:val="32"/>
          <w:szCs w:val="32"/>
          <w:lang w:val="en-US" w:eastAsia="zh-CN"/>
        </w:rPr>
      </w:pPr>
      <w:r>
        <w:rPr>
          <w:rStyle w:val="7"/>
          <w:rFonts w:hint="eastAsia" w:ascii="Times New Roman" w:hAnsi="Times New Roman" w:eastAsia="方正楷体简体" w:cs="方正楷体简体"/>
          <w:b/>
          <w:bCs w:val="0"/>
          <w:i w:val="0"/>
          <w:iCs w:val="0"/>
          <w:caps w:val="0"/>
          <w:color w:val="auto"/>
          <w:spacing w:val="0"/>
          <w:sz w:val="32"/>
          <w:szCs w:val="32"/>
          <w:lang w:val="en-US" w:eastAsia="zh-CN"/>
        </w:rPr>
        <w:t>（三）人大代表建议和政协提案办理结果公开情况</w:t>
      </w:r>
    </w:p>
    <w:p w14:paraId="231F5A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仿宋简体" w:cs="方正仿宋简体"/>
          <w:b/>
          <w:bCs w:val="0"/>
          <w:sz w:val="32"/>
          <w:szCs w:val="32"/>
          <w:lang w:val="en-US" w:eastAsia="zh-CN"/>
        </w:rPr>
      </w:pPr>
      <w:r>
        <w:rPr>
          <w:rFonts w:hint="eastAsia" w:ascii="Times New Roman" w:hAnsi="Times New Roman" w:eastAsia="方正仿宋简体" w:cs="方正仿宋简体"/>
          <w:b/>
          <w:bCs w:val="0"/>
          <w:sz w:val="32"/>
          <w:szCs w:val="32"/>
          <w:lang w:val="en-US" w:eastAsia="zh-CN"/>
        </w:rPr>
        <w:t>2025年，县机关事务服务中心未收到人大代表建议和政协委员提案。</w:t>
      </w:r>
    </w:p>
    <w:p w14:paraId="251C89C2">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jc w:val="both"/>
        <w:textAlignment w:val="auto"/>
        <w:rPr>
          <w:rStyle w:val="7"/>
          <w:rFonts w:hint="eastAsia" w:ascii="Times New Roman" w:hAnsi="Times New Roman" w:eastAsia="方正楷体简体" w:cs="方正楷体简体"/>
          <w:b/>
          <w:bCs w:val="0"/>
          <w:i w:val="0"/>
          <w:iCs w:val="0"/>
          <w:caps w:val="0"/>
          <w:color w:val="auto"/>
          <w:spacing w:val="0"/>
          <w:sz w:val="32"/>
          <w:szCs w:val="32"/>
          <w:lang w:val="en-US" w:eastAsia="zh-CN"/>
        </w:rPr>
      </w:pPr>
      <w:r>
        <w:rPr>
          <w:rStyle w:val="7"/>
          <w:rFonts w:hint="eastAsia" w:ascii="Times New Roman" w:hAnsi="Times New Roman" w:eastAsia="方正楷体简体" w:cs="方正楷体简体"/>
          <w:b/>
          <w:bCs w:val="0"/>
          <w:i w:val="0"/>
          <w:iCs w:val="0"/>
          <w:caps w:val="0"/>
          <w:color w:val="auto"/>
          <w:spacing w:val="0"/>
          <w:sz w:val="32"/>
          <w:szCs w:val="32"/>
          <w:lang w:val="en-US" w:eastAsia="zh-CN"/>
        </w:rPr>
        <w:t>（四）年度政务公开工作创新情况</w:t>
      </w:r>
    </w:p>
    <w:p w14:paraId="2A8F5292">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outlineLvl w:val="9"/>
        <w:rPr>
          <w:rFonts w:hint="eastAsia" w:ascii="Times New Roman" w:hAnsi="Times New Roman" w:eastAsia="方正仿宋简体" w:cs="方正仿宋简体"/>
          <w:b/>
          <w:bCs w:val="0"/>
          <w:sz w:val="32"/>
          <w:szCs w:val="32"/>
        </w:rPr>
      </w:pPr>
      <w:r>
        <w:rPr>
          <w:rFonts w:hint="eastAsia" w:ascii="Times New Roman" w:hAnsi="Times New Roman" w:eastAsia="方正仿宋简体" w:cs="方正仿宋简体"/>
          <w:b/>
          <w:bCs w:val="0"/>
          <w:sz w:val="32"/>
          <w:szCs w:val="32"/>
          <w:lang w:val="en-US" w:eastAsia="zh-CN"/>
        </w:rPr>
        <w:t>县机关事务服务中心围绕机关事务重点领域，进一步优化信息公开结构，提升内容的可读性和针对性。结合年度工作特点，尝试采用更简洁直观的公开方式，增强政策信息的易读性和传播效果。同时，强化与业务科室的沟通协作，推动公开内容与实际工作同步推进，提高信息发布的及时性和准确性。</w:t>
      </w:r>
    </w:p>
    <w:p w14:paraId="46DD28EC">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val="0"/>
          <w:sz w:val="32"/>
          <w:szCs w:val="32"/>
        </w:rPr>
      </w:pPr>
    </w:p>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DD2D13-D623-4969-9131-C59477D212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0F2785C-AFCE-413D-916D-03B3288F4FFC}"/>
  </w:font>
  <w:font w:name="方正小标宋简体">
    <w:panose1 w:val="03000509000000000000"/>
    <w:charset w:val="86"/>
    <w:family w:val="auto"/>
    <w:pitch w:val="default"/>
    <w:sig w:usb0="00000001" w:usb1="080E0000" w:usb2="00000000" w:usb3="00000000" w:csb0="00040000" w:csb1="00000000"/>
    <w:embedRegular r:id="rId3" w:fontKey="{9A81D226-2810-4938-956A-2BA0A27B928B}"/>
  </w:font>
  <w:font w:name="仿宋_GB2312">
    <w:panose1 w:val="02010609030101010101"/>
    <w:charset w:val="86"/>
    <w:family w:val="auto"/>
    <w:pitch w:val="default"/>
    <w:sig w:usb0="00000001" w:usb1="080E0000" w:usb2="00000000" w:usb3="00000000" w:csb0="00040000" w:csb1="00000000"/>
    <w:embedRegular r:id="rId4" w:fontKey="{010C9964-987E-4C8A-A202-43698C1947D6}"/>
  </w:font>
  <w:font w:name="方正仿宋简体">
    <w:panose1 w:val="03000509000000000000"/>
    <w:charset w:val="86"/>
    <w:family w:val="auto"/>
    <w:pitch w:val="default"/>
    <w:sig w:usb0="00000001" w:usb1="080E0000" w:usb2="00000000" w:usb3="00000000" w:csb0="00040000" w:csb1="00000000"/>
    <w:embedRegular r:id="rId5" w:fontKey="{8CBAC9C3-825D-4834-A961-8EFCDBBBFA8F}"/>
  </w:font>
  <w:font w:name="方正楷体简体">
    <w:panose1 w:val="03000509000000000000"/>
    <w:charset w:val="86"/>
    <w:family w:val="auto"/>
    <w:pitch w:val="default"/>
    <w:sig w:usb0="00000001" w:usb1="080E0000" w:usb2="00000000" w:usb3="00000000" w:csb0="00040000" w:csb1="00000000"/>
    <w:embedRegular r:id="rId6" w:fontKey="{8F458E55-9569-44D1-B04C-33C82B6C5A6C}"/>
  </w:font>
  <w:font w:name="楷体">
    <w:panose1 w:val="02010609060101010101"/>
    <w:charset w:val="86"/>
    <w:family w:val="auto"/>
    <w:pitch w:val="default"/>
    <w:sig w:usb0="800002BF" w:usb1="38CF7CFA" w:usb2="00000016" w:usb3="00000000" w:csb0="00040001" w:csb1="00000000"/>
    <w:embedRegular r:id="rId7" w:fontKey="{C42707B6-ED66-4AD0-B50F-AC3C506AAC17}"/>
  </w:font>
  <w:font w:name="方正黑体简体">
    <w:panose1 w:val="03000509000000000000"/>
    <w:charset w:val="86"/>
    <w:family w:val="auto"/>
    <w:pitch w:val="default"/>
    <w:sig w:usb0="00000001" w:usb1="080E0000" w:usb2="00000000" w:usb3="00000000" w:csb0="00040000" w:csb1="00000000"/>
    <w:embedRegular r:id="rId8" w:fontKey="{BEB54DE7-ED0F-4BA2-B630-B0F1760F9C35}"/>
  </w:font>
  <w:font w:name="方正">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VDL角锐黑 简 ExtraBold">
    <w:panose1 w:val="02000900000000000000"/>
    <w:charset w:val="86"/>
    <w:family w:val="auto"/>
    <w:pitch w:val="default"/>
    <w:sig w:usb0="A00002BF" w:usb1="184F6CFA" w:usb2="00000012" w:usb3="00000000" w:csb0="00040001" w:csb1="00000000"/>
  </w:font>
  <w:font w:name="方正黑体">
    <w:altName w:val="黑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E0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64113B">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64113B">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MTFmNTA2YjcwMDE0OTYxOTE1ZTVmMGIyODdkMWEifQ=="/>
  </w:docVars>
  <w:rsids>
    <w:rsidRoot w:val="565F1422"/>
    <w:rsid w:val="00EF16FF"/>
    <w:rsid w:val="00F861F5"/>
    <w:rsid w:val="013D4B60"/>
    <w:rsid w:val="034B6414"/>
    <w:rsid w:val="086208E6"/>
    <w:rsid w:val="087D5842"/>
    <w:rsid w:val="09B23C11"/>
    <w:rsid w:val="0B3E7111"/>
    <w:rsid w:val="0C0134F5"/>
    <w:rsid w:val="0C8C0CE0"/>
    <w:rsid w:val="0E8A515C"/>
    <w:rsid w:val="12C9467E"/>
    <w:rsid w:val="15F45772"/>
    <w:rsid w:val="177926B6"/>
    <w:rsid w:val="19CF2275"/>
    <w:rsid w:val="1BF95ED5"/>
    <w:rsid w:val="1C091A91"/>
    <w:rsid w:val="1E2D2018"/>
    <w:rsid w:val="206C20D6"/>
    <w:rsid w:val="20736E74"/>
    <w:rsid w:val="242B03F0"/>
    <w:rsid w:val="25826736"/>
    <w:rsid w:val="29127DD1"/>
    <w:rsid w:val="2A600C13"/>
    <w:rsid w:val="2BAC74BD"/>
    <w:rsid w:val="2BDC3D93"/>
    <w:rsid w:val="2BFC0FF0"/>
    <w:rsid w:val="2D5664DE"/>
    <w:rsid w:val="30717AD3"/>
    <w:rsid w:val="34570990"/>
    <w:rsid w:val="35591CE5"/>
    <w:rsid w:val="3BF55114"/>
    <w:rsid w:val="42B20202"/>
    <w:rsid w:val="449C15EE"/>
    <w:rsid w:val="45303661"/>
    <w:rsid w:val="466E2692"/>
    <w:rsid w:val="477015CA"/>
    <w:rsid w:val="48335942"/>
    <w:rsid w:val="486A0C38"/>
    <w:rsid w:val="4B321EE0"/>
    <w:rsid w:val="4C523EBC"/>
    <w:rsid w:val="4D8C1650"/>
    <w:rsid w:val="4F730D1A"/>
    <w:rsid w:val="51D27F79"/>
    <w:rsid w:val="54576514"/>
    <w:rsid w:val="54FA2809"/>
    <w:rsid w:val="565F1422"/>
    <w:rsid w:val="56B00AA9"/>
    <w:rsid w:val="56B91AA6"/>
    <w:rsid w:val="576D151A"/>
    <w:rsid w:val="59A71CEC"/>
    <w:rsid w:val="5B6F2E02"/>
    <w:rsid w:val="5FD117C0"/>
    <w:rsid w:val="604364E6"/>
    <w:rsid w:val="65D11E9E"/>
    <w:rsid w:val="6A386990"/>
    <w:rsid w:val="6A9042E2"/>
    <w:rsid w:val="6B486645"/>
    <w:rsid w:val="6C4B44C7"/>
    <w:rsid w:val="6C533994"/>
    <w:rsid w:val="6D373CFB"/>
    <w:rsid w:val="6EB56801"/>
    <w:rsid w:val="6FB53110"/>
    <w:rsid w:val="700C2451"/>
    <w:rsid w:val="70E84C6C"/>
    <w:rsid w:val="72BE234E"/>
    <w:rsid w:val="731C6E4F"/>
    <w:rsid w:val="73AD3F4B"/>
    <w:rsid w:val="767174B1"/>
    <w:rsid w:val="76A07988"/>
    <w:rsid w:val="76EC08E6"/>
    <w:rsid w:val="7A884E22"/>
    <w:rsid w:val="7CD0558F"/>
    <w:rsid w:val="7EB9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2539</Words>
  <Characters>2625</Characters>
  <Lines>0</Lines>
  <Paragraphs>0</Paragraphs>
  <TotalTime>29</TotalTime>
  <ScaleCrop>false</ScaleCrop>
  <LinksUpToDate>false</LinksUpToDate>
  <CharactersWithSpaces>2798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2024-01-26T03:16:00Z</dcterms:created>
  <dc:creator>pamela</dc:creator>
  <cp:lastModifiedBy>WPS_1661510369</cp:lastModifiedBy>
  <cp:lastPrinted>2026-01-23T01:27:00Z</cp:lastPrinted>
  <dcterms:modified xsi:type="dcterms:W3CDTF">2026-01-23T06:54:12Z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DE84A0753BD44FF6967793FE7ADAE2A9_13</vt:lpwstr>
  </property>
  <property fmtid="{D5CDD505-2E9C-101B-9397-08002B2CF9AE}" pid="4" name="KSOTemplateDocerSaveRecord">
    <vt:lpwstr>eyJoZGlkIjoiZDdkYjU2OTVhYjhjNzllZmIzODYxZGFmMGY4MmQxMjEiLCJ1c2VySWQiOiIxMzk2NDg5MTM2In0=</vt:lpwstr>
  </property>
</Properties>
</file>