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700" w:lineRule="exact"/>
        <w:ind w:left="0" w:right="0"/>
        <w:jc w:val="both"/>
        <w:textAlignment w:val="auto"/>
        <w:rPr>
          <w:rFonts w:hint="default" w:ascii="Times New Roman" w:hAnsi="Times New Roman" w:eastAsia="方正小标宋简体" w:cs="Times New Roman"/>
          <w:b/>
          <w:bCs/>
          <w:color w:val="auto"/>
          <w:kern w:val="2"/>
          <w:sz w:val="44"/>
          <w:szCs w:val="44"/>
          <w:highlight w:val="none"/>
          <w:u w:val="none"/>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700" w:lineRule="exact"/>
        <w:ind w:left="0" w:right="0"/>
        <w:jc w:val="center"/>
        <w:textAlignment w:val="auto"/>
        <w:rPr>
          <w:rFonts w:hint="eastAsia" w:ascii="Times New Roman" w:hAnsi="Times New Roman" w:eastAsia="方正小标宋简体" w:cs="方正小标宋简体"/>
          <w:b/>
          <w:bCs/>
          <w:color w:val="auto"/>
          <w:kern w:val="2"/>
          <w:sz w:val="44"/>
          <w:szCs w:val="44"/>
          <w:highlight w:val="none"/>
          <w:u w:val="none"/>
          <w:lang w:val="en-US" w:eastAsia="zh-CN" w:bidi="ar-SA"/>
        </w:rPr>
      </w:pPr>
      <w:r>
        <w:rPr>
          <w:rFonts w:hint="eastAsia" w:ascii="Times New Roman" w:hAnsi="Times New Roman" w:eastAsia="方正小标宋简体" w:cs="方正小标宋简体"/>
          <w:b/>
          <w:bCs/>
          <w:color w:val="auto"/>
          <w:kern w:val="2"/>
          <w:sz w:val="44"/>
          <w:szCs w:val="44"/>
          <w:highlight w:val="none"/>
          <w:u w:val="none"/>
          <w:lang w:val="en-US" w:eastAsia="zh-CN" w:bidi="ar-SA"/>
        </w:rPr>
        <w:t>2024年度法治政府建设报告</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firstLine="643" w:firstLineChars="200"/>
        <w:jc w:val="both"/>
        <w:textAlignment w:val="auto"/>
        <w:rPr>
          <w:rFonts w:hint="eastAsia" w:ascii="Times New Roman" w:hAnsi="Times New Roman" w:eastAsia="方正仿宋简体" w:cs="方正仿宋简体"/>
          <w:b/>
          <w:bCs w:val="0"/>
          <w:color w:val="auto"/>
          <w:kern w:val="2"/>
          <w:sz w:val="32"/>
          <w:szCs w:val="32"/>
          <w:highlight w:val="none"/>
          <w:lang w:val="en-US" w:eastAsia="zh-CN" w:bidi="ar-SA"/>
        </w:rPr>
      </w:pPr>
      <w:r>
        <w:rPr>
          <w:rFonts w:hint="eastAsia" w:ascii="Times New Roman" w:hAnsi="Times New Roman" w:eastAsia="方正仿宋简体" w:cs="方正仿宋简体"/>
          <w:b/>
          <w:bCs/>
          <w:color w:val="auto"/>
          <w:sz w:val="32"/>
          <w:szCs w:val="32"/>
          <w:lang w:val="en-US" w:eastAsia="zh-CN"/>
        </w:rPr>
        <w:t>2024年，县工业和信息化局坚持以习近平新时代中国特色社会主义思想为指导，深入学习贯彻习近平法治思想，认真落实县委、县政府工作要求，按照《县委全面依法治县委员会2024年工作要点》等文件要求，结合工业经济高质量发展任务，</w:t>
      </w:r>
      <w:r>
        <w:rPr>
          <w:rFonts w:hint="eastAsia" w:ascii="Times New Roman" w:hAnsi="Times New Roman" w:eastAsia="方正仿宋简体" w:cs="方正仿宋简体"/>
          <w:b/>
          <w:bCs/>
          <w:color w:val="auto"/>
          <w:sz w:val="32"/>
          <w:szCs w:val="40"/>
          <w:lang w:val="en-US" w:eastAsia="zh-CN"/>
        </w:rPr>
        <w:t>自觉扛起优化法治化营商环境责任，</w:t>
      </w:r>
      <w:r>
        <w:rPr>
          <w:rFonts w:hint="eastAsia" w:ascii="Times New Roman" w:hAnsi="Times New Roman" w:eastAsia="方正仿宋简体"/>
          <w:b/>
          <w:bCs/>
          <w:color w:val="auto"/>
          <w:sz w:val="32"/>
          <w:szCs w:val="32"/>
          <w:lang w:val="en-US" w:eastAsia="zh-CN"/>
        </w:rPr>
        <w:t>以高水平法治服务保障经济高质量发展</w:t>
      </w:r>
      <w:r>
        <w:rPr>
          <w:rFonts w:hint="eastAsia" w:ascii="Times New Roman" w:hAnsi="Times New Roman" w:eastAsia="方正仿宋简体" w:cs="方正仿宋简体"/>
          <w:b/>
          <w:bCs/>
          <w:color w:val="auto"/>
          <w:sz w:val="32"/>
          <w:szCs w:val="32"/>
          <w:lang w:val="en-US" w:eastAsia="zh-CN"/>
        </w:rPr>
        <w:t>。现将2024年法治政府建设工作情况报告如下：</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default" w:ascii="Times New Roman" w:hAnsi="Times New Roman" w:eastAsia="黑体" w:cs="黑体"/>
          <w:b/>
          <w:bCs w:val="0"/>
          <w:color w:val="auto"/>
          <w:kern w:val="2"/>
          <w:sz w:val="32"/>
          <w:szCs w:val="32"/>
          <w:highlight w:val="none"/>
          <w:lang w:val="en-US" w:eastAsia="zh-CN" w:bidi="ar-SA"/>
        </w:rPr>
      </w:pPr>
      <w:r>
        <w:rPr>
          <w:rFonts w:hint="eastAsia" w:ascii="Times New Roman" w:hAnsi="Times New Roman" w:eastAsia="黑体" w:cs="黑体"/>
          <w:b/>
          <w:bCs w:val="0"/>
          <w:color w:val="auto"/>
          <w:kern w:val="2"/>
          <w:sz w:val="32"/>
          <w:szCs w:val="32"/>
          <w:highlight w:val="none"/>
          <w:lang w:val="en-US" w:eastAsia="zh-CN" w:bidi="ar-SA"/>
        </w:rPr>
        <w:t>一、工作开展情况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（一）学习贯彻习近平法治思想情况</w:t>
      </w:r>
    </w:p>
    <w:p>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坚持以习近平法治思想为引领，切实把党中央全面依法治国的决策部署和县委全面依法治县委员会的工作要求，转化为县工业和信息化局法治建设的思路举措，落实到全局法治建设工作全过程，推动习近平法治思想落地生根。不断健全完善习近平法治思想和法律法规学习机制，</w:t>
      </w:r>
      <w:r>
        <w:rPr>
          <w:rFonts w:hint="eastAsia" w:ascii="Times New Roman" w:hAnsi="Times New Roman" w:eastAsia="方正仿宋简体"/>
          <w:b/>
          <w:bCs/>
          <w:color w:val="auto"/>
          <w:sz w:val="32"/>
          <w:szCs w:val="32"/>
          <w:lang w:val="en-US" w:eastAsia="zh-CN"/>
        </w:rPr>
        <w:t>编制领导干部应知应会党内法规和国家法律汇编目录，</w:t>
      </w:r>
      <w:r>
        <w:rPr>
          <w:rFonts w:hint="eastAsia" w:ascii="Times New Roman" w:hAnsi="Times New Roman" w:eastAsia="方正仿宋简体" w:cs="Times New Roman"/>
          <w:b/>
          <w:bCs/>
          <w:color w:val="auto"/>
          <w:sz w:val="32"/>
          <w:szCs w:val="40"/>
          <w:lang w:val="en-US" w:eastAsia="zh-CN"/>
        </w:rPr>
        <w:t>积极开展学习培训。</w:t>
      </w:r>
      <w:r>
        <w:rPr>
          <w:rFonts w:hint="eastAsia" w:ascii="Times New Roman" w:hAnsi="Times New Roman" w:eastAsia="方正仿宋简体" w:cs="方正仿宋简体"/>
          <w:b/>
          <w:bCs/>
          <w:color w:val="auto"/>
          <w:sz w:val="32"/>
          <w:szCs w:val="32"/>
          <w:lang w:val="en-US" w:eastAsia="zh-CN"/>
        </w:rPr>
        <w:t>通过业务学习与法治学习相结合、自学和集中学习相结合，深入开展法治理论学习，</w:t>
      </w:r>
      <w:r>
        <w:rPr>
          <w:rFonts w:hint="eastAsia" w:ascii="Times New Roman" w:hAnsi="Times New Roman" w:eastAsia="方正仿宋简体" w:cs="Times New Roman"/>
          <w:b/>
          <w:bCs/>
          <w:color w:val="auto"/>
          <w:sz w:val="32"/>
          <w:szCs w:val="40"/>
          <w:lang w:val="en-US" w:eastAsia="zh-CN"/>
        </w:rPr>
        <w:t>开展集体学法12次，邀请专业律师专题培训1</w:t>
      </w:r>
      <w:r>
        <w:rPr>
          <w:rFonts w:hint="eastAsia" w:ascii="Times New Roman" w:hAnsi="Times New Roman" w:eastAsia="方正仿宋简体" w:cs="方正仿宋简体"/>
          <w:b/>
          <w:bCs/>
          <w:color w:val="auto"/>
          <w:sz w:val="32"/>
          <w:szCs w:val="32"/>
          <w:lang w:val="en-US" w:eastAsia="zh-CN"/>
        </w:rPr>
        <w:t>期，深入学习《习近平法治思想学习纲要》《中华人民共和国宪法》《中华人民共和国民法典》等法律法规，以学习教育不断提升执法人员法治思维、法律素养、执法能力。</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（二）《县委全面依法治县委员会2024年工作要点》等法治工作任务完成情况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简体" w:cs="方正仿宋简体"/>
          <w:b/>
          <w:bCs/>
          <w:color w:val="auto"/>
          <w:sz w:val="32"/>
          <w:szCs w:val="32"/>
          <w:lang w:val="en-US" w:eastAsia="zh-CN"/>
        </w:rPr>
      </w:pPr>
      <w:r>
        <w:rPr>
          <w:rFonts w:hint="default" w:ascii="Times New Roman" w:hAnsi="Times New Roman" w:eastAsia="方正仿宋简体" w:cs="方正仿宋简体"/>
          <w:b/>
          <w:bCs/>
          <w:color w:val="auto"/>
          <w:sz w:val="32"/>
          <w:szCs w:val="32"/>
          <w:lang w:val="en-US" w:eastAsia="zh-CN"/>
        </w:rPr>
        <w:t>根据《县委全面依法治县委员会20</w:t>
      </w:r>
      <w:r>
        <w:rPr>
          <w:rFonts w:hint="eastAsia" w:ascii="Times New Roman" w:hAnsi="Times New Roman" w:eastAsia="方正仿宋简体" w:cs="方正仿宋简体"/>
          <w:b/>
          <w:bCs/>
          <w:color w:val="auto"/>
          <w:sz w:val="32"/>
          <w:szCs w:val="32"/>
          <w:lang w:val="en-US" w:eastAsia="zh-CN"/>
        </w:rPr>
        <w:t>24</w:t>
      </w:r>
      <w:r>
        <w:rPr>
          <w:rFonts w:hint="default" w:ascii="Times New Roman" w:hAnsi="Times New Roman" w:eastAsia="方正仿宋简体" w:cs="方正仿宋简体"/>
          <w:b/>
          <w:bCs/>
          <w:color w:val="auto"/>
          <w:sz w:val="32"/>
          <w:szCs w:val="32"/>
          <w:lang w:val="en-US" w:eastAsia="zh-CN"/>
        </w:rPr>
        <w:t>年工作要点》要求，</w:t>
      </w:r>
      <w:r>
        <w:rPr>
          <w:rFonts w:hint="eastAsia" w:ascii="Times New Roman" w:hAnsi="Times New Roman" w:eastAsia="方正仿宋简体" w:cs="方正仿宋简体"/>
          <w:b/>
          <w:bCs/>
          <w:color w:val="auto"/>
          <w:sz w:val="32"/>
          <w:szCs w:val="32"/>
          <w:lang w:val="en-US" w:eastAsia="zh-CN"/>
        </w:rPr>
        <w:t>对照26项重点工作任务，将工作</w:t>
      </w:r>
      <w:r>
        <w:rPr>
          <w:rFonts w:hint="default" w:ascii="Times New Roman" w:hAnsi="Times New Roman" w:eastAsia="方正仿宋简体" w:cs="方正仿宋简体"/>
          <w:b/>
          <w:bCs/>
          <w:color w:val="auto"/>
          <w:sz w:val="32"/>
          <w:szCs w:val="32"/>
          <w:lang w:val="en-US" w:eastAsia="zh-CN"/>
        </w:rPr>
        <w:t>细化</w:t>
      </w:r>
      <w:r>
        <w:rPr>
          <w:rFonts w:hint="eastAsia" w:ascii="Times New Roman" w:hAnsi="Times New Roman" w:eastAsia="方正仿宋简体" w:cs="方正仿宋简体"/>
          <w:b/>
          <w:bCs/>
          <w:color w:val="auto"/>
          <w:sz w:val="32"/>
          <w:szCs w:val="32"/>
          <w:lang w:val="en-US" w:eastAsia="zh-CN"/>
        </w:rPr>
        <w:t>分解到</w:t>
      </w:r>
      <w:r>
        <w:rPr>
          <w:rFonts w:hint="default" w:ascii="Times New Roman" w:hAnsi="Times New Roman" w:eastAsia="方正仿宋简体" w:cs="方正仿宋简体"/>
          <w:b/>
          <w:bCs/>
          <w:color w:val="auto"/>
          <w:sz w:val="32"/>
          <w:szCs w:val="32"/>
          <w:lang w:val="en-US" w:eastAsia="zh-CN"/>
        </w:rPr>
        <w:t>责任科室和</w:t>
      </w:r>
      <w:r>
        <w:rPr>
          <w:rFonts w:hint="eastAsia" w:ascii="Times New Roman" w:hAnsi="Times New Roman" w:eastAsia="方正仿宋简体" w:cs="方正仿宋简体"/>
          <w:b/>
          <w:bCs/>
          <w:color w:val="auto"/>
          <w:sz w:val="32"/>
          <w:szCs w:val="32"/>
          <w:lang w:val="en-US" w:eastAsia="zh-CN"/>
        </w:rPr>
        <w:t>具体责任人</w:t>
      </w:r>
      <w:r>
        <w:rPr>
          <w:rFonts w:hint="default" w:ascii="Times New Roman" w:hAnsi="Times New Roman" w:eastAsia="方正仿宋简体" w:cs="方正仿宋简体"/>
          <w:b/>
          <w:bCs/>
          <w:color w:val="auto"/>
          <w:sz w:val="32"/>
          <w:szCs w:val="32"/>
          <w:lang w:val="en-US" w:eastAsia="zh-CN"/>
        </w:rPr>
        <w:t>，</w:t>
      </w:r>
      <w:r>
        <w:rPr>
          <w:rFonts w:hint="eastAsia" w:ascii="Times New Roman" w:hAnsi="Times New Roman" w:eastAsia="方正仿宋简体" w:cs="方正仿宋简体"/>
          <w:b/>
          <w:bCs/>
          <w:color w:val="auto"/>
          <w:sz w:val="32"/>
          <w:szCs w:val="32"/>
          <w:lang w:val="en-US" w:eastAsia="zh-CN"/>
        </w:rPr>
        <w:t>并跟踪督导法治建设工作落实情况，建立工作台账，扎实做好</w:t>
      </w:r>
      <w:r>
        <w:rPr>
          <w:rFonts w:hint="default" w:ascii="Times New Roman" w:hAnsi="Times New Roman" w:eastAsia="方正仿宋简体" w:cs="方正仿宋简体"/>
          <w:b/>
          <w:bCs/>
          <w:color w:val="auto"/>
          <w:sz w:val="32"/>
          <w:szCs w:val="32"/>
          <w:lang w:val="en-US" w:eastAsia="zh-CN"/>
        </w:rPr>
        <w:t>法治建设工作。</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（三）主要负责人履行推进法治建设第一责任人职责情况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严格执行《党政主要负责人履行推进法治建设第一责任人职责规定》，切实履行推进法治建设第一责任人职责，主要负责同志对法治建设重要工作亲自部署、重大问题亲自过问、重点环节亲自协调。将法治机关建设工作与业务工作同研究、同部署、同落实。定期召开</w:t>
      </w:r>
      <w:bookmarkStart w:id="0" w:name="_GoBack"/>
      <w:bookmarkEnd w:id="0"/>
      <w:r>
        <w:rPr>
          <w:rFonts w:hint="eastAsia" w:ascii="Times New Roman" w:hAnsi="Times New Roman" w:eastAsia="方正仿宋简体" w:cs="方正仿宋简体"/>
          <w:b/>
          <w:bCs/>
          <w:color w:val="auto"/>
          <w:sz w:val="32"/>
          <w:szCs w:val="32"/>
          <w:lang w:val="en-US" w:eastAsia="zh-CN"/>
        </w:rPr>
        <w:t>党组会议听取年度法治建设工作报告，召开会议研究部署法治建设工作。</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（四）述法、法治督察、行政执法监督、行政复议意见书反馈问题落实整改情况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按照《提升行政执法质量三年行动计划（2023-2025 年）》等文件要求，全面落实行政执法责任制，健全完善行政执法人员年度考核工作，组织召开行政执法人员述法会议，对21名行政执法人员进行述法评议。</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（五）法治化营商环境工作开展情况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实施“政策敲门”服务，开展工信领域惠企政策“政策解读+工作培训”会等专题培训。组织业务骨干深入企业现场，为企业“面对面”宣传解读、业务服务，指导80余家企业争取专精特新等项目。按季度梳理印发工业领域政策汇编4期，持续加大政策宣传和解读力度，提升涉企服务质效。</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（六）行政执法“三项制度”落实情况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认真</w:t>
      </w:r>
      <w:r>
        <w:rPr>
          <w:rFonts w:hint="default" w:ascii="Times New Roman" w:hAnsi="Times New Roman" w:eastAsia="方正仿宋简体" w:cs="方正仿宋简体"/>
          <w:b/>
          <w:bCs/>
          <w:color w:val="auto"/>
          <w:sz w:val="32"/>
          <w:szCs w:val="32"/>
          <w:lang w:val="en-US" w:eastAsia="zh-CN"/>
        </w:rPr>
        <w:t>落实《关于</w:t>
      </w:r>
      <w:r>
        <w:rPr>
          <w:rFonts w:hint="eastAsia" w:ascii="Times New Roman" w:hAnsi="Times New Roman" w:eastAsia="方正仿宋简体" w:cs="方正仿宋简体"/>
          <w:b/>
          <w:bCs/>
          <w:color w:val="auto"/>
          <w:sz w:val="32"/>
          <w:szCs w:val="32"/>
          <w:lang w:val="en-US" w:eastAsia="zh-CN"/>
        </w:rPr>
        <w:t>落实</w:t>
      </w:r>
      <w:r>
        <w:rPr>
          <w:rFonts w:hint="default" w:ascii="Times New Roman" w:hAnsi="Times New Roman" w:eastAsia="方正仿宋简体" w:cs="方正仿宋简体"/>
          <w:b/>
          <w:bCs/>
          <w:color w:val="auto"/>
          <w:sz w:val="32"/>
          <w:szCs w:val="32"/>
          <w:lang w:val="en-US" w:eastAsia="zh-CN"/>
        </w:rPr>
        <w:t>行政执法公示制度</w:t>
      </w:r>
      <w:r>
        <w:rPr>
          <w:rFonts w:hint="eastAsia" w:ascii="Times New Roman" w:hAnsi="Times New Roman" w:eastAsia="方正仿宋简体" w:cs="方正仿宋简体"/>
          <w:b/>
          <w:bCs/>
          <w:color w:val="auto"/>
          <w:sz w:val="32"/>
          <w:szCs w:val="32"/>
          <w:lang w:val="en-US" w:eastAsia="zh-CN"/>
        </w:rPr>
        <w:t>、</w:t>
      </w:r>
      <w:r>
        <w:rPr>
          <w:rFonts w:hint="default" w:ascii="Times New Roman" w:hAnsi="Times New Roman" w:eastAsia="方正仿宋简体" w:cs="方正仿宋简体"/>
          <w:b/>
          <w:bCs/>
          <w:color w:val="auto"/>
          <w:sz w:val="32"/>
          <w:szCs w:val="32"/>
          <w:lang w:val="en-US" w:eastAsia="zh-CN"/>
        </w:rPr>
        <w:t>执法全过程记录制度</w:t>
      </w:r>
      <w:r>
        <w:rPr>
          <w:rFonts w:hint="eastAsia" w:ascii="Times New Roman" w:hAnsi="Times New Roman" w:eastAsia="方正仿宋简体" w:cs="方正仿宋简体"/>
          <w:b/>
          <w:bCs/>
          <w:color w:val="auto"/>
          <w:sz w:val="32"/>
          <w:szCs w:val="32"/>
          <w:lang w:val="en-US" w:eastAsia="zh-CN"/>
        </w:rPr>
        <w:t>、</w:t>
      </w:r>
      <w:r>
        <w:rPr>
          <w:rFonts w:hint="default" w:ascii="Times New Roman" w:hAnsi="Times New Roman" w:eastAsia="方正仿宋简体" w:cs="方正仿宋简体"/>
          <w:b/>
          <w:bCs/>
          <w:color w:val="auto"/>
          <w:sz w:val="32"/>
          <w:szCs w:val="32"/>
          <w:lang w:val="en-US" w:eastAsia="zh-CN"/>
        </w:rPr>
        <w:t>重大执法决定法制审核制度工作方案》，</w:t>
      </w:r>
      <w:r>
        <w:rPr>
          <w:rFonts w:hint="eastAsia" w:ascii="Times New Roman" w:hAnsi="Times New Roman" w:eastAsia="方正仿宋简体" w:cs="方正仿宋简体"/>
          <w:b/>
          <w:bCs/>
          <w:color w:val="auto"/>
          <w:sz w:val="32"/>
          <w:szCs w:val="32"/>
          <w:lang w:val="en-US" w:eastAsia="zh-CN"/>
        </w:rPr>
        <w:t>严格规范公正文明执法，</w:t>
      </w:r>
      <w:r>
        <w:rPr>
          <w:rFonts w:hint="default" w:ascii="Times New Roman" w:hAnsi="Times New Roman" w:eastAsia="方正仿宋简体" w:cs="方正仿宋简体"/>
          <w:b/>
          <w:bCs/>
          <w:color w:val="auto"/>
          <w:sz w:val="32"/>
          <w:szCs w:val="32"/>
          <w:lang w:val="en-US" w:eastAsia="zh-CN"/>
        </w:rPr>
        <w:t>202</w:t>
      </w:r>
      <w:r>
        <w:rPr>
          <w:rFonts w:hint="eastAsia" w:ascii="Times New Roman" w:hAnsi="Times New Roman" w:eastAsia="方正仿宋简体" w:cs="方正仿宋简体"/>
          <w:b/>
          <w:bCs/>
          <w:color w:val="auto"/>
          <w:sz w:val="32"/>
          <w:szCs w:val="32"/>
          <w:lang w:val="en-US" w:eastAsia="zh-CN"/>
        </w:rPr>
        <w:t>4</w:t>
      </w:r>
      <w:r>
        <w:rPr>
          <w:rFonts w:hint="default" w:ascii="Times New Roman" w:hAnsi="Times New Roman" w:eastAsia="方正仿宋简体" w:cs="方正仿宋简体"/>
          <w:b/>
          <w:bCs/>
          <w:color w:val="auto"/>
          <w:sz w:val="32"/>
          <w:szCs w:val="32"/>
          <w:lang w:val="en-US" w:eastAsia="zh-CN"/>
        </w:rPr>
        <w:t>年度行政处罚案件</w:t>
      </w:r>
      <w:r>
        <w:rPr>
          <w:rFonts w:hint="eastAsia" w:ascii="Times New Roman" w:hAnsi="Times New Roman" w:eastAsia="方正仿宋简体" w:cs="方正仿宋简体"/>
          <w:b/>
          <w:bCs/>
          <w:color w:val="auto"/>
          <w:sz w:val="32"/>
          <w:szCs w:val="32"/>
          <w:lang w:val="en-US" w:eastAsia="zh-CN"/>
        </w:rPr>
        <w:t>均落实执法全过程记录，并由局机关法制审核机构</w:t>
      </w:r>
      <w:r>
        <w:rPr>
          <w:rFonts w:hint="default" w:ascii="Times New Roman" w:hAnsi="Times New Roman" w:eastAsia="方正仿宋简体" w:cs="方正仿宋简体"/>
          <w:b/>
          <w:bCs/>
          <w:color w:val="auto"/>
          <w:sz w:val="32"/>
          <w:szCs w:val="32"/>
          <w:lang w:val="en-US" w:eastAsia="zh-CN"/>
        </w:rPr>
        <w:t>对</w:t>
      </w:r>
      <w:r>
        <w:rPr>
          <w:rFonts w:hint="eastAsia" w:ascii="Times New Roman" w:hAnsi="Times New Roman" w:eastAsia="方正仿宋简体" w:cs="方正仿宋简体"/>
          <w:b/>
          <w:bCs/>
          <w:color w:val="auto"/>
          <w:sz w:val="32"/>
          <w:szCs w:val="32"/>
          <w:lang w:val="en-US" w:eastAsia="zh-CN"/>
        </w:rPr>
        <w:t>重大行政执法决定</w:t>
      </w:r>
      <w:r>
        <w:rPr>
          <w:rFonts w:hint="default" w:ascii="Times New Roman" w:hAnsi="Times New Roman" w:eastAsia="方正仿宋简体" w:cs="方正仿宋简体"/>
          <w:b/>
          <w:bCs/>
          <w:color w:val="auto"/>
          <w:sz w:val="32"/>
          <w:szCs w:val="32"/>
          <w:lang w:val="en-US" w:eastAsia="zh-CN"/>
        </w:rPr>
        <w:t>进行法制审核，全部</w:t>
      </w:r>
      <w:r>
        <w:rPr>
          <w:rFonts w:hint="eastAsia" w:ascii="Times New Roman" w:hAnsi="Times New Roman" w:eastAsia="方正仿宋简体" w:cs="方正仿宋简体"/>
          <w:b/>
          <w:bCs/>
          <w:color w:val="auto"/>
          <w:sz w:val="32"/>
          <w:szCs w:val="32"/>
          <w:lang w:val="en-US" w:eastAsia="zh-CN"/>
        </w:rPr>
        <w:t>在</w:t>
      </w:r>
      <w:r>
        <w:rPr>
          <w:rFonts w:hint="default" w:ascii="Times New Roman" w:hAnsi="Times New Roman" w:eastAsia="方正仿宋简体" w:cs="方正仿宋简体"/>
          <w:b/>
          <w:bCs/>
          <w:color w:val="auto"/>
          <w:sz w:val="32"/>
          <w:szCs w:val="32"/>
          <w:lang w:val="en-US" w:eastAsia="zh-CN"/>
        </w:rPr>
        <w:t>行政执法公示专栏</w:t>
      </w:r>
      <w:r>
        <w:rPr>
          <w:rFonts w:hint="eastAsia" w:ascii="Times New Roman" w:hAnsi="Times New Roman" w:eastAsia="方正仿宋简体" w:cs="方正仿宋简体"/>
          <w:b/>
          <w:bCs/>
          <w:color w:val="auto"/>
          <w:sz w:val="32"/>
          <w:szCs w:val="32"/>
          <w:lang w:val="en-US" w:eastAsia="zh-CN"/>
        </w:rPr>
        <w:t>进行公示</w:t>
      </w:r>
      <w:r>
        <w:rPr>
          <w:rFonts w:hint="default" w:ascii="Times New Roman" w:hAnsi="Times New Roman" w:eastAsia="方正仿宋简体" w:cs="方正仿宋简体"/>
          <w:b/>
          <w:bCs/>
          <w:color w:val="auto"/>
          <w:sz w:val="32"/>
          <w:szCs w:val="32"/>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（七）“不罚”清单、“轻罚”清单、行政处罚裁量基准清单、行政合规指导“四张清单”落实情况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合理利用“不罚”清单、“轻罚”清单、行政处罚裁量基准清单、行政合规指导“四张清单”，2024年作出的行政处罚案件均适用《行政处罚裁量基准清单》《济宁市轻微违法行为不予行政处罚和一般违法行为减轻行政处罚事项清单》</w:t>
      </w:r>
      <w:r>
        <w:rPr>
          <w:rFonts w:hint="eastAsia" w:ascii="Times New Roman" w:hAnsi="Times New Roman" w:cs="方正仿宋简体"/>
          <w:b/>
          <w:bCs/>
          <w:color w:val="auto"/>
          <w:sz w:val="32"/>
          <w:szCs w:val="32"/>
          <w:lang w:val="en-US" w:eastAsia="zh-CN"/>
        </w:rPr>
        <w:t>等要求</w:t>
      </w:r>
      <w:r>
        <w:rPr>
          <w:rFonts w:hint="eastAsia" w:ascii="Times New Roman" w:hAnsi="Times New Roman" w:eastAsia="方正仿宋简体" w:cs="方正仿宋简体"/>
          <w:b/>
          <w:bCs/>
          <w:color w:val="auto"/>
          <w:sz w:val="32"/>
          <w:szCs w:val="32"/>
          <w:lang w:val="en-US" w:eastAsia="zh-CN"/>
        </w:rPr>
        <w:t>。持续做好工信领域行政合规指导工作，结合企业调研、走访工作，宣传</w:t>
      </w:r>
      <w:r>
        <w:rPr>
          <w:rFonts w:hint="eastAsia" w:ascii="Times New Roman" w:hAnsi="Times New Roman" w:cs="方正仿宋简体"/>
          <w:b/>
          <w:bCs/>
          <w:color w:val="auto"/>
          <w:sz w:val="32"/>
          <w:szCs w:val="32"/>
          <w:lang w:val="en-US" w:eastAsia="zh-CN"/>
        </w:rPr>
        <w:t>解读</w:t>
      </w:r>
      <w:r>
        <w:rPr>
          <w:rFonts w:hint="eastAsia" w:ascii="Times New Roman" w:hAnsi="Times New Roman" w:eastAsia="方正仿宋简体" w:cs="方正仿宋简体"/>
          <w:b/>
          <w:bCs/>
          <w:color w:val="auto"/>
          <w:sz w:val="32"/>
          <w:szCs w:val="32"/>
          <w:lang w:val="en-US" w:eastAsia="zh-CN"/>
        </w:rPr>
        <w:t>《泗水县企业行政合规指导清单</w:t>
      </w:r>
      <w:r>
        <w:rPr>
          <w:rFonts w:hint="eastAsia" w:ascii="Times New Roman" w:hAnsi="Times New Roman" w:cs="方正仿宋简体"/>
          <w:b/>
          <w:bCs/>
          <w:color w:val="auto"/>
          <w:sz w:val="32"/>
          <w:szCs w:val="32"/>
          <w:lang w:val="en-US" w:eastAsia="zh-CN"/>
        </w:rPr>
        <w:t>（</w:t>
      </w:r>
      <w:r>
        <w:rPr>
          <w:rFonts w:hint="eastAsia" w:ascii="Times New Roman" w:hAnsi="Times New Roman" w:eastAsia="方正仿宋简体" w:cs="方正仿宋简体"/>
          <w:b/>
          <w:bCs/>
          <w:color w:val="auto"/>
          <w:sz w:val="32"/>
          <w:szCs w:val="32"/>
          <w:lang w:val="en-US" w:eastAsia="zh-CN"/>
        </w:rPr>
        <w:t>2023年版</w:t>
      </w:r>
      <w:r>
        <w:rPr>
          <w:rFonts w:hint="eastAsia" w:ascii="Times New Roman" w:hAnsi="Times New Roman" w:cs="方正仿宋简体"/>
          <w:b/>
          <w:bCs/>
          <w:color w:val="auto"/>
          <w:sz w:val="32"/>
          <w:szCs w:val="32"/>
          <w:lang w:val="en-US" w:eastAsia="zh-CN"/>
        </w:rPr>
        <w:t>）</w:t>
      </w:r>
      <w:r>
        <w:rPr>
          <w:rFonts w:hint="eastAsia" w:ascii="Times New Roman" w:hAnsi="Times New Roman" w:eastAsia="方正仿宋简体" w:cs="方正仿宋简体"/>
          <w:b/>
          <w:bCs/>
          <w:color w:val="auto"/>
          <w:sz w:val="32"/>
          <w:szCs w:val="32"/>
          <w:lang w:val="en-US" w:eastAsia="zh-CN"/>
        </w:rPr>
        <w:t>》，并结合企业实际，对企业提出整改意见建议，无以罚代管情况。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（八）法制审核人员中取得法律职业资格证的人员占比情况，法律顾问参与法制审核工作情况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方正仿宋简体" w:cs="方正仿宋简体"/>
          <w:b/>
          <w:bCs/>
          <w:color w:val="auto"/>
          <w:sz w:val="32"/>
          <w:szCs w:val="32"/>
          <w:lang w:val="en-US" w:eastAsia="zh-CN"/>
        </w:rPr>
        <w:t>现有法治审核人员2名</w:t>
      </w:r>
      <w:r>
        <w:rPr>
          <w:rFonts w:hint="eastAsia" w:ascii="Times New Roman" w:hAnsi="Times New Roman" w:cs="方正仿宋简体"/>
          <w:b/>
          <w:bCs/>
          <w:color w:val="auto"/>
          <w:sz w:val="32"/>
          <w:szCs w:val="32"/>
          <w:lang w:val="en-US" w:eastAsia="zh-CN"/>
        </w:rPr>
        <w:t>。通过招聘法学专业人员、组织备考法律职业资格等方式，尽快建强法治审核队伍</w:t>
      </w:r>
      <w:r>
        <w:rPr>
          <w:rFonts w:hint="eastAsia" w:ascii="Times New Roman" w:hAnsi="Times New Roman" w:eastAsia="方正仿宋简体" w:cs="方正仿宋简体"/>
          <w:b/>
          <w:bCs/>
          <w:color w:val="auto"/>
          <w:sz w:val="32"/>
          <w:szCs w:val="32"/>
          <w:lang w:val="en-US" w:eastAsia="zh-CN"/>
        </w:rPr>
        <w:t>。</w:t>
      </w:r>
      <w:r>
        <w:rPr>
          <w:rFonts w:hint="eastAsia" w:ascii="Times New Roman" w:hAnsi="Times New Roman" w:cs="方正仿宋简体"/>
          <w:b/>
          <w:bCs/>
          <w:color w:val="auto"/>
          <w:sz w:val="32"/>
          <w:szCs w:val="32"/>
          <w:lang w:val="en-US" w:eastAsia="zh-CN"/>
        </w:rPr>
        <w:t>聘请</w:t>
      </w:r>
      <w:r>
        <w:rPr>
          <w:rFonts w:hint="eastAsia" w:ascii="Times New Roman" w:hAnsi="Times New Roman" w:eastAsia="方正仿宋简体" w:cs="方正仿宋简体"/>
          <w:b/>
          <w:bCs/>
          <w:color w:val="auto"/>
          <w:sz w:val="32"/>
          <w:szCs w:val="32"/>
          <w:lang w:val="en-US" w:eastAsia="zh-CN"/>
        </w:rPr>
        <w:t>泗达律师事务所</w:t>
      </w:r>
      <w:r>
        <w:rPr>
          <w:rFonts w:hint="eastAsia" w:ascii="Times New Roman" w:hAnsi="Times New Roman" w:eastAsia="方正仿宋简体"/>
          <w:b/>
          <w:color w:val="auto"/>
          <w:sz w:val="32"/>
          <w:szCs w:val="32"/>
          <w:lang w:val="en-US" w:eastAsia="zh-CN"/>
        </w:rPr>
        <w:t>律师团队作为局机关</w:t>
      </w:r>
      <w:r>
        <w:rPr>
          <w:rFonts w:hint="eastAsia" w:ascii="Times New Roman" w:hAnsi="Times New Roman" w:eastAsia="方正仿宋简体"/>
          <w:b/>
          <w:color w:val="auto"/>
          <w:sz w:val="32"/>
          <w:szCs w:val="32"/>
        </w:rPr>
        <w:t>法律顾问</w:t>
      </w:r>
      <w:r>
        <w:rPr>
          <w:rFonts w:hint="eastAsia" w:ascii="Times New Roman" w:hAnsi="Times New Roman" w:cs="Times New Roman"/>
          <w:b/>
          <w:bCs/>
          <w:color w:val="auto"/>
          <w:sz w:val="32"/>
          <w:szCs w:val="40"/>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（九）涉企行政执法突出问题专项整治工作开展情况、规范执法专项工作开展情况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按照《泗水县涉企行政执法突出问题专项整治工作方案》工作要求，对照行政检查随意性大</w:t>
      </w:r>
      <w:r>
        <w:rPr>
          <w:rFonts w:hint="eastAsia" w:ascii="Times New Roman" w:hAnsi="Times New Roman" w:cs="方正仿宋简体"/>
          <w:b/>
          <w:bCs/>
          <w:color w:val="auto"/>
          <w:sz w:val="32"/>
          <w:szCs w:val="32"/>
          <w:lang w:val="en-US" w:eastAsia="zh-CN"/>
        </w:rPr>
        <w:t>等</w:t>
      </w:r>
      <w:r>
        <w:rPr>
          <w:rFonts w:hint="eastAsia" w:ascii="Times New Roman" w:hAnsi="Times New Roman" w:eastAsia="方正仿宋简体" w:cs="方正仿宋简体"/>
          <w:b/>
          <w:bCs/>
          <w:color w:val="auto"/>
          <w:sz w:val="32"/>
          <w:szCs w:val="32"/>
          <w:lang w:val="en-US" w:eastAsia="zh-CN"/>
        </w:rPr>
        <w:t>重点内容，通过查阅记录、抽查案卷</w:t>
      </w:r>
      <w:r>
        <w:rPr>
          <w:rFonts w:hint="eastAsia" w:ascii="Times New Roman" w:hAnsi="Times New Roman" w:cs="方正仿宋简体"/>
          <w:b/>
          <w:bCs/>
          <w:color w:val="auto"/>
          <w:sz w:val="32"/>
          <w:szCs w:val="32"/>
          <w:lang w:val="en-US" w:eastAsia="zh-CN"/>
        </w:rPr>
        <w:t>、</w:t>
      </w:r>
      <w:r>
        <w:rPr>
          <w:rFonts w:hint="eastAsia" w:ascii="Times New Roman" w:hAnsi="Times New Roman" w:eastAsia="方正仿宋简体" w:cs="方正仿宋简体"/>
          <w:b/>
          <w:bCs/>
          <w:color w:val="auto"/>
          <w:sz w:val="32"/>
          <w:szCs w:val="32"/>
          <w:lang w:val="en-US" w:eastAsia="zh-CN"/>
        </w:rPr>
        <w:t>座谈等方式，全面梳理、</w:t>
      </w:r>
      <w:r>
        <w:rPr>
          <w:rFonts w:hint="eastAsia" w:ascii="Times New Roman" w:hAnsi="Times New Roman" w:eastAsia="方正仿宋简体" w:cs="方正仿宋简体"/>
          <w:b/>
          <w:bCs/>
          <w:color w:val="auto"/>
          <w:sz w:val="32"/>
          <w:szCs w:val="32"/>
          <w:lang w:val="zh-CN" w:eastAsia="zh-CN"/>
        </w:rPr>
        <w:t>收集</w:t>
      </w:r>
      <w:r>
        <w:rPr>
          <w:rFonts w:hint="eastAsia" w:ascii="Times New Roman" w:hAnsi="Times New Roman" w:eastAsia="方正仿宋简体" w:cs="方正仿宋简体"/>
          <w:b/>
          <w:bCs/>
          <w:color w:val="auto"/>
          <w:sz w:val="32"/>
          <w:szCs w:val="32"/>
          <w:lang w:val="en-US" w:eastAsia="zh-CN"/>
        </w:rPr>
        <w:t>执法问题，</w:t>
      </w:r>
      <w:r>
        <w:rPr>
          <w:rFonts w:hint="eastAsia" w:ascii="Times New Roman" w:hAnsi="Times New Roman" w:cs="方正仿宋简体"/>
          <w:b/>
          <w:bCs/>
          <w:color w:val="auto"/>
          <w:sz w:val="32"/>
          <w:szCs w:val="32"/>
          <w:lang w:val="en-US" w:eastAsia="zh-CN"/>
        </w:rPr>
        <w:t>2024年</w:t>
      </w:r>
      <w:r>
        <w:rPr>
          <w:rFonts w:hint="eastAsia" w:ascii="Times New Roman" w:hAnsi="Times New Roman" w:eastAsia="方正仿宋简体" w:cs="方正仿宋简体"/>
          <w:b/>
          <w:bCs/>
          <w:color w:val="auto"/>
          <w:sz w:val="32"/>
          <w:szCs w:val="32"/>
          <w:lang w:val="en-US" w:eastAsia="zh-CN"/>
        </w:rPr>
        <w:t>无</w:t>
      </w:r>
      <w:r>
        <w:rPr>
          <w:rFonts w:hint="eastAsia" w:ascii="Times New Roman" w:hAnsi="Times New Roman" w:cs="方正仿宋简体"/>
          <w:b/>
          <w:bCs/>
          <w:color w:val="auto"/>
          <w:sz w:val="32"/>
          <w:szCs w:val="32"/>
          <w:lang w:val="en-US" w:eastAsia="zh-CN"/>
        </w:rPr>
        <w:t>滥用行政执法权损害企业合法权益行为</w:t>
      </w:r>
      <w:r>
        <w:rPr>
          <w:rFonts w:hint="eastAsia" w:ascii="Times New Roman" w:hAnsi="Times New Roman" w:eastAsia="方正仿宋简体" w:cs="方正仿宋简体"/>
          <w:b/>
          <w:bCs/>
          <w:color w:val="auto"/>
          <w:sz w:val="32"/>
          <w:szCs w:val="32"/>
          <w:lang w:val="zh-CN" w:eastAsia="zh-CN"/>
        </w:rPr>
        <w:t>。</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（十）本单位案卷评查工作开展情况；行政执法人员培训及执法岗位配置和执法人员梯队建设情况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cs="方正仿宋简体"/>
          <w:b/>
          <w:bCs/>
          <w:color w:val="auto"/>
          <w:sz w:val="32"/>
          <w:szCs w:val="32"/>
          <w:lang w:val="en-US" w:eastAsia="zh-CN"/>
        </w:rPr>
        <w:t>根据《山东省行政处罚案卷评查规则》，对照主体合法、事实清楚等11项评查标准，对2024年度行政处罚案件开展自评，案卷制作、管理均符合标准要求。</w:t>
      </w:r>
      <w:r>
        <w:rPr>
          <w:rFonts w:hint="eastAsia" w:ascii="Times New Roman" w:hAnsi="Times New Roman" w:eastAsia="方正仿宋简体" w:cs="方正仿宋简体"/>
          <w:b/>
          <w:bCs/>
          <w:color w:val="auto"/>
          <w:sz w:val="32"/>
          <w:szCs w:val="32"/>
          <w:lang w:val="en-US" w:eastAsia="zh-CN"/>
        </w:rPr>
        <w:t>严格行政执法人员资格管理</w:t>
      </w:r>
      <w:r>
        <w:rPr>
          <w:rFonts w:hint="eastAsia" w:ascii="Times New Roman" w:hAnsi="Times New Roman" w:cs="方正仿宋简体"/>
          <w:b/>
          <w:bCs/>
          <w:color w:val="auto"/>
          <w:sz w:val="32"/>
          <w:szCs w:val="32"/>
          <w:lang w:val="en-US" w:eastAsia="zh-CN"/>
        </w:rPr>
        <w:t>，</w:t>
      </w:r>
      <w:r>
        <w:rPr>
          <w:rFonts w:hint="eastAsia" w:ascii="Times New Roman" w:hAnsi="Times New Roman" w:eastAsia="方正仿宋简体" w:cs="方正仿宋简体"/>
          <w:b/>
          <w:bCs/>
          <w:color w:val="auto"/>
          <w:sz w:val="32"/>
          <w:szCs w:val="32"/>
          <w:lang w:val="en-US" w:eastAsia="zh-CN"/>
        </w:rPr>
        <w:t>今年以来，根据人员、业务调整情况，动态注销执法证9个，新</w:t>
      </w:r>
      <w:r>
        <w:rPr>
          <w:rFonts w:hint="eastAsia" w:ascii="Times New Roman" w:hAnsi="Times New Roman" w:cs="方正仿宋简体"/>
          <w:b/>
          <w:bCs/>
          <w:color w:val="auto"/>
          <w:sz w:val="32"/>
          <w:szCs w:val="32"/>
          <w:lang w:val="en-US" w:eastAsia="zh-CN"/>
        </w:rPr>
        <w:t>申领执法证</w:t>
      </w:r>
      <w:r>
        <w:rPr>
          <w:rFonts w:hint="eastAsia" w:ascii="Times New Roman" w:hAnsi="Times New Roman" w:eastAsia="方正仿宋简体" w:cs="方正仿宋简体"/>
          <w:b/>
          <w:bCs/>
          <w:color w:val="auto"/>
          <w:sz w:val="32"/>
          <w:szCs w:val="32"/>
          <w:lang w:val="en-US" w:eastAsia="zh-CN"/>
        </w:rPr>
        <w:t>4</w:t>
      </w:r>
      <w:r>
        <w:rPr>
          <w:rFonts w:hint="eastAsia" w:ascii="Times New Roman" w:hAnsi="Times New Roman" w:cs="方正仿宋简体"/>
          <w:b/>
          <w:bCs/>
          <w:color w:val="auto"/>
          <w:sz w:val="32"/>
          <w:szCs w:val="32"/>
          <w:lang w:val="en-US" w:eastAsia="zh-CN"/>
        </w:rPr>
        <w:t>个</w:t>
      </w:r>
      <w:r>
        <w:rPr>
          <w:rFonts w:hint="eastAsia" w:ascii="Times New Roman" w:hAnsi="Times New Roman" w:eastAsia="方正仿宋简体" w:cs="方正仿宋简体"/>
          <w:b/>
          <w:bCs/>
          <w:color w:val="auto"/>
          <w:sz w:val="32"/>
          <w:szCs w:val="32"/>
          <w:lang w:val="en-US" w:eastAsia="zh-CN"/>
        </w:rPr>
        <w:t>，21名执法人员均纳入台账动态管理。</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（十一）行政规范性文件的制定和清理情况，依法决策情况</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无制定和清理行政规范性文件，严格按照起草、征求意见、公平竞争审查、合法性审核流程制定规范性文件</w:t>
      </w:r>
      <w:r>
        <w:rPr>
          <w:rFonts w:hint="eastAsia" w:ascii="Times New Roman" w:hAnsi="Times New Roman" w:cs="方正仿宋简体"/>
          <w:b/>
          <w:bCs/>
          <w:color w:val="auto"/>
          <w:sz w:val="32"/>
          <w:szCs w:val="32"/>
          <w:lang w:val="en-US" w:eastAsia="zh-CN"/>
        </w:rPr>
        <w:t>。</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（十二）行政复议、诉讼案件胜诉败诉情况、行政机关负责人出庭率、本单位主要负责人出庭情况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无行政复议、诉讼案件。</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（十三）矛盾纠纷多元化解机制建设和落实情况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坚持预防为主，防控并举，在重大活动、重要节日时期，开展案件排查，及时了解、发现矛盾隐患，坚持领导包案制，对排查出的不稳定因素，明确任务、措施，积极推进矛盾纠纷化解。充分发挥行政复议主渠道作用，坚持通过行政机关负责人出庭应诉和出庭报备制度等方式健全完善矛盾纠纷多元化解机制，提升化解质效。</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（十四）“谁执法谁普法”普法责任制落实情况和普法宣传情况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left"/>
        <w:textAlignment w:val="auto"/>
        <w:rPr>
          <w:rFonts w:hint="eastAsia" w:ascii="Times New Roman" w:hAnsi="Times New Roman" w:eastAsia="方正仿宋简体" w:cs="方正仿宋简体"/>
          <w:b/>
          <w:bCs/>
          <w:color w:val="auto"/>
          <w:sz w:val="32"/>
          <w:szCs w:val="32"/>
          <w:lang w:val="en-US" w:eastAsia="zh-CN"/>
        </w:rPr>
      </w:pPr>
      <w:r>
        <w:rPr>
          <w:rFonts w:hint="default" w:ascii="Times New Roman" w:hAnsi="Times New Roman" w:eastAsia="方正仿宋简体" w:cs="方正仿宋简体"/>
          <w:b/>
          <w:bCs/>
          <w:color w:val="auto"/>
          <w:sz w:val="32"/>
          <w:szCs w:val="32"/>
          <w:lang w:val="en-US" w:eastAsia="zh-CN"/>
        </w:rPr>
        <w:t>严格落实</w:t>
      </w:r>
      <w:r>
        <w:rPr>
          <w:rFonts w:hint="eastAsia" w:ascii="Times New Roman" w:hAnsi="Times New Roman" w:eastAsia="方正仿宋简体" w:cs="方正仿宋简体"/>
          <w:b/>
          <w:bCs/>
          <w:color w:val="auto"/>
          <w:sz w:val="32"/>
          <w:szCs w:val="32"/>
          <w:lang w:val="en-US" w:eastAsia="zh-CN"/>
        </w:rPr>
        <w:t>“</w:t>
      </w:r>
      <w:r>
        <w:rPr>
          <w:rFonts w:hint="default" w:ascii="Times New Roman" w:hAnsi="Times New Roman" w:eastAsia="方正仿宋简体" w:cs="方正仿宋简体"/>
          <w:b/>
          <w:bCs/>
          <w:color w:val="auto"/>
          <w:sz w:val="32"/>
          <w:szCs w:val="32"/>
          <w:lang w:val="en-US" w:eastAsia="zh-CN"/>
        </w:rPr>
        <w:t>谁执法谁普法</w:t>
      </w:r>
      <w:r>
        <w:rPr>
          <w:rFonts w:hint="eastAsia" w:ascii="Times New Roman" w:hAnsi="Times New Roman" w:eastAsia="方正仿宋简体" w:cs="方正仿宋简体"/>
          <w:b/>
          <w:bCs/>
          <w:color w:val="auto"/>
          <w:sz w:val="32"/>
          <w:szCs w:val="32"/>
          <w:lang w:val="en-US" w:eastAsia="zh-CN"/>
        </w:rPr>
        <w:t>”</w:t>
      </w:r>
      <w:r>
        <w:rPr>
          <w:rFonts w:hint="default" w:ascii="Times New Roman" w:hAnsi="Times New Roman" w:eastAsia="方正仿宋简体" w:cs="方正仿宋简体"/>
          <w:b/>
          <w:bCs/>
          <w:color w:val="auto"/>
          <w:sz w:val="32"/>
          <w:szCs w:val="32"/>
          <w:lang w:val="en-US" w:eastAsia="zh-CN"/>
        </w:rPr>
        <w:t>普法责任制</w:t>
      </w:r>
      <w:r>
        <w:rPr>
          <w:rFonts w:hint="eastAsia" w:ascii="Times New Roman" w:hAnsi="Times New Roman" w:eastAsia="方正仿宋简体" w:cs="方正仿宋简体"/>
          <w:b/>
          <w:bCs/>
          <w:color w:val="auto"/>
          <w:sz w:val="32"/>
          <w:szCs w:val="32"/>
          <w:lang w:val="en-US" w:eastAsia="zh-CN"/>
        </w:rPr>
        <w:t>，</w:t>
      </w:r>
      <w:r>
        <w:rPr>
          <w:rFonts w:hint="eastAsia" w:ascii="Times New Roman" w:hAnsi="Times New Roman" w:eastAsia="方正仿宋简体"/>
          <w:b/>
          <w:bCs/>
          <w:color w:val="auto"/>
          <w:sz w:val="32"/>
          <w:szCs w:val="32"/>
          <w:lang w:val="en-US" w:eastAsia="zh-CN"/>
        </w:rPr>
        <w:t>研究制定</w:t>
      </w:r>
      <w:r>
        <w:rPr>
          <w:rFonts w:hint="default" w:ascii="Times New Roman" w:hAnsi="Times New Roman" w:eastAsia="方正仿宋简体"/>
          <w:b/>
          <w:bCs/>
          <w:color w:val="auto"/>
          <w:sz w:val="32"/>
          <w:szCs w:val="32"/>
          <w:lang w:val="en-US" w:eastAsia="zh-CN"/>
        </w:rPr>
        <w:t>《</w:t>
      </w:r>
      <w:r>
        <w:rPr>
          <w:rFonts w:hint="eastAsia" w:ascii="Times New Roman" w:hAnsi="Times New Roman" w:eastAsia="方正仿宋简体"/>
          <w:b/>
          <w:bCs/>
          <w:color w:val="auto"/>
          <w:sz w:val="32"/>
          <w:szCs w:val="32"/>
          <w:lang w:val="en-US" w:eastAsia="zh-CN"/>
        </w:rPr>
        <w:t>泗水县工业和信息化局2024年普法依法治理工作要点》，明确业务</w:t>
      </w:r>
      <w:r>
        <w:rPr>
          <w:rFonts w:hint="eastAsia" w:ascii="Times New Roman" w:hAnsi="Times New Roman" w:eastAsia="方正仿宋简体" w:cs="方正仿宋简体"/>
          <w:b/>
          <w:bCs/>
          <w:color w:val="auto"/>
          <w:sz w:val="32"/>
          <w:szCs w:val="32"/>
          <w:lang w:val="en-US" w:eastAsia="zh-CN"/>
        </w:rPr>
        <w:t>科室职责，深入落实普法责任，将相关法律法规宣传到企业，推动企业树立法治思维。组织“12.4”宪法宣传日活动，充分利用“5.15碘盐宣传日”“环境日”“无线电宣传月”等活动，普及法律法规知识；组织开展民法典、宪法等法律知识答题活动，开展12期旁听庭审活动，组织</w:t>
      </w:r>
      <w:r>
        <w:rPr>
          <w:rFonts w:hint="default" w:ascii="Times New Roman" w:hAnsi="Times New Roman" w:eastAsia="方正仿宋简体" w:cs="方正仿宋简体"/>
          <w:b/>
          <w:bCs/>
          <w:color w:val="auto"/>
          <w:sz w:val="32"/>
          <w:szCs w:val="32"/>
          <w:lang w:val="en-US" w:eastAsia="zh-CN"/>
        </w:rPr>
        <w:t>开展</w:t>
      </w:r>
      <w:r>
        <w:rPr>
          <w:rFonts w:hint="eastAsia" w:ascii="Times New Roman" w:hAnsi="Times New Roman" w:eastAsia="方正仿宋简体" w:cs="方正仿宋简体"/>
          <w:b/>
          <w:bCs/>
          <w:color w:val="auto"/>
          <w:sz w:val="32"/>
          <w:szCs w:val="32"/>
          <w:lang w:val="en-US" w:eastAsia="zh-CN"/>
        </w:rPr>
        <w:t>国家人员、行政执法人员学法用法考试，学习培训参与率与合格率均达到100%。</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楷体" w:cs="楷体"/>
          <w:b/>
          <w:bCs w:val="0"/>
          <w:color w:val="auto"/>
          <w:kern w:val="2"/>
          <w:sz w:val="32"/>
          <w:szCs w:val="32"/>
          <w:highlight w:val="none"/>
          <w:lang w:val="en-US" w:eastAsia="zh-CN" w:bidi="ar-SA"/>
        </w:rPr>
      </w:pPr>
      <w:r>
        <w:rPr>
          <w:rFonts w:hint="eastAsia" w:ascii="Times New Roman" w:hAnsi="Times New Roman" w:eastAsia="楷体" w:cs="楷体"/>
          <w:b/>
          <w:bCs w:val="0"/>
          <w:color w:val="auto"/>
          <w:kern w:val="2"/>
          <w:sz w:val="32"/>
          <w:szCs w:val="32"/>
          <w:highlight w:val="none"/>
          <w:lang w:val="en-US" w:eastAsia="zh-CN" w:bidi="ar-SA"/>
        </w:rPr>
        <w:t>（十五）行政执法和刑事司法衔接机制建立和落实情况</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val="0"/>
          <w:color w:val="auto"/>
          <w:kern w:val="2"/>
          <w:sz w:val="32"/>
          <w:szCs w:val="32"/>
          <w:highlight w:val="none"/>
          <w:lang w:val="en-US" w:eastAsia="zh-CN" w:bidi="ar-SA"/>
        </w:rPr>
      </w:pPr>
      <w:r>
        <w:rPr>
          <w:rFonts w:hint="eastAsia" w:ascii="Times New Roman" w:hAnsi="Times New Roman" w:eastAsia="方正仿宋简体" w:cs="方正仿宋简体"/>
          <w:b/>
          <w:bCs/>
          <w:color w:val="auto"/>
          <w:sz w:val="32"/>
          <w:szCs w:val="32"/>
          <w:lang w:val="en-US" w:eastAsia="zh-CN"/>
        </w:rPr>
        <w:t>无适用于移送司法机关处理的案件。</w:t>
      </w:r>
    </w:p>
    <w:p>
      <w:pPr>
        <w:pStyle w:val="5"/>
        <w:keepNext w:val="0"/>
        <w:keepLines w:val="0"/>
        <w:pageBreakBefore w:val="0"/>
        <w:widowControl w:val="0"/>
        <w:kinsoku/>
        <w:wordWrap/>
        <w:overflowPunct/>
        <w:topLinePunct w:val="0"/>
        <w:autoSpaceDE w:val="0"/>
        <w:autoSpaceDN w:val="0"/>
        <w:bidi w:val="0"/>
        <w:adjustRightInd/>
        <w:snapToGrid/>
        <w:spacing w:line="590" w:lineRule="exact"/>
        <w:ind w:left="0" w:right="0" w:firstLine="643" w:firstLineChars="200"/>
        <w:jc w:val="both"/>
        <w:textAlignment w:val="auto"/>
        <w:rPr>
          <w:rFonts w:hint="eastAsia" w:ascii="Times New Roman" w:hAnsi="Times New Roman" w:eastAsia="黑体" w:cs="黑体"/>
          <w:b/>
          <w:bCs w:val="0"/>
          <w:color w:val="auto"/>
          <w:kern w:val="2"/>
          <w:sz w:val="32"/>
          <w:szCs w:val="32"/>
          <w:highlight w:val="none"/>
          <w:lang w:val="en-US" w:eastAsia="zh-CN" w:bidi="ar-SA"/>
        </w:rPr>
      </w:pPr>
      <w:r>
        <w:rPr>
          <w:rFonts w:hint="eastAsia" w:ascii="Times New Roman" w:hAnsi="Times New Roman" w:eastAsia="黑体" w:cs="黑体"/>
          <w:b/>
          <w:bCs w:val="0"/>
          <w:color w:val="auto"/>
          <w:kern w:val="2"/>
          <w:sz w:val="32"/>
          <w:szCs w:val="32"/>
          <w:highlight w:val="none"/>
          <w:lang w:val="en-US" w:eastAsia="zh-CN" w:bidi="ar-SA"/>
        </w:rPr>
        <w:t>二、存在问题</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黑体" w:cs="黑体"/>
          <w:b/>
          <w:bCs/>
          <w:color w:val="auto"/>
          <w:sz w:val="32"/>
          <w:szCs w:val="32"/>
          <w:lang w:val="en-US" w:eastAsia="zh-CN"/>
        </w:rPr>
      </w:pPr>
      <w:r>
        <w:rPr>
          <w:rFonts w:hint="eastAsia" w:ascii="Times New Roman" w:hAnsi="Times New Roman" w:eastAsia="方正仿宋简体" w:cs="方正仿宋简体"/>
          <w:b/>
          <w:bCs/>
          <w:color w:val="auto"/>
          <w:sz w:val="32"/>
          <w:szCs w:val="32"/>
          <w:lang w:val="en-US" w:eastAsia="zh-CN"/>
        </w:rPr>
        <w:t>一是法治思维有待进一步加强。部分执法人员对法治政府建设、依法行政的认识不够深入，自觉运用法治思维和法治方式推动发展、化解矛盾、依法处理问题的意识有待加强。二是法律法规学习强度有待提升。工信监管领域涉及《民用无人驾驶航空器生产管理若干规定》《食盐专营办法》等法律法规，所涉及的法律法规较多，由于业务工作繁重，存在学习教育时间不足和与工作实际结合不充分现象。三是普法宣传力度需加大。普法宣传教育宣传形式和手段不够丰富，针对性、实效性不强，法律法规宣传进机关、进企业等落实不够，开展普法宣传创新力度还需加强</w:t>
      </w:r>
      <w:r>
        <w:rPr>
          <w:rFonts w:hint="default" w:ascii="Times New Roman" w:hAnsi="Times New Roman" w:eastAsia="方正仿宋简体" w:cs="方正仿宋简体"/>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color w:val="auto"/>
          <w:lang w:val="en-US" w:eastAsia="zh-CN"/>
        </w:rPr>
      </w:pPr>
      <w:r>
        <w:rPr>
          <w:rFonts w:hint="eastAsia" w:ascii="Times New Roman" w:hAnsi="Times New Roman" w:eastAsia="黑体" w:cs="黑体"/>
          <w:b/>
          <w:bCs/>
          <w:color w:val="auto"/>
          <w:sz w:val="32"/>
          <w:szCs w:val="32"/>
          <w:lang w:val="en-US" w:eastAsia="zh-CN"/>
        </w:rPr>
        <w:t>三、下步工作打算</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楷体" w:cs="楷体"/>
          <w:b/>
          <w:bCs/>
          <w:color w:val="auto"/>
          <w:sz w:val="32"/>
          <w:szCs w:val="32"/>
          <w:lang w:val="en-US" w:eastAsia="zh-CN"/>
        </w:rPr>
        <w:t>（一）深入学习贯彻习近平法治思想，全面贯彻党的二十大和二十届二中、三中全会精神。</w:t>
      </w:r>
      <w:r>
        <w:rPr>
          <w:rFonts w:hint="eastAsia" w:ascii="Times New Roman" w:hAnsi="Times New Roman" w:eastAsia="方正仿宋简体" w:cs="方正仿宋简体"/>
          <w:b/>
          <w:bCs/>
          <w:color w:val="auto"/>
          <w:sz w:val="32"/>
          <w:szCs w:val="32"/>
          <w:lang w:val="en-US" w:eastAsia="zh-CN"/>
        </w:rPr>
        <w:t>认真学习贯彻习近平法治思想，通过集体会议、专题学法等方式做好习近平法治思想和党的二十大和二十届二中、三中全会精神学用结合文章，利用法治思维不断加强企业服务工作，推动社会经济发展。</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简体" w:cs="方正仿宋简体"/>
          <w:b/>
          <w:bCs/>
          <w:color w:val="auto"/>
          <w:sz w:val="32"/>
          <w:szCs w:val="32"/>
          <w:lang w:val="en-US" w:eastAsia="zh-CN"/>
        </w:rPr>
      </w:pPr>
      <w:r>
        <w:rPr>
          <w:rFonts w:hint="eastAsia" w:ascii="Times New Roman" w:hAnsi="Times New Roman" w:eastAsia="楷体" w:cs="楷体"/>
          <w:b/>
          <w:bCs/>
          <w:color w:val="auto"/>
          <w:sz w:val="32"/>
          <w:szCs w:val="32"/>
          <w:lang w:val="en-US" w:eastAsia="zh-CN"/>
        </w:rPr>
        <w:t>（二）扎实推进依法行政。</w:t>
      </w:r>
      <w:r>
        <w:rPr>
          <w:rFonts w:hint="eastAsia" w:ascii="Times New Roman" w:hAnsi="Times New Roman" w:eastAsia="方正仿宋简体" w:cs="方正仿宋简体"/>
          <w:b/>
          <w:bCs/>
          <w:color w:val="auto"/>
          <w:sz w:val="32"/>
          <w:szCs w:val="32"/>
          <w:lang w:val="en-US" w:eastAsia="zh-CN"/>
        </w:rPr>
        <w:t>严格落实行政执法三项制度，并积极发挥</w:t>
      </w:r>
      <w:r>
        <w:rPr>
          <w:rFonts w:hint="default" w:ascii="Times New Roman" w:hAnsi="Times New Roman" w:eastAsia="方正仿宋简体" w:cs="方正仿宋简体"/>
          <w:b/>
          <w:bCs/>
          <w:color w:val="auto"/>
          <w:sz w:val="32"/>
          <w:szCs w:val="32"/>
          <w:lang w:val="en-US" w:eastAsia="zh-CN"/>
        </w:rPr>
        <w:t>法律顾问</w:t>
      </w:r>
      <w:r>
        <w:rPr>
          <w:rFonts w:hint="eastAsia" w:ascii="Times New Roman" w:hAnsi="Times New Roman" w:eastAsia="方正仿宋简体" w:cs="方正仿宋简体"/>
          <w:b/>
          <w:bCs/>
          <w:color w:val="auto"/>
          <w:sz w:val="32"/>
          <w:szCs w:val="32"/>
          <w:lang w:val="en-US" w:eastAsia="zh-CN"/>
        </w:rPr>
        <w:t>作用，执行重大行政决策起草立项、合法性审核等法制审核程序，不断健全和规范政务建设，推行行政权力网上公开透明运行，方便群众办事和监督。全面推进严格规范公正文明执法，加大执法人员业务培训力度，持续开展旁听庭审、学法用法考试活动，不断提升执法业务能力。</w:t>
      </w:r>
    </w:p>
    <w:p>
      <w:pPr>
        <w:pStyle w:val="5"/>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简体" w:cs="方正仿宋简体"/>
          <w:b/>
          <w:bCs/>
          <w:color w:val="auto"/>
          <w:sz w:val="32"/>
          <w:szCs w:val="32"/>
          <w:lang w:val="en-US" w:eastAsia="zh-CN"/>
        </w:rPr>
      </w:pPr>
      <w:r>
        <w:rPr>
          <w:rFonts w:hint="eastAsia" w:ascii="Times New Roman" w:hAnsi="Times New Roman" w:eastAsia="楷体" w:cs="楷体"/>
          <w:b/>
          <w:bCs/>
          <w:color w:val="auto"/>
          <w:kern w:val="2"/>
          <w:sz w:val="32"/>
          <w:szCs w:val="32"/>
          <w:lang w:val="en-US" w:eastAsia="zh-CN" w:bidi="ar-SA"/>
        </w:rPr>
        <w:t>（三）深入开展普法宣传教育。</w:t>
      </w:r>
      <w:r>
        <w:rPr>
          <w:rFonts w:hint="eastAsia" w:ascii="Times New Roman" w:hAnsi="Times New Roman" w:eastAsia="方正仿宋简体" w:cs="方正仿宋简体"/>
          <w:b/>
          <w:bCs/>
          <w:color w:val="auto"/>
          <w:sz w:val="32"/>
          <w:szCs w:val="32"/>
          <w:lang w:val="en-US" w:eastAsia="zh-CN"/>
        </w:rPr>
        <w:t>加强领导干部和工作人员的法治宣传教育，坚持理论中心组学法、法制培训、自学等学法制度，不断提升行政执法队伍政治素质和理论水平。利用重点节日、宪法宣传日等普法节点，抓好企业法人法治宣传教育重点，多频次组织开展“12.4”宪法宣传、惠企政策宣传等活动，努力营造良好的法治文化氛围。</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900A47-02E3-4C77-964D-5DFFEFFBC7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2" w:fontKey="{005049F5-6BA9-48C9-B82A-586EC576B8EE}"/>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3" w:fontKey="{11C584D2-EE6C-4443-AA45-ACBE786ABB13}"/>
  </w:font>
  <w:font w:name="楷体">
    <w:panose1 w:val="02010609060101010101"/>
    <w:charset w:val="86"/>
    <w:family w:val="auto"/>
    <w:pitch w:val="default"/>
    <w:sig w:usb0="800002BF" w:usb1="38CF7CFA" w:usb2="00000016" w:usb3="00000000" w:csb0="00040001" w:csb1="00000000"/>
    <w:embedRegular r:id="rId4" w:fontKey="{69AC4703-6FA3-4364-BFBF-C50E7A6C84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rPr>
                      <w:fldChar w:fldCharType="begin"/>
                    </w:r>
                    <w:r>
                      <w:rPr>
                        <w:rFonts w:hint="default" w:ascii="Times New Roman" w:hAnsi="Times New Roman" w:cs="Times New Roman"/>
                        <w:b/>
                        <w:bCs/>
                        <w:sz w:val="28"/>
                        <w:szCs w:val="28"/>
                      </w:rPr>
                      <w:instrText xml:space="preserve"> PAGE  \* MERGEFORMAT </w:instrText>
                    </w:r>
                    <w:r>
                      <w:rPr>
                        <w:rFonts w:hint="default" w:ascii="Times New Roman" w:hAnsi="Times New Roman" w:cs="Times New Roman"/>
                        <w:b/>
                        <w:bCs/>
                        <w:sz w:val="28"/>
                        <w:szCs w:val="28"/>
                      </w:rPr>
                      <w:fldChar w:fldCharType="separate"/>
                    </w:r>
                    <w:r>
                      <w:rPr>
                        <w:rFonts w:hint="default" w:ascii="Times New Roman" w:hAnsi="Times New Roman" w:cs="Times New Roman"/>
                        <w:b/>
                        <w:bCs/>
                        <w:sz w:val="28"/>
                        <w:szCs w:val="28"/>
                      </w:rPr>
                      <w:t>1</w:t>
                    </w:r>
                    <w:r>
                      <w:rPr>
                        <w:rFonts w:hint="default" w:ascii="Times New Roman" w:hAnsi="Times New Roman" w:cs="Times New Roman"/>
                        <w:b/>
                        <w:bCs/>
                        <w:sz w:val="28"/>
                        <w:szCs w:val="28"/>
                      </w:rPr>
                      <w:fldChar w:fldCharType="end"/>
                    </w:r>
                    <w:r>
                      <w:rPr>
                        <w:rFonts w:hint="default" w:ascii="Times New Roman" w:hAnsi="Times New Roman" w:cs="Times New Roman"/>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E2727"/>
    <w:rsid w:val="01FA021B"/>
    <w:rsid w:val="04F600CC"/>
    <w:rsid w:val="0FE9618C"/>
    <w:rsid w:val="10B73383"/>
    <w:rsid w:val="18CF1DB8"/>
    <w:rsid w:val="1A2A4D7A"/>
    <w:rsid w:val="1B0534B7"/>
    <w:rsid w:val="22DA7399"/>
    <w:rsid w:val="238B3A69"/>
    <w:rsid w:val="25DF5A32"/>
    <w:rsid w:val="27F044D2"/>
    <w:rsid w:val="281071CC"/>
    <w:rsid w:val="3187231A"/>
    <w:rsid w:val="35AE2727"/>
    <w:rsid w:val="383878B6"/>
    <w:rsid w:val="3B583D69"/>
    <w:rsid w:val="3E0E3122"/>
    <w:rsid w:val="3EF36182"/>
    <w:rsid w:val="3F4B1D33"/>
    <w:rsid w:val="4B726781"/>
    <w:rsid w:val="4FFE763F"/>
    <w:rsid w:val="53CE5C11"/>
    <w:rsid w:val="53DC2C5D"/>
    <w:rsid w:val="570A087C"/>
    <w:rsid w:val="5739614E"/>
    <w:rsid w:val="5E984CB2"/>
    <w:rsid w:val="5F125488"/>
    <w:rsid w:val="64612F6D"/>
    <w:rsid w:val="65A17F37"/>
    <w:rsid w:val="65E159C7"/>
    <w:rsid w:val="69543DB4"/>
    <w:rsid w:val="6C42789A"/>
    <w:rsid w:val="77046A1F"/>
    <w:rsid w:val="7E8C4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1"/>
    <w:qFormat/>
    <w:uiPriority w:val="0"/>
    <w:rPr>
      <w:rFonts w:ascii="方正仿宋简体" w:hAnsi="方正仿宋简体" w:eastAsia="方正仿宋简体" w:cs="方正仿宋简体"/>
      <w:sz w:val="31"/>
      <w:szCs w:val="31"/>
      <w:lang w:val="en-US" w:eastAsia="en-US" w:bidi="ar-SA"/>
    </w:rPr>
  </w:style>
  <w:style w:type="paragraph" w:styleId="6">
    <w:name w:val="Normal Indent"/>
    <w:basedOn w:val="1"/>
    <w:next w:val="1"/>
    <w:semiHidden/>
    <w:qFormat/>
    <w:uiPriority w:val="99"/>
    <w:pPr>
      <w:ind w:firstLine="420"/>
    </w:pPr>
  </w:style>
  <w:style w:type="paragraph" w:styleId="7">
    <w:name w:val="Document Map"/>
    <w:basedOn w:val="1"/>
    <w:qFormat/>
    <w:uiPriority w:val="0"/>
    <w:pPr>
      <w:shd w:val="clear" w:color="auto" w:fill="000080"/>
    </w:p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paragraph" w:customStyle="1" w:styleId="14">
    <w:name w:val="文件格式"/>
    <w:basedOn w:val="1"/>
    <w:qFormat/>
    <w:uiPriority w:val="0"/>
    <w:pPr>
      <w:widowControl/>
      <w:spacing w:before="100" w:beforeLines="0" w:beforeAutospacing="1" w:after="100" w:afterLines="0" w:afterAutospacing="1" w:line="460" w:lineRule="atLeast"/>
      <w:ind w:left="1" w:firstLine="419"/>
      <w:textAlignment w:val="bottom"/>
    </w:pPr>
    <w:rPr>
      <w:rFonts w:eastAsia="仿宋_GB2312"/>
      <w:kern w:val="0"/>
      <w:sz w:val="32"/>
      <w:szCs w:val="32"/>
    </w:rPr>
  </w:style>
  <w:style w:type="character" w:customStyle="1" w:styleId="15">
    <w:name w:val="15"/>
    <w:basedOn w:val="11"/>
    <w:qFormat/>
    <w:uiPriority w:val="0"/>
    <w:rPr>
      <w:rFonts w:hint="default"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4345</Words>
  <Characters>4459</Characters>
  <Lines>0</Lines>
  <Paragraphs>0</Paragraphs>
  <TotalTime>7</TotalTime>
  <ScaleCrop>false</ScaleCrop>
  <LinksUpToDate>false</LinksUpToDate>
  <CharactersWithSpaces>4464</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2024-12-26T07:20:00Z</dcterms:created>
  <dc:creator>沈雁翔</dc:creator>
  <cp:lastModifiedBy>damiyou</cp:lastModifiedBy>
  <cp:lastPrinted>2025-02-06T01:37:00Z</cp:lastPrinted>
  <dcterms:modified xsi:type="dcterms:W3CDTF">2025-03-04T07:13:47Z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E89441131E7E4F12A93523D7A77683E1_13</vt:lpwstr>
  </property>
  <property fmtid="{D5CDD505-2E9C-101B-9397-08002B2CF9AE}" pid="4" name="KSOTemplateDocerSaveRecord">
    <vt:lpwstr>eyJoZGlkIjoiZjdhN2NlZmIyZjkwZGMzODNiZTdkN2U2YWVhZTc4ZWYiLCJ1c2VySWQiOiI3MDcyNTE1NTEifQ==</vt:lpwstr>
  </property>
</Properties>
</file>