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FAB72">
      <w:pPr>
        <w:tabs>
          <w:tab w:val="left" w:pos="3710"/>
          <w:tab w:val="left" w:pos="5880"/>
        </w:tabs>
        <w:spacing w:after="109" w:afterLines="35" w:line="940" w:lineRule="exact"/>
        <w:jc w:val="center"/>
        <w:rPr>
          <w:rFonts w:ascii="Times New Roman" w:hAnsi="Times New Roman" w:eastAsia="方正仿宋简体"/>
          <w:b/>
          <w:color w:val="auto"/>
          <w:sz w:val="32"/>
          <w:szCs w:val="32"/>
        </w:rPr>
      </w:pPr>
      <w:r>
        <w:rPr>
          <w:rFonts w:hint="eastAsia" w:eastAsia="方正小标宋简体"/>
          <w:b/>
          <w:color w:val="auto"/>
          <w:sz w:val="44"/>
          <w:szCs w:val="44"/>
          <w:lang w:val="en-US" w:eastAsia="zh-CN"/>
        </w:rPr>
        <w:t>泗水县住房和城乡建设局</w:t>
      </w:r>
      <w:r>
        <w:rPr>
          <w:rFonts w:hint="eastAsia" w:ascii="Times New Roman" w:hAnsi="Times New Roman" w:eastAsia="方正小标宋简体"/>
          <w:b/>
          <w:color w:val="auto"/>
          <w:sz w:val="44"/>
          <w:szCs w:val="44"/>
        </w:rPr>
        <w:t>202</w:t>
      </w:r>
      <w:r>
        <w:rPr>
          <w:rFonts w:hint="eastAsia" w:ascii="Times New Roman" w:hAnsi="Times New Roman" w:eastAsia="方正小标宋简体"/>
          <w:b/>
          <w:color w:val="auto"/>
          <w:sz w:val="44"/>
          <w:szCs w:val="44"/>
          <w:lang w:val="en-US" w:eastAsia="zh-CN"/>
        </w:rPr>
        <w:t>5</w:t>
      </w:r>
      <w:r>
        <w:rPr>
          <w:rFonts w:hint="eastAsia" w:ascii="Times New Roman" w:hAnsi="Times New Roman" w:eastAsia="方正小标宋简体"/>
          <w:b/>
          <w:color w:val="auto"/>
          <w:sz w:val="44"/>
          <w:szCs w:val="44"/>
        </w:rPr>
        <w:t>年政府信息公开工作年度报告</w:t>
      </w:r>
    </w:p>
    <w:p w14:paraId="623DD78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10"/>
          <w:rFonts w:hint="default" w:ascii="Times New Roman" w:hAnsi="Times New Roman" w:eastAsia="方正仿宋简体" w:cs="方正仿宋简体"/>
          <w:b/>
          <w:bCs w:val="0"/>
          <w:i w:val="0"/>
          <w:iCs w:val="0"/>
          <w:caps w:val="0"/>
          <w:color w:val="auto"/>
          <w:spacing w:val="0"/>
          <w:sz w:val="32"/>
          <w:szCs w:val="32"/>
        </w:rPr>
      </w:pPr>
      <w:r>
        <w:rPr>
          <w:rStyle w:val="10"/>
          <w:rFonts w:hint="eastAsia" w:ascii="Times New Roman" w:hAnsi="Times New Roman" w:eastAsia="方正仿宋简体" w:cs="方正仿宋简体"/>
          <w:b/>
          <w:bCs w:val="0"/>
          <w:i w:val="0"/>
          <w:iCs w:val="0"/>
          <w:caps w:val="0"/>
          <w:color w:val="auto"/>
          <w:spacing w:val="0"/>
          <w:kern w:val="2"/>
          <w:sz w:val="32"/>
          <w:szCs w:val="32"/>
          <w:lang w:bidi="ar-SA"/>
        </w:rPr>
        <w:t>本报告由</w:t>
      </w:r>
      <w:r>
        <w:rPr>
          <w:rStyle w:val="10"/>
          <w:rFonts w:hint="eastAsia" w:ascii="Times New Roman" w:hAnsi="Times New Roman" w:eastAsia="方正仿宋简体" w:cs="方正仿宋简体"/>
          <w:b/>
          <w:bCs w:val="0"/>
          <w:i w:val="0"/>
          <w:iCs w:val="0"/>
          <w:caps w:val="0"/>
          <w:color w:val="auto"/>
          <w:spacing w:val="0"/>
          <w:kern w:val="2"/>
          <w:sz w:val="32"/>
          <w:szCs w:val="32"/>
          <w:lang w:val="en-US" w:eastAsia="zh-CN" w:bidi="ar-SA"/>
        </w:rPr>
        <w:t>泗水县住房和城乡建设局</w:t>
      </w:r>
      <w:r>
        <w:rPr>
          <w:rStyle w:val="10"/>
          <w:rFonts w:hint="eastAsia" w:ascii="Times New Roman" w:hAnsi="Times New Roman" w:eastAsia="方正仿宋简体" w:cs="方正仿宋简体"/>
          <w:b/>
          <w:bCs w:val="0"/>
          <w:i w:val="0"/>
          <w:iCs w:val="0"/>
          <w:caps w:val="0"/>
          <w:color w:val="auto"/>
          <w:spacing w:val="0"/>
          <w:kern w:val="2"/>
          <w:sz w:val="32"/>
          <w:szCs w:val="32"/>
          <w:lang w:bidi="ar-SA"/>
        </w:rPr>
        <w:t>按照《中华人民共和国政府信息公开条例》（以下简称《条例》）和《中华人民共和国政府信息公开工作年度报告格式》（国办公开办函〔2021〕30号）要求编制。</w:t>
      </w:r>
    </w:p>
    <w:p w14:paraId="4692829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Fonts w:hint="eastAsia" w:ascii="Times New Roman" w:hAnsi="Times New Roman" w:eastAsia="方正仿宋简体"/>
          <w:b/>
          <w:color w:val="auto"/>
          <w:sz w:val="32"/>
          <w:szCs w:val="32"/>
        </w:rPr>
      </w:pPr>
      <w:r>
        <w:rPr>
          <w:rStyle w:val="10"/>
          <w:rFonts w:hint="eastAsia" w:ascii="Times New Roman" w:hAnsi="Times New Roman" w:eastAsia="方正仿宋简体" w:cs="方正仿宋简体"/>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14:paraId="6C4A4605">
      <w:pPr>
        <w:spacing w:line="590" w:lineRule="exact"/>
        <w:ind w:right="-105" w:rightChars="-50" w:firstLine="643" w:firstLineChars="200"/>
        <w:jc w:val="left"/>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rPr>
        <w:t>本报告所列数据的统计期限自202</w:t>
      </w:r>
      <w:r>
        <w:rPr>
          <w:rFonts w:hint="eastAsia" w:ascii="Times New Roman" w:hAnsi="Times New Roman" w:eastAsia="方正仿宋简体"/>
          <w:b/>
          <w:color w:val="auto"/>
          <w:sz w:val="32"/>
          <w:szCs w:val="32"/>
          <w:lang w:val="en-US" w:eastAsia="zh-CN"/>
        </w:rPr>
        <w:t>5</w:t>
      </w:r>
      <w:r>
        <w:rPr>
          <w:rFonts w:hint="eastAsia" w:ascii="Times New Roman" w:hAnsi="Times New Roman" w:eastAsia="方正仿宋简体"/>
          <w:b/>
          <w:color w:val="auto"/>
          <w:sz w:val="32"/>
          <w:szCs w:val="32"/>
        </w:rPr>
        <w:t>年1月1日起至202</w:t>
      </w:r>
      <w:r>
        <w:rPr>
          <w:rFonts w:hint="eastAsia" w:ascii="Times New Roman" w:hAnsi="Times New Roman" w:eastAsia="方正仿宋简体"/>
          <w:b/>
          <w:color w:val="auto"/>
          <w:sz w:val="32"/>
          <w:szCs w:val="32"/>
          <w:lang w:val="en-US" w:eastAsia="zh-CN"/>
        </w:rPr>
        <w:t>5</w:t>
      </w:r>
      <w:r>
        <w:rPr>
          <w:rFonts w:hint="eastAsia" w:ascii="Times New Roman" w:hAnsi="Times New Roman" w:eastAsia="方正仿宋简体"/>
          <w:b/>
          <w:color w:val="auto"/>
          <w:sz w:val="32"/>
          <w:szCs w:val="32"/>
        </w:rPr>
        <w:t>年12月31日止。本报告电子版可在“</w:t>
      </w:r>
      <w:r>
        <w:rPr>
          <w:rFonts w:hint="eastAsia" w:ascii="Times New Roman" w:hAnsi="Times New Roman" w:eastAsia="方正仿宋简体"/>
          <w:b/>
          <w:color w:val="auto"/>
          <w:sz w:val="32"/>
          <w:szCs w:val="32"/>
          <w:lang w:val="en-US" w:eastAsia="zh-CN"/>
        </w:rPr>
        <w:t>中国·泗水</w:t>
      </w:r>
      <w:r>
        <w:rPr>
          <w:rFonts w:hint="eastAsia" w:ascii="Times New Roman" w:hAnsi="Times New Roman" w:eastAsia="方正仿宋简体"/>
          <w:b/>
          <w:color w:val="auto"/>
          <w:sz w:val="32"/>
          <w:szCs w:val="32"/>
        </w:rPr>
        <w:t>”政府门户网站（www.sishui.gov.cn）查阅或下载。如对本报告有疑问，请与</w:t>
      </w:r>
      <w:r>
        <w:rPr>
          <w:rFonts w:hint="eastAsia" w:ascii="Times New Roman" w:hAnsi="Times New Roman" w:eastAsia="方正仿宋简体"/>
          <w:b/>
          <w:color w:val="auto"/>
          <w:sz w:val="32"/>
          <w:szCs w:val="32"/>
          <w:lang w:val="en-US" w:eastAsia="zh-CN"/>
        </w:rPr>
        <w:t>县住建局</w:t>
      </w:r>
      <w:r>
        <w:rPr>
          <w:rFonts w:hint="eastAsia" w:ascii="Times New Roman" w:hAnsi="Times New Roman" w:eastAsia="方正仿宋简体"/>
          <w:b/>
          <w:color w:val="auto"/>
          <w:sz w:val="32"/>
          <w:szCs w:val="32"/>
        </w:rPr>
        <w:t>联系（地址：</w:t>
      </w:r>
      <w:r>
        <w:rPr>
          <w:rFonts w:hint="eastAsia" w:ascii="Times New Roman" w:hAnsi="Times New Roman" w:eastAsia="方正仿宋简体"/>
          <w:b/>
          <w:color w:val="auto"/>
          <w:sz w:val="32"/>
          <w:szCs w:val="32"/>
          <w:lang w:val="en-US" w:eastAsia="zh-CN"/>
        </w:rPr>
        <w:t>泉衍路3号</w:t>
      </w:r>
      <w:r>
        <w:rPr>
          <w:rFonts w:hint="eastAsia" w:ascii="Times New Roman" w:hAnsi="Times New Roman" w:eastAsia="方正仿宋简体"/>
          <w:b/>
          <w:color w:val="auto"/>
          <w:sz w:val="32"/>
          <w:szCs w:val="32"/>
        </w:rPr>
        <w:t>，联系电话：0537-</w:t>
      </w:r>
      <w:r>
        <w:rPr>
          <w:rFonts w:hint="eastAsia" w:ascii="Times New Roman" w:hAnsi="Times New Roman" w:eastAsia="方正仿宋简体"/>
          <w:b/>
          <w:color w:val="auto"/>
          <w:sz w:val="32"/>
          <w:szCs w:val="32"/>
          <w:lang w:val="en-US" w:eastAsia="zh-CN"/>
        </w:rPr>
        <w:t>3745975</w:t>
      </w:r>
      <w:r>
        <w:rPr>
          <w:rFonts w:hint="eastAsia" w:ascii="Times New Roman" w:hAnsi="Times New Roman" w:eastAsia="方正仿宋简体"/>
          <w:b/>
          <w:color w:val="auto"/>
          <w:sz w:val="32"/>
          <w:szCs w:val="32"/>
        </w:rPr>
        <w:t>）。</w:t>
      </w:r>
    </w:p>
    <w:p w14:paraId="60803F6E">
      <w:pPr>
        <w:spacing w:line="590" w:lineRule="exact"/>
        <w:ind w:right="-105" w:rightChars="-50" w:firstLine="643"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一、总体情况</w:t>
      </w:r>
    </w:p>
    <w:p w14:paraId="0DB15D62">
      <w:pPr>
        <w:numPr>
          <w:ilvl w:val="0"/>
          <w:numId w:val="0"/>
        </w:numPr>
        <w:spacing w:line="590" w:lineRule="exact"/>
        <w:ind w:right="-105" w:rightChars="-50" w:firstLine="643" w:firstLineChars="200"/>
        <w:rPr>
          <w:rFonts w:hint="eastAsia" w:ascii="Times New Roman" w:hAnsi="Times New Roman" w:eastAsia="仿宋" w:cs="仿宋"/>
          <w:b/>
          <w:color w:val="auto"/>
          <w:sz w:val="32"/>
          <w:szCs w:val="32"/>
        </w:rPr>
      </w:pPr>
      <w:r>
        <w:rPr>
          <w:rFonts w:hint="eastAsia" w:ascii="Times New Roman" w:hAnsi="Times New Roman" w:eastAsia="仿宋" w:cs="仿宋"/>
          <w:b/>
          <w:color w:val="auto"/>
          <w:sz w:val="32"/>
          <w:szCs w:val="32"/>
        </w:rPr>
        <w:t>202</w:t>
      </w:r>
      <w:r>
        <w:rPr>
          <w:rFonts w:hint="eastAsia" w:ascii="Times New Roman" w:hAnsi="Times New Roman" w:eastAsia="仿宋" w:cs="仿宋"/>
          <w:b/>
          <w:color w:val="auto"/>
          <w:sz w:val="32"/>
          <w:szCs w:val="32"/>
          <w:lang w:val="en-US" w:eastAsia="zh-CN"/>
        </w:rPr>
        <w:t>5</w:t>
      </w:r>
      <w:r>
        <w:rPr>
          <w:rFonts w:hint="eastAsia" w:ascii="Times New Roman" w:hAnsi="Times New Roman" w:eastAsia="仿宋" w:cs="仿宋"/>
          <w:b/>
          <w:color w:val="auto"/>
          <w:sz w:val="32"/>
          <w:szCs w:val="32"/>
        </w:rPr>
        <w:t>年，</w:t>
      </w:r>
      <w:r>
        <w:rPr>
          <w:rFonts w:hint="eastAsia" w:ascii="Times New Roman" w:hAnsi="Times New Roman" w:eastAsia="仿宋" w:cs="仿宋"/>
          <w:b/>
          <w:color w:val="auto"/>
          <w:sz w:val="32"/>
          <w:szCs w:val="32"/>
          <w:lang w:val="en-US" w:eastAsia="zh-CN"/>
        </w:rPr>
        <w:t>泗水</w:t>
      </w:r>
      <w:r>
        <w:rPr>
          <w:rFonts w:hint="eastAsia" w:ascii="Times New Roman" w:hAnsi="Times New Roman" w:eastAsia="仿宋" w:cs="仿宋"/>
          <w:b/>
          <w:color w:val="auto"/>
          <w:sz w:val="32"/>
          <w:szCs w:val="32"/>
        </w:rPr>
        <w:t>县</w:t>
      </w:r>
      <w:r>
        <w:rPr>
          <w:rFonts w:hint="eastAsia" w:ascii="Times New Roman" w:hAnsi="Times New Roman" w:eastAsia="仿宋" w:cs="仿宋"/>
          <w:b/>
          <w:color w:val="auto"/>
          <w:sz w:val="32"/>
          <w:szCs w:val="32"/>
          <w:lang w:val="en-US" w:eastAsia="zh-CN"/>
        </w:rPr>
        <w:t>住建局</w:t>
      </w:r>
      <w:r>
        <w:rPr>
          <w:rFonts w:hint="eastAsia" w:ascii="Times New Roman" w:hAnsi="Times New Roman" w:eastAsia="仿宋" w:cs="仿宋"/>
          <w:b/>
          <w:color w:val="auto"/>
          <w:sz w:val="32"/>
          <w:szCs w:val="32"/>
        </w:rPr>
        <w:t>认真贯彻落实</w:t>
      </w:r>
      <w:r>
        <w:rPr>
          <w:rFonts w:hint="eastAsia" w:ascii="Times New Roman" w:hAnsi="Times New Roman" w:eastAsia="仿宋" w:cs="仿宋"/>
          <w:b/>
          <w:color w:val="auto"/>
          <w:sz w:val="32"/>
          <w:szCs w:val="32"/>
          <w:lang w:val="en-US" w:eastAsia="zh-CN"/>
        </w:rPr>
        <w:t>国家、省、市</w:t>
      </w:r>
      <w:r>
        <w:rPr>
          <w:rFonts w:hint="eastAsia" w:ascii="Times New Roman" w:hAnsi="Times New Roman" w:eastAsia="仿宋" w:cs="仿宋"/>
          <w:b/>
          <w:color w:val="auto"/>
          <w:sz w:val="32"/>
          <w:szCs w:val="32"/>
        </w:rPr>
        <w:t>关于政务公开工作的决策部署，紧密围绕县委、县政府中心工作，</w:t>
      </w:r>
      <w:r>
        <w:rPr>
          <w:rFonts w:hint="eastAsia" w:ascii="Times New Roman" w:hAnsi="Times New Roman" w:eastAsia="方正仿宋简体"/>
          <w:b/>
          <w:color w:val="000000" w:themeColor="text1"/>
          <w:sz w:val="32"/>
          <w:szCs w:val="32"/>
          <w14:textFill>
            <w14:solidFill>
              <w14:schemeClr w14:val="tx1"/>
            </w14:solidFill>
          </w14:textFill>
        </w:rPr>
        <w:t>进一步推进行政决策公开、执行公开、管理公开、服务公开和结果公开，</w:t>
      </w:r>
      <w:r>
        <w:rPr>
          <w:rFonts w:hint="eastAsia" w:ascii="Times New Roman" w:hAnsi="Times New Roman" w:eastAsia="仿宋" w:cs="仿宋"/>
          <w:b/>
          <w:color w:val="auto"/>
          <w:sz w:val="32"/>
          <w:szCs w:val="32"/>
          <w:lang w:val="en-US" w:eastAsia="zh-CN"/>
        </w:rPr>
        <w:t>住建领域</w:t>
      </w:r>
      <w:r>
        <w:rPr>
          <w:rFonts w:hint="eastAsia" w:ascii="Times New Roman" w:hAnsi="Times New Roman" w:eastAsia="仿宋" w:cs="仿宋"/>
          <w:b/>
          <w:color w:val="auto"/>
          <w:sz w:val="32"/>
          <w:szCs w:val="32"/>
        </w:rPr>
        <w:t>政务公开各项工作有序开展。</w:t>
      </w:r>
    </w:p>
    <w:p w14:paraId="30465485">
      <w:pPr>
        <w:spacing w:line="590" w:lineRule="exact"/>
        <w:ind w:right="-105" w:rightChars="-50" w:firstLine="643" w:firstLineChars="200"/>
        <w:rPr>
          <w:rFonts w:hint="eastAsia" w:ascii="Times New Roman" w:hAnsi="Times New Roman" w:eastAsia="方正楷体简体"/>
          <w:b/>
          <w:color w:val="auto"/>
          <w:sz w:val="32"/>
          <w:szCs w:val="32"/>
          <w:lang w:eastAsia="zh-CN"/>
        </w:rPr>
      </w:pPr>
      <w:r>
        <w:rPr>
          <w:rFonts w:hint="eastAsia" w:ascii="Times New Roman" w:hAnsi="Times New Roman" w:eastAsia="方正楷体简体"/>
          <w:b/>
          <w:color w:val="auto"/>
          <w:sz w:val="32"/>
          <w:szCs w:val="32"/>
        </w:rPr>
        <w:t>（一）主动公开</w:t>
      </w:r>
    </w:p>
    <w:p w14:paraId="55F5B9B6">
      <w:pPr>
        <w:spacing w:line="590" w:lineRule="exact"/>
        <w:ind w:right="-105" w:rightChars="-50" w:firstLine="643" w:firstLineChars="200"/>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发挥政府网站政务公开“第一平台”作用，强化住房保障、市政建设、行政执法等重点领域信息公开，及时更新单位职能职责、机构设置、班子成员分工等信息，全年主动公开政府信息255条。</w:t>
      </w:r>
    </w:p>
    <w:p w14:paraId="621BC800">
      <w:pPr>
        <w:spacing w:line="590" w:lineRule="exact"/>
        <w:ind w:right="-105" w:rightChars="-50" w:firstLine="643" w:firstLineChars="200"/>
        <w:rPr>
          <w:rFonts w:hint="eastAsia" w:ascii="Times New Roman" w:hAnsi="Times New Roman" w:eastAsia="方正楷体简体"/>
          <w:b/>
          <w:color w:val="auto"/>
          <w:sz w:val="32"/>
          <w:szCs w:val="32"/>
          <w:lang w:val="en-US" w:eastAsia="zh-CN"/>
        </w:rPr>
      </w:pPr>
      <w:r>
        <w:rPr>
          <w:rFonts w:hint="eastAsia" w:ascii="Times New Roman" w:hAnsi="Times New Roman" w:eastAsia="方正楷体简体"/>
          <w:b/>
          <w:color w:val="auto"/>
          <w:sz w:val="32"/>
          <w:szCs w:val="32"/>
          <w:lang w:val="en-US" w:eastAsia="zh-CN"/>
        </w:rPr>
        <w:t>（二）依申请公开</w:t>
      </w:r>
    </w:p>
    <w:p w14:paraId="73AABDC4">
      <w:pPr>
        <w:spacing w:line="590" w:lineRule="exact"/>
        <w:ind w:right="-105" w:rightChars="-50" w:firstLine="643" w:firstLineChars="200"/>
        <w:jc w:val="left"/>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高度重视公众知情权，不断完善依申请公开的受理、处理和反馈机制，确保公众的合法权益得到有效保障，2025年度共收到依申请公开17件，较2024年增加13件，涉及建设项目规划、施工许可、工程质量监督、消防验收、测绘成果及物业服务等内容，均未收取费用。</w:t>
      </w:r>
    </w:p>
    <w:p w14:paraId="6505C584">
      <w:pPr>
        <w:keepNext w:val="0"/>
        <w:keepLines w:val="0"/>
        <w:pageBreakBefore w:val="0"/>
        <w:widowControl w:val="0"/>
        <w:kinsoku/>
        <w:wordWrap/>
        <w:overflowPunct/>
        <w:topLinePunct w:val="0"/>
        <w:autoSpaceDE/>
        <w:autoSpaceDN/>
        <w:bidi w:val="0"/>
        <w:adjustRightInd/>
        <w:snapToGrid/>
        <w:spacing w:line="240" w:lineRule="auto"/>
        <w:ind w:right="-105" w:rightChars="-50"/>
        <w:jc w:val="center"/>
        <w:textAlignment w:val="auto"/>
        <w:rPr>
          <w:rFonts w:hint="eastAsia" w:ascii="Times New Roman" w:hAnsi="Times New Roman"/>
          <w:color w:val="auto"/>
          <w:lang w:val="en-US" w:eastAsia="zh-CN"/>
        </w:rPr>
      </w:pPr>
      <w:r>
        <w:rPr>
          <w:rFonts w:hint="eastAsia" w:ascii="Times New Roman" w:hAnsi="Times New Roman"/>
          <w:color w:val="auto"/>
          <w:lang w:val="en-US" w:eastAsia="zh-CN"/>
        </w:rPr>
        <w:drawing>
          <wp:inline distT="0" distB="0" distL="114300" distR="114300">
            <wp:extent cx="5114290" cy="2531110"/>
            <wp:effectExtent l="4445" t="4445" r="5715"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36A5773C">
      <w:pPr>
        <w:spacing w:line="590" w:lineRule="exact"/>
        <w:ind w:right="-105" w:rightChars="-50" w:firstLine="643" w:firstLineChars="200"/>
        <w:jc w:val="left"/>
        <w:rPr>
          <w:rFonts w:hint="eastAsia" w:ascii="Times New Roman" w:hAnsi="Times New Roman" w:eastAsia="方正楷体简体"/>
          <w:b/>
          <w:color w:val="auto"/>
          <w:sz w:val="32"/>
          <w:szCs w:val="32"/>
          <w:lang w:val="en-US" w:eastAsia="zh-CN"/>
        </w:rPr>
      </w:pPr>
      <w:r>
        <w:rPr>
          <w:rFonts w:hint="eastAsia" w:ascii="Times New Roman" w:hAnsi="Times New Roman" w:eastAsia="方正楷体简体"/>
          <w:b/>
          <w:color w:val="auto"/>
          <w:sz w:val="32"/>
          <w:szCs w:val="32"/>
          <w:lang w:val="en-US" w:eastAsia="zh-CN"/>
        </w:rPr>
        <w:t>（三）政府信息管理</w:t>
      </w:r>
    </w:p>
    <w:p w14:paraId="6F5E1D67">
      <w:pPr>
        <w:spacing w:line="590" w:lineRule="exact"/>
        <w:ind w:right="-105" w:rightChars="-50" w:firstLine="643" w:firstLineChars="200"/>
        <w:jc w:val="left"/>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动态研究并调整公开目录，及时清理失效信息；严格落实审查制度，尤其抓好保密审查，明确责任主体，规范操作流程；坚持“先审查、后公开”原则，所有信息须经审核方可发布。</w:t>
      </w:r>
    </w:p>
    <w:p w14:paraId="18A860A5">
      <w:pPr>
        <w:numPr>
          <w:ilvl w:val="0"/>
          <w:numId w:val="0"/>
        </w:numPr>
        <w:spacing w:line="590" w:lineRule="exact"/>
        <w:ind w:right="-105" w:rightChars="-50" w:firstLine="643" w:firstLineChars="200"/>
        <w:rPr>
          <w:rFonts w:hint="eastAsia" w:ascii="Times New Roman" w:hAnsi="Times New Roman" w:eastAsia="方正楷体简体" w:cs="方正楷体简体"/>
          <w:b/>
          <w:color w:val="auto"/>
          <w:sz w:val="32"/>
          <w:szCs w:val="32"/>
          <w:lang w:val="en-US" w:eastAsia="zh-CN"/>
        </w:rPr>
      </w:pPr>
      <w:r>
        <w:rPr>
          <w:rFonts w:hint="eastAsia" w:ascii="Times New Roman" w:hAnsi="Times New Roman" w:eastAsia="方正楷体简体" w:cs="方正楷体简体"/>
          <w:b/>
          <w:color w:val="auto"/>
          <w:sz w:val="32"/>
          <w:szCs w:val="32"/>
        </w:rPr>
        <w:t>（四）政府信息公开平台建设</w:t>
      </w:r>
      <w:r>
        <w:rPr>
          <w:rFonts w:hint="eastAsia" w:ascii="Times New Roman" w:hAnsi="Times New Roman" w:eastAsia="方正楷体简体" w:cs="方正楷体简体"/>
          <w:b/>
          <w:color w:val="auto"/>
          <w:sz w:val="32"/>
          <w:szCs w:val="32"/>
          <w:lang w:val="en-US" w:eastAsia="zh-CN"/>
        </w:rPr>
        <w:t>情况</w:t>
      </w:r>
    </w:p>
    <w:p w14:paraId="6FB4705A">
      <w:pPr>
        <w:numPr>
          <w:ilvl w:val="0"/>
          <w:numId w:val="0"/>
        </w:numPr>
        <w:spacing w:line="590" w:lineRule="exact"/>
        <w:ind w:right="-105" w:rightChars="-50" w:firstLine="643" w:firstLineChars="200"/>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为切实提升政府信息获取的便捷性，保障公民、法人和其他组织的知情权与监督权，根据《条例》要求，本局以“泗水县人民政府门户网站”为核心公开阵地，开设信息公开专栏，集中发布政策文件、工作动态等各类政府信息。同时，在济河街道泉衍路3号908室设立了政府信息公开查阅点，为公众提供实体化、便利化的纸质信息查阅服务。</w:t>
      </w:r>
    </w:p>
    <w:p w14:paraId="5DE3CCCF">
      <w:pPr>
        <w:numPr>
          <w:ilvl w:val="0"/>
          <w:numId w:val="0"/>
        </w:numPr>
        <w:spacing w:line="590" w:lineRule="exact"/>
        <w:ind w:right="-105" w:rightChars="-50" w:firstLine="643" w:firstLineChars="200"/>
        <w:rPr>
          <w:rFonts w:hint="eastAsia" w:ascii="Times New Roman" w:hAnsi="Times New Roman" w:eastAsia="方正楷体简体" w:cs="方正楷体简体"/>
          <w:b/>
          <w:color w:val="auto"/>
          <w:sz w:val="32"/>
          <w:szCs w:val="32"/>
          <w:lang w:eastAsia="zh-CN"/>
        </w:rPr>
      </w:pPr>
      <w:r>
        <w:rPr>
          <w:rFonts w:hint="eastAsia" w:ascii="Times New Roman" w:hAnsi="Times New Roman" w:eastAsia="方正楷体简体" w:cs="方正楷体简体"/>
          <w:b/>
          <w:color w:val="auto"/>
          <w:sz w:val="32"/>
          <w:szCs w:val="32"/>
        </w:rPr>
        <w:t>（五）监督保障</w:t>
      </w:r>
      <w:r>
        <w:rPr>
          <w:rFonts w:hint="eastAsia" w:ascii="Times New Roman" w:hAnsi="Times New Roman" w:eastAsia="方正楷体简体" w:cs="方正楷体简体"/>
          <w:b/>
          <w:color w:val="auto"/>
          <w:sz w:val="32"/>
          <w:szCs w:val="32"/>
          <w:lang w:val="en-US" w:eastAsia="zh-CN"/>
        </w:rPr>
        <w:t>情况</w:t>
      </w:r>
    </w:p>
    <w:p w14:paraId="7E168FCE">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lang w:val="en-US" w:eastAsia="zh-CN"/>
          <w14:textFill>
            <w14:solidFill>
              <w14:schemeClr w14:val="tx1"/>
            </w14:solidFill>
          </w14:textFill>
        </w:rPr>
        <w:t>为确保政府信息公开工作规范高效运行，局办公室牵头负责政府信息公开工作，配备2名专职人员，定期自查自纠确保信息发布精准规范，保障工作的连续性与专业性。全局严格遵守工作纪律，严禁传播任何违反国家法律法规的言论。2025年度，未发现任何违规信息，有效维护了政府信息的权威性与公信力。</w:t>
      </w:r>
    </w:p>
    <w:p w14:paraId="350C3650">
      <w:pPr>
        <w:spacing w:line="590" w:lineRule="exact"/>
        <w:ind w:right="-105" w:rightChars="-50" w:firstLine="643"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二、主动公开政府信息情况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193"/>
        <w:gridCol w:w="2193"/>
        <w:gridCol w:w="2193"/>
        <w:gridCol w:w="2194"/>
      </w:tblGrid>
      <w:tr w14:paraId="132C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308C5881">
            <w:pPr>
              <w:widowControl/>
              <w:jc w:val="center"/>
              <w:rPr>
                <w:rFonts w:ascii="Times New Roman" w:hAnsi="Times New Roman" w:eastAsia="方正黑体简体"/>
                <w:b/>
                <w:color w:val="auto"/>
                <w:sz w:val="24"/>
              </w:rPr>
            </w:pPr>
            <w:r>
              <w:rPr>
                <w:rFonts w:hint="eastAsia" w:ascii="Times New Roman" w:hAnsi="Times New Roman" w:eastAsia="黑体" w:cs="宋体"/>
                <w:b/>
                <w:bCs/>
                <w:color w:val="auto"/>
                <w:kern w:val="0"/>
                <w:szCs w:val="21"/>
              </w:rPr>
              <w:t>第二十条第（一）项</w:t>
            </w:r>
          </w:p>
        </w:tc>
      </w:tr>
      <w:tr w14:paraId="20D0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1F851CB0">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信息内容</w:t>
            </w:r>
          </w:p>
        </w:tc>
        <w:tc>
          <w:tcPr>
            <w:tcW w:w="2193" w:type="dxa"/>
            <w:shd w:val="clear" w:color="auto" w:fill="FFFFFF"/>
            <w:tcMar>
              <w:left w:w="57" w:type="dxa"/>
              <w:right w:w="57" w:type="dxa"/>
            </w:tcMar>
            <w:vAlign w:val="center"/>
          </w:tcPr>
          <w:p w14:paraId="50AA3F43">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本年制发件数</w:t>
            </w:r>
          </w:p>
        </w:tc>
        <w:tc>
          <w:tcPr>
            <w:tcW w:w="2193" w:type="dxa"/>
            <w:shd w:val="clear" w:color="auto" w:fill="FFFFFF"/>
            <w:tcMar>
              <w:left w:w="57" w:type="dxa"/>
              <w:right w:w="57" w:type="dxa"/>
            </w:tcMar>
            <w:vAlign w:val="center"/>
          </w:tcPr>
          <w:p w14:paraId="2E49D771">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本年废止件数</w:t>
            </w:r>
          </w:p>
        </w:tc>
        <w:tc>
          <w:tcPr>
            <w:tcW w:w="2194" w:type="dxa"/>
            <w:shd w:val="clear" w:color="auto" w:fill="FFFFFF"/>
            <w:tcMar>
              <w:left w:w="57" w:type="dxa"/>
              <w:right w:w="57" w:type="dxa"/>
            </w:tcMar>
            <w:vAlign w:val="center"/>
          </w:tcPr>
          <w:p w14:paraId="61DAC551">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现行有效件数</w:t>
            </w:r>
          </w:p>
        </w:tc>
      </w:tr>
      <w:tr w14:paraId="7FBE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7FD40B7F">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规章</w:t>
            </w:r>
          </w:p>
        </w:tc>
        <w:tc>
          <w:tcPr>
            <w:tcW w:w="2193" w:type="dxa"/>
            <w:shd w:val="clear" w:color="auto" w:fill="FFFFFF"/>
            <w:tcMar>
              <w:left w:w="57" w:type="dxa"/>
              <w:right w:w="57" w:type="dxa"/>
            </w:tcMar>
            <w:vAlign w:val="center"/>
          </w:tcPr>
          <w:p w14:paraId="04C9FC54">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2193" w:type="dxa"/>
            <w:shd w:val="clear" w:color="auto" w:fill="FFFFFF"/>
            <w:tcMar>
              <w:left w:w="57" w:type="dxa"/>
              <w:right w:w="57" w:type="dxa"/>
            </w:tcMar>
            <w:vAlign w:val="center"/>
          </w:tcPr>
          <w:p w14:paraId="53E1D94A">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2194" w:type="dxa"/>
            <w:shd w:val="clear" w:color="auto" w:fill="FFFFFF"/>
            <w:tcMar>
              <w:left w:w="57" w:type="dxa"/>
              <w:right w:w="57" w:type="dxa"/>
            </w:tcMar>
            <w:vAlign w:val="center"/>
          </w:tcPr>
          <w:p w14:paraId="1A59BD42">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r>
      <w:tr w14:paraId="0031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423CA27C">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行政规范性文件</w:t>
            </w:r>
          </w:p>
        </w:tc>
        <w:tc>
          <w:tcPr>
            <w:tcW w:w="2193" w:type="dxa"/>
            <w:shd w:val="clear" w:color="auto" w:fill="FFFFFF"/>
            <w:tcMar>
              <w:left w:w="57" w:type="dxa"/>
              <w:right w:w="57" w:type="dxa"/>
            </w:tcMar>
            <w:vAlign w:val="center"/>
          </w:tcPr>
          <w:p w14:paraId="2B32394D">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2193" w:type="dxa"/>
            <w:shd w:val="clear" w:color="auto" w:fill="FFFFFF"/>
            <w:tcMar>
              <w:left w:w="57" w:type="dxa"/>
              <w:right w:w="57" w:type="dxa"/>
            </w:tcMar>
            <w:vAlign w:val="center"/>
          </w:tcPr>
          <w:p w14:paraId="40CD1909">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2194" w:type="dxa"/>
            <w:shd w:val="clear" w:color="auto" w:fill="FFFFFF"/>
            <w:tcMar>
              <w:left w:w="57" w:type="dxa"/>
              <w:right w:w="57" w:type="dxa"/>
            </w:tcMar>
            <w:vAlign w:val="center"/>
          </w:tcPr>
          <w:p w14:paraId="174654D9">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r>
      <w:tr w14:paraId="22A3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12E62846">
            <w:pPr>
              <w:widowControl/>
              <w:jc w:val="center"/>
              <w:rPr>
                <w:rFonts w:ascii="Times New Roman" w:hAnsi="Times New Roman" w:eastAsia="方正仿宋简体"/>
                <w:b/>
                <w:color w:val="auto"/>
                <w:sz w:val="24"/>
              </w:rPr>
            </w:pPr>
            <w:r>
              <w:rPr>
                <w:rFonts w:hint="eastAsia" w:ascii="Times New Roman" w:hAnsi="Times New Roman" w:eastAsia="黑体" w:cs="宋体"/>
                <w:b/>
                <w:bCs/>
                <w:color w:val="auto"/>
                <w:kern w:val="0"/>
                <w:szCs w:val="21"/>
              </w:rPr>
              <w:t>第二十条第（五）项</w:t>
            </w:r>
          </w:p>
        </w:tc>
      </w:tr>
      <w:tr w14:paraId="27D8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000784A8">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信息内容</w:t>
            </w:r>
          </w:p>
        </w:tc>
        <w:tc>
          <w:tcPr>
            <w:tcW w:w="6580" w:type="dxa"/>
            <w:gridSpan w:val="3"/>
            <w:shd w:val="clear" w:color="auto" w:fill="FFFFFF"/>
            <w:tcMar>
              <w:left w:w="57" w:type="dxa"/>
              <w:right w:w="57" w:type="dxa"/>
            </w:tcMar>
            <w:vAlign w:val="center"/>
          </w:tcPr>
          <w:p w14:paraId="3B78E43E">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本年处理决定数量</w:t>
            </w:r>
          </w:p>
        </w:tc>
      </w:tr>
      <w:tr w14:paraId="22BA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49584B9F">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行政许可</w:t>
            </w:r>
          </w:p>
        </w:tc>
        <w:tc>
          <w:tcPr>
            <w:tcW w:w="6580" w:type="dxa"/>
            <w:gridSpan w:val="3"/>
            <w:shd w:val="clear" w:color="auto" w:fill="FFFFFF"/>
            <w:tcMar>
              <w:left w:w="57" w:type="dxa"/>
              <w:right w:w="57" w:type="dxa"/>
            </w:tcMar>
            <w:vAlign w:val="center"/>
          </w:tcPr>
          <w:p w14:paraId="5B59E52E">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r>
      <w:tr w14:paraId="5432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56C8109C">
            <w:pPr>
              <w:widowControl/>
              <w:jc w:val="center"/>
              <w:rPr>
                <w:rFonts w:ascii="Times New Roman" w:hAnsi="Times New Roman" w:eastAsia="方正仿宋简体"/>
                <w:b/>
                <w:color w:val="auto"/>
                <w:sz w:val="24"/>
              </w:rPr>
            </w:pPr>
            <w:r>
              <w:rPr>
                <w:rFonts w:hint="eastAsia" w:ascii="Times New Roman" w:hAnsi="Times New Roman" w:eastAsia="黑体" w:cs="宋体"/>
                <w:b/>
                <w:bCs/>
                <w:color w:val="auto"/>
                <w:kern w:val="0"/>
                <w:szCs w:val="21"/>
              </w:rPr>
              <w:t>第二十条第（六）项</w:t>
            </w:r>
          </w:p>
        </w:tc>
      </w:tr>
      <w:tr w14:paraId="32D3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22FD24E5">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信息内容</w:t>
            </w:r>
          </w:p>
        </w:tc>
        <w:tc>
          <w:tcPr>
            <w:tcW w:w="6580" w:type="dxa"/>
            <w:gridSpan w:val="3"/>
            <w:shd w:val="clear" w:color="auto" w:fill="FFFFFF"/>
            <w:tcMar>
              <w:left w:w="57" w:type="dxa"/>
              <w:right w:w="57" w:type="dxa"/>
            </w:tcMar>
            <w:vAlign w:val="center"/>
          </w:tcPr>
          <w:p w14:paraId="647D37D6">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本年处理决定数量</w:t>
            </w:r>
          </w:p>
        </w:tc>
      </w:tr>
      <w:tr w14:paraId="37A0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08443CA8">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行政处罚</w:t>
            </w:r>
          </w:p>
        </w:tc>
        <w:tc>
          <w:tcPr>
            <w:tcW w:w="6580" w:type="dxa"/>
            <w:gridSpan w:val="3"/>
            <w:shd w:val="clear" w:color="auto" w:fill="FFFFFF"/>
            <w:tcMar>
              <w:left w:w="57" w:type="dxa"/>
              <w:right w:w="57" w:type="dxa"/>
            </w:tcMar>
            <w:vAlign w:val="center"/>
          </w:tcPr>
          <w:p w14:paraId="3CD7A34B">
            <w:pPr>
              <w:widowControl/>
              <w:spacing w:line="300" w:lineRule="exact"/>
              <w:jc w:val="center"/>
              <w:rPr>
                <w:rFonts w:hint="eastAsia"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18</w:t>
            </w:r>
          </w:p>
        </w:tc>
      </w:tr>
      <w:tr w14:paraId="64C8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18B01865">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行政强制</w:t>
            </w:r>
          </w:p>
        </w:tc>
        <w:tc>
          <w:tcPr>
            <w:tcW w:w="6580" w:type="dxa"/>
            <w:gridSpan w:val="3"/>
            <w:shd w:val="clear" w:color="auto" w:fill="FFFFFF"/>
            <w:tcMar>
              <w:left w:w="57" w:type="dxa"/>
              <w:right w:w="57" w:type="dxa"/>
            </w:tcMar>
            <w:vAlign w:val="center"/>
          </w:tcPr>
          <w:p w14:paraId="36A4A133">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r>
      <w:tr w14:paraId="6D9E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14:paraId="0CEFFBDE">
            <w:pPr>
              <w:widowControl/>
              <w:jc w:val="center"/>
              <w:rPr>
                <w:rFonts w:ascii="Times New Roman" w:hAnsi="Times New Roman" w:eastAsia="方正仿宋简体"/>
                <w:b/>
                <w:color w:val="auto"/>
                <w:sz w:val="24"/>
              </w:rPr>
            </w:pPr>
            <w:r>
              <w:rPr>
                <w:rFonts w:hint="eastAsia" w:ascii="Times New Roman" w:hAnsi="Times New Roman" w:eastAsia="黑体" w:cs="宋体"/>
                <w:b/>
                <w:bCs/>
                <w:color w:val="auto"/>
                <w:kern w:val="0"/>
                <w:szCs w:val="21"/>
              </w:rPr>
              <w:t>第二十条第（八）项</w:t>
            </w:r>
          </w:p>
        </w:tc>
      </w:tr>
      <w:tr w14:paraId="7458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68555C87">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信息内容</w:t>
            </w:r>
          </w:p>
        </w:tc>
        <w:tc>
          <w:tcPr>
            <w:tcW w:w="6580" w:type="dxa"/>
            <w:gridSpan w:val="3"/>
            <w:shd w:val="clear" w:color="auto" w:fill="FFFFFF"/>
            <w:tcMar>
              <w:left w:w="57" w:type="dxa"/>
              <w:right w:w="57" w:type="dxa"/>
            </w:tcMar>
            <w:vAlign w:val="center"/>
          </w:tcPr>
          <w:p w14:paraId="2DCB8920">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本年收费金额（单位：万元）</w:t>
            </w:r>
          </w:p>
        </w:tc>
      </w:tr>
      <w:tr w14:paraId="7AB2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tcMar>
              <w:left w:w="57" w:type="dxa"/>
              <w:right w:w="57" w:type="dxa"/>
            </w:tcMar>
            <w:vAlign w:val="center"/>
          </w:tcPr>
          <w:p w14:paraId="7DA3184A">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行政事业性收费</w:t>
            </w:r>
          </w:p>
        </w:tc>
        <w:tc>
          <w:tcPr>
            <w:tcW w:w="6580" w:type="dxa"/>
            <w:gridSpan w:val="3"/>
            <w:shd w:val="clear" w:color="auto" w:fill="FFFFFF"/>
            <w:tcMar>
              <w:left w:w="57" w:type="dxa"/>
              <w:right w:w="57" w:type="dxa"/>
            </w:tcMar>
            <w:vAlign w:val="center"/>
          </w:tcPr>
          <w:p w14:paraId="74E7C664">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r>
    </w:tbl>
    <w:p w14:paraId="3B3E47C7">
      <w:pPr>
        <w:spacing w:before="31" w:beforeLines="10" w:after="31" w:afterLines="10" w:line="600" w:lineRule="exact"/>
        <w:ind w:firstLine="643"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三、收到和处理政府信息公开申请情况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54DC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shd w:val="clear" w:color="auto" w:fill="FFFFFF" w:themeFill="background1"/>
            <w:tcMar>
              <w:left w:w="108" w:type="dxa"/>
              <w:right w:w="108" w:type="dxa"/>
            </w:tcMar>
            <w:vAlign w:val="center"/>
          </w:tcPr>
          <w:p w14:paraId="5F546958">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楷体"/>
                <w:b/>
                <w:color w:val="auto"/>
                <w:szCs w:val="21"/>
                <w:lang w:bidi="ar"/>
              </w:rPr>
              <w:t>（本列数据的勾稽关系为：第一项加第二项之和，等于第三项加第四项之和）</w:t>
            </w:r>
          </w:p>
        </w:tc>
        <w:tc>
          <w:tcPr>
            <w:tcW w:w="4229" w:type="dxa"/>
            <w:gridSpan w:val="7"/>
            <w:shd w:val="clear" w:color="auto" w:fill="FFFFFF" w:themeFill="background1"/>
            <w:tcMar>
              <w:left w:w="57" w:type="dxa"/>
              <w:right w:w="57" w:type="dxa"/>
            </w:tcMar>
            <w:vAlign w:val="center"/>
          </w:tcPr>
          <w:p w14:paraId="445A3CD2">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申请人情况</w:t>
            </w:r>
          </w:p>
        </w:tc>
      </w:tr>
      <w:tr w14:paraId="4C5D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vMerge w:val="continue"/>
            <w:shd w:val="clear" w:color="auto" w:fill="FFFFFF" w:themeFill="background1"/>
            <w:tcMar>
              <w:left w:w="108" w:type="dxa"/>
              <w:right w:w="108" w:type="dxa"/>
            </w:tcMar>
            <w:vAlign w:val="center"/>
          </w:tcPr>
          <w:p w14:paraId="1A1279F5">
            <w:pPr>
              <w:spacing w:line="300" w:lineRule="exact"/>
              <w:jc w:val="center"/>
              <w:rPr>
                <w:rFonts w:ascii="Times New Roman" w:hAnsi="Times New Roman" w:eastAsia="方正黑体简体"/>
                <w:b/>
                <w:color w:val="auto"/>
                <w:szCs w:val="21"/>
              </w:rPr>
            </w:pPr>
          </w:p>
        </w:tc>
        <w:tc>
          <w:tcPr>
            <w:tcW w:w="791" w:type="dxa"/>
            <w:vMerge w:val="restart"/>
            <w:shd w:val="clear" w:color="auto" w:fill="FFFFFF" w:themeFill="background1"/>
            <w:tcMar>
              <w:left w:w="57" w:type="dxa"/>
              <w:right w:w="57" w:type="dxa"/>
            </w:tcMar>
            <w:vAlign w:val="center"/>
          </w:tcPr>
          <w:p w14:paraId="51DD738F">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自然人</w:t>
            </w:r>
          </w:p>
        </w:tc>
        <w:tc>
          <w:tcPr>
            <w:tcW w:w="2917" w:type="dxa"/>
            <w:gridSpan w:val="5"/>
            <w:shd w:val="clear" w:color="auto" w:fill="FFFFFF" w:themeFill="background1"/>
            <w:tcMar>
              <w:left w:w="57" w:type="dxa"/>
              <w:right w:w="57" w:type="dxa"/>
            </w:tcMar>
            <w:vAlign w:val="center"/>
          </w:tcPr>
          <w:p w14:paraId="37A720B2">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法人或其他组织</w:t>
            </w:r>
          </w:p>
        </w:tc>
        <w:tc>
          <w:tcPr>
            <w:tcW w:w="521" w:type="dxa"/>
            <w:vMerge w:val="restart"/>
            <w:shd w:val="clear" w:color="auto" w:fill="FFFFFF" w:themeFill="background1"/>
            <w:tcMar>
              <w:left w:w="57" w:type="dxa"/>
              <w:right w:w="57" w:type="dxa"/>
            </w:tcMar>
            <w:vAlign w:val="center"/>
          </w:tcPr>
          <w:p w14:paraId="219E2E26">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总计</w:t>
            </w:r>
          </w:p>
        </w:tc>
      </w:tr>
      <w:tr w14:paraId="74C7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vMerge w:val="continue"/>
            <w:shd w:val="clear" w:color="auto" w:fill="FFFFFF" w:themeFill="background1"/>
            <w:tcMar>
              <w:left w:w="108" w:type="dxa"/>
              <w:right w:w="108" w:type="dxa"/>
            </w:tcMar>
            <w:vAlign w:val="center"/>
          </w:tcPr>
          <w:p w14:paraId="2CBB3602">
            <w:pPr>
              <w:spacing w:line="300" w:lineRule="exact"/>
              <w:rPr>
                <w:rFonts w:ascii="Times New Roman" w:hAnsi="Times New Roman" w:eastAsia="方正仿宋简体"/>
                <w:b/>
                <w:color w:val="auto"/>
                <w:szCs w:val="21"/>
              </w:rPr>
            </w:pPr>
          </w:p>
        </w:tc>
        <w:tc>
          <w:tcPr>
            <w:tcW w:w="791" w:type="dxa"/>
            <w:vMerge w:val="continue"/>
            <w:shd w:val="clear" w:color="auto" w:fill="FFFFFF" w:themeFill="background1"/>
            <w:tcMar>
              <w:left w:w="57" w:type="dxa"/>
              <w:right w:w="57" w:type="dxa"/>
            </w:tcMar>
            <w:vAlign w:val="center"/>
          </w:tcPr>
          <w:p w14:paraId="2513B8CE">
            <w:pPr>
              <w:spacing w:line="300" w:lineRule="exact"/>
              <w:rPr>
                <w:rFonts w:ascii="Times New Roman" w:hAnsi="Times New Roman" w:eastAsia="方正仿宋简体"/>
                <w:b/>
                <w:color w:val="auto"/>
                <w:szCs w:val="21"/>
              </w:rPr>
            </w:pPr>
          </w:p>
        </w:tc>
        <w:tc>
          <w:tcPr>
            <w:tcW w:w="599" w:type="dxa"/>
            <w:shd w:val="clear" w:color="auto" w:fill="FFFFFF" w:themeFill="background1"/>
            <w:tcMar>
              <w:left w:w="57" w:type="dxa"/>
              <w:right w:w="57" w:type="dxa"/>
            </w:tcMar>
            <w:vAlign w:val="center"/>
          </w:tcPr>
          <w:p w14:paraId="00A574A8">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商业</w:t>
            </w:r>
          </w:p>
          <w:p w14:paraId="6678FEE3">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企业</w:t>
            </w:r>
          </w:p>
        </w:tc>
        <w:tc>
          <w:tcPr>
            <w:tcW w:w="590" w:type="dxa"/>
            <w:shd w:val="clear" w:color="auto" w:fill="FFFFFF" w:themeFill="background1"/>
            <w:tcMar>
              <w:left w:w="57" w:type="dxa"/>
              <w:right w:w="57" w:type="dxa"/>
            </w:tcMar>
            <w:vAlign w:val="center"/>
          </w:tcPr>
          <w:p w14:paraId="4AD72A99">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科研</w:t>
            </w:r>
          </w:p>
          <w:p w14:paraId="3B8A169C">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机构</w:t>
            </w:r>
          </w:p>
        </w:tc>
        <w:tc>
          <w:tcPr>
            <w:tcW w:w="598" w:type="dxa"/>
            <w:shd w:val="clear" w:color="auto" w:fill="FFFFFF" w:themeFill="background1"/>
            <w:tcMar>
              <w:left w:w="57" w:type="dxa"/>
              <w:right w:w="57" w:type="dxa"/>
            </w:tcMar>
            <w:vAlign w:val="center"/>
          </w:tcPr>
          <w:p w14:paraId="3B922F25">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社会公益组织</w:t>
            </w:r>
          </w:p>
        </w:tc>
        <w:tc>
          <w:tcPr>
            <w:tcW w:w="571" w:type="dxa"/>
            <w:shd w:val="clear" w:color="auto" w:fill="FFFFFF" w:themeFill="background1"/>
            <w:tcMar>
              <w:left w:w="57" w:type="dxa"/>
              <w:right w:w="57" w:type="dxa"/>
            </w:tcMar>
            <w:vAlign w:val="center"/>
          </w:tcPr>
          <w:p w14:paraId="72277B6D">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法律服务机构</w:t>
            </w:r>
          </w:p>
        </w:tc>
        <w:tc>
          <w:tcPr>
            <w:tcW w:w="559" w:type="dxa"/>
            <w:shd w:val="clear" w:color="auto" w:fill="FFFFFF" w:themeFill="background1"/>
            <w:tcMar>
              <w:left w:w="57" w:type="dxa"/>
              <w:right w:w="57" w:type="dxa"/>
            </w:tcMar>
            <w:vAlign w:val="center"/>
          </w:tcPr>
          <w:p w14:paraId="6FB6EE65">
            <w:pPr>
              <w:widowControl/>
              <w:spacing w:line="300" w:lineRule="exact"/>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其他</w:t>
            </w:r>
          </w:p>
        </w:tc>
        <w:tc>
          <w:tcPr>
            <w:tcW w:w="521" w:type="dxa"/>
            <w:vMerge w:val="continue"/>
            <w:shd w:val="clear" w:color="auto" w:fill="FFFFFF" w:themeFill="background1"/>
            <w:tcMar>
              <w:left w:w="57" w:type="dxa"/>
              <w:right w:w="57" w:type="dxa"/>
            </w:tcMar>
            <w:vAlign w:val="center"/>
          </w:tcPr>
          <w:p w14:paraId="57E484D0">
            <w:pPr>
              <w:spacing w:line="300" w:lineRule="exact"/>
              <w:rPr>
                <w:rFonts w:ascii="Times New Roman" w:hAnsi="Times New Roman" w:eastAsia="方正仿宋简体"/>
                <w:b/>
                <w:color w:val="auto"/>
                <w:szCs w:val="21"/>
              </w:rPr>
            </w:pPr>
          </w:p>
        </w:tc>
      </w:tr>
      <w:tr w14:paraId="185A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shd w:val="clear" w:color="auto" w:fill="FFFFFF" w:themeFill="background1"/>
            <w:tcMar>
              <w:left w:w="57" w:type="dxa"/>
              <w:right w:w="57" w:type="dxa"/>
            </w:tcMar>
            <w:vAlign w:val="center"/>
          </w:tcPr>
          <w:p w14:paraId="3758AED9">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一、本年新收政府信息公开申请数量</w:t>
            </w:r>
          </w:p>
        </w:tc>
        <w:tc>
          <w:tcPr>
            <w:tcW w:w="791" w:type="dxa"/>
            <w:shd w:val="clear" w:color="auto" w:fill="FFFFFF" w:themeFill="background1"/>
            <w:tcMar>
              <w:left w:w="57" w:type="dxa"/>
              <w:right w:w="57" w:type="dxa"/>
            </w:tcMar>
            <w:vAlign w:val="center"/>
          </w:tcPr>
          <w:p w14:paraId="603893C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16</w:t>
            </w:r>
          </w:p>
        </w:tc>
        <w:tc>
          <w:tcPr>
            <w:tcW w:w="599" w:type="dxa"/>
            <w:shd w:val="clear" w:color="auto" w:fill="FFFFFF" w:themeFill="background1"/>
            <w:tcMar>
              <w:left w:w="57" w:type="dxa"/>
              <w:right w:w="57" w:type="dxa"/>
            </w:tcMar>
            <w:vAlign w:val="center"/>
          </w:tcPr>
          <w:p w14:paraId="7589DDB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1</w:t>
            </w:r>
          </w:p>
        </w:tc>
        <w:tc>
          <w:tcPr>
            <w:tcW w:w="590" w:type="dxa"/>
            <w:shd w:val="clear" w:color="auto" w:fill="FFFFFF" w:themeFill="background1"/>
            <w:tcMar>
              <w:left w:w="57" w:type="dxa"/>
              <w:right w:w="57" w:type="dxa"/>
            </w:tcMar>
            <w:vAlign w:val="center"/>
          </w:tcPr>
          <w:p w14:paraId="450B4D3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5D9EC09A">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2E4FAA9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414F2F4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center"/>
          </w:tcPr>
          <w:p w14:paraId="15D49B6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17</w:t>
            </w:r>
          </w:p>
        </w:tc>
      </w:tr>
      <w:tr w14:paraId="767E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shd w:val="clear" w:color="auto" w:fill="FFFFFF" w:themeFill="background1"/>
            <w:tcMar>
              <w:left w:w="57" w:type="dxa"/>
              <w:right w:w="57" w:type="dxa"/>
            </w:tcMar>
            <w:vAlign w:val="center"/>
          </w:tcPr>
          <w:p w14:paraId="56E8E1ED">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二、上年结转政府信息公开申请数量</w:t>
            </w:r>
          </w:p>
        </w:tc>
        <w:tc>
          <w:tcPr>
            <w:tcW w:w="791" w:type="dxa"/>
            <w:shd w:val="clear" w:color="auto" w:fill="FFFFFF" w:themeFill="background1"/>
            <w:tcMar>
              <w:left w:w="57" w:type="dxa"/>
              <w:right w:w="57" w:type="dxa"/>
            </w:tcMar>
            <w:vAlign w:val="center"/>
          </w:tcPr>
          <w:p w14:paraId="3F30371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37BF0A3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6F86A34">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730F0E86">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23AD2F6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45FF6A1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7295C3A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7C8F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shd w:val="clear" w:color="auto" w:fill="FFFFFF" w:themeFill="background1"/>
            <w:tcMar>
              <w:left w:w="57" w:type="dxa"/>
              <w:right w:w="57" w:type="dxa"/>
            </w:tcMar>
            <w:vAlign w:val="center"/>
          </w:tcPr>
          <w:p w14:paraId="7B34099F">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三、本年度办理结果</w:t>
            </w:r>
          </w:p>
        </w:tc>
        <w:tc>
          <w:tcPr>
            <w:tcW w:w="3820" w:type="dxa"/>
            <w:gridSpan w:val="2"/>
            <w:shd w:val="clear" w:color="auto" w:fill="FFFFFF" w:themeFill="background1"/>
            <w:tcMar>
              <w:left w:w="57" w:type="dxa"/>
              <w:right w:w="57" w:type="dxa"/>
            </w:tcMar>
            <w:vAlign w:val="center"/>
          </w:tcPr>
          <w:p w14:paraId="166205EF">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（一）予以公开</w:t>
            </w:r>
          </w:p>
        </w:tc>
        <w:tc>
          <w:tcPr>
            <w:tcW w:w="791" w:type="dxa"/>
            <w:shd w:val="clear" w:color="auto" w:fill="FFFFFF" w:themeFill="background1"/>
            <w:tcMar>
              <w:left w:w="57" w:type="dxa"/>
              <w:right w:w="57" w:type="dxa"/>
            </w:tcMar>
            <w:vAlign w:val="center"/>
          </w:tcPr>
          <w:p w14:paraId="498A6E5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3</w:t>
            </w:r>
          </w:p>
        </w:tc>
        <w:tc>
          <w:tcPr>
            <w:tcW w:w="599" w:type="dxa"/>
            <w:shd w:val="clear" w:color="auto" w:fill="FFFFFF" w:themeFill="background1"/>
            <w:tcMar>
              <w:left w:w="57" w:type="dxa"/>
              <w:right w:w="57" w:type="dxa"/>
            </w:tcMar>
            <w:vAlign w:val="center"/>
          </w:tcPr>
          <w:p w14:paraId="5EB7517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1</w:t>
            </w:r>
          </w:p>
        </w:tc>
        <w:tc>
          <w:tcPr>
            <w:tcW w:w="590" w:type="dxa"/>
            <w:shd w:val="clear" w:color="auto" w:fill="FFFFFF" w:themeFill="background1"/>
            <w:tcMar>
              <w:left w:w="57" w:type="dxa"/>
              <w:right w:w="57" w:type="dxa"/>
            </w:tcMar>
            <w:vAlign w:val="center"/>
          </w:tcPr>
          <w:p w14:paraId="39BC86D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108CB1D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008EEACF">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05D2C40B">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01B7A05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4</w:t>
            </w:r>
          </w:p>
        </w:tc>
      </w:tr>
      <w:tr w14:paraId="289A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shd w:val="clear" w:color="auto" w:fill="FFFFFF" w:themeFill="background1"/>
            <w:tcMar>
              <w:left w:w="57" w:type="dxa"/>
              <w:right w:w="57" w:type="dxa"/>
            </w:tcMar>
            <w:vAlign w:val="center"/>
          </w:tcPr>
          <w:p w14:paraId="2BB5407C">
            <w:pPr>
              <w:spacing w:line="300" w:lineRule="exact"/>
              <w:rPr>
                <w:rFonts w:ascii="Times New Roman" w:hAnsi="Times New Roman" w:eastAsia="方正仿宋简体"/>
                <w:b/>
                <w:color w:val="auto"/>
                <w:szCs w:val="21"/>
              </w:rPr>
            </w:pPr>
          </w:p>
        </w:tc>
        <w:tc>
          <w:tcPr>
            <w:tcW w:w="3820" w:type="dxa"/>
            <w:gridSpan w:val="2"/>
            <w:shd w:val="clear" w:color="auto" w:fill="FFFFFF" w:themeFill="background1"/>
            <w:tcMar>
              <w:left w:w="57" w:type="dxa"/>
              <w:right w:w="57" w:type="dxa"/>
            </w:tcMar>
            <w:vAlign w:val="center"/>
          </w:tcPr>
          <w:p w14:paraId="6377A8BD">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（二）部分公开</w:t>
            </w:r>
            <w:r>
              <w:rPr>
                <w:rFonts w:hint="eastAsia" w:ascii="Times New Roman" w:hAnsi="Times New Roman" w:eastAsia="方正仿宋简体" w:cs="楷体"/>
                <w:b/>
                <w:color w:val="auto"/>
                <w:szCs w:val="21"/>
                <w:lang w:bidi="ar"/>
              </w:rPr>
              <w:t>（区分处理的，只计这一情形，不计其他情形）</w:t>
            </w:r>
          </w:p>
        </w:tc>
        <w:tc>
          <w:tcPr>
            <w:tcW w:w="791" w:type="dxa"/>
            <w:shd w:val="clear" w:color="auto" w:fill="FFFFFF" w:themeFill="background1"/>
            <w:tcMar>
              <w:left w:w="57" w:type="dxa"/>
              <w:right w:w="57" w:type="dxa"/>
            </w:tcMar>
            <w:vAlign w:val="center"/>
          </w:tcPr>
          <w:p w14:paraId="009156BF">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1</w:t>
            </w:r>
          </w:p>
        </w:tc>
        <w:tc>
          <w:tcPr>
            <w:tcW w:w="599" w:type="dxa"/>
            <w:shd w:val="clear" w:color="auto" w:fill="FFFFFF" w:themeFill="background1"/>
            <w:tcMar>
              <w:left w:w="57" w:type="dxa"/>
              <w:right w:w="57" w:type="dxa"/>
            </w:tcMar>
            <w:vAlign w:val="center"/>
          </w:tcPr>
          <w:p w14:paraId="62B9891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02CC4D6A">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72C27A3A">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29D7EF0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5BFA600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center"/>
          </w:tcPr>
          <w:p w14:paraId="2F4296A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1</w:t>
            </w:r>
          </w:p>
        </w:tc>
      </w:tr>
      <w:tr w14:paraId="7591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45A12D77">
            <w:pPr>
              <w:spacing w:line="300" w:lineRule="exact"/>
              <w:rPr>
                <w:rFonts w:ascii="Times New Roman" w:hAnsi="Times New Roman" w:eastAsia="方正仿宋简体"/>
                <w:b/>
                <w:color w:val="auto"/>
                <w:szCs w:val="21"/>
              </w:rPr>
            </w:pPr>
          </w:p>
        </w:tc>
        <w:tc>
          <w:tcPr>
            <w:tcW w:w="942" w:type="dxa"/>
            <w:vMerge w:val="restart"/>
            <w:shd w:val="clear" w:color="auto" w:fill="FFFFFF" w:themeFill="background1"/>
            <w:tcMar>
              <w:left w:w="57" w:type="dxa"/>
              <w:right w:w="57" w:type="dxa"/>
            </w:tcMar>
            <w:vAlign w:val="center"/>
          </w:tcPr>
          <w:p w14:paraId="535A1A5A">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（三）不予公开</w:t>
            </w:r>
          </w:p>
        </w:tc>
        <w:tc>
          <w:tcPr>
            <w:tcW w:w="2878" w:type="dxa"/>
            <w:shd w:val="clear" w:color="auto" w:fill="FFFFFF" w:themeFill="background1"/>
            <w:tcMar>
              <w:left w:w="57" w:type="dxa"/>
              <w:right w:w="57" w:type="dxa"/>
            </w:tcMar>
          </w:tcPr>
          <w:p w14:paraId="42B1CCA8">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1.属于国家秘密</w:t>
            </w:r>
          </w:p>
        </w:tc>
        <w:tc>
          <w:tcPr>
            <w:tcW w:w="791" w:type="dxa"/>
            <w:shd w:val="clear" w:color="auto" w:fill="FFFFFF" w:themeFill="background1"/>
            <w:tcMar>
              <w:left w:w="57" w:type="dxa"/>
              <w:right w:w="57" w:type="dxa"/>
            </w:tcMar>
            <w:vAlign w:val="center"/>
          </w:tcPr>
          <w:p w14:paraId="3A051A54">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70CFE56D">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72A1696D">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35566AEB">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4F5077A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5D0A7FE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76D8C88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5992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56E19FFE">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28C3B881">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7789EF8C">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2.其他法律行政法规禁止公开</w:t>
            </w:r>
          </w:p>
        </w:tc>
        <w:tc>
          <w:tcPr>
            <w:tcW w:w="791" w:type="dxa"/>
            <w:shd w:val="clear" w:color="auto" w:fill="FFFFFF" w:themeFill="background1"/>
            <w:tcMar>
              <w:left w:w="57" w:type="dxa"/>
              <w:right w:w="57" w:type="dxa"/>
            </w:tcMar>
            <w:vAlign w:val="center"/>
          </w:tcPr>
          <w:p w14:paraId="01B7C10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0174E41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7C5E0E5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3F58BF8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4AB826A9">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15AFF6F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1AA225D8">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5C0B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655A2836">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4EC59AA6">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0DCAB5E3">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3.危及“三安全一稳定”</w:t>
            </w:r>
          </w:p>
        </w:tc>
        <w:tc>
          <w:tcPr>
            <w:tcW w:w="791" w:type="dxa"/>
            <w:shd w:val="clear" w:color="auto" w:fill="FFFFFF" w:themeFill="background1"/>
            <w:tcMar>
              <w:left w:w="57" w:type="dxa"/>
              <w:right w:w="57" w:type="dxa"/>
            </w:tcMar>
            <w:vAlign w:val="center"/>
          </w:tcPr>
          <w:p w14:paraId="34B0884D">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7369CCB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CDF3AAF">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5ADB1A06">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228238D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78CB4FB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2ABE27DA">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0501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450BB65C">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6D5FB81E">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0C2748CB">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4.保护第三方合法权益</w:t>
            </w:r>
          </w:p>
        </w:tc>
        <w:tc>
          <w:tcPr>
            <w:tcW w:w="791" w:type="dxa"/>
            <w:shd w:val="clear" w:color="auto" w:fill="FFFFFF" w:themeFill="background1"/>
            <w:tcMar>
              <w:left w:w="57" w:type="dxa"/>
              <w:right w:w="57" w:type="dxa"/>
            </w:tcMar>
            <w:vAlign w:val="center"/>
          </w:tcPr>
          <w:p w14:paraId="5A204AD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23E3212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5B7C686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EBD317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4B1EC4F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76764C48">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3359543A">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3D61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13AE9D71">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2CDAB438">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5D409CB6">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5.属于三类内部事务信息</w:t>
            </w:r>
          </w:p>
        </w:tc>
        <w:tc>
          <w:tcPr>
            <w:tcW w:w="791" w:type="dxa"/>
            <w:shd w:val="clear" w:color="auto" w:fill="FFFFFF" w:themeFill="background1"/>
            <w:tcMar>
              <w:left w:w="57" w:type="dxa"/>
              <w:right w:w="57" w:type="dxa"/>
            </w:tcMar>
            <w:vAlign w:val="center"/>
          </w:tcPr>
          <w:p w14:paraId="12C8E03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3F4D64C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171F3FB8">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24DC362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2F158A59">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6869438F">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2951ACE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0271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6F911EEB">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2D5C0BAB">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3F3860FC">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6.属于四类过程性信息</w:t>
            </w:r>
          </w:p>
        </w:tc>
        <w:tc>
          <w:tcPr>
            <w:tcW w:w="791" w:type="dxa"/>
            <w:shd w:val="clear" w:color="auto" w:fill="FFFFFF" w:themeFill="background1"/>
            <w:tcMar>
              <w:left w:w="57" w:type="dxa"/>
              <w:right w:w="57" w:type="dxa"/>
            </w:tcMar>
            <w:vAlign w:val="center"/>
          </w:tcPr>
          <w:p w14:paraId="70ED706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5FFEC70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4C258798">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56CFB35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791F609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43C8D70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0AEEB3B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20D1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4A777099">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63277519">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7BC436EA">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7.属于行政执法案卷</w:t>
            </w:r>
          </w:p>
        </w:tc>
        <w:tc>
          <w:tcPr>
            <w:tcW w:w="791" w:type="dxa"/>
            <w:shd w:val="clear" w:color="auto" w:fill="FFFFFF" w:themeFill="background1"/>
            <w:tcMar>
              <w:left w:w="57" w:type="dxa"/>
              <w:right w:w="57" w:type="dxa"/>
            </w:tcMar>
            <w:vAlign w:val="center"/>
          </w:tcPr>
          <w:p w14:paraId="317BB25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717636EE">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5F263B8D">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58C76A0F">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753CB97B">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35A4A37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081ECDFE">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78B8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15034FB6">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3B15B403">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4AA7A816">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8.属于行政查询事项</w:t>
            </w:r>
          </w:p>
        </w:tc>
        <w:tc>
          <w:tcPr>
            <w:tcW w:w="791" w:type="dxa"/>
            <w:shd w:val="clear" w:color="auto" w:fill="FFFFFF" w:themeFill="background1"/>
            <w:tcMar>
              <w:left w:w="57" w:type="dxa"/>
              <w:right w:w="57" w:type="dxa"/>
            </w:tcMar>
            <w:vAlign w:val="center"/>
          </w:tcPr>
          <w:p w14:paraId="1CE83B6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143B5EA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44AAA85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62083D76">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712AB26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0E0A1D44">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35116E14">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7766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64BD32AD">
            <w:pPr>
              <w:spacing w:line="300" w:lineRule="exact"/>
              <w:rPr>
                <w:rFonts w:ascii="Times New Roman" w:hAnsi="Times New Roman" w:eastAsia="方正仿宋简体"/>
                <w:b/>
                <w:color w:val="auto"/>
                <w:szCs w:val="21"/>
              </w:rPr>
            </w:pPr>
          </w:p>
        </w:tc>
        <w:tc>
          <w:tcPr>
            <w:tcW w:w="942" w:type="dxa"/>
            <w:vMerge w:val="restart"/>
            <w:shd w:val="clear" w:color="auto" w:fill="FFFFFF" w:themeFill="background1"/>
            <w:tcMar>
              <w:left w:w="57" w:type="dxa"/>
              <w:right w:w="57" w:type="dxa"/>
            </w:tcMar>
            <w:vAlign w:val="center"/>
          </w:tcPr>
          <w:p w14:paraId="494E1002">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（四）无法提供</w:t>
            </w:r>
          </w:p>
        </w:tc>
        <w:tc>
          <w:tcPr>
            <w:tcW w:w="2878" w:type="dxa"/>
            <w:shd w:val="clear" w:color="auto" w:fill="FFFFFF" w:themeFill="background1"/>
            <w:tcMar>
              <w:left w:w="57" w:type="dxa"/>
              <w:right w:w="57" w:type="dxa"/>
            </w:tcMar>
          </w:tcPr>
          <w:p w14:paraId="52C8EB8D">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1.本机关不掌握相关政府信息</w:t>
            </w:r>
          </w:p>
        </w:tc>
        <w:tc>
          <w:tcPr>
            <w:tcW w:w="791" w:type="dxa"/>
            <w:shd w:val="clear" w:color="auto" w:fill="FFFFFF" w:themeFill="background1"/>
            <w:tcMar>
              <w:left w:w="57" w:type="dxa"/>
              <w:right w:w="57" w:type="dxa"/>
            </w:tcMar>
            <w:vAlign w:val="top"/>
          </w:tcPr>
          <w:p w14:paraId="01015D5D">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8</w:t>
            </w:r>
          </w:p>
        </w:tc>
        <w:tc>
          <w:tcPr>
            <w:tcW w:w="599" w:type="dxa"/>
            <w:shd w:val="clear" w:color="auto" w:fill="FFFFFF" w:themeFill="background1"/>
            <w:tcMar>
              <w:left w:w="57" w:type="dxa"/>
              <w:right w:w="57" w:type="dxa"/>
            </w:tcMar>
            <w:vAlign w:val="center"/>
          </w:tcPr>
          <w:p w14:paraId="2C6763C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156C46A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75DE525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6D098624">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216C1408">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4A49419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8</w:t>
            </w:r>
          </w:p>
        </w:tc>
      </w:tr>
      <w:tr w14:paraId="0158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3FF367ED">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77E6BE72">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6A2502F6">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2.没有现成信息需要另行制作</w:t>
            </w:r>
          </w:p>
        </w:tc>
        <w:tc>
          <w:tcPr>
            <w:tcW w:w="791" w:type="dxa"/>
            <w:shd w:val="clear" w:color="auto" w:fill="FFFFFF" w:themeFill="background1"/>
            <w:tcMar>
              <w:left w:w="57" w:type="dxa"/>
              <w:right w:w="57" w:type="dxa"/>
            </w:tcMar>
            <w:vAlign w:val="center"/>
          </w:tcPr>
          <w:p w14:paraId="28EF98C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0AC48BA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12DF6C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B6044B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473840C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541AADA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1E8577FA">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222A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tcMar>
              <w:left w:w="57" w:type="dxa"/>
              <w:right w:w="57" w:type="dxa"/>
            </w:tcMar>
            <w:vAlign w:val="center"/>
          </w:tcPr>
          <w:p w14:paraId="3A2CA403">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5D9CCE92">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63ADA748">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3.补正后申请内容仍不明确</w:t>
            </w:r>
          </w:p>
        </w:tc>
        <w:tc>
          <w:tcPr>
            <w:tcW w:w="791" w:type="dxa"/>
            <w:shd w:val="clear" w:color="auto" w:fill="FFFFFF" w:themeFill="background1"/>
            <w:tcMar>
              <w:left w:w="57" w:type="dxa"/>
              <w:right w:w="57" w:type="dxa"/>
            </w:tcMar>
            <w:vAlign w:val="center"/>
          </w:tcPr>
          <w:p w14:paraId="17F752BF">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062E17D9">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15584A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38CDA8B8">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44CE765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3F9E6C6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3BB176DF">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35E8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restart"/>
            <w:shd w:val="clear" w:color="auto" w:fill="FFFFFF" w:themeFill="background1"/>
            <w:tcMar>
              <w:left w:w="57" w:type="dxa"/>
              <w:right w:w="57" w:type="dxa"/>
            </w:tcMar>
            <w:vAlign w:val="center"/>
          </w:tcPr>
          <w:p w14:paraId="45067CB0">
            <w:pPr>
              <w:spacing w:line="300" w:lineRule="exact"/>
              <w:rPr>
                <w:rFonts w:ascii="Times New Roman" w:hAnsi="Times New Roman" w:eastAsia="方正仿宋简体"/>
                <w:b/>
                <w:color w:val="auto"/>
                <w:szCs w:val="21"/>
              </w:rPr>
            </w:pPr>
          </w:p>
        </w:tc>
        <w:tc>
          <w:tcPr>
            <w:tcW w:w="942" w:type="dxa"/>
            <w:vMerge w:val="restart"/>
            <w:shd w:val="clear" w:color="auto" w:fill="FFFFFF" w:themeFill="background1"/>
            <w:tcMar>
              <w:left w:w="57" w:type="dxa"/>
              <w:right w:w="57" w:type="dxa"/>
            </w:tcMar>
            <w:vAlign w:val="center"/>
          </w:tcPr>
          <w:p w14:paraId="24EA3EF6">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（五）不予处理</w:t>
            </w:r>
          </w:p>
        </w:tc>
        <w:tc>
          <w:tcPr>
            <w:tcW w:w="2878" w:type="dxa"/>
            <w:shd w:val="clear" w:color="auto" w:fill="FFFFFF" w:themeFill="background1"/>
            <w:tcMar>
              <w:left w:w="57" w:type="dxa"/>
              <w:right w:w="57" w:type="dxa"/>
            </w:tcMar>
          </w:tcPr>
          <w:p w14:paraId="497E20BC">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1.信访举报投诉类申请</w:t>
            </w:r>
          </w:p>
        </w:tc>
        <w:tc>
          <w:tcPr>
            <w:tcW w:w="791" w:type="dxa"/>
            <w:shd w:val="clear" w:color="auto" w:fill="FFFFFF" w:themeFill="background1"/>
            <w:tcMar>
              <w:left w:w="57" w:type="dxa"/>
              <w:right w:w="57" w:type="dxa"/>
            </w:tcMar>
            <w:vAlign w:val="center"/>
          </w:tcPr>
          <w:p w14:paraId="06BA9D1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40288E09">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6EDDC89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D64E9C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33683AB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40A0B799">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70B048DD">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698B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277E0245">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2829D926">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687C569A">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2.重复申请</w:t>
            </w:r>
          </w:p>
        </w:tc>
        <w:tc>
          <w:tcPr>
            <w:tcW w:w="791" w:type="dxa"/>
            <w:shd w:val="clear" w:color="auto" w:fill="FFFFFF" w:themeFill="background1"/>
            <w:tcMar>
              <w:left w:w="57" w:type="dxa"/>
              <w:right w:w="57" w:type="dxa"/>
            </w:tcMar>
            <w:vAlign w:val="center"/>
          </w:tcPr>
          <w:p w14:paraId="05133CF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4E15D21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6290BA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5FB0DCF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1F19944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335AF3AA">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4342823F">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1A12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2705758A">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177AF6B1">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6356A9AF">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3.要求提供公开出版物</w:t>
            </w:r>
          </w:p>
        </w:tc>
        <w:tc>
          <w:tcPr>
            <w:tcW w:w="791" w:type="dxa"/>
            <w:shd w:val="clear" w:color="auto" w:fill="FFFFFF" w:themeFill="background1"/>
            <w:tcMar>
              <w:left w:w="57" w:type="dxa"/>
              <w:right w:w="57" w:type="dxa"/>
            </w:tcMar>
            <w:vAlign w:val="center"/>
          </w:tcPr>
          <w:p w14:paraId="0EB8800F">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57157EFD">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6EB58AF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5A05A5A">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33B71306">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1161AF5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6B904E2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2EE5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4AC72D34">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561E0EBD">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tcPr>
          <w:p w14:paraId="5A28433F">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4.无正当理由大量反复申请</w:t>
            </w:r>
          </w:p>
        </w:tc>
        <w:tc>
          <w:tcPr>
            <w:tcW w:w="791" w:type="dxa"/>
            <w:shd w:val="clear" w:color="auto" w:fill="FFFFFF" w:themeFill="background1"/>
            <w:tcMar>
              <w:left w:w="57" w:type="dxa"/>
              <w:right w:w="57" w:type="dxa"/>
            </w:tcMar>
            <w:vAlign w:val="center"/>
          </w:tcPr>
          <w:p w14:paraId="55A8B8E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44C96648">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7D65AA2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03C82E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6C7622A4">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0B1BE82A">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48A64D0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2E5E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shd w:val="clear" w:color="auto" w:fill="FFFFFF" w:themeFill="background1"/>
            <w:tcMar>
              <w:left w:w="57" w:type="dxa"/>
              <w:right w:w="57" w:type="dxa"/>
            </w:tcMar>
            <w:vAlign w:val="center"/>
          </w:tcPr>
          <w:p w14:paraId="43F9A14D">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5AADCE4E">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vAlign w:val="center"/>
          </w:tcPr>
          <w:p w14:paraId="58D05D2D">
            <w:pPr>
              <w:widowControl/>
              <w:spacing w:line="300" w:lineRule="exac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5.要求行政机关确认或重新出具已获取信息</w:t>
            </w:r>
          </w:p>
        </w:tc>
        <w:tc>
          <w:tcPr>
            <w:tcW w:w="791" w:type="dxa"/>
            <w:shd w:val="clear" w:color="auto" w:fill="FFFFFF" w:themeFill="background1"/>
            <w:tcMar>
              <w:left w:w="57" w:type="dxa"/>
              <w:right w:w="57" w:type="dxa"/>
            </w:tcMar>
            <w:vAlign w:val="center"/>
          </w:tcPr>
          <w:p w14:paraId="4C93753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5003BD94">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A8CBC5E">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42347AD">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18819669">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3E73F676">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01C2EF2D">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45B3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734F0FA2">
            <w:pPr>
              <w:spacing w:line="300" w:lineRule="exact"/>
              <w:rPr>
                <w:rFonts w:ascii="Times New Roman" w:hAnsi="Times New Roman" w:eastAsia="方正仿宋简体"/>
                <w:b/>
                <w:color w:val="auto"/>
                <w:szCs w:val="21"/>
              </w:rPr>
            </w:pPr>
          </w:p>
        </w:tc>
        <w:tc>
          <w:tcPr>
            <w:tcW w:w="942" w:type="dxa"/>
            <w:vMerge w:val="restart"/>
            <w:shd w:val="clear" w:color="auto" w:fill="FFFFFF" w:themeFill="background1"/>
            <w:tcMar>
              <w:left w:w="57" w:type="dxa"/>
              <w:right w:w="57" w:type="dxa"/>
            </w:tcMar>
            <w:vAlign w:val="center"/>
          </w:tcPr>
          <w:p w14:paraId="3B17A30D">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（六）其他处理</w:t>
            </w:r>
          </w:p>
        </w:tc>
        <w:tc>
          <w:tcPr>
            <w:tcW w:w="2878" w:type="dxa"/>
            <w:shd w:val="clear" w:color="auto" w:fill="FFFFFF" w:themeFill="background1"/>
            <w:tcMar>
              <w:left w:w="57" w:type="dxa"/>
              <w:right w:w="57" w:type="dxa"/>
            </w:tcMar>
            <w:vAlign w:val="center"/>
          </w:tcPr>
          <w:p w14:paraId="14D70477">
            <w:pPr>
              <w:widowControl/>
              <w:spacing w:line="300" w:lineRule="exac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1.申请人无正当理由逾期不补正、行政机关不再处理其政府信息公开申请</w:t>
            </w:r>
          </w:p>
        </w:tc>
        <w:tc>
          <w:tcPr>
            <w:tcW w:w="791" w:type="dxa"/>
            <w:shd w:val="clear" w:color="auto" w:fill="FFFFFF" w:themeFill="background1"/>
            <w:tcMar>
              <w:left w:w="57" w:type="dxa"/>
              <w:right w:w="57" w:type="dxa"/>
            </w:tcMar>
            <w:vAlign w:val="center"/>
          </w:tcPr>
          <w:p w14:paraId="17D2FB6F">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4</w:t>
            </w:r>
          </w:p>
        </w:tc>
        <w:tc>
          <w:tcPr>
            <w:tcW w:w="599" w:type="dxa"/>
            <w:shd w:val="clear" w:color="auto" w:fill="FFFFFF" w:themeFill="background1"/>
            <w:tcMar>
              <w:left w:w="57" w:type="dxa"/>
              <w:right w:w="57" w:type="dxa"/>
            </w:tcMar>
            <w:vAlign w:val="center"/>
          </w:tcPr>
          <w:p w14:paraId="14049FA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106C8FD9">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2FD73FB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6FB3243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46806329">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4669035F">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4</w:t>
            </w:r>
          </w:p>
        </w:tc>
      </w:tr>
      <w:tr w14:paraId="681C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04FC9196">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6869ED2C">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vAlign w:val="center"/>
          </w:tcPr>
          <w:p w14:paraId="42BCAE57">
            <w:pPr>
              <w:widowControl/>
              <w:spacing w:line="300" w:lineRule="exac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2.申请人逾期未按收费通知要求缴纳费用、行政机关不再处理其政府信息公开申请</w:t>
            </w:r>
          </w:p>
        </w:tc>
        <w:tc>
          <w:tcPr>
            <w:tcW w:w="791" w:type="dxa"/>
            <w:shd w:val="clear" w:color="auto" w:fill="FFFFFF" w:themeFill="background1"/>
            <w:tcMar>
              <w:left w:w="57" w:type="dxa"/>
              <w:right w:w="57" w:type="dxa"/>
            </w:tcMar>
            <w:vAlign w:val="center"/>
          </w:tcPr>
          <w:p w14:paraId="5B791506">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4F2863B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5B8649D5">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49CB4EDD">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179D500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0912D01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31C4DB44">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0746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2BE4FF0D">
            <w:pPr>
              <w:spacing w:line="300" w:lineRule="exact"/>
              <w:rPr>
                <w:rFonts w:ascii="Times New Roman" w:hAnsi="Times New Roman" w:eastAsia="方正仿宋简体"/>
                <w:b/>
                <w:color w:val="auto"/>
                <w:szCs w:val="21"/>
              </w:rPr>
            </w:pPr>
          </w:p>
        </w:tc>
        <w:tc>
          <w:tcPr>
            <w:tcW w:w="942" w:type="dxa"/>
            <w:vMerge w:val="continue"/>
            <w:shd w:val="clear" w:color="auto" w:fill="FFFFFF" w:themeFill="background1"/>
            <w:tcMar>
              <w:left w:w="57" w:type="dxa"/>
              <w:right w:w="57" w:type="dxa"/>
            </w:tcMar>
            <w:vAlign w:val="center"/>
          </w:tcPr>
          <w:p w14:paraId="0B19514B">
            <w:pPr>
              <w:spacing w:line="300" w:lineRule="exact"/>
              <w:rPr>
                <w:rFonts w:ascii="Times New Roman" w:hAnsi="Times New Roman" w:eastAsia="方正仿宋简体"/>
                <w:b/>
                <w:color w:val="auto"/>
                <w:szCs w:val="21"/>
              </w:rPr>
            </w:pPr>
          </w:p>
        </w:tc>
        <w:tc>
          <w:tcPr>
            <w:tcW w:w="2878" w:type="dxa"/>
            <w:shd w:val="clear" w:color="auto" w:fill="FFFFFF" w:themeFill="background1"/>
            <w:tcMar>
              <w:left w:w="57" w:type="dxa"/>
              <w:right w:w="57" w:type="dxa"/>
            </w:tcMar>
            <w:vAlign w:val="center"/>
          </w:tcPr>
          <w:p w14:paraId="65506D3B">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3.其他</w:t>
            </w:r>
          </w:p>
        </w:tc>
        <w:tc>
          <w:tcPr>
            <w:tcW w:w="791" w:type="dxa"/>
            <w:shd w:val="clear" w:color="auto" w:fill="FFFFFF" w:themeFill="background1"/>
            <w:tcMar>
              <w:left w:w="57" w:type="dxa"/>
              <w:right w:w="57" w:type="dxa"/>
            </w:tcMar>
            <w:vAlign w:val="center"/>
          </w:tcPr>
          <w:p w14:paraId="597B591B">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6C16577E">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3027723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7454673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65078EC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6DFD495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28F2D79C">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r w14:paraId="2037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tcMar>
              <w:left w:w="57" w:type="dxa"/>
              <w:right w:w="57" w:type="dxa"/>
            </w:tcMar>
            <w:vAlign w:val="center"/>
          </w:tcPr>
          <w:p w14:paraId="2E73E979">
            <w:pPr>
              <w:spacing w:line="300" w:lineRule="exact"/>
              <w:rPr>
                <w:rFonts w:ascii="Times New Roman" w:hAnsi="Times New Roman" w:eastAsia="方正仿宋简体"/>
                <w:b/>
                <w:color w:val="auto"/>
                <w:szCs w:val="21"/>
              </w:rPr>
            </w:pPr>
          </w:p>
        </w:tc>
        <w:tc>
          <w:tcPr>
            <w:tcW w:w="3820" w:type="dxa"/>
            <w:gridSpan w:val="2"/>
            <w:shd w:val="clear" w:color="auto" w:fill="FFFFFF" w:themeFill="background1"/>
            <w:tcMar>
              <w:left w:w="57" w:type="dxa"/>
              <w:right w:w="57" w:type="dxa"/>
            </w:tcMar>
            <w:vAlign w:val="center"/>
          </w:tcPr>
          <w:p w14:paraId="2FD091A9">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（七）总计</w:t>
            </w:r>
          </w:p>
        </w:tc>
        <w:tc>
          <w:tcPr>
            <w:tcW w:w="791" w:type="dxa"/>
            <w:shd w:val="clear" w:color="auto" w:fill="FFFFFF" w:themeFill="background1"/>
            <w:tcMar>
              <w:left w:w="57" w:type="dxa"/>
              <w:right w:w="57" w:type="dxa"/>
            </w:tcMar>
            <w:vAlign w:val="center"/>
          </w:tcPr>
          <w:p w14:paraId="6F70DDE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16</w:t>
            </w:r>
          </w:p>
        </w:tc>
        <w:tc>
          <w:tcPr>
            <w:tcW w:w="599" w:type="dxa"/>
            <w:shd w:val="clear" w:color="auto" w:fill="FFFFFF" w:themeFill="background1"/>
            <w:tcMar>
              <w:left w:w="57" w:type="dxa"/>
              <w:right w:w="57" w:type="dxa"/>
            </w:tcMar>
            <w:vAlign w:val="center"/>
          </w:tcPr>
          <w:p w14:paraId="57FDDB21">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1</w:t>
            </w:r>
          </w:p>
        </w:tc>
        <w:tc>
          <w:tcPr>
            <w:tcW w:w="590" w:type="dxa"/>
            <w:shd w:val="clear" w:color="auto" w:fill="FFFFFF" w:themeFill="background1"/>
            <w:tcMar>
              <w:left w:w="57" w:type="dxa"/>
              <w:right w:w="57" w:type="dxa"/>
            </w:tcMar>
            <w:vAlign w:val="center"/>
          </w:tcPr>
          <w:p w14:paraId="40CC76B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7EF29893">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3BD440A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58C12D3E">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05F196EB">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17</w:t>
            </w:r>
          </w:p>
        </w:tc>
      </w:tr>
      <w:tr w14:paraId="2EEA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shd w:val="clear" w:color="auto" w:fill="FFFFFF" w:themeFill="background1"/>
            <w:tcMar>
              <w:left w:w="57" w:type="dxa"/>
              <w:right w:w="57" w:type="dxa"/>
            </w:tcMar>
            <w:vAlign w:val="center"/>
          </w:tcPr>
          <w:p w14:paraId="072BB09D">
            <w:pPr>
              <w:widowControl/>
              <w:spacing w:line="300" w:lineRule="exact"/>
              <w:jc w:val="left"/>
              <w:rPr>
                <w:rFonts w:ascii="Times New Roman" w:hAnsi="Times New Roman" w:eastAsia="方正仿宋简体"/>
                <w:b/>
                <w:color w:val="auto"/>
                <w:szCs w:val="21"/>
              </w:rPr>
            </w:pPr>
            <w:r>
              <w:rPr>
                <w:rFonts w:hint="eastAsia" w:ascii="Times New Roman" w:hAnsi="Times New Roman" w:eastAsia="方正仿宋简体" w:cs="宋体"/>
                <w:b/>
                <w:color w:val="auto"/>
                <w:szCs w:val="21"/>
                <w:lang w:bidi="ar"/>
              </w:rPr>
              <w:t>四、结转下年度继续办理</w:t>
            </w:r>
          </w:p>
        </w:tc>
        <w:tc>
          <w:tcPr>
            <w:tcW w:w="791" w:type="dxa"/>
            <w:shd w:val="clear" w:color="auto" w:fill="FFFFFF" w:themeFill="background1"/>
            <w:tcMar>
              <w:left w:w="57" w:type="dxa"/>
              <w:right w:w="57" w:type="dxa"/>
            </w:tcMar>
            <w:vAlign w:val="center"/>
          </w:tcPr>
          <w:p w14:paraId="32232B9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9" w:type="dxa"/>
            <w:shd w:val="clear" w:color="auto" w:fill="FFFFFF" w:themeFill="background1"/>
            <w:tcMar>
              <w:left w:w="57" w:type="dxa"/>
              <w:right w:w="57" w:type="dxa"/>
            </w:tcMar>
            <w:vAlign w:val="center"/>
          </w:tcPr>
          <w:p w14:paraId="0A4AF374">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0" w:type="dxa"/>
            <w:shd w:val="clear" w:color="auto" w:fill="FFFFFF" w:themeFill="background1"/>
            <w:tcMar>
              <w:left w:w="57" w:type="dxa"/>
              <w:right w:w="57" w:type="dxa"/>
            </w:tcMar>
            <w:vAlign w:val="center"/>
          </w:tcPr>
          <w:p w14:paraId="786A6F3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98" w:type="dxa"/>
            <w:shd w:val="clear" w:color="auto" w:fill="FFFFFF" w:themeFill="background1"/>
            <w:tcMar>
              <w:left w:w="57" w:type="dxa"/>
              <w:right w:w="57" w:type="dxa"/>
            </w:tcMar>
            <w:vAlign w:val="center"/>
          </w:tcPr>
          <w:p w14:paraId="2638CB00">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71" w:type="dxa"/>
            <w:shd w:val="clear" w:color="auto" w:fill="FFFFFF" w:themeFill="background1"/>
            <w:tcMar>
              <w:left w:w="57" w:type="dxa"/>
              <w:right w:w="57" w:type="dxa"/>
            </w:tcMar>
            <w:vAlign w:val="center"/>
          </w:tcPr>
          <w:p w14:paraId="6BD07FF6">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59" w:type="dxa"/>
            <w:shd w:val="clear" w:color="auto" w:fill="FFFFFF" w:themeFill="background1"/>
            <w:tcMar>
              <w:left w:w="57" w:type="dxa"/>
              <w:right w:w="57" w:type="dxa"/>
            </w:tcMar>
            <w:vAlign w:val="center"/>
          </w:tcPr>
          <w:p w14:paraId="38C9ECB7">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c>
          <w:tcPr>
            <w:tcW w:w="521" w:type="dxa"/>
            <w:shd w:val="clear" w:color="auto" w:fill="FFFFFF" w:themeFill="background1"/>
            <w:tcMar>
              <w:left w:w="57" w:type="dxa"/>
              <w:right w:w="57" w:type="dxa"/>
            </w:tcMar>
            <w:vAlign w:val="top"/>
          </w:tcPr>
          <w:p w14:paraId="358AF522">
            <w:pPr>
              <w:widowControl/>
              <w:spacing w:line="300" w:lineRule="exact"/>
              <w:jc w:val="center"/>
              <w:rPr>
                <w:rFonts w:ascii="Times New Roman" w:hAnsi="Times New Roman" w:eastAsia="方正仿宋简体"/>
                <w:b/>
                <w:color w:val="auto"/>
                <w:szCs w:val="21"/>
              </w:rPr>
            </w:pPr>
            <w:r>
              <w:rPr>
                <w:rFonts w:hint="eastAsia" w:ascii="Times New Roman" w:hAnsi="Times New Roman" w:eastAsia="方正仿宋简体" w:cs="Calibri"/>
                <w:b/>
                <w:color w:val="auto"/>
                <w:szCs w:val="21"/>
                <w:lang w:bidi="ar"/>
              </w:rPr>
              <w:t>0</w:t>
            </w:r>
          </w:p>
        </w:tc>
      </w:tr>
    </w:tbl>
    <w:p w14:paraId="7B82F584">
      <w:pPr>
        <w:numPr>
          <w:ilvl w:val="0"/>
          <w:numId w:val="1"/>
        </w:numPr>
        <w:spacing w:line="590" w:lineRule="exact"/>
        <w:ind w:right="-105" w:rightChars="-50" w:firstLine="643" w:firstLineChars="200"/>
        <w:rPr>
          <w:rFonts w:hint="eastAsia" w:ascii="Times New Roman" w:hAnsi="Times New Roman" w:eastAsia="方正黑体简体"/>
          <w:b/>
          <w:color w:val="auto"/>
          <w:sz w:val="32"/>
          <w:szCs w:val="32"/>
        </w:rPr>
      </w:pPr>
      <w:r>
        <w:rPr>
          <w:rFonts w:hint="eastAsia" w:ascii="Times New Roman" w:hAnsi="Times New Roman" w:eastAsia="方正黑体简体"/>
          <w:b/>
          <w:color w:val="auto"/>
          <w:sz w:val="32"/>
          <w:szCs w:val="32"/>
        </w:rPr>
        <w:t>政府信息公开行政复议、行政诉讼情况</w:t>
      </w:r>
    </w:p>
    <w:tbl>
      <w:tblPr>
        <w:tblStyle w:val="8"/>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242F53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8D33383">
            <w:pPr>
              <w:widowControl/>
              <w:spacing w:line="340" w:lineRule="exact"/>
              <w:ind w:left="-42" w:leftChars="-20" w:right="-42" w:rightChars="-20"/>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96C20B3">
            <w:pPr>
              <w:widowControl/>
              <w:spacing w:line="340" w:lineRule="exact"/>
              <w:ind w:left="-42" w:leftChars="-20" w:right="-42" w:rightChars="-20"/>
              <w:jc w:val="center"/>
              <w:rPr>
                <w:rFonts w:ascii="Times New Roman" w:hAnsi="Times New Roman" w:eastAsia="方正黑体简体"/>
                <w:b/>
                <w:color w:val="auto"/>
                <w:szCs w:val="21"/>
              </w:rPr>
            </w:pPr>
            <w:r>
              <w:rPr>
                <w:rFonts w:hint="eastAsia" w:ascii="Times New Roman" w:hAnsi="Times New Roman" w:eastAsia="方正黑体简体" w:cs="宋体"/>
                <w:b/>
                <w:color w:val="auto"/>
                <w:szCs w:val="21"/>
                <w:lang w:bidi="ar"/>
              </w:rPr>
              <w:t>行政诉讼</w:t>
            </w:r>
          </w:p>
        </w:tc>
      </w:tr>
      <w:tr w14:paraId="1ABD7D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6A1A6F1">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结果维持</w:t>
            </w:r>
          </w:p>
        </w:tc>
        <w:tc>
          <w:tcPr>
            <w:tcW w:w="621" w:type="dxa"/>
            <w:vMerge w:val="restart"/>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28E338F">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结果</w:t>
            </w:r>
          </w:p>
          <w:p w14:paraId="645CBDC7">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4E96A69">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其他</w:t>
            </w:r>
          </w:p>
          <w:p w14:paraId="19A4264C">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95DF784">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尚未</w:t>
            </w:r>
          </w:p>
          <w:p w14:paraId="34ED6EDA">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13C26A41">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472F6EA">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6977246E">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复议后起诉</w:t>
            </w:r>
          </w:p>
        </w:tc>
      </w:tr>
      <w:tr w14:paraId="62FBB4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27EED63">
            <w:pPr>
              <w:widowControl/>
              <w:spacing w:line="300" w:lineRule="exact"/>
              <w:jc w:val="center"/>
              <w:rPr>
                <w:rFonts w:ascii="Times New Roman" w:hAnsi="Times New Roman" w:eastAsia="方正仿宋简体" w:cs="宋体"/>
                <w:b/>
                <w:color w:val="auto"/>
                <w:szCs w:val="21"/>
                <w:lang w:bidi="ar"/>
              </w:rPr>
            </w:pPr>
          </w:p>
        </w:tc>
        <w:tc>
          <w:tcPr>
            <w:tcW w:w="621" w:type="dxa"/>
            <w:vMerge w:val="continue"/>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A65ED4C">
            <w:pPr>
              <w:widowControl/>
              <w:spacing w:line="300" w:lineRule="exact"/>
              <w:jc w:val="center"/>
              <w:rPr>
                <w:rFonts w:ascii="Times New Roman" w:hAnsi="Times New Roman" w:eastAsia="方正仿宋简体" w:cs="宋体"/>
                <w:b/>
                <w:color w:val="auto"/>
                <w:szCs w:val="21"/>
                <w:lang w:bidi="ar"/>
              </w:rPr>
            </w:pPr>
          </w:p>
        </w:tc>
        <w:tc>
          <w:tcPr>
            <w:tcW w:w="600"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34D39AE">
            <w:pPr>
              <w:widowControl/>
              <w:spacing w:line="300" w:lineRule="exact"/>
              <w:jc w:val="center"/>
              <w:rPr>
                <w:rFonts w:ascii="Times New Roman" w:hAnsi="Times New Roman" w:eastAsia="方正仿宋简体" w:cs="宋体"/>
                <w:b/>
                <w:color w:val="auto"/>
                <w:szCs w:val="21"/>
                <w:lang w:bidi="ar"/>
              </w:rPr>
            </w:pPr>
          </w:p>
        </w:tc>
        <w:tc>
          <w:tcPr>
            <w:tcW w:w="59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4AA7D1C">
            <w:pPr>
              <w:widowControl/>
              <w:spacing w:line="300" w:lineRule="exact"/>
              <w:jc w:val="center"/>
              <w:rPr>
                <w:rFonts w:ascii="Times New Roman" w:hAnsi="Times New Roman" w:eastAsia="方正仿宋简体" w:cs="宋体"/>
                <w:b/>
                <w:color w:val="auto"/>
                <w:szCs w:val="21"/>
                <w:lang w:bidi="ar"/>
              </w:rPr>
            </w:pPr>
          </w:p>
        </w:tc>
        <w:tc>
          <w:tcPr>
            <w:tcW w:w="46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B8E7E27">
            <w:pPr>
              <w:widowControl/>
              <w:spacing w:line="300" w:lineRule="exact"/>
              <w:jc w:val="center"/>
              <w:rPr>
                <w:rFonts w:ascii="Times New Roman" w:hAnsi="Times New Roman" w:eastAsia="方正仿宋简体" w:cs="宋体"/>
                <w:b/>
                <w:color w:val="auto"/>
                <w:szCs w:val="21"/>
                <w:lang w:bidi="ar"/>
              </w:rPr>
            </w:pPr>
          </w:p>
        </w:tc>
        <w:tc>
          <w:tcPr>
            <w:tcW w:w="649"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48A8CFE">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结果</w:t>
            </w:r>
          </w:p>
          <w:p w14:paraId="524F9230">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维持</w:t>
            </w:r>
          </w:p>
        </w:tc>
        <w:tc>
          <w:tcPr>
            <w:tcW w:w="649"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1A811D4">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结果</w:t>
            </w:r>
          </w:p>
          <w:p w14:paraId="37C0DC6A">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CD4A5A5">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其他</w:t>
            </w:r>
          </w:p>
          <w:p w14:paraId="04E3B4AA">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结果</w:t>
            </w:r>
          </w:p>
        </w:tc>
        <w:tc>
          <w:tcPr>
            <w:tcW w:w="636"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E968BD7">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尚未</w:t>
            </w:r>
          </w:p>
          <w:p w14:paraId="607F85C7">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审结</w:t>
            </w:r>
          </w:p>
        </w:tc>
        <w:tc>
          <w:tcPr>
            <w:tcW w:w="426"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173C18DC">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总计</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792632B">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结果</w:t>
            </w:r>
          </w:p>
          <w:p w14:paraId="45F3721D">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维持</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76DA85D">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结果</w:t>
            </w:r>
          </w:p>
          <w:p w14:paraId="34E0CBDB">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EF962C2">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其他</w:t>
            </w:r>
          </w:p>
          <w:p w14:paraId="304E69EB">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结果</w:t>
            </w:r>
          </w:p>
        </w:tc>
        <w:tc>
          <w:tcPr>
            <w:tcW w:w="555"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B42341D">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尚未</w:t>
            </w:r>
          </w:p>
          <w:p w14:paraId="45D60AE9">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审结</w:t>
            </w:r>
          </w:p>
        </w:tc>
        <w:tc>
          <w:tcPr>
            <w:tcW w:w="407"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3F6D6656">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总计</w:t>
            </w:r>
          </w:p>
        </w:tc>
      </w:tr>
      <w:tr w14:paraId="0FE937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6D5ABC73">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621"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CFC7B9E">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60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D1F2F59">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591"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0681FBC">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461"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35961DD4">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649"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B032023">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649"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1F4C9F0">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65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6F3D341">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636"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12FC4101">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426"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256756A">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65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9E34A3B">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65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1FA3BAD6">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65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674371E4">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555"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17522FA">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c>
          <w:tcPr>
            <w:tcW w:w="407"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5CBA0EC">
            <w:pPr>
              <w:widowControl/>
              <w:spacing w:line="300" w:lineRule="exact"/>
              <w:jc w:val="center"/>
              <w:rPr>
                <w:rFonts w:ascii="Times New Roman" w:hAnsi="Times New Roman" w:eastAsia="方正仿宋简体" w:cs="宋体"/>
                <w:b/>
                <w:color w:val="auto"/>
                <w:szCs w:val="21"/>
                <w:lang w:bidi="ar"/>
              </w:rPr>
            </w:pPr>
            <w:r>
              <w:rPr>
                <w:rFonts w:hint="eastAsia" w:ascii="Times New Roman" w:hAnsi="Times New Roman" w:eastAsia="方正仿宋简体" w:cs="宋体"/>
                <w:b/>
                <w:color w:val="auto"/>
                <w:szCs w:val="21"/>
                <w:lang w:bidi="ar"/>
              </w:rPr>
              <w:t>0</w:t>
            </w:r>
          </w:p>
        </w:tc>
      </w:tr>
    </w:tbl>
    <w:p w14:paraId="17505564">
      <w:pPr>
        <w:spacing w:line="590" w:lineRule="exact"/>
        <w:ind w:right="-105" w:rightChars="-50" w:firstLine="643"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五、存在的主要问题及改进情况</w:t>
      </w:r>
    </w:p>
    <w:p w14:paraId="379EB2FA">
      <w:pPr>
        <w:numPr>
          <w:ilvl w:val="0"/>
          <w:numId w:val="0"/>
        </w:numPr>
        <w:spacing w:line="590" w:lineRule="exact"/>
        <w:ind w:right="-105" w:rightChars="-50" w:firstLine="643" w:firstLineChars="200"/>
        <w:rPr>
          <w:rFonts w:hint="eastAsia" w:ascii="Times New Roman" w:hAnsi="Times New Roman" w:eastAsia="方正仿宋简体"/>
          <w:b/>
          <w:color w:val="auto"/>
          <w:sz w:val="32"/>
          <w:szCs w:val="32"/>
          <w:lang w:val="en-US" w:eastAsia="zh-CN"/>
        </w:rPr>
      </w:pPr>
      <w:r>
        <w:rPr>
          <w:rFonts w:hint="eastAsia" w:ascii="Times New Roman" w:hAnsi="Times New Roman" w:eastAsia="仿宋" w:cs="仿宋"/>
          <w:b/>
          <w:color w:val="auto"/>
          <w:sz w:val="32"/>
          <w:szCs w:val="32"/>
        </w:rPr>
        <w:t>202</w:t>
      </w:r>
      <w:r>
        <w:rPr>
          <w:rFonts w:hint="eastAsia" w:ascii="Times New Roman" w:hAnsi="Times New Roman" w:eastAsia="仿宋" w:cs="仿宋"/>
          <w:b/>
          <w:color w:val="auto"/>
          <w:sz w:val="32"/>
          <w:szCs w:val="32"/>
          <w:lang w:val="en-US" w:eastAsia="zh-CN"/>
        </w:rPr>
        <w:t>5</w:t>
      </w:r>
      <w:r>
        <w:rPr>
          <w:rFonts w:hint="eastAsia" w:ascii="Times New Roman" w:hAnsi="Times New Roman" w:eastAsia="仿宋" w:cs="仿宋"/>
          <w:b/>
          <w:color w:val="auto"/>
          <w:sz w:val="32"/>
          <w:szCs w:val="32"/>
        </w:rPr>
        <w:t>年，泗水县</w:t>
      </w:r>
      <w:r>
        <w:rPr>
          <w:rFonts w:hint="eastAsia" w:ascii="Times New Roman" w:hAnsi="Times New Roman" w:eastAsia="仿宋" w:cs="仿宋"/>
          <w:b/>
          <w:color w:val="auto"/>
          <w:sz w:val="32"/>
          <w:szCs w:val="32"/>
          <w:lang w:val="en-US" w:eastAsia="zh-CN"/>
        </w:rPr>
        <w:t>住建局</w:t>
      </w:r>
      <w:r>
        <w:rPr>
          <w:rFonts w:hint="eastAsia" w:ascii="Times New Roman" w:hAnsi="Times New Roman" w:eastAsia="仿宋" w:cs="仿宋"/>
          <w:b/>
          <w:color w:val="auto"/>
          <w:sz w:val="32"/>
          <w:szCs w:val="32"/>
        </w:rPr>
        <w:t>在政务公开工作中主要存在如下问题：</w:t>
      </w:r>
      <w:r>
        <w:rPr>
          <w:rFonts w:hint="eastAsia" w:ascii="Times New Roman" w:hAnsi="Times New Roman" w:eastAsia="方正仿宋简体"/>
          <w:b/>
          <w:color w:val="auto"/>
          <w:sz w:val="32"/>
          <w:szCs w:val="32"/>
          <w:lang w:val="en-US" w:eastAsia="zh-CN"/>
        </w:rPr>
        <w:t>一是政务信息公开的便民性、时效性和实用性还需不断提高；二是政务信息工作人员的业务能力仍需不断增强。</w:t>
      </w:r>
    </w:p>
    <w:p w14:paraId="39234E3C">
      <w:pPr>
        <w:numPr>
          <w:ilvl w:val="0"/>
          <w:numId w:val="0"/>
        </w:numPr>
        <w:spacing w:line="590" w:lineRule="exact"/>
        <w:ind w:right="-105" w:rightChars="-50" w:firstLine="643" w:firstLineChars="200"/>
        <w:rPr>
          <w:rFonts w:hint="default" w:ascii="Times New Roman" w:hAnsi="Times New Roman" w:eastAsia="方正仿宋简体"/>
          <w:b/>
          <w:color w:val="auto"/>
          <w:sz w:val="32"/>
          <w:szCs w:val="32"/>
          <w:lang w:val="en-US" w:eastAsia="zh-CN"/>
        </w:rPr>
      </w:pPr>
      <w:r>
        <w:rPr>
          <w:rFonts w:hint="eastAsia" w:ascii="Times New Roman" w:hAnsi="Times New Roman" w:eastAsia="仿宋" w:cs="仿宋"/>
          <w:b/>
          <w:color w:val="auto"/>
          <w:sz w:val="32"/>
          <w:szCs w:val="32"/>
        </w:rPr>
        <w:t>针对存在的问题，泗水县</w:t>
      </w:r>
      <w:r>
        <w:rPr>
          <w:rFonts w:hint="eastAsia" w:ascii="Times New Roman" w:hAnsi="Times New Roman" w:eastAsia="仿宋" w:cs="仿宋"/>
          <w:b/>
          <w:color w:val="auto"/>
          <w:sz w:val="32"/>
          <w:szCs w:val="32"/>
          <w:lang w:val="en-US" w:eastAsia="zh-CN"/>
        </w:rPr>
        <w:t>住建局</w:t>
      </w:r>
      <w:r>
        <w:rPr>
          <w:rFonts w:hint="eastAsia" w:ascii="Times New Roman" w:hAnsi="Times New Roman" w:eastAsia="仿宋" w:cs="仿宋"/>
          <w:b/>
          <w:color w:val="auto"/>
          <w:sz w:val="32"/>
          <w:szCs w:val="32"/>
        </w:rPr>
        <w:t>将做好以下工作：</w:t>
      </w:r>
      <w:r>
        <w:rPr>
          <w:rFonts w:hint="eastAsia" w:ascii="Times New Roman" w:hAnsi="Times New Roman" w:eastAsia="方正仿宋简体"/>
          <w:b/>
          <w:color w:val="auto"/>
          <w:sz w:val="32"/>
          <w:szCs w:val="32"/>
          <w:lang w:val="en-US" w:eastAsia="zh-CN"/>
        </w:rPr>
        <w:t>一是进一步梳理、规范信息公开内容，加大信息公开力度。加强监督检查，健全监督制约机制，保证政务公开工作有效开展。二是着重培养工作人员的工作主动意识，主动的发现问题，加强沟通交流，进一步提高工作人员的业务能力。</w:t>
      </w:r>
    </w:p>
    <w:p w14:paraId="5ABF7A08">
      <w:pPr>
        <w:numPr>
          <w:ilvl w:val="0"/>
          <w:numId w:val="0"/>
        </w:numPr>
        <w:spacing w:line="590" w:lineRule="exact"/>
        <w:ind w:right="-105" w:rightChars="-50" w:firstLine="643" w:firstLineChars="200"/>
        <w:rPr>
          <w:rFonts w:hint="eastAsia" w:ascii="Times New Roman" w:hAnsi="Times New Roman" w:eastAsia="方正黑体简体"/>
          <w:b/>
          <w:color w:val="auto"/>
          <w:sz w:val="32"/>
          <w:szCs w:val="32"/>
        </w:rPr>
      </w:pPr>
      <w:r>
        <w:rPr>
          <w:rFonts w:hint="eastAsia" w:ascii="Times New Roman" w:hAnsi="Times New Roman" w:eastAsia="方正黑体简体"/>
          <w:b/>
          <w:color w:val="auto"/>
          <w:sz w:val="32"/>
          <w:szCs w:val="32"/>
          <w:lang w:val="en-US" w:eastAsia="zh-CN"/>
        </w:rPr>
        <w:t>六、</w:t>
      </w:r>
      <w:r>
        <w:rPr>
          <w:rFonts w:hint="eastAsia" w:ascii="Times New Roman" w:hAnsi="Times New Roman" w:eastAsia="方正黑体简体"/>
          <w:b/>
          <w:color w:val="auto"/>
          <w:sz w:val="32"/>
          <w:szCs w:val="32"/>
        </w:rPr>
        <w:t>其他需要报告的事项</w:t>
      </w:r>
    </w:p>
    <w:p w14:paraId="0830DB69">
      <w:pPr>
        <w:numPr>
          <w:ilvl w:val="0"/>
          <w:numId w:val="0"/>
        </w:numPr>
        <w:spacing w:line="590" w:lineRule="exact"/>
        <w:ind w:right="-105" w:rightChars="-50" w:firstLine="643" w:firstLineChars="200"/>
        <w:jc w:val="left"/>
        <w:rPr>
          <w:rFonts w:hint="eastAsia" w:ascii="Times New Roman" w:hAnsi="Times New Roman" w:eastAsia="方正仿宋简体"/>
          <w:b/>
          <w:color w:val="auto"/>
          <w:sz w:val="32"/>
          <w:szCs w:val="32"/>
          <w:lang w:val="en-US" w:eastAsia="zh-CN"/>
        </w:rPr>
      </w:pPr>
      <w:r>
        <w:rPr>
          <w:rFonts w:hint="eastAsia" w:ascii="Times New Roman" w:hAnsi="Times New Roman" w:eastAsia="方正仿宋简体"/>
          <w:b/>
          <w:color w:val="auto"/>
          <w:sz w:val="32"/>
          <w:szCs w:val="32"/>
          <w:lang w:val="en-US" w:eastAsia="zh-CN"/>
        </w:rPr>
        <w:t>（1）依据《政府信息公开信息处理费管理办法》收取信息处理费的情况。2025年，泗水县住建局严格落实《国务院办公厅关于印发&lt;政府信息公开信息处理费管理办法&gt;的通知》 (国办函(2020] 109号) 和《山东省人民政府办公厅关于做好政府信息公开信息处理费管理工作有关事项的通知》（鲁政办字〔2020〕179号）规定，政府信息公开申请未向申请人收取任何费用。</w:t>
      </w:r>
    </w:p>
    <w:p w14:paraId="1026D090">
      <w:pPr>
        <w:numPr>
          <w:ilvl w:val="0"/>
          <w:numId w:val="0"/>
        </w:numPr>
        <w:spacing w:line="590" w:lineRule="exact"/>
        <w:ind w:right="-105" w:rightChars="-50" w:firstLine="643" w:firstLineChars="200"/>
        <w:jc w:val="left"/>
        <w:rPr>
          <w:rFonts w:hint="default" w:ascii="Times New Roman" w:hAnsi="Times New Roman" w:eastAsia="方正仿宋简体"/>
          <w:b/>
          <w:color w:val="auto"/>
          <w:sz w:val="32"/>
          <w:szCs w:val="32"/>
          <w:lang w:val="en-US" w:eastAsia="zh-CN"/>
        </w:rPr>
      </w:pPr>
      <w:r>
        <w:rPr>
          <w:rFonts w:hint="eastAsia" w:ascii="Times New Roman" w:hAnsi="Times New Roman" w:eastAsia="方正仿宋简体"/>
          <w:b/>
          <w:color w:val="auto"/>
          <w:sz w:val="32"/>
          <w:szCs w:val="32"/>
          <w:lang w:val="en-US" w:eastAsia="zh-CN"/>
        </w:rPr>
        <w:t>（2）本行政机关落实上级年度政务公开工作要点情况。县</w:t>
      </w:r>
      <w:r>
        <w:rPr>
          <w:rFonts w:hint="default" w:ascii="Times New Roman" w:hAnsi="Times New Roman" w:eastAsia="方正仿宋简体"/>
          <w:b/>
          <w:color w:val="auto"/>
          <w:sz w:val="32"/>
          <w:szCs w:val="32"/>
          <w:lang w:val="en-US" w:eastAsia="zh-CN"/>
        </w:rPr>
        <w:t>住建局严格按照</w:t>
      </w:r>
      <w:r>
        <w:rPr>
          <w:rFonts w:hint="eastAsia" w:ascii="Times New Roman" w:hAnsi="Times New Roman" w:eastAsia="方正仿宋简体"/>
          <w:b/>
          <w:color w:val="auto"/>
          <w:sz w:val="32"/>
          <w:szCs w:val="32"/>
          <w:lang w:val="en-US" w:eastAsia="zh-CN"/>
        </w:rPr>
        <w:t>县</w:t>
      </w:r>
      <w:r>
        <w:rPr>
          <w:rFonts w:hint="default" w:ascii="Times New Roman" w:hAnsi="Times New Roman" w:eastAsia="方正仿宋简体"/>
          <w:b/>
          <w:color w:val="auto"/>
          <w:sz w:val="32"/>
          <w:szCs w:val="32"/>
          <w:lang w:val="en-US" w:eastAsia="zh-CN"/>
        </w:rPr>
        <w:t>政府安排部署落实各项工作任务，对政府工作报告落实情况等领域信息及时有效公开。</w:t>
      </w:r>
    </w:p>
    <w:p w14:paraId="0BC1F1F1">
      <w:pPr>
        <w:spacing w:line="590" w:lineRule="exact"/>
        <w:ind w:right="-105" w:rightChars="-50" w:firstLine="643" w:firstLineChars="200"/>
        <w:jc w:val="left"/>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rPr>
        <w:t>（</w:t>
      </w:r>
      <w:r>
        <w:rPr>
          <w:rFonts w:hint="eastAsia" w:ascii="Times New Roman" w:hAnsi="Times New Roman" w:eastAsia="方正仿宋简体"/>
          <w:b/>
          <w:color w:val="auto"/>
          <w:sz w:val="32"/>
          <w:szCs w:val="32"/>
          <w:lang w:val="en-US" w:eastAsia="zh-CN"/>
        </w:rPr>
        <w:t>3</w:t>
      </w:r>
      <w:r>
        <w:rPr>
          <w:rFonts w:hint="eastAsia" w:ascii="Times New Roman" w:hAnsi="Times New Roman" w:eastAsia="方正仿宋简体"/>
          <w:b/>
          <w:color w:val="auto"/>
          <w:sz w:val="32"/>
          <w:szCs w:val="32"/>
        </w:rPr>
        <w:t>）</w:t>
      </w:r>
      <w:r>
        <w:rPr>
          <w:rFonts w:hint="eastAsia" w:ascii="Times New Roman" w:hAnsi="Times New Roman" w:eastAsia="方正仿宋简体"/>
          <w:b/>
          <w:color w:val="auto"/>
          <w:sz w:val="32"/>
          <w:szCs w:val="32"/>
          <w:lang w:val="en-US" w:eastAsia="zh-CN"/>
        </w:rPr>
        <w:t>人大代表</w:t>
      </w:r>
      <w:r>
        <w:rPr>
          <w:rFonts w:hint="eastAsia" w:ascii="Times New Roman" w:hAnsi="Times New Roman" w:eastAsia="方正仿宋简体"/>
          <w:b/>
          <w:color w:val="auto"/>
          <w:sz w:val="32"/>
          <w:szCs w:val="32"/>
        </w:rPr>
        <w:t>建议</w:t>
      </w:r>
      <w:r>
        <w:rPr>
          <w:rFonts w:hint="eastAsia" w:ascii="Times New Roman" w:hAnsi="Times New Roman" w:eastAsia="方正仿宋简体"/>
          <w:b/>
          <w:color w:val="auto"/>
          <w:sz w:val="32"/>
          <w:szCs w:val="32"/>
          <w:lang w:val="en-US" w:eastAsia="zh-CN"/>
        </w:rPr>
        <w:t>和政协</w:t>
      </w:r>
      <w:r>
        <w:rPr>
          <w:rFonts w:hint="eastAsia" w:ascii="Times New Roman" w:hAnsi="Times New Roman" w:eastAsia="方正仿宋简体"/>
          <w:b/>
          <w:color w:val="auto"/>
          <w:sz w:val="32"/>
          <w:szCs w:val="32"/>
        </w:rPr>
        <w:t>提案办理情况公开。202</w:t>
      </w:r>
      <w:r>
        <w:rPr>
          <w:rFonts w:hint="eastAsia" w:ascii="Times New Roman" w:hAnsi="Times New Roman" w:eastAsia="方正仿宋简体"/>
          <w:b/>
          <w:color w:val="auto"/>
          <w:sz w:val="32"/>
          <w:szCs w:val="32"/>
          <w:lang w:val="en-US" w:eastAsia="zh-CN"/>
        </w:rPr>
        <w:t>5</w:t>
      </w:r>
      <w:r>
        <w:rPr>
          <w:rFonts w:hint="eastAsia" w:ascii="Times New Roman" w:hAnsi="Times New Roman" w:eastAsia="方正仿宋简体"/>
          <w:b/>
          <w:color w:val="auto"/>
          <w:sz w:val="32"/>
          <w:szCs w:val="32"/>
        </w:rPr>
        <w:t>年住建局共承办人大政协建议提案共</w:t>
      </w:r>
      <w:r>
        <w:rPr>
          <w:rFonts w:hint="eastAsia" w:ascii="Times New Roman" w:hAnsi="Times New Roman" w:eastAsia="方正仿宋简体"/>
          <w:b/>
          <w:color w:val="auto"/>
          <w:sz w:val="32"/>
          <w:szCs w:val="32"/>
          <w:lang w:val="en-US" w:eastAsia="zh-CN"/>
        </w:rPr>
        <w:t>27</w:t>
      </w:r>
      <w:r>
        <w:rPr>
          <w:rFonts w:hint="eastAsia" w:ascii="Times New Roman" w:hAnsi="Times New Roman" w:eastAsia="方正仿宋简体"/>
          <w:b/>
          <w:color w:val="auto"/>
          <w:sz w:val="32"/>
          <w:szCs w:val="32"/>
        </w:rPr>
        <w:t>件，其中人大代表建议提案</w:t>
      </w:r>
      <w:r>
        <w:rPr>
          <w:rFonts w:hint="eastAsia" w:ascii="Times New Roman" w:hAnsi="Times New Roman" w:eastAsia="方正仿宋简体"/>
          <w:b/>
          <w:color w:val="auto"/>
          <w:sz w:val="32"/>
          <w:szCs w:val="32"/>
          <w:lang w:val="en-US" w:eastAsia="zh-CN"/>
        </w:rPr>
        <w:t>10</w:t>
      </w:r>
      <w:r>
        <w:rPr>
          <w:rFonts w:hint="eastAsia" w:ascii="Times New Roman" w:hAnsi="Times New Roman" w:eastAsia="方正仿宋简体"/>
          <w:b/>
          <w:color w:val="auto"/>
          <w:sz w:val="32"/>
          <w:szCs w:val="32"/>
        </w:rPr>
        <w:t>件、政协委员提案</w:t>
      </w:r>
      <w:r>
        <w:rPr>
          <w:rFonts w:hint="eastAsia" w:ascii="Times New Roman" w:hAnsi="Times New Roman" w:eastAsia="方正仿宋简体"/>
          <w:b/>
          <w:color w:val="auto"/>
          <w:sz w:val="32"/>
          <w:szCs w:val="32"/>
          <w:lang w:val="en-US" w:eastAsia="zh-CN"/>
        </w:rPr>
        <w:t>19</w:t>
      </w:r>
      <w:r>
        <w:rPr>
          <w:rFonts w:hint="eastAsia" w:ascii="Times New Roman" w:hAnsi="Times New Roman" w:eastAsia="方正仿宋简体"/>
          <w:b/>
          <w:color w:val="auto"/>
          <w:sz w:val="32"/>
          <w:szCs w:val="32"/>
        </w:rPr>
        <w:t>件，均按时保质办结。</w:t>
      </w:r>
    </w:p>
    <w:p w14:paraId="688396B5">
      <w:pPr>
        <w:spacing w:line="590" w:lineRule="exact"/>
        <w:ind w:right="-105" w:rightChars="-50" w:firstLine="643" w:firstLineChars="200"/>
        <w:jc w:val="left"/>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lang w:val="en-US" w:eastAsia="zh-CN"/>
        </w:rPr>
        <w:t>4</w:t>
      </w: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rPr>
        <w:t>本行政机关政府信息公开工作年度报告数据统计需要说明的事项</w:t>
      </w:r>
      <w:r>
        <w:rPr>
          <w:rFonts w:hint="eastAsia" w:eastAsia="方正仿宋简体"/>
          <w:b/>
          <w:color w:val="auto"/>
          <w:sz w:val="32"/>
          <w:szCs w:val="32"/>
          <w:lang w:eastAsia="zh-CN"/>
        </w:rPr>
        <w:t>：</w:t>
      </w:r>
      <w:r>
        <w:rPr>
          <w:rFonts w:hint="eastAsia" w:ascii="Times New Roman" w:hAnsi="Times New Roman" w:eastAsia="方正仿宋简体"/>
          <w:b/>
          <w:color w:val="auto"/>
          <w:sz w:val="32"/>
          <w:szCs w:val="32"/>
        </w:rPr>
        <w:t>本年度报告中所列数据统计期限从2025年1月1日到12月31日止。</w:t>
      </w:r>
      <w:bookmarkStart w:id="0" w:name="_GoBack"/>
      <w:bookmarkEnd w:id="0"/>
    </w:p>
    <w:p w14:paraId="78714F56">
      <w:pPr>
        <w:spacing w:line="590" w:lineRule="exact"/>
        <w:ind w:right="-105" w:rightChars="-50" w:firstLine="643" w:firstLineChars="200"/>
        <w:jc w:val="left"/>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lang w:val="en-US" w:eastAsia="zh-CN"/>
        </w:rPr>
        <w:t>5</w:t>
      </w: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rPr>
        <w:t>本行政机关认为需要报告的其他事项</w:t>
      </w: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rPr>
        <w:t>无。</w:t>
      </w:r>
    </w:p>
    <w:p w14:paraId="2794D084">
      <w:pPr>
        <w:spacing w:line="590" w:lineRule="exact"/>
        <w:ind w:right="-105" w:rightChars="-50" w:firstLine="643" w:firstLineChars="200"/>
        <w:jc w:val="left"/>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lang w:val="en-US" w:eastAsia="zh-CN"/>
        </w:rPr>
        <w:t>6</w:t>
      </w: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rPr>
        <w:t>其他有关文件专门要求通过政府信息公开工作年度报告予以报告的事项，无。</w:t>
      </w:r>
    </w:p>
    <w:p w14:paraId="3E625C46">
      <w:pPr>
        <w:pStyle w:val="5"/>
        <w:rPr>
          <w:rStyle w:val="10"/>
          <w:rFonts w:hint="eastAsia" w:ascii="Times New Roman" w:hAnsi="Times New Roman" w:eastAsia="仿宋_GB2312" w:cs="仿宋_GB2312"/>
          <w:i w:val="0"/>
          <w:iCs w:val="0"/>
          <w:caps w:val="0"/>
          <w:color w:val="333333"/>
          <w:spacing w:val="0"/>
          <w:sz w:val="31"/>
          <w:szCs w:val="31"/>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619A6B-E87A-4062-AC9C-0EBAC7F4AD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4938DB5C-2DFF-412F-8AE0-3CD6A6C31778}"/>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6826659B-8A38-4C73-97C6-E89957911F65}"/>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4" w:fontKey="{0F303499-080F-4281-8D92-358218A13372}"/>
  </w:font>
  <w:font w:name="仿宋_GB2312">
    <w:panose1 w:val="02010609030101010101"/>
    <w:charset w:val="86"/>
    <w:family w:val="auto"/>
    <w:pitch w:val="default"/>
    <w:sig w:usb0="00000001" w:usb1="080E0000" w:usb2="00000000" w:usb3="00000000" w:csb0="00040000" w:csb1="00000000"/>
    <w:embedRegular r:id="rId5" w:fontKey="{17C6FB48-2F39-41C9-B7CA-54ECAA5A1382}"/>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43B9F"/>
    <w:multiLevelType w:val="singleLevel"/>
    <w:tmpl w:val="7BC43B9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mMGEzNmE1MWFkYTJkMWU1MDY1YTU3OTU0ZmY2YTgifQ=="/>
  </w:docVars>
  <w:rsids>
    <w:rsidRoot w:val="00000000"/>
    <w:rsid w:val="00A1771F"/>
    <w:rsid w:val="02D56645"/>
    <w:rsid w:val="046E4517"/>
    <w:rsid w:val="0D4F2DEF"/>
    <w:rsid w:val="0DA775C8"/>
    <w:rsid w:val="0EEF3211"/>
    <w:rsid w:val="0F0B191D"/>
    <w:rsid w:val="0F4D2C92"/>
    <w:rsid w:val="100B45FE"/>
    <w:rsid w:val="12700700"/>
    <w:rsid w:val="14A456CB"/>
    <w:rsid w:val="181E7899"/>
    <w:rsid w:val="18A7758E"/>
    <w:rsid w:val="18F42A21"/>
    <w:rsid w:val="1F72241F"/>
    <w:rsid w:val="20F9358F"/>
    <w:rsid w:val="2152133A"/>
    <w:rsid w:val="217F4A1E"/>
    <w:rsid w:val="2197576F"/>
    <w:rsid w:val="23F138FE"/>
    <w:rsid w:val="27BE3550"/>
    <w:rsid w:val="27DC3B79"/>
    <w:rsid w:val="28533519"/>
    <w:rsid w:val="28950992"/>
    <w:rsid w:val="2A69074A"/>
    <w:rsid w:val="2AB734EB"/>
    <w:rsid w:val="2C1508BB"/>
    <w:rsid w:val="30EA7B2A"/>
    <w:rsid w:val="317B7D28"/>
    <w:rsid w:val="31B5604E"/>
    <w:rsid w:val="328E671A"/>
    <w:rsid w:val="33EB5BEB"/>
    <w:rsid w:val="35A46590"/>
    <w:rsid w:val="37521FFC"/>
    <w:rsid w:val="38697764"/>
    <w:rsid w:val="3977163E"/>
    <w:rsid w:val="3BD86BA8"/>
    <w:rsid w:val="3C1D696F"/>
    <w:rsid w:val="3FB1136B"/>
    <w:rsid w:val="42623A06"/>
    <w:rsid w:val="43E12BE0"/>
    <w:rsid w:val="44E06D4E"/>
    <w:rsid w:val="464962FF"/>
    <w:rsid w:val="491312CB"/>
    <w:rsid w:val="49EC6413"/>
    <w:rsid w:val="4A7820A1"/>
    <w:rsid w:val="4D3701A9"/>
    <w:rsid w:val="4ECD324A"/>
    <w:rsid w:val="4FAE1D52"/>
    <w:rsid w:val="4FC95480"/>
    <w:rsid w:val="55627FA5"/>
    <w:rsid w:val="556C3A51"/>
    <w:rsid w:val="56217AC6"/>
    <w:rsid w:val="569A3F0E"/>
    <w:rsid w:val="58EB3BB5"/>
    <w:rsid w:val="5BC613D0"/>
    <w:rsid w:val="5C9340C3"/>
    <w:rsid w:val="5ECA34C3"/>
    <w:rsid w:val="5F087BC9"/>
    <w:rsid w:val="600A4010"/>
    <w:rsid w:val="601D0538"/>
    <w:rsid w:val="679D5601"/>
    <w:rsid w:val="6B31052E"/>
    <w:rsid w:val="6CF522AF"/>
    <w:rsid w:val="6D766839"/>
    <w:rsid w:val="6E0F5663"/>
    <w:rsid w:val="6F0D7E9E"/>
    <w:rsid w:val="6FD25F8B"/>
    <w:rsid w:val="73D77B4A"/>
    <w:rsid w:val="754605A1"/>
    <w:rsid w:val="77B358A8"/>
    <w:rsid w:val="77B36750"/>
    <w:rsid w:val="7CFD39E2"/>
    <w:rsid w:val="7E751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1"/>
    <w:autoRedefine/>
    <w:semiHidden/>
    <w:unhideWhenUsed/>
    <w:qFormat/>
    <w:uiPriority w:val="0"/>
    <w:pPr>
      <w:keepNext/>
      <w:keepLines/>
      <w:spacing w:beforeLines="0" w:beforeAutospacing="0" w:afterLines="0" w:afterAutospacing="0" w:line="580" w:lineRule="exact"/>
      <w:ind w:firstLine="0" w:firstLineChars="0"/>
      <w:outlineLvl w:val="1"/>
    </w:pPr>
    <w:rPr>
      <w:rFonts w:ascii="Arial" w:hAnsi="Arial" w:eastAsia="方正黑体简体"/>
      <w:sz w:val="32"/>
    </w:rPr>
  </w:style>
  <w:style w:type="paragraph" w:styleId="3">
    <w:name w:val="heading 3"/>
    <w:basedOn w:val="1"/>
    <w:next w:val="1"/>
    <w:autoRedefine/>
    <w:semiHidden/>
    <w:unhideWhenUsed/>
    <w:qFormat/>
    <w:uiPriority w:val="0"/>
    <w:pPr>
      <w:keepNext/>
      <w:keepLines/>
      <w:spacing w:beforeLines="0" w:beforeAutospacing="0" w:afterLines="0" w:afterAutospacing="0" w:line="580" w:lineRule="exact"/>
      <w:outlineLvl w:val="2"/>
    </w:pPr>
    <w:rPr>
      <w:rFonts w:ascii="Times New Roman" w:hAnsi="Times New Roman" w:eastAsia="方正楷体简体"/>
      <w:sz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after="120"/>
      <w:ind w:left="420" w:leftChars="200"/>
    </w:pPr>
  </w:style>
  <w:style w:type="paragraph" w:styleId="5">
    <w:name w:val="footnote text"/>
    <w:basedOn w:val="1"/>
    <w:autoRedefine/>
    <w:qFormat/>
    <w:uiPriority w:val="0"/>
    <w:pPr>
      <w:snapToGrid w:val="0"/>
      <w:jc w:val="left"/>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qFormat/>
    <w:uiPriority w:val="99"/>
    <w:pPr>
      <w:ind w:firstLine="420" w:firstLineChars="200"/>
    </w:pPr>
  </w:style>
  <w:style w:type="character" w:styleId="10">
    <w:name w:val="Strong"/>
    <w:basedOn w:val="9"/>
    <w:autoRedefine/>
    <w:qFormat/>
    <w:uiPriority w:val="0"/>
    <w:rPr>
      <w:b/>
    </w:rPr>
  </w:style>
  <w:style w:type="character" w:customStyle="1" w:styleId="11">
    <w:name w:val="标题 2 Char"/>
    <w:link w:val="2"/>
    <w:autoRedefine/>
    <w:qFormat/>
    <w:uiPriority w:val="0"/>
    <w:rPr>
      <w:rFonts w:ascii="Arial" w:hAnsi="Arial" w:eastAsia="方正黑体简体"/>
      <w:b/>
      <w:sz w:val="32"/>
    </w:rPr>
  </w:style>
  <w:style w:type="paragraph" w:customStyle="1" w:styleId="12">
    <w:name w:val="文件格式"/>
    <w:autoRedefine/>
    <w:qFormat/>
    <w:uiPriority w:val="99"/>
    <w:pPr>
      <w:spacing w:line="460" w:lineRule="atLeast"/>
      <w:ind w:left="1" w:firstLine="419"/>
      <w:jc w:val="both"/>
      <w:textAlignment w:val="bottom"/>
    </w:pPr>
    <w:rPr>
      <w:rFonts w:ascii="Times New Roman" w:hAnsi="Times New Roman" w:eastAsia="宋体" w:cs="Times New Roman"/>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依申请公开情况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delete val="1"/>
          </c:dLbls>
          <c:cat>
            <c:strRef>
              <c:f>Sheet1!$A$2</c:f>
              <c:strCache>
                <c:ptCount val="1"/>
                <c:pt idx="0">
                  <c:v>数量</c:v>
                </c:pt>
              </c:strCache>
            </c:strRef>
          </c:cat>
          <c:val>
            <c:numRef>
              <c:f>Sheet1!$B$2</c:f>
              <c:numCache>
                <c:formatCode>General</c:formatCode>
                <c:ptCount val="1"/>
                <c:pt idx="0">
                  <c:v>4</c:v>
                </c:pt>
              </c:numCache>
            </c:numRef>
          </c:val>
        </c:ser>
        <c:ser>
          <c:idx val="1"/>
          <c:order val="1"/>
          <c:tx>
            <c:strRef>
              <c:f>Sheet1!$C$1</c:f>
              <c:strCache>
                <c:ptCount val="1"/>
                <c:pt idx="0">
                  <c:v>2025年</c:v>
                </c:pt>
              </c:strCache>
            </c:strRef>
          </c:tx>
          <c:spPr>
            <a:solidFill>
              <a:schemeClr val="accent2"/>
            </a:solidFill>
            <a:ln>
              <a:noFill/>
            </a:ln>
            <a:effectLst/>
          </c:spPr>
          <c:invertIfNegative val="0"/>
          <c:dLbls>
            <c:delete val="1"/>
          </c:dLbls>
          <c:cat>
            <c:strRef>
              <c:f>Sheet1!$A$2</c:f>
              <c:strCache>
                <c:ptCount val="1"/>
                <c:pt idx="0">
                  <c:v>数量</c:v>
                </c:pt>
              </c:strCache>
            </c:strRef>
          </c:cat>
          <c:val>
            <c:numRef>
              <c:f>Sheet1!$C$2</c:f>
              <c:numCache>
                <c:formatCode>General</c:formatCode>
                <c:ptCount val="1"/>
                <c:pt idx="0">
                  <c:v>17</c:v>
                </c:pt>
              </c:numCache>
            </c:numRef>
          </c:val>
        </c:ser>
        <c:dLbls>
          <c:showLegendKey val="0"/>
          <c:showVal val="0"/>
          <c:showCatName val="0"/>
          <c:showSerName val="0"/>
          <c:showPercent val="0"/>
          <c:showBubbleSize val="0"/>
        </c:dLbls>
        <c:gapWidth val="246"/>
        <c:overlap val="-28"/>
        <c:axId val="592760293"/>
        <c:axId val="219522098"/>
      </c:barChart>
      <c:catAx>
        <c:axId val="5927602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9522098"/>
        <c:crosses val="autoZero"/>
        <c:auto val="1"/>
        <c:lblAlgn val="ctr"/>
        <c:lblOffset val="100"/>
        <c:noMultiLvlLbl val="0"/>
      </c:catAx>
      <c:valAx>
        <c:axId val="21952209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7602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af8828d-1433-45e0-8309-aa441e39afd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1769</Words>
  <Characters>1853</Characters>
  <Lines>0</Lines>
  <Paragraphs>0</Paragraphs>
  <TotalTime>122</TotalTime>
  <ScaleCrop>false</ScaleCrop>
  <LinksUpToDate>false</LinksUpToDate>
  <CharactersWithSpaces>1853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苍白的岁月</cp:lastModifiedBy>
  <dcterms:modified xsi:type="dcterms:W3CDTF">2026-01-19T05:39:28Z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2FA4985875E6418091F0522B9F620F71_13</vt:lpwstr>
  </property>
  <property fmtid="{D5CDD505-2E9C-101B-9397-08002B2CF9AE}" pid="4" name="KSOTemplateDocerSaveRecord">
    <vt:lpwstr>eyJoZGlkIjoiMjlmMGEzNmE1MWFkYTJkMWU1MDY1YTU3OTU0ZmY2YTgiLCJ1c2VySWQiOiIzNDY3OTI0OTAifQ==</vt:lpwstr>
  </property>
</Properties>
</file>