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BFBF6">
      <w:pPr>
        <w:pStyle w:val="4"/>
        <w:widowControl/>
        <w:shd w:val="clear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  <w:bookmarkStart w:id="1" w:name="_GoBack"/>
    </w:p>
    <w:p w14:paraId="49E060CA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退役军人事务局2024年政府信息公开工作</w:t>
      </w:r>
    </w:p>
    <w:p w14:paraId="24FD814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年度报告</w:t>
      </w:r>
    </w:p>
    <w:p w14:paraId="43750B1A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2" w:firstLineChars="200"/>
        <w:jc w:val="both"/>
        <w:textAlignment w:val="auto"/>
        <w:rPr>
          <w:rFonts w:hint="eastAsia" w:ascii="Times New Roman" w:hAnsi="Times New Roman" w:cs="宋体"/>
          <w:b/>
        </w:rPr>
      </w:pPr>
    </w:p>
    <w:p w14:paraId="138B5245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Style w:val="7"/>
          <w:rFonts w:ascii="Times New Roman" w:hAnsi="Times New Roman" w:eastAsia="方正仿宋简体" w:cs="方正仿宋简体"/>
          <w:sz w:val="32"/>
          <w:szCs w:val="32"/>
        </w:rPr>
      </w:pP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本报告由</w:t>
      </w: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  <w:lang w:val="en-US" w:eastAsia="zh-CN"/>
        </w:rPr>
        <w:t>泗水县</w:t>
      </w: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  <w:u w:val="none"/>
        </w:rPr>
        <w:t>退役军人事务局</w:t>
      </w: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54DEE9A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664C2527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本报告所列数据的统计期限自2024年1月1日起至2024年12月31日止。本报告电子版可在泗水县人民政府门户网站（www.sishui.gov.cn）查阅或下载。如对本报告有疑问，请与泗水县退役军人事务局联系（地址：泗水县泉鑫路5号，联系电话：</w:t>
      </w: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0537-</w:t>
      </w: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4360801）。</w:t>
      </w:r>
    </w:p>
    <w:p w14:paraId="6750AC00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一、总体情况</w:t>
      </w:r>
    </w:p>
    <w:p w14:paraId="1D26B80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2024</w:t>
      </w: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年，在县委、县政府的正确领导下，我局认真贯彻落实《条例》，紧密结合退役军人工作实际，不断规范和加大信息公开力度，不断推进行政权力公开透明运行，不断推动政府信息公开工作深入开展，主动公开政府信息，认真办理落实了公开政府信息的各项工作任务并取得了一定成效。现将2024年度政府信息公开工作报告如下：</w:t>
      </w:r>
    </w:p>
    <w:p w14:paraId="67203C0C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kern w:val="2"/>
          <w:sz w:val="32"/>
          <w:szCs w:val="32"/>
          <w:lang w:val="en-US" w:eastAsia="zh-CN" w:bidi="ar-SA"/>
        </w:rPr>
        <w:t>（一）</w:t>
      </w:r>
      <w:r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  <w:t>主动公开</w:t>
      </w:r>
      <w:r>
        <w:rPr>
          <w:rStyle w:val="7"/>
          <w:rFonts w:ascii="Times New Roman" w:hAnsi="Times New Roman" w:eastAsia="方正楷体简体" w:cs="方正楷体简体"/>
          <w:sz w:val="32"/>
          <w:szCs w:val="32"/>
        </w:rPr>
        <w:t>情况</w:t>
      </w:r>
    </w:p>
    <w:p w14:paraId="0A09F19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Style w:val="7"/>
          <w:rFonts w:hint="eastAsia" w:ascii="Times New Roman" w:hAnsi="Times New Roman" w:eastAsia="方正仿宋简体" w:cs="方正仿宋简体"/>
          <w:sz w:val="32"/>
          <w:szCs w:val="32"/>
        </w:rPr>
        <w:t>2024年，县退役军人事务局充分结合退役军人工作实际，认真做好政务公开和公开内容审查工作，建立健全局机关信息公开体制机制，充分发挥政务公开工作领导小组作用，将公开工作融入退役军人工作日常、细化到各科室人员，切实夯实政务公开基础保障。2024年全年，在政府门户网站共发布信息</w:t>
      </w:r>
      <w:r>
        <w:rPr>
          <w:rStyle w:val="7"/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4</w:t>
      </w:r>
      <w:r>
        <w:rPr>
          <w:rStyle w:val="7"/>
          <w:rFonts w:hint="eastAsia" w:ascii="Times New Roman" w:hAnsi="Times New Roman" w:eastAsia="方正仿宋简体" w:cs="方正仿宋简体"/>
          <w:sz w:val="32"/>
          <w:szCs w:val="32"/>
        </w:rPr>
        <w:t>2条，其中，政务公开4条、业务动态3</w:t>
      </w:r>
      <w:r>
        <w:rPr>
          <w:rStyle w:val="7"/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5</w:t>
      </w:r>
      <w:r>
        <w:rPr>
          <w:rStyle w:val="7"/>
          <w:rFonts w:hint="eastAsia" w:ascii="Times New Roman" w:hAnsi="Times New Roman" w:eastAsia="方正仿宋简体" w:cs="方正仿宋简体"/>
          <w:sz w:val="32"/>
          <w:szCs w:val="32"/>
        </w:rPr>
        <w:t>条、行政执法年报1条、财务预决算公开2条。</w:t>
      </w:r>
    </w:p>
    <w:p w14:paraId="4F33B2FA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  <w:t>依申请公开情况</w:t>
      </w:r>
    </w:p>
    <w:p w14:paraId="582A86B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2024年度，泗水县退役军人事务局未收到依申请公开政府信息办理事项。</w:t>
      </w:r>
    </w:p>
    <w:p w14:paraId="0463263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kern w:val="2"/>
          <w:sz w:val="32"/>
          <w:szCs w:val="32"/>
          <w:lang w:val="en-US" w:eastAsia="zh-CN" w:bidi="ar-SA"/>
        </w:rPr>
        <w:t>（三）</w:t>
      </w:r>
      <w:r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  <w:t>政府信息管理情况</w:t>
      </w:r>
    </w:p>
    <w:p w14:paraId="5A6BA168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为使政府信息公开工作不流于形式，使政府信息公开工作成为一种自觉的意识和行为，我局调整了政府信息公开工作领导小组，成立了由局主要领导为组长、分管领导为副组长、机关科室各负责人为成员的政府信息公开工作领导小组，下设办公室，明确办公室牵头政府信息公开工作，具体负责政府信息公开内容上报、更新、维护、组织协调等日常工作。各科室提供信息，由办公室专人负责收集、整理政府信息，统一发布，做到了一级抓一级，层层抓落实，形成了职责分明、分工合理、各负其责、齐抓共管的工作局面。坚持做到政府信息公开与退役军人业务工作同安排、同部署、同检查，保证政府信息公开工作年初有计划，年终有总结</w:t>
      </w:r>
      <w:r>
        <w:rPr>
          <w:rFonts w:hint="eastAsia" w:ascii="Times New Roman" w:hAnsi="Times New Roman" w:eastAsia="仿宋_GB2312"/>
          <w:b/>
          <w:sz w:val="32"/>
          <w:szCs w:val="32"/>
        </w:rPr>
        <w:t>。</w:t>
      </w:r>
    </w:p>
    <w:p w14:paraId="0DFEBD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kern w:val="2"/>
          <w:sz w:val="32"/>
          <w:szCs w:val="32"/>
          <w:lang w:val="en-US" w:eastAsia="zh-CN" w:bidi="ar-SA"/>
        </w:rPr>
        <w:t>（四）</w:t>
      </w:r>
      <w:r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  <w:t>政府信息公开平台建设情况</w:t>
      </w:r>
    </w:p>
    <w:p w14:paraId="350E42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为进一步完善退役军人事务局政府信息公开工作机制，确保各类信息公开按规定程序及时公开，我局着眼于建立政府信息公开长效机制。建立健全了以局各科室及下属事业单位提供信息为基础，由办公室专人汇总收集各类信息，建立按规定程序办理政府信息公开的工作机制。对涉及退役军人业务的规章及规范性文件进行全面收集、整理。严格遵循政府信息公开基本原则，公开不涉密，涉密不公开，做到依法公开，注重实效。 </w:t>
      </w:r>
    </w:p>
    <w:p w14:paraId="40DE171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</w:pPr>
      <w:r>
        <w:rPr>
          <w:rFonts w:hint="eastAsia" w:ascii="Times New Roman" w:hAnsi="Times New Roman" w:eastAsia="方正楷体简体" w:cs="方正楷体简体"/>
          <w:b/>
          <w:kern w:val="2"/>
          <w:sz w:val="32"/>
          <w:szCs w:val="32"/>
          <w:lang w:val="en-US" w:eastAsia="zh-CN" w:bidi="ar-SA"/>
        </w:rPr>
        <w:t>（五）</w:t>
      </w:r>
      <w:r>
        <w:rPr>
          <w:rStyle w:val="7"/>
          <w:rFonts w:hint="eastAsia" w:ascii="Times New Roman" w:hAnsi="Times New Roman" w:eastAsia="方正楷体简体" w:cs="方正楷体简体"/>
          <w:sz w:val="32"/>
          <w:szCs w:val="32"/>
        </w:rPr>
        <w:t>监督保障情况</w:t>
      </w:r>
    </w:p>
    <w:p w14:paraId="1A08034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县退役军人局严格落实政务公开工作审批程序，不断完善政务公开工作机制和流程，建立常态化政务公开管理机制，压实政务公开工作责任制，将政务公开工作完成质量纳入工作人员年度考核指标；积极开展政务公开工作培训，认真学习政务公开章程和程序制度。</w:t>
      </w:r>
    </w:p>
    <w:p w14:paraId="494399DF"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C93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3361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261C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82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83C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08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9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44D1B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E7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D76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7B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21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Calibri"/>
                <w:b/>
                <w:kern w:val="0"/>
                <w:szCs w:val="21"/>
                <w:lang w:bidi="ar"/>
              </w:rPr>
              <w:t>0</w:t>
            </w:r>
            <w:r>
              <w:rPr>
                <w:rFonts w:ascii="Times New Roman" w:hAnsi="Times New Roman" w:cs="Calibri"/>
                <w:b/>
                <w:kern w:val="0"/>
                <w:szCs w:val="21"/>
                <w:lang w:bidi="ar"/>
              </w:rPr>
              <w:t> </w:t>
            </w:r>
          </w:p>
        </w:tc>
      </w:tr>
      <w:tr w14:paraId="5AEAF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6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9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66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A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168C4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39B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3A76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DF2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B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82E1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F4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9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67D47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4C0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137DA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20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792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07CF0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6F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E6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7F007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D3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95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1C550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24E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35E5C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9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5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3B6F9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E41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 w:cs="宋体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77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0</w:t>
            </w:r>
          </w:p>
        </w:tc>
      </w:tr>
    </w:tbl>
    <w:p w14:paraId="2F899E47">
      <w:pPr>
        <w:pStyle w:val="4"/>
        <w:widowControl/>
        <w:shd w:val="clear"/>
        <w:spacing w:before="0" w:beforeAutospacing="0" w:after="0" w:afterAutospacing="0"/>
        <w:ind w:firstLine="643" w:firstLineChars="200"/>
        <w:jc w:val="both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single" w:color="9BBB59" w:themeColor="accent3" w:sz="12" w:space="0"/>
          <w:left w:val="single" w:color="9BBB59" w:themeColor="accent3" w:sz="12" w:space="0"/>
          <w:bottom w:val="single" w:color="9BBB59" w:themeColor="accent3" w:sz="12" w:space="0"/>
          <w:right w:val="single" w:color="9BBB59" w:themeColor="accent3" w:sz="12" w:space="0"/>
          <w:insideH w:val="single" w:color="9BBB59" w:themeColor="accent3" w:sz="4" w:space="0"/>
          <w:insideV w:val="single" w:color="9BBB59" w:themeColor="accent3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689"/>
      </w:tblGrid>
      <w:tr w14:paraId="5D5EE5F5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BF08F8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9BBB59" w:themeColor="accent3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ascii="Times New Roman" w:hAnsi="Times New Roman" w:eastAsia="楷体" w:cs="楷体"/>
                <w:b/>
                <w:bCs w:val="0"/>
                <w:i w:val="0"/>
                <w:color w:val="9BBB59" w:themeColor="accent3"/>
                <w:kern w:val="0"/>
                <w:sz w:val="20"/>
                <w:szCs w:val="20"/>
                <w:lang w:bidi="ar"/>
                <w14:textFill>
                  <w14:solidFill>
                    <w14:schemeClr w14:val="accent3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66DC10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9BBB59" w:themeColor="accent3"/>
                <w14:textFill>
                  <w14:solidFill>
                    <w14:schemeClr w14:val="accent3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9BBB59" w:themeColor="accent3"/>
                <w:kern w:val="0"/>
                <w:sz w:val="20"/>
                <w:szCs w:val="20"/>
                <w:lang w:bidi="ar"/>
                <w14:textFill>
                  <w14:solidFill>
                    <w14:schemeClr w14:val="accent3"/>
                  </w14:solidFill>
                </w14:textFill>
              </w:rPr>
              <w:t>申请人情况</w:t>
            </w:r>
          </w:p>
        </w:tc>
      </w:tr>
      <w:tr w14:paraId="0A843394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108" w:type="dxa"/>
              <w:right w:w="108" w:type="dxa"/>
            </w:tcMar>
            <w:vAlign w:val="center"/>
          </w:tcPr>
          <w:p w14:paraId="20CCD093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A9AF49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108" w:type="dxa"/>
              <w:right w:w="108" w:type="dxa"/>
            </w:tcMar>
            <w:vAlign w:val="center"/>
          </w:tcPr>
          <w:p w14:paraId="2BC6B73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108" w:type="dxa"/>
              <w:right w:w="108" w:type="dxa"/>
            </w:tcMar>
            <w:vAlign w:val="center"/>
          </w:tcPr>
          <w:p w14:paraId="71B8BFF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12F062D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D43342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8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E1B3CC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1604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商业</w:t>
            </w:r>
          </w:p>
          <w:p w14:paraId="0B73510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F7656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科研</w:t>
            </w:r>
          </w:p>
          <w:p w14:paraId="36D13DC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0D239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B3A2E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AC848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E3BF46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</w:tr>
      <w:tr w14:paraId="2B39325D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D1BB310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4BBE0E0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65B357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07E850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034ECF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3C937C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D331F1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E2FCEC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AE92558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DE68D97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7E8CC8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8F1A4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CB950D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BA84BE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5C769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25C89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967F28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1ADD8C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E4B76F7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6B7E75B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4666B5D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778B16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F293AE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19E758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15EE82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0E2637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B3F4AB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991CB4A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7809F00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3A2467B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9D5CCC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14A6B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E49DF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D5B5B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14F59E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7A5312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ED5510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5221AF3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722117E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1D024FF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175B8082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5E0D3D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60517E5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5B66A43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CB3F78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1E721CC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153C880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5556552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71F55B0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523B9D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4F7D252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23E20A9D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036F63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95B8BF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3B89A0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27FD9D4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EEB8D6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B2A214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7D0486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70A5C45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306A326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72AE7A0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73EA4C19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60E746C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0DD562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259130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2E3EBC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7A12F8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0BB42A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60FC04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287A4A5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7E72116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E24D9D6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282D8C16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4EC1F3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18D99F1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3D1DF4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D58F4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273EB9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CCCB5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D7D708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24C5B28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92F3211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8B99908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BB42022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299F24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224F477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4F2E1E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3AE137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20BD5B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D4A0BF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9C55EB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58A2FBE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BE1D190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00E372B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0EA04B0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0F5CBFC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AC3CED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F52D9F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DD9A9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B8B6C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0EC7C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A16BCE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CD33247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32F613A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87EEEA0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89515DF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11AF549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22B2704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D657AE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008BA4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D5FBFB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13F745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7EDB856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342116A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EA574C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62B9862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226D8F5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22898F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2B0AE4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1E1AAE0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143831A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1F73B68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075E6CE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BE06C4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701C8B4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E36AB6A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0C51A17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54BBA07B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F67B82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21FD500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A47A51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5C4A2B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839B82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12C926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CDAE95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517BBB1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21F149F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2BA5E78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41A506C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5D3426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A212DE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1D0B477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36A2E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37E4CD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9C40A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95D41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189993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3DF5887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823C172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77ADD81F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7C7368B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3F1CEE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584042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37F319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4444824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CAECDE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CF5F06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EC580B9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8A12F03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F2BFA7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231EF464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075889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0423E1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D77C76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A7B89C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AEB66C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D0CB51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F7689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1BE033D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E718C55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4C42A60D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1FF61FE4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2AFD50E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13E1A6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6FCBD7A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F3665D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365E6B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83AC2D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EADE4E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EDAE12F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03CF639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11F0DF1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B29CC50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F65CEC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589DB8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0C2D8DA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78E3B0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80FB5B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C9113A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CDEFC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4AD0DA9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C36504A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C37CA26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6EF817DB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7A4CF05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3BE6103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A480D7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4DB1897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2B9E0FB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B54BAB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top"/>
          </w:tcPr>
          <w:p w14:paraId="09AB7C1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10C105E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B56050B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9581FD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F3A0512">
            <w:pPr>
              <w:widowControl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6CAA912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5358E2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7CE2DC5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1EA542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4E14141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36E3422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top"/>
          </w:tcPr>
          <w:p w14:paraId="5218BB5C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91EC19E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EE6B803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40A728B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D48966B">
            <w:pPr>
              <w:widowControl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409BB7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17297F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879BEB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379821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4B91B4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1055E0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29BF401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9D34FE1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34CF2C8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A00FE4A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1DD12EC">
            <w:pPr>
              <w:widowControl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FDAD1B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1D58C4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65F7F7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BE2F61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E5093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2803E0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ABA10F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385DA9A0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A2E2222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4DE38CDE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321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1D466AF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CBDFA1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244EBE0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874E3C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E7C89B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EF1D4E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3C6E8A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78A857B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36A580F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F1AEA7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4162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98DE897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45BCE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21BE11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64C5D6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52683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A0F35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08D276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47DF793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9F76566">
        <w:tblPrEx>
          <w:tblBorders>
            <w:top w:val="single" w:color="9BBB59" w:themeColor="accent3" w:sz="12" w:space="0"/>
            <w:left w:val="single" w:color="9BBB59" w:themeColor="accent3" w:sz="12" w:space="0"/>
            <w:bottom w:val="single" w:color="9BBB59" w:themeColor="accent3" w:sz="12" w:space="0"/>
            <w:right w:val="single" w:color="9BBB59" w:themeColor="accent3" w:sz="12" w:space="0"/>
            <w:insideH w:val="single" w:color="9BBB59" w:themeColor="accent3" w:sz="4" w:space="0"/>
            <w:insideV w:val="single" w:color="9BBB59" w:themeColor="accent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1B6DF9F2">
            <w:pPr>
              <w:widowControl/>
              <w:jc w:val="left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CBA0F7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5A44A1C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2C3C65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24CA84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63A531B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0DC520F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F5F8EE" w:themeFill="accent3" w:themeFillTint="19"/>
            <w:noWrap w:val="0"/>
            <w:tcMar>
              <w:left w:w="57" w:type="dxa"/>
              <w:right w:w="57" w:type="dxa"/>
            </w:tcMar>
            <w:vAlign w:val="center"/>
          </w:tcPr>
          <w:p w14:paraId="3EC5E2E8">
            <w:pPr>
              <w:widowControl/>
              <w:jc w:val="center"/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Times New Roman" w:hAnsi="Times New Roman" w:cs="Calibri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50EC6630">
      <w:pPr>
        <w:widowControl/>
        <w:shd w:val="clear"/>
        <w:jc w:val="center"/>
        <w:rPr>
          <w:rFonts w:hint="eastAsia" w:ascii="Times New Roman" w:hAnsi="Times New Roman" w:cs="宋体"/>
          <w:b/>
          <w:sz w:val="24"/>
        </w:rPr>
      </w:pPr>
    </w:p>
    <w:p w14:paraId="17AA5DA0">
      <w:pPr>
        <w:shd w:val="clear"/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br w:type="page"/>
      </w:r>
    </w:p>
    <w:p w14:paraId="58405A43">
      <w:pPr>
        <w:pStyle w:val="4"/>
        <w:widowControl/>
        <w:shd w:val="clear"/>
        <w:spacing w:before="0" w:beforeAutospacing="0" w:after="0" w:afterAutospacing="0"/>
        <w:ind w:firstLine="643" w:firstLineChars="200"/>
        <w:jc w:val="both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四、政府信息公开行政复议、行政诉讼情况</w:t>
      </w:r>
    </w:p>
    <w:p w14:paraId="2A078360">
      <w:pPr>
        <w:widowControl/>
        <w:shd w:val="clear"/>
        <w:jc w:val="center"/>
        <w:rPr>
          <w:rFonts w:hint="eastAsia" w:ascii="Times New Roman" w:hAnsi="Times New Roman" w:cs="宋体"/>
          <w:b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46FB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noWrap w:val="0"/>
            <w:tcMar>
              <w:left w:w="108" w:type="dxa"/>
              <w:right w:w="108" w:type="dxa"/>
            </w:tcMar>
            <w:vAlign w:val="center"/>
          </w:tcPr>
          <w:p w14:paraId="4A37C10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FFFFFF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FFFFFF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79646" w:themeFill="accent6"/>
            <w:noWrap w:val="0"/>
            <w:tcMar>
              <w:left w:w="108" w:type="dxa"/>
              <w:right w:w="108" w:type="dxa"/>
            </w:tcMar>
            <w:vAlign w:val="center"/>
          </w:tcPr>
          <w:p w14:paraId="2F8867A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FFFFFF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FFFFFF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58F8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AAB7F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563DB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4B150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66293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D915B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F2EAB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nil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0C5E50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BB5FA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324D57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5AE021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776CBF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7C5008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28B591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684F6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44575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4D6E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8A30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59A4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F0FE28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DAEF1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9B6D4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E4FCC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BD4B4" w:themeColor="accent6" w:themeTint="6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17DD1B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cs="宋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30AB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D4C6E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 </w:t>
            </w:r>
            <w:bookmarkStart w:id="0" w:name="OLE_LINK1"/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  <w:bookmarkEnd w:id="0"/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BF695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E32A32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2115BE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F22FD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CD356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6E9354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269AD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B14165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94C2AA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7CE897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291B6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21ACAF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B6BD59">
            <w:pPr>
              <w:widowControl/>
              <w:jc w:val="center"/>
              <w:rPr>
                <w:rFonts w:ascii="Times New Roman" w:hAnsi="Times New Roman"/>
                <w:b/>
                <w:bCs w:val="0"/>
                <w:i w:val="0"/>
                <w:color w:val="000000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single" w:color="FBD4B4" w:themeColor="accent6" w:themeTint="66" w:sz="6" w:space="0"/>
              <w:left w:val="nil"/>
              <w:bottom w:val="single" w:color="F79646" w:themeColor="accent6" w:sz="6" w:space="0"/>
              <w:righ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5DE260">
            <w:pPr>
              <w:rPr>
                <w:rFonts w:hint="eastAsia" w:ascii="Times New Roman" w:hAnsi="Times New Roman"/>
                <w:b/>
                <w:bCs w:val="0"/>
                <w:i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 w:cs="黑体"/>
                <w:b/>
                <w:bCs w:val="0"/>
                <w:i w:val="0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0216C3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五、存在的主要问题及改进情况</w:t>
      </w:r>
    </w:p>
    <w:p w14:paraId="3E0275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0"/>
        <w:jc w:val="both"/>
        <w:textAlignment w:val="auto"/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（一）存在问题。通过对本年度政府信息公开工作认真分析，工作中仍存在一些不足。一是公开内容的深度和广度有待拓展，部分信息公开还停留在表面，对一些涉及群众切身利益的政策举措解读不够深入细致，未能充分满足群众对政务信息的多元化需求。二是政务公开工作队伍的专业能力有待加强，工作人员多数为兼职人员，政务公开工作涉及面广、专业性强，部分工作人员对政务公开政策法规、业务知识的掌握还不够扎实。三是政务公开的互动性有待提升，需要进一步增强服务意识，通过政务信息公开方式多样化，提供主动推送服务，进一步提升对退役军人的关注度。</w:t>
      </w:r>
    </w:p>
    <w:p w14:paraId="6CF5645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30"/>
        <w:jc w:val="both"/>
        <w:textAlignment w:val="auto"/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</w:pP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（二）改进情况。我局将从以下三个方面改进提升政府信息公开工作：一是加强信息公开工作人员同业务</w:t>
      </w:r>
      <w:r>
        <w:rPr>
          <w:rStyle w:val="7"/>
          <w:rFonts w:hint="eastAsia" w:ascii="Times New Roman" w:hAnsi="Times New Roman" w:eastAsia="方正仿宋简体" w:cs="方正仿宋简体"/>
          <w:kern w:val="2"/>
          <w:sz w:val="32"/>
          <w:szCs w:val="32"/>
        </w:rPr>
        <w:t>科室</w:t>
      </w:r>
      <w:r>
        <w:rPr>
          <w:rStyle w:val="7"/>
          <w:rFonts w:ascii="Times New Roman" w:hAnsi="Times New Roman" w:eastAsia="方正仿宋简体" w:cs="方正仿宋简体"/>
          <w:kern w:val="2"/>
          <w:sz w:val="32"/>
          <w:szCs w:val="32"/>
        </w:rPr>
        <w:t>部门的衔接与沟通，将信息收集与公开同步进行，提高信息的时效性，及时发布和更新，确保信息的及时、准确、全面；二是加强对信息公开工作人员的培训，提升工作人员对政务公开政策法规和业务知识的掌握程度，提高政务公开工作的专业性和规范性。三是深化公开内容，注重拓展深度和广度，加强对涉及退役军人切身利益的政策举措的解读和宣传，确保群众能够及时、准确地获取所需信息。同时，积极回应社会关切，增强政务公开信息的针对性和实效性。</w:t>
      </w:r>
    </w:p>
    <w:p w14:paraId="7EFF9EB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方正黑体简体" w:cs="黑体"/>
          <w:b/>
          <w:sz w:val="32"/>
          <w:szCs w:val="32"/>
        </w:rPr>
      </w:pPr>
      <w:r>
        <w:rPr>
          <w:rFonts w:hint="eastAsia" w:ascii="Times New Roman" w:hAnsi="Times New Roman" w:eastAsia="方正黑体简体" w:cs="黑体"/>
          <w:b/>
          <w:sz w:val="32"/>
          <w:szCs w:val="32"/>
          <w:shd w:val="clear" w:color="auto" w:fill="FFFFFF"/>
        </w:rPr>
        <w:t>六、其他需要报告的事项</w:t>
      </w:r>
    </w:p>
    <w:p w14:paraId="182D8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微软雅黑" w:cs="微软雅黑"/>
          <w:color w:val="333333"/>
          <w:sz w:val="24"/>
        </w:rPr>
        <w:t>（</w:t>
      </w:r>
      <w:r>
        <w:rPr>
          <w:rFonts w:hint="eastAsia" w:ascii="Times New Roman" w:hAnsi="Times New Roman" w:eastAsia="仿宋_GB2312"/>
          <w:b/>
          <w:sz w:val="32"/>
          <w:szCs w:val="32"/>
        </w:rPr>
        <w:t>一）依据《政府信息公开信息处理费管理办法》，泗水县退役军人事务局所有政府信息公开均为主动公开，未收取信息处理费。</w:t>
      </w:r>
    </w:p>
    <w:p w14:paraId="780BF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（二）2024年，县退役军人事务局严格执行县政府2024年度政务公开工作任务分解的安排，结合我单位工作重点，修订完善了《泗水县退役军人事务局政务公开工作方案》，明确了具体工作任务，全面畅通公开渠道，丰富公开形式，利用政务公开平台、爱泗水APP等新媒体平台公开各类信息，切实提高了政务公开的质量和标准。</w:t>
      </w:r>
    </w:p>
    <w:p w14:paraId="15668B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（三）2024年我局未承办人大代表建议和政协委员提案。</w:t>
      </w:r>
    </w:p>
    <w:p w14:paraId="74797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Style w:val="7"/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（四）县退役军人事务局不断推进政务公开工作创新发展，有力推动了政务公开工作高质量提升。县退役军人事务局充分利用泗水县政府网站、</w:t>
      </w:r>
      <w:r>
        <w:rPr>
          <w:rFonts w:hint="eastAsia" w:ascii="Times New Roman" w:hAnsi="Times New Roman" w:cs="宋体"/>
          <w:b/>
          <w:sz w:val="32"/>
          <w:szCs w:val="32"/>
        </w:rPr>
        <w:t>微信服务群等</w:t>
      </w:r>
      <w:r>
        <w:rPr>
          <w:rFonts w:hint="eastAsia" w:ascii="Times New Roman" w:hAnsi="Times New Roman" w:eastAsia="仿宋_GB2312"/>
          <w:b/>
          <w:sz w:val="32"/>
          <w:szCs w:val="32"/>
        </w:rPr>
        <w:t>新媒体平台，及时公布退役军人招聘信息、政府安排就业退役军人选岗信息等退役军人关注的问题信息，及时回应关切，不断增强退役军人信息发布的及时性和针对性。建立舆情回应和协调联动机制，及时、稳妥做好突发舆情回应工作。</w:t>
      </w:r>
    </w:p>
    <w:p w14:paraId="27E4AF89">
      <w:pPr>
        <w:rPr>
          <w:rFonts w:ascii="Times New Roman" w:hAnsi="Times New Roman"/>
          <w:b/>
        </w:rPr>
      </w:pPr>
    </w:p>
    <w:bookmarkEnd w:id="1"/>
    <w:sectPr>
      <w:footerReference r:id="rId3" w:type="default"/>
      <w:pgSz w:w="11906" w:h="16838"/>
      <w:pgMar w:top="2098" w:right="1531" w:bottom="1531" w:left="1531" w:header="851" w:footer="14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2989FF-663D-47AB-8828-FE9BDC2FD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B95E98-7B4C-4831-9471-AABEE2D475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4F1781-0BED-4870-9AA4-0CFFACC3951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0960009-0B38-40BC-9307-04039009FCB1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4485229-0C24-4250-B9E9-6420EFC70536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6" w:fontKey="{4A2598F5-EBCC-4469-A834-9AA40CBADC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78E2378-90DA-4743-BB9E-9F5EAC0C4C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463C1B65-8BFB-4C72-B047-58DBC695AD4C}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522B3590-CB60-49B8-BFF7-C065A326B6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AD1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5E7E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5E7E2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D29F"/>
    <w:rsid w:val="00207DEA"/>
    <w:rsid w:val="008E5D71"/>
    <w:rsid w:val="0B02195E"/>
    <w:rsid w:val="0DCA7BBC"/>
    <w:rsid w:val="17C270E8"/>
    <w:rsid w:val="1FA450C8"/>
    <w:rsid w:val="1FB1697B"/>
    <w:rsid w:val="234B7263"/>
    <w:rsid w:val="26F06893"/>
    <w:rsid w:val="2DC412A4"/>
    <w:rsid w:val="324B6718"/>
    <w:rsid w:val="3266179C"/>
    <w:rsid w:val="37FFD29F"/>
    <w:rsid w:val="41BC3913"/>
    <w:rsid w:val="46352A5B"/>
    <w:rsid w:val="47B70D26"/>
    <w:rsid w:val="47E863B1"/>
    <w:rsid w:val="4C8670D9"/>
    <w:rsid w:val="58A042EB"/>
    <w:rsid w:val="61C9695C"/>
    <w:rsid w:val="6E9B4ADF"/>
    <w:rsid w:val="71D30673"/>
    <w:rsid w:val="79D950CD"/>
    <w:rsid w:val="7BC32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2763</Words>
  <Characters>2841</Characters>
  <Lines>27</Lines>
  <Paragraphs>7</Paragraphs>
  <TotalTime>148</TotalTime>
  <ScaleCrop>false</ScaleCrop>
  <LinksUpToDate>false</LinksUpToDate>
  <CharactersWithSpaces>3031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2025-01-21T01:39:00Z</dcterms:created>
  <dc:creator>user</dc:creator>
  <cp:lastModifiedBy>WPS_1661510369</cp:lastModifiedBy>
  <dcterms:modified xsi:type="dcterms:W3CDTF">2025-01-21T06:05:33Z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E94EBD4DDEC74543B62146E993F50941_13</vt:lpwstr>
  </property>
  <property fmtid="{D5CDD505-2E9C-101B-9397-08002B2CF9AE}" pid="4" name="KSOTemplateDocerSaveRecord">
    <vt:lpwstr>eyJoZGlkIjoiNDU0ZTA0ZmQyOTlkODVmMjc2N2E1YTQ2ZGFkNzk3OWIiLCJ1c2VySWQiOiIxMzk2NDg5MTM2In0=</vt:lpwstr>
  </property>
</Properties>
</file>