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泗水县</w:t>
      </w:r>
      <w:r>
        <w:rPr>
          <w:rFonts w:hint="eastAsia" w:ascii="方正小标宋简体" w:hAnsi="方正小标宋简体" w:eastAsia="方正小标宋简体" w:cs="方正小标宋简体"/>
          <w:sz w:val="44"/>
          <w:szCs w:val="44"/>
          <w:lang w:val="en-US" w:eastAsia="zh-CN"/>
        </w:rPr>
        <w:t>国有企业发展促进中心</w:t>
      </w:r>
      <w:r>
        <w:rPr>
          <w:rFonts w:hint="eastAsia" w:ascii="方正小标宋简体" w:hAnsi="方正小标宋简体" w:eastAsia="方正小标宋简体" w:cs="方正小标宋简体"/>
          <w:sz w:val="44"/>
          <w:szCs w:val="44"/>
        </w:rPr>
        <w:t>2021年政府信息公开工作年度报告</w:t>
      </w:r>
    </w:p>
    <w:p>
      <w:pPr>
        <w:pStyle w:val="2"/>
        <w:keepNext w:val="0"/>
        <w:keepLines w:val="0"/>
        <w:widowControl/>
        <w:suppressLineNumbers w:val="0"/>
        <w:spacing w:before="0" w:beforeAutospacing="0" w:after="0" w:afterAutospacing="0" w:line="420" w:lineRule="atLeast"/>
        <w:ind w:left="0" w:right="0" w:firstLine="420"/>
        <w:jc w:val="left"/>
        <w:rPr>
          <w:rFonts w:hint="default" w:asciiTheme="minorHAnsi" w:hAnsiTheme="minorHAnsi" w:eastAsiaTheme="minorEastAsia" w:cstheme="minorBidi"/>
          <w:kern w:val="2"/>
          <w:sz w:val="21"/>
          <w:szCs w:val="24"/>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本报告由泗水县国有企业发展促进中心按照《中华人民共和国政府信息公开条例》（以下简称《条例》）和《中华人民共和国政府信息公开工作年度报告格式》（国办公开办函〔2021〕30号）要求编制。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本报告中所列数据的统计期限自2021年1月1日起至2021年12月31日止。本报告的电子版可在“中国·泗水”政府门户网站（www.sishui. gov.cn）”查阅或下载。如对本报告有任何疑问，请与泗水县国有企业发展促进中心办公室联系；邮编：273200；电话：0537-4220597；电子邮箱：ssxgzw@126.com。</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泗水县国有企业发展促进中心，2021年度政务公开工作严格贯彻落实《中华人民共和国政府信息公开条例》（以下简称《条例》）精神，通过进行政务公开培训、专题学习《条例》精神等形式，进一步提高思想认识，强化服务意识，坚持“以民为本、为民解困、为民服务”核心理念抓好政务公开工作落实。同时，进一步加强组织领导、健全工作制度，成立政务公开领导小组，切实做好政策解读和舆情回应工作，确保政务公开工作透明度和公正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自2020年1月1日起至2020年12月31日止，泗水县国有企业发展促进中心通过泗水政府网站主动公开政府信息56条。其中领导信息1条，公告公示1条，政策文件解读5条，主要负责人解读1条，组织管理3条，机构职能1条，评估落实2条，公共监管42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2021年，泗水县国有企业发展促进中心无依申请公开情况。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（三）因政府信息公开申请行政复议，提起行政诉讼情况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2021年，泗水县国有企业发展促进中心未出现因政府信息公开引起的行政复议、行政诉讼的情况。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（四）政府信息管理情况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我单位按照《中华人民共和国政府信息公开条例》精神，严格落实政务公开责任制，进一步完善信息公开制度，细化信息公开内容，做到任务到人，责任到岗，严格做到“谁主管、谁审核、谁发布、谁负责”的原则，推动公开工作有序开展,明确专职人员进行信息公开报送，进一步明确政务公开责任追究办法，完善保密审查等程序，完善配套制度，确保政务信息公开工作取得实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（五）保密审查及监督检查情况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泗水县国有企业发展促进中心认真完善政务公开制度，健全公开机制，加强组织领导和部门机构协调，成立了政务公开领导小组，按照“主要领导亲自抓，分管领导具体抓，专人负责工作落实”总体要求，推进政府信息公开工作全面落实。加强对信息公开工作实施和保密情况进行监督检查，确保公开内容真实有效。2021年度，我</w:t>
      </w:r>
      <w:r>
        <w:rPr>
          <w:rFonts w:hint="eastAsia" w:asciiTheme="minorEastAsia" w:hAnsiTheme="minorEastAsia" w:cstheme="minorEastAsia"/>
          <w:kern w:val="2"/>
          <w:sz w:val="32"/>
          <w:szCs w:val="32"/>
          <w:lang w:val="en-US" w:eastAsia="zh-CN" w:bidi="ar-SA"/>
        </w:rPr>
        <w:t>单位</w:t>
      </w:r>
      <w:bookmarkStart w:id="0" w:name="_GoBack"/>
      <w:bookmarkEnd w:id="0"/>
      <w:r>
        <w:rPr>
          <w:rFonts w:hint="eastAsia" w:asciiTheme="minorEastAsia" w:hAnsiTheme="minorEastAsia" w:eastAsiaTheme="minorEastAsia" w:cstheme="minorEastAsia"/>
          <w:kern w:val="2"/>
          <w:sz w:val="32"/>
          <w:szCs w:val="32"/>
          <w:lang w:val="en-US" w:eastAsia="zh-CN" w:bidi="ar-SA"/>
        </w:rPr>
        <w:t>政务公开工作未发生责任追究情况。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二、主动公开政府信息情况</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3"/>
        <w:gridCol w:w="2103"/>
        <w:gridCol w:w="2103"/>
        <w:gridCol w:w="2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000" w:type="pct"/>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信息内容</w:t>
            </w:r>
          </w:p>
        </w:tc>
        <w:tc>
          <w:tcPr>
            <w:tcW w:w="1248" w:type="pc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本年制发件数</w:t>
            </w:r>
          </w:p>
        </w:tc>
        <w:tc>
          <w:tcPr>
            <w:tcW w:w="1248" w:type="pc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本年废止件数</w:t>
            </w:r>
          </w:p>
        </w:tc>
        <w:tc>
          <w:tcPr>
            <w:tcW w:w="1256" w:type="pc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规章</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1256"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行政规范性文件</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1256"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信息内容</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行政许可</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信息内容</w:t>
            </w:r>
          </w:p>
        </w:tc>
        <w:tc>
          <w:tcPr>
            <w:tcW w:w="3752" w:type="pct"/>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行政处罚</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行政强制</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信息内容</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行政事业性收费</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bl>
    <w:p>
      <w:pPr>
        <w:pStyle w:val="2"/>
        <w:keepNext w:val="0"/>
        <w:keepLines w:val="0"/>
        <w:widowControl/>
        <w:suppressLineNumbers w:val="0"/>
        <w:spacing w:before="0" w:beforeAutospacing="0" w:after="0" w:afterAutospacing="0" w:line="420" w:lineRule="atLeast"/>
        <w:ind w:left="0" w:right="0" w:firstLine="0"/>
        <w:rPr>
          <w:rFonts w:hint="eastAsia" w:asciiTheme="minorEastAsia" w:hAnsiTheme="minorEastAsia" w:eastAsiaTheme="minorEastAsia" w:cstheme="minorEastAsia"/>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三、收到和处理政府信息公开申请情况</w:t>
      </w:r>
    </w:p>
    <w:tbl>
      <w:tblPr>
        <w:tblStyle w:val="3"/>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0"/>
        <w:gridCol w:w="1080"/>
        <w:gridCol w:w="2432"/>
        <w:gridCol w:w="598"/>
        <w:gridCol w:w="598"/>
        <w:gridCol w:w="587"/>
        <w:gridCol w:w="587"/>
        <w:gridCol w:w="598"/>
        <w:gridCol w:w="610"/>
        <w:gridCol w:w="6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vMerge w:val="restart"/>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（本列数据的勾稽关系为：第一项加第二项之和，等于第三项加第四项之和）</w:t>
            </w:r>
          </w:p>
        </w:tc>
        <w:tc>
          <w:tcPr>
            <w:tcW w:w="4515" w:type="dxa"/>
            <w:gridSpan w:val="7"/>
            <w:tcBorders>
              <w:top w:val="single" w:color="auto" w:sz="12"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vMerge w:val="continue"/>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6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自然人</w:t>
            </w:r>
          </w:p>
        </w:tc>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法人或其他组织</w:t>
            </w:r>
          </w:p>
        </w:tc>
        <w:tc>
          <w:tcPr>
            <w:tcW w:w="645" w:type="dxa"/>
            <w:vMerge w:val="restart"/>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vMerge w:val="continue"/>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6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企业</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机构</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社会公益组织</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法律服务机构</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w:t>
            </w:r>
          </w:p>
        </w:tc>
        <w:tc>
          <w:tcPr>
            <w:tcW w:w="645" w:type="dxa"/>
            <w:vMerge w:val="continue"/>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一、本年新收政府信息公开申请数量</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二、上年结转政府信息公开申请数量</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restart"/>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三、本年度办理结果</w:t>
            </w:r>
          </w:p>
        </w:tc>
        <w:tc>
          <w:tcPr>
            <w:tcW w:w="37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（一）予以公开</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37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（二）部分公开（区分处理的，只计这一情形，不计其他情形）</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（三）不予公开</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1.属于国家秘密</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2.其他法律行政法规禁止公开</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3.危及“三安全一稳定”</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4.保护第三方合法权益</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5.属于三类内部事务信息</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6.属于四类过程性信息</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7.属于行政执法案卷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8.属于行政查询事项</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（四）无法提供</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1.本机关不掌握相关政府信息</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2.没有现成信息需要另行制作</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3.补正后申请内容仍不明确</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（五）不予处理</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1.信访举报投诉类申请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2.重复申请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3.要求提供公开出版物</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4.无正当理由大量反复申请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5.要求行政机关确认或重新出具已获取信息</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（六）其他处理</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1.申请人无正当理由逾期不补正、行政机关不再处理其政府信息公开申请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2.申请人逾期未按收费通知要求缴纳费用、行政机关不再处理其政府信息公开申请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3.其他</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37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（七）总计</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tcBorders>
              <w:top w:val="single" w:color="auto" w:sz="6" w:space="0"/>
              <w:left w:val="single" w:color="auto" w:sz="12"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四、结转下年度继续办理</w:t>
            </w:r>
          </w:p>
        </w:tc>
        <w:tc>
          <w:tcPr>
            <w:tcW w:w="645"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12"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i w:val="0"/>
          <w:iCs w:val="0"/>
          <w:caps w:val="0"/>
          <w:color w:val="000000"/>
          <w:spacing w:val="0"/>
          <w:sz w:val="32"/>
          <w:szCs w:val="32"/>
        </w:rPr>
      </w:pPr>
      <w:r>
        <w:rPr>
          <w:rFonts w:hint="eastAsia" w:ascii="方正黑体简体" w:hAnsi="方正黑体简体" w:eastAsia="方正黑体简体" w:cs="方正黑体简体"/>
          <w:i w:val="0"/>
          <w:iCs w:val="0"/>
          <w:caps w:val="0"/>
          <w:color w:val="000000"/>
          <w:spacing w:val="0"/>
          <w:sz w:val="32"/>
          <w:szCs w:val="32"/>
        </w:rPr>
        <w:t>四、政府信息公开行政复议、行政诉讼情况</w:t>
      </w:r>
    </w:p>
    <w:tbl>
      <w:tblPr>
        <w:tblStyle w:val="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7"/>
        <w:gridCol w:w="567"/>
        <w:gridCol w:w="567"/>
        <w:gridCol w:w="567"/>
        <w:gridCol w:w="571"/>
        <w:gridCol w:w="567"/>
        <w:gridCol w:w="567"/>
        <w:gridCol w:w="567"/>
        <w:gridCol w:w="567"/>
        <w:gridCol w:w="571"/>
        <w:gridCol w:w="567"/>
        <w:gridCol w:w="567"/>
        <w:gridCol w:w="567"/>
        <w:gridCol w:w="567"/>
        <w:gridCol w:w="5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67" w:type="pct"/>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行政复议</w:t>
            </w:r>
          </w:p>
        </w:tc>
        <w:tc>
          <w:tcPr>
            <w:tcW w:w="3333" w:type="pct"/>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3" w:type="pct"/>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结果维持</w:t>
            </w:r>
          </w:p>
        </w:tc>
        <w:tc>
          <w:tcPr>
            <w:tcW w:w="333" w:type="pct"/>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纠正</w:t>
            </w:r>
          </w:p>
        </w:tc>
        <w:tc>
          <w:tcPr>
            <w:tcW w:w="333" w:type="pct"/>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tc>
        <w:tc>
          <w:tcPr>
            <w:tcW w:w="333" w:type="pct"/>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审结</w:t>
            </w:r>
          </w:p>
        </w:tc>
        <w:tc>
          <w:tcPr>
            <w:tcW w:w="333" w:type="pct"/>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总计</w:t>
            </w:r>
          </w:p>
        </w:tc>
        <w:tc>
          <w:tcPr>
            <w:tcW w:w="1667" w:type="pct"/>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未经复议直接起诉</w:t>
            </w:r>
          </w:p>
        </w:tc>
        <w:tc>
          <w:tcPr>
            <w:tcW w:w="1667" w:type="pct"/>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3" w:type="pct"/>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维持</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纠正</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审结</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总计</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维持</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纠正</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审结</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trPr>
        <w:tc>
          <w:tcPr>
            <w:tcW w:w="333"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bl>
    <w:p>
      <w:pPr>
        <w:pStyle w:val="2"/>
        <w:keepNext w:val="0"/>
        <w:keepLines w:val="0"/>
        <w:widowControl/>
        <w:suppressLineNumbers w:val="0"/>
        <w:spacing w:before="0" w:beforeAutospacing="0" w:after="0" w:afterAutospacing="0" w:line="420" w:lineRule="atLeast"/>
        <w:ind w:left="0" w:right="0" w:firstLine="0"/>
        <w:rPr>
          <w:rFonts w:hint="eastAsia" w:asciiTheme="minorEastAsia" w:hAnsiTheme="minorEastAsia" w:eastAsiaTheme="minorEastAsia" w:cstheme="minorEastAsia"/>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今年以来，泗水县国有企业发展促进中心严格按照《中华人民共和国政府信息公开条例》进行政务公开，取得了积极的工作进展，但同时也存在一些不足，主要表现在：一是政策解读数量、质量及解读形式等方面还有待进一步提升；二是在新建板块的公示内容、及时性等方面需要进一步加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改进措施：一是细化政策解读工作，按照单位职能加大政策宣传解读信息的公布以及重大工作部署全面公开，提高政策解读质量，丰富解读形式。二是加强新建板块的政策性文件的公示力度，及时公布、细化解读，强化政务公开管理制度，确保政务公开工作持续健康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依据《政府信息公开信息处理费管理办法》，本单位未收取信息处理费。</w:t>
      </w:r>
    </w:p>
    <w:p>
      <w:pPr>
        <w:pStyle w:val="2"/>
        <w:keepNext w:val="0"/>
        <w:keepLines w:val="0"/>
        <w:widowControl/>
        <w:suppressLineNumbers w:val="0"/>
        <w:spacing w:before="0" w:beforeAutospacing="0" w:after="0" w:afterAutospacing="0" w:line="420" w:lineRule="atLeast"/>
        <w:ind w:left="0" w:right="0" w:firstLine="420"/>
        <w:jc w:val="left"/>
        <w:rPr>
          <w:rFonts w:hint="eastAsia" w:asciiTheme="minorHAnsi" w:hAnsiTheme="minorHAnsi" w:eastAsiaTheme="minorEastAsia" w:cstheme="minorBidi"/>
          <w:kern w:val="2"/>
          <w:sz w:val="21"/>
          <w:szCs w:val="24"/>
          <w:lang w:val="en-US" w:eastAsia="zh-CN" w:bidi="ar-S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D7A94"/>
    <w:rsid w:val="1FE94BBB"/>
    <w:rsid w:val="2BF6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2022-01-17T14:14:00Z</dcterms:created>
  <dc:creator>kai xin</dc:creator>
  <cp:lastModifiedBy>AD</cp:lastModifiedBy>
  <dcterms:modified xsi:type="dcterms:W3CDTF">2022-01-18T03:57:28Z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14514F8BC0304B5AA88CDA6F5047FA69</vt:lpwstr>
  </property>
</Properties>
</file>