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124E62">
      <w:pPr>
        <w:rPr>
          <w:rFonts w:hint="eastAsia" w:ascii="仿宋_GB2312" w:hAnsi="仿宋_GB2312" w:eastAsia="仿宋_GB2312" w:cs="仿宋_GB2312"/>
          <w:color w:val="auto"/>
          <w:sz w:val="36"/>
          <w:szCs w:val="36"/>
          <w:lang w:eastAsia="zh-CN"/>
        </w:rPr>
      </w:pPr>
    </w:p>
    <w:p w14:paraId="1DFC40B2">
      <w:pPr>
        <w:rPr>
          <w:rFonts w:ascii="仿宋_GB2312" w:hAnsi="仿宋_GB2312" w:eastAsia="仿宋_GB2312" w:cs="仿宋_GB2312"/>
          <w:color w:val="auto"/>
          <w:sz w:val="36"/>
          <w:szCs w:val="36"/>
        </w:rPr>
      </w:pPr>
    </w:p>
    <w:p w14:paraId="60DA9468">
      <w:pPr>
        <w:rPr>
          <w:rFonts w:ascii="仿宋_GB2312" w:hAnsi="仿宋_GB2312" w:eastAsia="仿宋_GB2312" w:cs="仿宋_GB2312"/>
          <w:color w:val="auto"/>
          <w:sz w:val="36"/>
          <w:szCs w:val="36"/>
        </w:rPr>
      </w:pPr>
    </w:p>
    <w:p w14:paraId="130D095D">
      <w:pPr>
        <w:rPr>
          <w:rFonts w:ascii="仿宋_GB2312" w:hAnsi="仿宋_GB2312" w:eastAsia="仿宋_GB2312" w:cs="仿宋_GB2312"/>
          <w:b/>
          <w:bCs/>
          <w:color w:val="auto"/>
          <w:sz w:val="36"/>
          <w:szCs w:val="36"/>
        </w:rPr>
      </w:pPr>
    </w:p>
    <w:p w14:paraId="13F06B23">
      <w:pPr>
        <w:rPr>
          <w:rFonts w:hint="eastAsia" w:ascii="仿宋_GB2312" w:hAnsi="仿宋_GB2312" w:eastAsia="仿宋_GB2312" w:cs="仿宋_GB2312"/>
          <w:color w:val="auto"/>
          <w:sz w:val="36"/>
          <w:szCs w:val="36"/>
        </w:rPr>
      </w:pPr>
    </w:p>
    <w:p w14:paraId="12294F56">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2250BF77">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32420492">
      <w:pPr>
        <w:adjustRightInd w:val="0"/>
        <w:snapToGrid w:val="0"/>
        <w:spacing w:line="288" w:lineRule="auto"/>
        <w:jc w:val="center"/>
        <w:outlineLvl w:val="0"/>
        <w:rPr>
          <w:rFonts w:ascii="华文仿宋" w:hAnsi="华文仿宋" w:eastAsia="华文仿宋" w:cs="华文仿宋"/>
          <w:color w:val="auto"/>
          <w:kern w:val="44"/>
          <w:sz w:val="44"/>
          <w:szCs w:val="44"/>
        </w:rPr>
      </w:pPr>
    </w:p>
    <w:p w14:paraId="75ED80BF">
      <w:pPr>
        <w:jc w:val="center"/>
        <w:rPr>
          <w:rFonts w:eastAsia="仿宋"/>
          <w:color w:val="auto"/>
          <w:sz w:val="52"/>
          <w:szCs w:val="52"/>
        </w:rPr>
      </w:pPr>
    </w:p>
    <w:p w14:paraId="311CAECD">
      <w:pPr>
        <w:ind w:firstLine="1040"/>
        <w:rPr>
          <w:rFonts w:eastAsia="仿宋"/>
          <w:color w:val="auto"/>
          <w:sz w:val="44"/>
          <w:szCs w:val="44"/>
        </w:rPr>
      </w:pPr>
    </w:p>
    <w:p w14:paraId="7A1A5DB9">
      <w:pPr>
        <w:ind w:firstLine="1040"/>
        <w:rPr>
          <w:rFonts w:eastAsia="仿宋"/>
          <w:color w:val="auto"/>
          <w:sz w:val="44"/>
          <w:szCs w:val="44"/>
        </w:rPr>
      </w:pPr>
    </w:p>
    <w:p w14:paraId="3397CD29">
      <w:pPr>
        <w:ind w:firstLine="1040"/>
        <w:rPr>
          <w:rFonts w:eastAsia="仿宋"/>
          <w:color w:val="auto"/>
          <w:sz w:val="44"/>
          <w:szCs w:val="44"/>
        </w:rPr>
      </w:pPr>
    </w:p>
    <w:p w14:paraId="0EFB1C46">
      <w:pPr>
        <w:adjustRightInd w:val="0"/>
        <w:snapToGrid w:val="0"/>
        <w:spacing w:line="288" w:lineRule="auto"/>
        <w:ind w:firstLine="1040"/>
        <w:rPr>
          <w:rFonts w:ascii="仿宋_GB2312" w:eastAsia="仿宋_GB2312"/>
          <w:color w:val="auto"/>
          <w:sz w:val="36"/>
          <w:szCs w:val="36"/>
          <w:u w:val="single"/>
        </w:rPr>
      </w:pPr>
    </w:p>
    <w:p w14:paraId="2E9F5DA1">
      <w:pPr>
        <w:adjustRightInd w:val="0"/>
        <w:snapToGrid w:val="0"/>
        <w:spacing w:line="288" w:lineRule="auto"/>
        <w:ind w:firstLine="1040"/>
        <w:rPr>
          <w:rFonts w:hint="eastAsia" w:ascii="仿宋_GB2312" w:eastAsia="仿宋_GB2312"/>
          <w:color w:val="auto"/>
          <w:sz w:val="36"/>
          <w:szCs w:val="36"/>
          <w:lang w:eastAsia="zh-CN"/>
        </w:rPr>
      </w:pPr>
    </w:p>
    <w:p w14:paraId="13FB0B63">
      <w:pPr>
        <w:adjustRightInd w:val="0"/>
        <w:snapToGrid w:val="0"/>
        <w:spacing w:line="288" w:lineRule="auto"/>
        <w:ind w:firstLine="1040"/>
        <w:rPr>
          <w:rFonts w:hint="eastAsia" w:ascii="仿宋_GB2312" w:eastAsia="仿宋_GB2312"/>
          <w:color w:val="auto"/>
          <w:sz w:val="36"/>
          <w:szCs w:val="36"/>
          <w:lang w:eastAsia="zh-CN"/>
        </w:rPr>
      </w:pPr>
    </w:p>
    <w:p w14:paraId="7028A9B5">
      <w:pPr>
        <w:ind w:firstLine="1040"/>
        <w:rPr>
          <w:rFonts w:eastAsia="仿宋"/>
          <w:color w:val="auto"/>
          <w:sz w:val="44"/>
          <w:szCs w:val="44"/>
        </w:rPr>
      </w:pPr>
    </w:p>
    <w:p w14:paraId="778E86A7">
      <w:pPr>
        <w:adjustRightInd w:val="0"/>
        <w:snapToGrid w:val="0"/>
        <w:spacing w:line="288" w:lineRule="auto"/>
        <w:ind w:firstLine="720" w:firstLineChars="200"/>
        <w:jc w:val="both"/>
        <w:rPr>
          <w:rFonts w:hint="eastAsia" w:ascii="仿宋_GB2312" w:eastAsia="仿宋_GB2312"/>
          <w:color w:val="auto"/>
          <w:sz w:val="36"/>
          <w:szCs w:val="36"/>
          <w:u w:val="single"/>
        </w:rPr>
      </w:pPr>
      <w:r>
        <w:rPr>
          <w:rFonts w:hint="eastAsia" w:ascii="仿宋_GB2312" w:eastAsia="仿宋_GB2312"/>
          <w:color w:val="auto"/>
          <w:sz w:val="36"/>
          <w:szCs w:val="36"/>
        </w:rPr>
        <w:t>项目名称：</w:t>
      </w:r>
      <w:r>
        <w:rPr>
          <w:rFonts w:hint="eastAsia" w:ascii="仿宋_GB2312" w:eastAsia="仿宋_GB2312"/>
          <w:color w:val="auto"/>
          <w:sz w:val="36"/>
          <w:szCs w:val="36"/>
          <w:u w:val="single"/>
          <w:lang w:val="en-US" w:eastAsia="zh-CN"/>
        </w:rPr>
        <w:t>年产2万吨心电图医疗记录纸项目</w:t>
      </w:r>
    </w:p>
    <w:p w14:paraId="7FD63106">
      <w:pPr>
        <w:adjustRightInd w:val="0"/>
        <w:snapToGrid w:val="0"/>
        <w:spacing w:line="288" w:lineRule="auto"/>
        <w:ind w:firstLine="720" w:firstLineChars="200"/>
        <w:rPr>
          <w:rFonts w:hint="default" w:ascii="仿宋_GB2312" w:eastAsia="仿宋_GB2312"/>
          <w:color w:val="auto"/>
          <w:sz w:val="36"/>
          <w:szCs w:val="36"/>
          <w:u w:val="single"/>
          <w:lang w:val="en-US"/>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lang w:eastAsia="zh-CN"/>
        </w:rPr>
        <w:t>百畅纸业(山东)有限公司</w:t>
      </w:r>
      <w:r>
        <w:rPr>
          <w:rFonts w:hint="eastAsia" w:ascii="仿宋_GB2312" w:eastAsia="仿宋_GB2312"/>
          <w:color w:val="auto"/>
          <w:sz w:val="36"/>
          <w:szCs w:val="36"/>
          <w:u w:val="single"/>
          <w:lang w:val="en-US" w:eastAsia="zh-CN"/>
        </w:rPr>
        <w:t xml:space="preserve">  </w:t>
      </w:r>
    </w:p>
    <w:p w14:paraId="01076D6E">
      <w:pPr>
        <w:adjustRightInd w:val="0"/>
        <w:snapToGrid w:val="0"/>
        <w:spacing w:line="288" w:lineRule="auto"/>
        <w:ind w:firstLine="720" w:firstLineChars="200"/>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ascii="仿宋_GB2312" w:eastAsia="仿宋_GB2312"/>
          <w:color w:val="auto"/>
          <w:sz w:val="36"/>
          <w:szCs w:val="36"/>
          <w:u w:val="single"/>
        </w:rPr>
        <w:t xml:space="preserve">      20</w:t>
      </w:r>
      <w:r>
        <w:rPr>
          <w:rFonts w:hint="eastAsia" w:ascii="仿宋_GB2312" w:eastAsia="仿宋_GB2312"/>
          <w:color w:val="auto"/>
          <w:sz w:val="36"/>
          <w:szCs w:val="36"/>
          <w:u w:val="single"/>
          <w:lang w:val="en-US" w:eastAsia="zh-CN"/>
        </w:rPr>
        <w:t>25</w:t>
      </w:r>
      <w:r>
        <w:rPr>
          <w:rFonts w:ascii="仿宋_GB2312" w:eastAsia="仿宋_GB2312"/>
          <w:color w:val="auto"/>
          <w:sz w:val="36"/>
          <w:szCs w:val="36"/>
          <w:u w:val="single"/>
        </w:rPr>
        <w:t>年</w:t>
      </w:r>
      <w:r>
        <w:rPr>
          <w:rFonts w:hint="eastAsia" w:ascii="仿宋_GB2312" w:eastAsia="仿宋_GB2312"/>
          <w:color w:val="auto"/>
          <w:sz w:val="36"/>
          <w:szCs w:val="36"/>
          <w:u w:val="single"/>
          <w:lang w:val="en-US" w:eastAsia="zh-CN"/>
        </w:rPr>
        <w:t>12</w:t>
      </w:r>
      <w:r>
        <w:rPr>
          <w:rFonts w:ascii="仿宋_GB2312" w:eastAsia="仿宋_GB2312"/>
          <w:color w:val="auto"/>
          <w:sz w:val="36"/>
          <w:szCs w:val="36"/>
          <w:u w:val="single"/>
        </w:rPr>
        <w:t xml:space="preserve">月 </w:t>
      </w:r>
      <w:r>
        <w:rPr>
          <w:rFonts w:hint="eastAsia" w:ascii="仿宋_GB2312" w:eastAsia="仿宋_GB2312"/>
          <w:color w:val="auto"/>
          <w:sz w:val="36"/>
          <w:szCs w:val="36"/>
          <w:u w:val="single"/>
          <w:lang w:val="en-US" w:eastAsia="zh-CN"/>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rPr>
        <w:t xml:space="preserve"> </w:t>
      </w:r>
    </w:p>
    <w:p w14:paraId="276D4C82">
      <w:pPr>
        <w:adjustRightInd w:val="0"/>
        <w:snapToGrid w:val="0"/>
        <w:spacing w:line="288" w:lineRule="auto"/>
        <w:ind w:firstLine="1040"/>
        <w:rPr>
          <w:rFonts w:hint="eastAsia" w:ascii="仿宋_GB2312" w:eastAsia="仿宋_GB2312"/>
          <w:color w:val="auto"/>
          <w:sz w:val="36"/>
          <w:szCs w:val="36"/>
        </w:rPr>
      </w:pPr>
      <w:bookmarkStart w:id="0" w:name="_Hlk57884087"/>
    </w:p>
    <w:bookmarkEnd w:id="0"/>
    <w:p w14:paraId="2662BCDE">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5AB653C2">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A4B1766">
      <w:pPr>
        <w:pStyle w:val="30"/>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19"/>
        <w:gridCol w:w="793"/>
        <w:gridCol w:w="2145"/>
        <w:gridCol w:w="2178"/>
        <w:gridCol w:w="2735"/>
      </w:tblGrid>
      <w:tr w14:paraId="5BF1B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12" w:type="dxa"/>
            <w:gridSpan w:val="2"/>
            <w:noWrap w:val="0"/>
            <w:tcMar>
              <w:top w:w="16" w:type="dxa"/>
              <w:left w:w="16" w:type="dxa"/>
              <w:right w:w="16" w:type="dxa"/>
            </w:tcMar>
            <w:vAlign w:val="center"/>
          </w:tcPr>
          <w:p w14:paraId="6D40DAF1">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建设项目名称</w:t>
            </w:r>
          </w:p>
        </w:tc>
        <w:tc>
          <w:tcPr>
            <w:tcW w:w="7058" w:type="dxa"/>
            <w:gridSpan w:val="3"/>
            <w:noWrap w:val="0"/>
            <w:vAlign w:val="center"/>
          </w:tcPr>
          <w:p w14:paraId="5DE122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 w:val="24"/>
                <w:szCs w:val="24"/>
              </w:rPr>
            </w:pPr>
            <w:r>
              <w:rPr>
                <w:rFonts w:hint="eastAsia" w:cs="Times New Roman"/>
                <w:color w:val="auto"/>
                <w:sz w:val="24"/>
                <w:szCs w:val="24"/>
                <w:highlight w:val="none"/>
                <w:lang w:val="en-US" w:eastAsia="zh-CN"/>
              </w:rPr>
              <w:t>年产2万吨心电图医疗记录纸项目</w:t>
            </w:r>
          </w:p>
        </w:tc>
      </w:tr>
      <w:tr w14:paraId="4B5FC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12" w:type="dxa"/>
            <w:gridSpan w:val="2"/>
            <w:noWrap w:val="0"/>
            <w:tcMar>
              <w:top w:w="16" w:type="dxa"/>
              <w:left w:w="16" w:type="dxa"/>
              <w:right w:w="16" w:type="dxa"/>
            </w:tcMar>
            <w:vAlign w:val="center"/>
          </w:tcPr>
          <w:p w14:paraId="009253E2">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项目代码</w:t>
            </w:r>
          </w:p>
        </w:tc>
        <w:tc>
          <w:tcPr>
            <w:tcW w:w="7058" w:type="dxa"/>
            <w:gridSpan w:val="3"/>
            <w:noWrap w:val="0"/>
            <w:vAlign w:val="center"/>
          </w:tcPr>
          <w:p w14:paraId="4AC5FC1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 w:val="24"/>
                <w:szCs w:val="24"/>
                <w:highlight w:val="yellow"/>
                <w:lang w:val="en-US" w:eastAsia="zh-CN"/>
              </w:rPr>
            </w:pPr>
            <w:r>
              <w:rPr>
                <w:rFonts w:hint="eastAsia" w:cs="宋体"/>
                <w:color w:val="auto"/>
                <w:sz w:val="24"/>
                <w:szCs w:val="24"/>
                <w:highlight w:val="none"/>
                <w:lang w:val="en-US" w:eastAsia="zh-CN"/>
              </w:rPr>
              <w:t>2509-370831-04-01-994788</w:t>
            </w:r>
          </w:p>
        </w:tc>
      </w:tr>
      <w:tr w14:paraId="3B3CD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12" w:type="dxa"/>
            <w:gridSpan w:val="2"/>
            <w:noWrap w:val="0"/>
            <w:tcMar>
              <w:top w:w="16" w:type="dxa"/>
              <w:left w:w="16" w:type="dxa"/>
              <w:right w:w="16" w:type="dxa"/>
            </w:tcMar>
            <w:vAlign w:val="center"/>
          </w:tcPr>
          <w:p w14:paraId="36755AD2">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4"/>
                <w:szCs w:val="24"/>
              </w:rPr>
            </w:pPr>
            <w:r>
              <w:rPr>
                <w:rFonts w:hint="eastAsia" w:ascii="宋体" w:hAnsi="宋体" w:cs="宋体"/>
                <w:color w:val="auto"/>
                <w:sz w:val="24"/>
                <w:szCs w:val="24"/>
              </w:rPr>
              <w:t>建设单位联系人</w:t>
            </w:r>
          </w:p>
        </w:tc>
        <w:tc>
          <w:tcPr>
            <w:tcW w:w="2145" w:type="dxa"/>
            <w:noWrap w:val="0"/>
            <w:vAlign w:val="center"/>
          </w:tcPr>
          <w:p w14:paraId="6F330C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刘传军</w:t>
            </w:r>
          </w:p>
        </w:tc>
        <w:tc>
          <w:tcPr>
            <w:tcW w:w="2178" w:type="dxa"/>
            <w:noWrap w:val="0"/>
            <w:vAlign w:val="center"/>
          </w:tcPr>
          <w:p w14:paraId="52F1C3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联系方式</w:t>
            </w:r>
          </w:p>
        </w:tc>
        <w:tc>
          <w:tcPr>
            <w:tcW w:w="2735" w:type="dxa"/>
            <w:noWrap w:val="0"/>
            <w:vAlign w:val="center"/>
          </w:tcPr>
          <w:p w14:paraId="334307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 w:val="24"/>
                <w:szCs w:val="24"/>
                <w:highlight w:val="none"/>
                <w:lang w:val="en-US"/>
              </w:rPr>
            </w:pPr>
            <w:r>
              <w:rPr>
                <w:rFonts w:hint="eastAsia" w:cs="宋体"/>
                <w:color w:val="auto"/>
                <w:sz w:val="24"/>
                <w:szCs w:val="24"/>
                <w:highlight w:val="none"/>
                <w:lang w:val="en-US" w:eastAsia="zh-CN"/>
              </w:rPr>
              <w:t>13910607315</w:t>
            </w:r>
          </w:p>
        </w:tc>
      </w:tr>
      <w:tr w14:paraId="1C8477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812" w:type="dxa"/>
            <w:gridSpan w:val="2"/>
            <w:noWrap w:val="0"/>
            <w:tcMar>
              <w:top w:w="16" w:type="dxa"/>
              <w:left w:w="16" w:type="dxa"/>
              <w:right w:w="16" w:type="dxa"/>
            </w:tcMar>
            <w:vAlign w:val="center"/>
          </w:tcPr>
          <w:p w14:paraId="08F2181C">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建设地点</w:t>
            </w:r>
          </w:p>
        </w:tc>
        <w:tc>
          <w:tcPr>
            <w:tcW w:w="7058" w:type="dxa"/>
            <w:gridSpan w:val="3"/>
            <w:noWrap w:val="0"/>
            <w:vAlign w:val="center"/>
          </w:tcPr>
          <w:p w14:paraId="4EBCD0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 w:val="24"/>
                <w:szCs w:val="24"/>
                <w:lang w:val="en-US"/>
              </w:rPr>
            </w:pPr>
            <w:r>
              <w:rPr>
                <w:rFonts w:hint="eastAsia" w:ascii="Times New Roman" w:hAnsi="Times New Roman" w:eastAsia="宋体" w:cs="宋体"/>
                <w:color w:val="auto"/>
                <w:sz w:val="24"/>
                <w:szCs w:val="24"/>
                <w:u w:val="single"/>
                <w:lang w:val="en-US" w:eastAsia="zh-CN"/>
              </w:rPr>
              <w:t>山东</w:t>
            </w:r>
            <w:r>
              <w:rPr>
                <w:rFonts w:hint="eastAsia" w:ascii="Times New Roman" w:hAnsi="Times New Roman" w:eastAsia="宋体" w:cs="宋体"/>
                <w:color w:val="auto"/>
                <w:sz w:val="24"/>
                <w:szCs w:val="24"/>
                <w:u w:val="none"/>
                <w:lang w:val="en-US" w:eastAsia="zh-CN"/>
              </w:rPr>
              <w:t>省</w:t>
            </w:r>
            <w:r>
              <w:rPr>
                <w:rFonts w:hint="eastAsia" w:ascii="Times New Roman" w:hAnsi="Times New Roman" w:eastAsia="宋体" w:cs="宋体"/>
                <w:color w:val="auto"/>
                <w:sz w:val="24"/>
                <w:szCs w:val="24"/>
                <w:u w:val="single"/>
                <w:lang w:val="en-US" w:eastAsia="zh-CN"/>
              </w:rPr>
              <w:t>济宁</w:t>
            </w:r>
            <w:r>
              <w:rPr>
                <w:rFonts w:hint="eastAsia" w:ascii="Times New Roman" w:hAnsi="Times New Roman" w:eastAsia="宋体" w:cs="宋体"/>
                <w:color w:val="auto"/>
                <w:sz w:val="24"/>
                <w:szCs w:val="24"/>
                <w:u w:val="none"/>
                <w:lang w:val="en-US" w:eastAsia="zh-CN"/>
              </w:rPr>
              <w:t>市</w:t>
            </w:r>
            <w:r>
              <w:rPr>
                <w:rFonts w:hint="eastAsia" w:cs="宋体"/>
                <w:color w:val="auto"/>
                <w:sz w:val="24"/>
                <w:szCs w:val="24"/>
                <w:u w:val="single"/>
                <w:lang w:val="en-US" w:eastAsia="zh-CN"/>
              </w:rPr>
              <w:t>泗水经济开发区娃哈哈食品有限公司西侧，泉音路以南、泉福路以北、圣和路以东</w:t>
            </w:r>
          </w:p>
        </w:tc>
      </w:tr>
      <w:tr w14:paraId="41D94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812" w:type="dxa"/>
            <w:gridSpan w:val="2"/>
            <w:noWrap w:val="0"/>
            <w:tcMar>
              <w:top w:w="16" w:type="dxa"/>
              <w:left w:w="16" w:type="dxa"/>
              <w:right w:w="16" w:type="dxa"/>
            </w:tcMar>
            <w:vAlign w:val="center"/>
          </w:tcPr>
          <w:p w14:paraId="59C6555E">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地理坐标</w:t>
            </w:r>
          </w:p>
        </w:tc>
        <w:tc>
          <w:tcPr>
            <w:tcW w:w="7058" w:type="dxa"/>
            <w:gridSpan w:val="3"/>
            <w:noWrap w:val="0"/>
            <w:vAlign w:val="center"/>
          </w:tcPr>
          <w:p w14:paraId="4A8C598A">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u w:val="single"/>
                <w:lang w:val="en-US" w:eastAsia="zh-CN"/>
              </w:rPr>
              <w:t>11</w:t>
            </w:r>
            <w:r>
              <w:rPr>
                <w:rFonts w:hint="eastAsia" w:cs="宋体"/>
                <w:color w:val="auto"/>
                <w:sz w:val="24"/>
                <w:szCs w:val="24"/>
                <w:highlight w:val="none"/>
                <w:u w:val="single"/>
                <w:lang w:val="en-US" w:eastAsia="zh-CN"/>
              </w:rPr>
              <w:t>7</w:t>
            </w:r>
            <w:r>
              <w:rPr>
                <w:rFonts w:hint="eastAsia" w:ascii="Times New Roman" w:hAnsi="Times New Roman" w:eastAsia="宋体" w:cs="宋体"/>
                <w:color w:val="auto"/>
                <w:sz w:val="24"/>
                <w:szCs w:val="24"/>
                <w:highlight w:val="none"/>
              </w:rPr>
              <w:t>度</w:t>
            </w:r>
            <w:r>
              <w:rPr>
                <w:rFonts w:hint="eastAsia" w:cs="宋体"/>
                <w:color w:val="auto"/>
                <w:sz w:val="24"/>
                <w:szCs w:val="24"/>
                <w:highlight w:val="none"/>
                <w:u w:val="single"/>
                <w:lang w:val="en-US" w:eastAsia="zh-CN"/>
              </w:rPr>
              <w:t>13</w:t>
            </w:r>
            <w:r>
              <w:rPr>
                <w:rFonts w:hint="eastAsia" w:ascii="Times New Roman" w:hAnsi="Times New Roman" w:eastAsia="宋体" w:cs="宋体"/>
                <w:color w:val="auto"/>
                <w:sz w:val="24"/>
                <w:szCs w:val="24"/>
                <w:highlight w:val="none"/>
              </w:rPr>
              <w:t>分</w:t>
            </w:r>
            <w:r>
              <w:rPr>
                <w:rFonts w:hint="eastAsia" w:cs="宋体"/>
                <w:color w:val="auto"/>
                <w:sz w:val="24"/>
                <w:szCs w:val="24"/>
                <w:highlight w:val="none"/>
                <w:u w:val="single"/>
                <w:lang w:val="en-US" w:eastAsia="zh-CN"/>
              </w:rPr>
              <w:t>5.417</w:t>
            </w:r>
            <w:r>
              <w:rPr>
                <w:rFonts w:hint="eastAsia" w:ascii="Times New Roman" w:hAnsi="Times New Roman" w:eastAsia="宋体" w:cs="宋体"/>
                <w:color w:val="auto"/>
                <w:sz w:val="24"/>
                <w:szCs w:val="24"/>
                <w:highlight w:val="none"/>
              </w:rPr>
              <w:t>秒，</w:t>
            </w:r>
            <w:r>
              <w:rPr>
                <w:rFonts w:hint="eastAsia" w:ascii="Times New Roman" w:hAnsi="Times New Roman" w:eastAsia="宋体" w:cs="宋体"/>
                <w:color w:val="auto"/>
                <w:sz w:val="24"/>
                <w:szCs w:val="24"/>
                <w:highlight w:val="none"/>
                <w:u w:val="single"/>
                <w:lang w:val="en-US" w:eastAsia="zh-CN"/>
              </w:rPr>
              <w:t>35</w:t>
            </w:r>
            <w:r>
              <w:rPr>
                <w:rFonts w:hint="eastAsia" w:ascii="Times New Roman" w:hAnsi="Times New Roman" w:eastAsia="宋体" w:cs="宋体"/>
                <w:color w:val="auto"/>
                <w:sz w:val="24"/>
                <w:szCs w:val="24"/>
                <w:highlight w:val="none"/>
              </w:rPr>
              <w:t>度</w:t>
            </w:r>
            <w:r>
              <w:rPr>
                <w:rFonts w:hint="eastAsia" w:cs="宋体"/>
                <w:color w:val="auto"/>
                <w:sz w:val="24"/>
                <w:szCs w:val="24"/>
                <w:highlight w:val="none"/>
                <w:u w:val="single"/>
                <w:lang w:val="en-US" w:eastAsia="zh-CN"/>
              </w:rPr>
              <w:t>38</w:t>
            </w:r>
            <w:r>
              <w:rPr>
                <w:rFonts w:hint="eastAsia" w:ascii="Times New Roman" w:hAnsi="Times New Roman" w:eastAsia="宋体" w:cs="宋体"/>
                <w:color w:val="auto"/>
                <w:sz w:val="24"/>
                <w:szCs w:val="24"/>
                <w:highlight w:val="none"/>
              </w:rPr>
              <w:t>分</w:t>
            </w:r>
            <w:r>
              <w:rPr>
                <w:rFonts w:hint="eastAsia" w:cs="宋体"/>
                <w:color w:val="auto"/>
                <w:sz w:val="24"/>
                <w:szCs w:val="24"/>
                <w:highlight w:val="none"/>
                <w:u w:val="single"/>
                <w:lang w:val="en-US" w:eastAsia="zh-CN"/>
              </w:rPr>
              <w:t>57.895</w:t>
            </w:r>
            <w:r>
              <w:rPr>
                <w:rFonts w:hint="eastAsia" w:ascii="Times New Roman" w:hAnsi="Times New Roman" w:eastAsia="宋体" w:cs="宋体"/>
                <w:color w:val="auto"/>
                <w:sz w:val="24"/>
                <w:szCs w:val="24"/>
                <w:highlight w:val="none"/>
              </w:rPr>
              <w:t>秒）</w:t>
            </w:r>
          </w:p>
        </w:tc>
      </w:tr>
      <w:tr w14:paraId="4C8B6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12" w:type="dxa"/>
            <w:gridSpan w:val="2"/>
            <w:noWrap w:val="0"/>
            <w:tcMar>
              <w:top w:w="16" w:type="dxa"/>
              <w:left w:w="16" w:type="dxa"/>
              <w:right w:w="16" w:type="dxa"/>
            </w:tcMar>
            <w:vAlign w:val="center"/>
          </w:tcPr>
          <w:p w14:paraId="72295577">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4"/>
                <w:szCs w:val="24"/>
              </w:rPr>
            </w:pPr>
            <w:r>
              <w:rPr>
                <w:rFonts w:hint="eastAsia" w:ascii="宋体" w:hAnsi="宋体" w:cs="宋体"/>
                <w:color w:val="auto"/>
                <w:sz w:val="24"/>
                <w:szCs w:val="24"/>
              </w:rPr>
              <w:t>国民经济</w:t>
            </w:r>
          </w:p>
          <w:p w14:paraId="746B8468">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行业类别</w:t>
            </w:r>
          </w:p>
        </w:tc>
        <w:tc>
          <w:tcPr>
            <w:tcW w:w="2145" w:type="dxa"/>
            <w:noWrap w:val="0"/>
            <w:vAlign w:val="center"/>
          </w:tcPr>
          <w:p w14:paraId="4DD22FF4">
            <w:pPr>
              <w:pStyle w:val="33"/>
              <w:ind w:left="0" w:leftChars="0" w:right="0" w:firstLine="0" w:firstLineChars="0"/>
              <w:jc w:val="center"/>
              <w:rPr>
                <w:rFonts w:hint="default"/>
                <w:lang w:val="en-US" w:eastAsia="zh-CN"/>
              </w:rPr>
            </w:pPr>
            <w:r>
              <w:rPr>
                <w:rFonts w:hint="eastAsia" w:ascii="Times New Roman" w:hAnsi="Times New Roman" w:eastAsia="宋体" w:cs="Times New Roman"/>
                <w:color w:val="auto"/>
                <w:sz w:val="24"/>
                <w:highlight w:val="none"/>
                <w:lang w:val="en-US" w:eastAsia="zh-CN"/>
              </w:rPr>
              <w:t>C2239 其他纸制品制造</w:t>
            </w:r>
          </w:p>
        </w:tc>
        <w:tc>
          <w:tcPr>
            <w:tcW w:w="2178" w:type="dxa"/>
            <w:noWrap w:val="0"/>
            <w:vAlign w:val="center"/>
          </w:tcPr>
          <w:p w14:paraId="1618AF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 w:val="24"/>
                <w:szCs w:val="24"/>
              </w:rPr>
            </w:pPr>
            <w:bookmarkStart w:id="1" w:name="_Hlk49843745"/>
            <w:r>
              <w:rPr>
                <w:rFonts w:hint="eastAsia" w:ascii="Times New Roman" w:hAnsi="Times New Roman" w:eastAsia="宋体" w:cs="宋体"/>
                <w:color w:val="auto"/>
                <w:sz w:val="24"/>
                <w:szCs w:val="24"/>
              </w:rPr>
              <w:t>建设项目</w:t>
            </w:r>
          </w:p>
          <w:p w14:paraId="1D132B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行业类别</w:t>
            </w:r>
            <w:bookmarkEnd w:id="1"/>
          </w:p>
        </w:tc>
        <w:tc>
          <w:tcPr>
            <w:tcW w:w="2735" w:type="dxa"/>
            <w:noWrap w:val="0"/>
            <w:vAlign w:val="center"/>
          </w:tcPr>
          <w:p w14:paraId="45AF0565">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宋体"/>
                <w:color w:val="auto"/>
                <w:sz w:val="24"/>
                <w:szCs w:val="24"/>
                <w:lang w:val="en-US" w:eastAsia="zh-CN"/>
              </w:rPr>
            </w:pPr>
            <w:r>
              <w:rPr>
                <w:rFonts w:hint="eastAsia" w:ascii="Times New Roman" w:hAnsi="Times New Roman" w:eastAsia="宋体" w:cs="Times New Roman"/>
                <w:color w:val="auto"/>
                <w:spacing w:val="-2"/>
                <w:sz w:val="24"/>
                <w:szCs w:val="24"/>
                <w:highlight w:val="none"/>
                <w:lang w:val="en-US" w:eastAsia="zh-CN"/>
              </w:rPr>
              <w:t>““十九、造纸和纸制品业 22”中“38纸制品制造 223”中“有涂布、浸渍、印刷、粘胶工艺的”；</w:t>
            </w:r>
          </w:p>
        </w:tc>
      </w:tr>
      <w:tr w14:paraId="35AB9E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12" w:type="dxa"/>
            <w:gridSpan w:val="2"/>
            <w:noWrap w:val="0"/>
            <w:tcMar>
              <w:top w:w="16" w:type="dxa"/>
              <w:left w:w="16" w:type="dxa"/>
              <w:right w:w="16" w:type="dxa"/>
            </w:tcMar>
            <w:vAlign w:val="center"/>
          </w:tcPr>
          <w:p w14:paraId="0AB75423">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建设性质</w:t>
            </w:r>
          </w:p>
        </w:tc>
        <w:tc>
          <w:tcPr>
            <w:tcW w:w="2145" w:type="dxa"/>
            <w:noWrap w:val="0"/>
            <w:vAlign w:val="center"/>
          </w:tcPr>
          <w:p w14:paraId="65BB123B">
            <w:pPr>
              <w:keepNext w:val="0"/>
              <w:keepLines w:val="0"/>
              <w:suppressLineNumbers w:val="0"/>
              <w:spacing w:before="0" w:beforeAutospacing="0" w:after="0" w:afterAutospacing="0"/>
              <w:ind w:left="0" w:right="0"/>
              <w:jc w:val="left"/>
              <w:rPr>
                <w:rFonts w:hint="default"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新建（迁建）</w:t>
            </w:r>
          </w:p>
          <w:p w14:paraId="0ABE1A5B">
            <w:pPr>
              <w:keepNext w:val="0"/>
              <w:keepLines w:val="0"/>
              <w:suppressLineNumbers w:val="0"/>
              <w:spacing w:before="0" w:beforeAutospacing="0" w:after="0" w:afterAutospacing="0"/>
              <w:ind w:left="0" w:right="0"/>
              <w:jc w:val="left"/>
              <w:rPr>
                <w:rFonts w:hint="eastAsia"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改建</w:t>
            </w:r>
          </w:p>
          <w:p w14:paraId="29DEA76D">
            <w:pPr>
              <w:keepNext w:val="0"/>
              <w:keepLines w:val="0"/>
              <w:suppressLineNumbers w:val="0"/>
              <w:spacing w:before="0" w:beforeAutospacing="0" w:after="0" w:afterAutospacing="0"/>
              <w:ind w:left="0" w:right="0"/>
              <w:jc w:val="left"/>
              <w:rPr>
                <w:rFonts w:hint="eastAsia"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扩建</w:t>
            </w:r>
          </w:p>
          <w:p w14:paraId="4F5F4A2D">
            <w:pPr>
              <w:keepNext w:val="0"/>
              <w:keepLines w:val="0"/>
              <w:suppressLineNumbers w:val="0"/>
              <w:spacing w:before="0" w:beforeAutospacing="0" w:after="0" w:afterAutospacing="0"/>
              <w:ind w:left="0" w:right="0"/>
              <w:jc w:val="left"/>
              <w:rPr>
                <w:rFonts w:hint="default"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技术改造</w:t>
            </w:r>
          </w:p>
        </w:tc>
        <w:tc>
          <w:tcPr>
            <w:tcW w:w="2178" w:type="dxa"/>
            <w:noWrap w:val="0"/>
            <w:vAlign w:val="center"/>
          </w:tcPr>
          <w:p w14:paraId="3E588D1C">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4"/>
                <w:szCs w:val="24"/>
              </w:rPr>
            </w:pPr>
            <w:r>
              <w:rPr>
                <w:rFonts w:hint="eastAsia" w:ascii="宋体" w:hAnsi="宋体" w:cs="宋体"/>
                <w:color w:val="auto"/>
                <w:sz w:val="24"/>
                <w:szCs w:val="24"/>
              </w:rPr>
              <w:t>建设项目</w:t>
            </w:r>
          </w:p>
          <w:p w14:paraId="44A8F6A9">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申报情形</w:t>
            </w:r>
          </w:p>
        </w:tc>
        <w:tc>
          <w:tcPr>
            <w:tcW w:w="2735" w:type="dxa"/>
            <w:noWrap w:val="0"/>
            <w:vAlign w:val="center"/>
          </w:tcPr>
          <w:p w14:paraId="4BFE0FA3">
            <w:pPr>
              <w:keepNext w:val="0"/>
              <w:keepLines w:val="0"/>
              <w:suppressLineNumbers w:val="0"/>
              <w:spacing w:before="0" w:beforeAutospacing="0" w:after="0" w:afterAutospacing="0"/>
              <w:ind w:left="0" w:right="0"/>
              <w:jc w:val="left"/>
              <w:rPr>
                <w:rFonts w:hint="default"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首次申报项目</w:t>
            </w:r>
            <w:r>
              <w:rPr>
                <w:rFonts w:hint="default" w:ascii="宋体" w:hAnsi="宋体" w:cs="宋体"/>
                <w:color w:val="auto"/>
                <w:sz w:val="24"/>
                <w:szCs w:val="24"/>
              </w:rPr>
              <w:t xml:space="preserve">             </w:t>
            </w:r>
          </w:p>
          <w:p w14:paraId="3A2EC7EF">
            <w:pPr>
              <w:keepNext w:val="0"/>
              <w:keepLines w:val="0"/>
              <w:suppressLineNumbers w:val="0"/>
              <w:spacing w:before="0" w:beforeAutospacing="0" w:after="0" w:afterAutospacing="0"/>
              <w:ind w:left="0" w:right="0"/>
              <w:jc w:val="left"/>
              <w:rPr>
                <w:rFonts w:hint="default"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不予批准后再次申报项目</w:t>
            </w:r>
          </w:p>
          <w:p w14:paraId="7192A20C">
            <w:pPr>
              <w:keepNext w:val="0"/>
              <w:keepLines w:val="0"/>
              <w:suppressLineNumbers w:val="0"/>
              <w:spacing w:before="0" w:beforeAutospacing="0" w:after="0" w:afterAutospacing="0"/>
              <w:ind w:left="0" w:right="0"/>
              <w:jc w:val="left"/>
              <w:rPr>
                <w:rFonts w:hint="default"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超五年重新审核项目</w:t>
            </w:r>
            <w:r>
              <w:rPr>
                <w:rFonts w:hint="default" w:ascii="宋体" w:hAnsi="宋体" w:cs="宋体"/>
                <w:color w:val="auto"/>
                <w:sz w:val="24"/>
                <w:szCs w:val="24"/>
              </w:rPr>
              <w:t xml:space="preserve">     </w:t>
            </w:r>
          </w:p>
          <w:p w14:paraId="30B5D877">
            <w:pPr>
              <w:keepNext w:val="0"/>
              <w:keepLines w:val="0"/>
              <w:suppressLineNumbers w:val="0"/>
              <w:spacing w:before="0" w:beforeAutospacing="0" w:after="0" w:afterAutospacing="0"/>
              <w:ind w:left="0" w:right="0"/>
              <w:jc w:val="left"/>
              <w:rPr>
                <w:rFonts w:hint="default" w:ascii="宋体" w:hAnsi="宋体" w:cs="宋体"/>
                <w:color w:val="auto"/>
                <w:sz w:val="24"/>
                <w:szCs w:val="24"/>
              </w:rPr>
            </w:pPr>
            <w:r>
              <w:rPr>
                <w:rFonts w:hint="eastAsia" w:ascii="宋体" w:hAnsi="宋体" w:cs="宋体"/>
                <w:color w:val="auto"/>
                <w:sz w:val="24"/>
                <w:szCs w:val="24"/>
              </w:rPr>
              <w:t>□重大变动重新报批项目</w:t>
            </w:r>
          </w:p>
        </w:tc>
      </w:tr>
      <w:tr w14:paraId="12C1D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12" w:type="dxa"/>
            <w:gridSpan w:val="2"/>
            <w:noWrap w:val="0"/>
            <w:tcMar>
              <w:top w:w="16" w:type="dxa"/>
              <w:left w:w="16" w:type="dxa"/>
              <w:right w:w="16" w:type="dxa"/>
            </w:tcMar>
            <w:vAlign w:val="center"/>
          </w:tcPr>
          <w:p w14:paraId="11C8A26C">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4"/>
                <w:szCs w:val="24"/>
              </w:rPr>
            </w:pPr>
            <w:r>
              <w:rPr>
                <w:rFonts w:hint="eastAsia" w:ascii="宋体" w:hAnsi="宋体" w:cs="宋体"/>
                <w:color w:val="auto"/>
                <w:sz w:val="24"/>
                <w:szCs w:val="24"/>
              </w:rPr>
              <w:t>项目审批（核准</w:t>
            </w:r>
            <w:r>
              <w:rPr>
                <w:rFonts w:hint="default" w:ascii="宋体" w:hAnsi="宋体" w:cs="宋体"/>
                <w:color w:val="auto"/>
                <w:sz w:val="24"/>
                <w:szCs w:val="24"/>
              </w:rPr>
              <w:t>/</w:t>
            </w:r>
          </w:p>
          <w:p w14:paraId="001399EB">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备案）部门（选填）</w:t>
            </w:r>
          </w:p>
        </w:tc>
        <w:tc>
          <w:tcPr>
            <w:tcW w:w="2145" w:type="dxa"/>
            <w:noWrap w:val="0"/>
            <w:vAlign w:val="center"/>
          </w:tcPr>
          <w:p w14:paraId="2BF38E6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 w:val="24"/>
                <w:szCs w:val="24"/>
                <w:lang w:val="en-US" w:eastAsia="zh-CN"/>
              </w:rPr>
            </w:pPr>
            <w:r>
              <w:rPr>
                <w:rFonts w:hint="eastAsia" w:cs="宋体"/>
                <w:color w:val="auto"/>
                <w:sz w:val="24"/>
                <w:szCs w:val="24"/>
                <w:lang w:val="en-US" w:eastAsia="zh-CN"/>
              </w:rPr>
              <w:t>泗水县</w:t>
            </w:r>
            <w:r>
              <w:rPr>
                <w:rFonts w:hint="eastAsia" w:ascii="Times New Roman" w:hAnsi="Times New Roman" w:eastAsia="宋体" w:cs="宋体"/>
                <w:color w:val="auto"/>
                <w:sz w:val="24"/>
                <w:szCs w:val="24"/>
                <w:lang w:val="en-US" w:eastAsia="zh-CN"/>
              </w:rPr>
              <w:t>行政审批服务局</w:t>
            </w:r>
          </w:p>
        </w:tc>
        <w:tc>
          <w:tcPr>
            <w:tcW w:w="2178" w:type="dxa"/>
            <w:noWrap w:val="0"/>
            <w:vAlign w:val="center"/>
          </w:tcPr>
          <w:p w14:paraId="76981FC7">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项目审批（核准</w:t>
            </w:r>
            <w:r>
              <w:rPr>
                <w:rFonts w:hint="default" w:ascii="Times New Roman" w:hAnsi="Times New Roman" w:cs="宋体"/>
                <w:color w:val="auto"/>
                <w:sz w:val="24"/>
                <w:szCs w:val="24"/>
              </w:rPr>
              <w:t>/</w:t>
            </w:r>
          </w:p>
          <w:p w14:paraId="42D9F737">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4"/>
                <w:szCs w:val="24"/>
              </w:rPr>
            </w:pPr>
            <w:r>
              <w:rPr>
                <w:rFonts w:hint="eastAsia" w:ascii="Times New Roman" w:hAnsi="Times New Roman" w:cs="宋体"/>
                <w:color w:val="auto"/>
                <w:sz w:val="24"/>
                <w:szCs w:val="24"/>
              </w:rPr>
              <w:t>备案）文号（选填）</w:t>
            </w:r>
          </w:p>
        </w:tc>
        <w:tc>
          <w:tcPr>
            <w:tcW w:w="2735" w:type="dxa"/>
            <w:noWrap w:val="0"/>
            <w:vAlign w:val="center"/>
          </w:tcPr>
          <w:p w14:paraId="1BDA275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2509-370831-04-01-994788</w:t>
            </w:r>
          </w:p>
        </w:tc>
      </w:tr>
      <w:tr w14:paraId="55DA5D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1812" w:type="dxa"/>
            <w:gridSpan w:val="2"/>
            <w:noWrap w:val="0"/>
            <w:tcMar>
              <w:top w:w="16" w:type="dxa"/>
              <w:left w:w="16" w:type="dxa"/>
              <w:right w:w="16" w:type="dxa"/>
            </w:tcMar>
            <w:vAlign w:val="center"/>
          </w:tcPr>
          <w:p w14:paraId="1BD05CE9">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总投资（万元）</w:t>
            </w:r>
          </w:p>
        </w:tc>
        <w:tc>
          <w:tcPr>
            <w:tcW w:w="2145" w:type="dxa"/>
            <w:noWrap w:val="0"/>
            <w:vAlign w:val="center"/>
          </w:tcPr>
          <w:p w14:paraId="379C68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12000</w:t>
            </w:r>
          </w:p>
        </w:tc>
        <w:tc>
          <w:tcPr>
            <w:tcW w:w="2178" w:type="dxa"/>
            <w:noWrap w:val="0"/>
            <w:tcMar>
              <w:top w:w="16" w:type="dxa"/>
              <w:left w:w="16" w:type="dxa"/>
              <w:right w:w="16" w:type="dxa"/>
            </w:tcMar>
            <w:vAlign w:val="center"/>
          </w:tcPr>
          <w:p w14:paraId="4443BEC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4"/>
                <w:szCs w:val="24"/>
                <w:highlight w:val="none"/>
              </w:rPr>
            </w:pPr>
            <w:r>
              <w:rPr>
                <w:rFonts w:hint="eastAsia" w:ascii="Times New Roman" w:hAnsi="Times New Roman" w:cs="宋体"/>
                <w:color w:val="auto"/>
                <w:sz w:val="24"/>
                <w:szCs w:val="24"/>
                <w:highlight w:val="none"/>
              </w:rPr>
              <w:t>环保投资（万元）</w:t>
            </w:r>
          </w:p>
        </w:tc>
        <w:tc>
          <w:tcPr>
            <w:tcW w:w="2735" w:type="dxa"/>
            <w:noWrap w:val="0"/>
            <w:vAlign w:val="center"/>
          </w:tcPr>
          <w:p w14:paraId="118D88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69.4</w:t>
            </w:r>
          </w:p>
        </w:tc>
      </w:tr>
      <w:tr w14:paraId="0DECAD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12" w:type="dxa"/>
            <w:gridSpan w:val="2"/>
            <w:noWrap w:val="0"/>
            <w:tcMar>
              <w:top w:w="16" w:type="dxa"/>
              <w:left w:w="16" w:type="dxa"/>
              <w:right w:w="16" w:type="dxa"/>
            </w:tcMar>
            <w:vAlign w:val="center"/>
          </w:tcPr>
          <w:p w14:paraId="27D5AB9D">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24"/>
                <w:szCs w:val="24"/>
              </w:rPr>
            </w:pPr>
            <w:r>
              <w:rPr>
                <w:rFonts w:hint="eastAsia" w:ascii="宋体" w:hAnsi="宋体" w:cs="宋体"/>
                <w:color w:val="auto"/>
                <w:sz w:val="24"/>
                <w:szCs w:val="24"/>
              </w:rPr>
              <w:t>环保投资占比（</w:t>
            </w:r>
            <w:r>
              <w:rPr>
                <w:rFonts w:hint="default" w:ascii="宋体" w:hAnsi="宋体" w:cs="宋体"/>
                <w:color w:val="auto"/>
                <w:sz w:val="24"/>
                <w:szCs w:val="24"/>
              </w:rPr>
              <w:t>%</w:t>
            </w:r>
            <w:r>
              <w:rPr>
                <w:rFonts w:hint="eastAsia" w:ascii="宋体" w:hAnsi="宋体" w:cs="宋体"/>
                <w:color w:val="auto"/>
                <w:sz w:val="24"/>
                <w:szCs w:val="24"/>
              </w:rPr>
              <w:t>）</w:t>
            </w:r>
          </w:p>
        </w:tc>
        <w:tc>
          <w:tcPr>
            <w:tcW w:w="2145" w:type="dxa"/>
            <w:noWrap w:val="0"/>
            <w:vAlign w:val="center"/>
          </w:tcPr>
          <w:p w14:paraId="6850EC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 w:val="24"/>
                <w:szCs w:val="24"/>
                <w:highlight w:val="yellow"/>
                <w:lang w:val="en-US" w:eastAsia="zh-CN"/>
              </w:rPr>
            </w:pPr>
            <w:r>
              <w:rPr>
                <w:rFonts w:hint="eastAsia" w:cs="宋体"/>
                <w:color w:val="auto"/>
                <w:sz w:val="24"/>
                <w:szCs w:val="24"/>
                <w:highlight w:val="none"/>
                <w:lang w:val="en-US" w:eastAsia="zh-CN"/>
              </w:rPr>
              <w:t>0.58</w:t>
            </w:r>
          </w:p>
        </w:tc>
        <w:tc>
          <w:tcPr>
            <w:tcW w:w="2178" w:type="dxa"/>
            <w:noWrap w:val="0"/>
            <w:tcMar>
              <w:top w:w="16" w:type="dxa"/>
              <w:left w:w="16" w:type="dxa"/>
              <w:right w:w="16" w:type="dxa"/>
            </w:tcMar>
            <w:vAlign w:val="center"/>
          </w:tcPr>
          <w:p w14:paraId="68DC4C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4"/>
                <w:szCs w:val="24"/>
                <w:highlight w:val="none"/>
              </w:rPr>
            </w:pPr>
            <w:r>
              <w:rPr>
                <w:rFonts w:hint="eastAsia" w:ascii="Times New Roman" w:hAnsi="Times New Roman" w:cs="宋体"/>
                <w:color w:val="auto"/>
                <w:sz w:val="24"/>
                <w:szCs w:val="24"/>
                <w:highlight w:val="none"/>
              </w:rPr>
              <w:t>施工工期</w:t>
            </w:r>
          </w:p>
        </w:tc>
        <w:tc>
          <w:tcPr>
            <w:tcW w:w="2735" w:type="dxa"/>
            <w:noWrap w:val="0"/>
            <w:vAlign w:val="center"/>
          </w:tcPr>
          <w:p w14:paraId="3A20615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12</w:t>
            </w:r>
            <w:r>
              <w:rPr>
                <w:rFonts w:hint="eastAsia" w:ascii="Times New Roman" w:hAnsi="Times New Roman" w:cs="宋体"/>
                <w:color w:val="auto"/>
                <w:sz w:val="24"/>
                <w:szCs w:val="24"/>
                <w:highlight w:val="none"/>
                <w:lang w:val="en-US" w:eastAsia="zh-CN"/>
              </w:rPr>
              <w:t>个月</w:t>
            </w:r>
          </w:p>
        </w:tc>
      </w:tr>
      <w:tr w14:paraId="2298F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12" w:type="dxa"/>
            <w:gridSpan w:val="2"/>
            <w:noWrap w:val="0"/>
            <w:tcMar>
              <w:top w:w="16" w:type="dxa"/>
              <w:left w:w="16" w:type="dxa"/>
              <w:right w:w="16" w:type="dxa"/>
            </w:tcMar>
            <w:vAlign w:val="center"/>
          </w:tcPr>
          <w:p w14:paraId="33B74DCD">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4"/>
                <w:szCs w:val="24"/>
              </w:rPr>
            </w:pPr>
            <w:r>
              <w:rPr>
                <w:rFonts w:hint="eastAsia" w:ascii="宋体" w:hAnsi="宋体" w:cs="宋体"/>
                <w:color w:val="auto"/>
                <w:sz w:val="24"/>
                <w:szCs w:val="24"/>
              </w:rPr>
              <w:t>是否开工建设</w:t>
            </w:r>
          </w:p>
        </w:tc>
        <w:tc>
          <w:tcPr>
            <w:tcW w:w="2145" w:type="dxa"/>
            <w:noWrap w:val="0"/>
            <w:vAlign w:val="center"/>
          </w:tcPr>
          <w:p w14:paraId="59618C53">
            <w:pPr>
              <w:keepNext w:val="0"/>
              <w:keepLines w:val="0"/>
              <w:suppressLineNumbers w:val="0"/>
              <w:adjustRightInd w:val="0"/>
              <w:snapToGrid w:val="0"/>
              <w:spacing w:before="0" w:beforeAutospacing="0" w:after="0" w:afterAutospacing="0"/>
              <w:ind w:left="0" w:right="0"/>
              <w:rPr>
                <w:rFonts w:hint="default" w:ascii="Times New Roman" w:hAnsi="Times New Roman" w:cs="宋体"/>
                <w:color w:val="auto"/>
                <w:sz w:val="24"/>
                <w:szCs w:val="24"/>
              </w:rPr>
            </w:pPr>
            <w:r>
              <w:rPr>
                <w:rFonts w:hint="eastAsia" w:ascii="宋体" w:hAnsi="宋体" w:cs="宋体"/>
                <w:color w:val="auto"/>
                <w:sz w:val="24"/>
                <w:szCs w:val="24"/>
                <w:lang w:eastAsia="zh-CN"/>
              </w:rPr>
              <w:t>☑</w:t>
            </w:r>
            <w:r>
              <w:rPr>
                <w:rFonts w:hint="eastAsia" w:ascii="Times New Roman" w:hAnsi="Times New Roman" w:cs="宋体"/>
                <w:color w:val="auto"/>
                <w:sz w:val="24"/>
                <w:szCs w:val="24"/>
              </w:rPr>
              <w:t>否</w:t>
            </w:r>
          </w:p>
          <w:p w14:paraId="5112FDA1">
            <w:pPr>
              <w:keepNext w:val="0"/>
              <w:keepLines w:val="0"/>
              <w:suppressLineNumbers w:val="0"/>
              <w:adjustRightInd w:val="0"/>
              <w:snapToGrid w:val="0"/>
              <w:spacing w:before="0" w:beforeAutospacing="0" w:after="0" w:afterAutospacing="0"/>
              <w:ind w:left="0" w:right="0"/>
              <w:rPr>
                <w:rFonts w:hint="default" w:ascii="Times New Roman" w:hAnsi="Times New Roman" w:cs="宋体"/>
                <w:color w:val="auto"/>
                <w:sz w:val="24"/>
                <w:szCs w:val="24"/>
              </w:rPr>
            </w:pPr>
            <w:r>
              <w:rPr>
                <w:rFonts w:hint="eastAsia" w:ascii="宋体" w:hAnsi="宋体" w:cs="宋体"/>
                <w:color w:val="auto"/>
                <w:sz w:val="24"/>
                <w:szCs w:val="24"/>
                <w:lang w:eastAsia="zh-CN"/>
              </w:rPr>
              <w:t>□</w:t>
            </w:r>
            <w:r>
              <w:rPr>
                <w:rFonts w:hint="eastAsia" w:ascii="Times New Roman" w:hAnsi="Times New Roman" w:cs="宋体"/>
                <w:color w:val="auto"/>
                <w:sz w:val="24"/>
                <w:szCs w:val="24"/>
              </w:rPr>
              <w:t>是：</w:t>
            </w:r>
            <w:r>
              <w:rPr>
                <w:rFonts w:hint="eastAsia" w:ascii="Times New Roman" w:hAnsi="Times New Roman" w:cs="宋体"/>
                <w:color w:val="auto"/>
                <w:sz w:val="24"/>
                <w:szCs w:val="24"/>
                <w:u w:val="single"/>
              </w:rPr>
              <w:t xml:space="preserve">             </w:t>
            </w:r>
          </w:p>
        </w:tc>
        <w:tc>
          <w:tcPr>
            <w:tcW w:w="2178" w:type="dxa"/>
            <w:noWrap w:val="0"/>
            <w:tcMar>
              <w:top w:w="16" w:type="dxa"/>
              <w:left w:w="16" w:type="dxa"/>
              <w:right w:w="16" w:type="dxa"/>
            </w:tcMar>
            <w:vAlign w:val="center"/>
          </w:tcPr>
          <w:p w14:paraId="5DC0295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pacing w:val="-6"/>
                <w:sz w:val="24"/>
                <w:szCs w:val="24"/>
              </w:rPr>
            </w:pPr>
            <w:r>
              <w:rPr>
                <w:rFonts w:hint="eastAsia" w:ascii="Times New Roman" w:hAnsi="Times New Roman" w:cs="宋体"/>
                <w:color w:val="auto"/>
                <w:spacing w:val="-6"/>
                <w:sz w:val="24"/>
                <w:szCs w:val="24"/>
              </w:rPr>
              <w:t>用地（用海）</w:t>
            </w:r>
          </w:p>
          <w:p w14:paraId="51F0F5BE">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4"/>
                <w:szCs w:val="24"/>
              </w:rPr>
            </w:pPr>
            <w:r>
              <w:rPr>
                <w:rFonts w:hint="eastAsia" w:ascii="Times New Roman" w:hAnsi="Times New Roman" w:cs="宋体"/>
                <w:color w:val="auto"/>
                <w:spacing w:val="-6"/>
                <w:sz w:val="24"/>
                <w:szCs w:val="24"/>
              </w:rPr>
              <w:t>面积（</w:t>
            </w:r>
            <w:r>
              <w:rPr>
                <w:rFonts w:hint="default" w:ascii="Times New Roman" w:hAnsi="Times New Roman" w:cs="宋体"/>
                <w:color w:val="auto"/>
                <w:spacing w:val="-6"/>
                <w:sz w:val="24"/>
                <w:szCs w:val="24"/>
              </w:rPr>
              <w:t>m</w:t>
            </w:r>
            <w:r>
              <w:rPr>
                <w:rFonts w:hint="default" w:ascii="Times New Roman" w:hAnsi="Times New Roman" w:cs="宋体"/>
                <w:color w:val="auto"/>
                <w:spacing w:val="-6"/>
                <w:sz w:val="24"/>
                <w:szCs w:val="24"/>
                <w:vertAlign w:val="superscript"/>
              </w:rPr>
              <w:t>2</w:t>
            </w:r>
            <w:r>
              <w:rPr>
                <w:rFonts w:hint="eastAsia" w:ascii="Times New Roman" w:hAnsi="Times New Roman" w:cs="宋体"/>
                <w:color w:val="auto"/>
                <w:spacing w:val="-6"/>
                <w:sz w:val="24"/>
                <w:szCs w:val="24"/>
              </w:rPr>
              <w:t>）</w:t>
            </w:r>
          </w:p>
        </w:tc>
        <w:tc>
          <w:tcPr>
            <w:tcW w:w="2735" w:type="dxa"/>
            <w:noWrap w:val="0"/>
            <w:vAlign w:val="center"/>
          </w:tcPr>
          <w:p w14:paraId="236017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 w:val="24"/>
                <w:szCs w:val="24"/>
                <w:lang w:val="en-US" w:eastAsia="zh-CN"/>
              </w:rPr>
            </w:pPr>
            <w:r>
              <w:rPr>
                <w:rFonts w:hint="eastAsia" w:cs="宋体"/>
                <w:color w:val="auto"/>
                <w:sz w:val="24"/>
                <w:szCs w:val="24"/>
                <w:highlight w:val="none"/>
                <w:lang w:val="en-US" w:eastAsia="zh-CN"/>
              </w:rPr>
              <w:t>19259.47</w:t>
            </w:r>
          </w:p>
        </w:tc>
      </w:tr>
      <w:tr w14:paraId="45D9B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812" w:type="dxa"/>
            <w:gridSpan w:val="2"/>
            <w:noWrap w:val="0"/>
            <w:vAlign w:val="center"/>
          </w:tcPr>
          <w:p w14:paraId="7FE899CD">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 w:val="24"/>
                <w:szCs w:val="24"/>
              </w:rPr>
            </w:pPr>
            <w:r>
              <w:rPr>
                <w:rFonts w:hint="eastAsia" w:ascii="宋体" w:hAnsi="宋体" w:cs="宋体"/>
                <w:color w:val="auto"/>
                <w:kern w:val="0"/>
                <w:sz w:val="24"/>
                <w:szCs w:val="24"/>
              </w:rPr>
              <w:t>专项评价设置情况</w:t>
            </w:r>
          </w:p>
        </w:tc>
        <w:tc>
          <w:tcPr>
            <w:tcW w:w="7058" w:type="dxa"/>
            <w:gridSpan w:val="3"/>
            <w:noWrap w:val="0"/>
            <w:vAlign w:val="center"/>
          </w:tcPr>
          <w:p w14:paraId="44BB045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both"/>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根据《建设项目环境影响报告表编制技术指南（污染影响类）》（试行）：</w:t>
            </w:r>
          </w:p>
          <w:p w14:paraId="14B0162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both"/>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1、本项目排放的废气中不含有毒有害污染物、二噁英、苯并[a]芘、氰化物、氯气，因此不需要设置大气专项评价。</w:t>
            </w:r>
          </w:p>
          <w:p w14:paraId="53FD363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both"/>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2、本项目</w:t>
            </w:r>
            <w:r>
              <w:rPr>
                <w:rFonts w:hint="eastAsia" w:cs="Times New Roman"/>
                <w:color w:val="auto"/>
                <w:sz w:val="24"/>
                <w:szCs w:val="24"/>
                <w:highlight w:val="none"/>
                <w:lang w:val="en-US" w:eastAsia="zh-CN"/>
              </w:rPr>
              <w:t>不进行</w:t>
            </w:r>
            <w:r>
              <w:rPr>
                <w:rFonts w:hint="eastAsia" w:ascii="Times New Roman" w:hAnsi="Times New Roman" w:cs="Times New Roman"/>
                <w:color w:val="auto"/>
                <w:sz w:val="24"/>
                <w:szCs w:val="24"/>
                <w:highlight w:val="none"/>
              </w:rPr>
              <w:t>废水直排，不需要设置地表水专项评价。</w:t>
            </w:r>
          </w:p>
          <w:p w14:paraId="18C7986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both"/>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3、厂区风险物质均未超过临界量，不需要设置环境风险专项评价。</w:t>
            </w:r>
          </w:p>
          <w:p w14:paraId="762C0CA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both"/>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4、本项目用水来自市政管网，不属于取水口下游500m范围内有重要的水生生物自然产卵场、索饵场、越冬场和洄游通道新增河道取水的污染类建设项目，不需要设置生态专项评价。</w:t>
            </w:r>
          </w:p>
          <w:p w14:paraId="4FE9394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both"/>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5、本项目不向海洋排放污染物。</w:t>
            </w:r>
          </w:p>
          <w:p w14:paraId="42BD91AE">
            <w:pPr>
              <w:keepNext w:val="0"/>
              <w:keepLines w:val="0"/>
              <w:suppressLineNumbers w:val="0"/>
              <w:autoSpaceDE w:val="0"/>
              <w:autoSpaceDN w:val="0"/>
              <w:adjustRightInd w:val="0"/>
              <w:snapToGrid w:val="0"/>
              <w:spacing w:before="0" w:beforeAutospacing="0" w:after="0" w:afterAutospacing="0"/>
              <w:ind w:left="0" w:right="0" w:firstLine="480" w:firstLineChars="200"/>
              <w:jc w:val="both"/>
              <w:rPr>
                <w:rFonts w:hint="eastAsia" w:ascii="宋体" w:hAnsi="宋体" w:eastAsia="宋体" w:cs="宋体"/>
                <w:color w:val="auto"/>
                <w:kern w:val="0"/>
                <w:sz w:val="24"/>
                <w:szCs w:val="24"/>
                <w:lang w:eastAsia="zh-CN"/>
              </w:rPr>
            </w:pPr>
            <w:r>
              <w:rPr>
                <w:rFonts w:hint="eastAsia" w:ascii="Times New Roman" w:hAnsi="Times New Roman" w:cs="Times New Roman"/>
                <w:color w:val="auto"/>
                <w:sz w:val="24"/>
                <w:szCs w:val="24"/>
                <w:highlight w:val="none"/>
              </w:rPr>
              <w:t>综上所述，本项目不需要设置专项评价</w:t>
            </w:r>
            <w:r>
              <w:rPr>
                <w:rFonts w:hint="eastAsia" w:ascii="Times New Roman" w:hAnsi="Times New Roman" w:cs="Times New Roman"/>
                <w:color w:val="auto"/>
                <w:sz w:val="24"/>
                <w:szCs w:val="24"/>
                <w:highlight w:val="none"/>
                <w:lang w:eastAsia="zh-CN"/>
              </w:rPr>
              <w:t>。</w:t>
            </w:r>
          </w:p>
        </w:tc>
      </w:tr>
      <w:tr w14:paraId="76741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812" w:type="dxa"/>
            <w:gridSpan w:val="2"/>
            <w:noWrap w:val="0"/>
            <w:vAlign w:val="center"/>
          </w:tcPr>
          <w:p w14:paraId="6C23C8A9">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cs="宋体"/>
                <w:color w:val="auto"/>
                <w:kern w:val="0"/>
                <w:sz w:val="24"/>
                <w:szCs w:val="24"/>
              </w:rPr>
            </w:pPr>
            <w:r>
              <w:rPr>
                <w:rFonts w:hint="eastAsia" w:ascii="宋体" w:hAnsi="宋体" w:cs="宋体"/>
                <w:color w:val="auto"/>
                <w:sz w:val="24"/>
                <w:szCs w:val="24"/>
              </w:rPr>
              <w:t>规划情况</w:t>
            </w:r>
          </w:p>
        </w:tc>
        <w:tc>
          <w:tcPr>
            <w:tcW w:w="7058" w:type="dxa"/>
            <w:gridSpan w:val="3"/>
            <w:noWrap w:val="0"/>
            <w:vAlign w:val="center"/>
          </w:tcPr>
          <w:p w14:paraId="2DF4BF9A">
            <w:pPr>
              <w:keepNext w:val="0"/>
              <w:keepLines w:val="0"/>
              <w:suppressLineNumbers w:val="0"/>
              <w:bidi w:val="0"/>
              <w:spacing w:before="0" w:beforeAutospacing="0" w:after="0" w:afterAutospacing="0" w:line="360" w:lineRule="auto"/>
              <w:ind w:left="0" w:right="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规划名称：《泗水县西城工业园区控制性详细规划》</w:t>
            </w:r>
            <w:r>
              <w:rPr>
                <w:rFonts w:hint="eastAsia" w:ascii="Times New Roman" w:hAnsi="Times New Roman" w:eastAsia="宋体" w:cs="Times New Roman"/>
                <w:color w:val="auto"/>
                <w:sz w:val="24"/>
                <w:szCs w:val="24"/>
                <w:lang w:val="en-US" w:eastAsia="zh-CN"/>
              </w:rPr>
              <w:t>；</w:t>
            </w:r>
          </w:p>
          <w:p w14:paraId="0AF1CF0E">
            <w:pPr>
              <w:keepNext w:val="0"/>
              <w:keepLines w:val="0"/>
              <w:suppressLineNumbers w:val="0"/>
              <w:bidi w:val="0"/>
              <w:spacing w:before="0" w:beforeAutospacing="0" w:after="0" w:afterAutospacing="0" w:line="360" w:lineRule="auto"/>
              <w:ind w:left="0" w:right="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审批机关：泗水县人民政府</w:t>
            </w:r>
            <w:r>
              <w:rPr>
                <w:rFonts w:hint="eastAsia" w:ascii="Times New Roman" w:hAnsi="Times New Roman" w:eastAsia="宋体" w:cs="Times New Roman"/>
                <w:color w:val="auto"/>
                <w:sz w:val="24"/>
                <w:szCs w:val="24"/>
                <w:lang w:val="en-US" w:eastAsia="zh-CN"/>
              </w:rPr>
              <w:t>；</w:t>
            </w:r>
          </w:p>
          <w:p w14:paraId="5F3A8BCC">
            <w:pPr>
              <w:keepNext w:val="0"/>
              <w:keepLines w:val="0"/>
              <w:suppressLineNumbers w:val="0"/>
              <w:bidi w:val="0"/>
              <w:spacing w:before="0" w:beforeAutospacing="0" w:after="0" w:afterAutospacing="0" w:line="360" w:lineRule="auto"/>
              <w:ind w:left="0" w:right="0"/>
              <w:jc w:val="both"/>
              <w:rPr>
                <w:rFonts w:hint="eastAsia" w:ascii="宋体" w:hAnsi="宋体" w:eastAsia="宋体" w:cs="宋体"/>
                <w:color w:val="auto"/>
                <w:kern w:val="0"/>
                <w:sz w:val="24"/>
                <w:szCs w:val="24"/>
                <w:highlight w:val="yellow"/>
                <w:lang w:eastAsia="zh-CN"/>
              </w:rPr>
            </w:pPr>
            <w:r>
              <w:rPr>
                <w:rFonts w:hint="default" w:ascii="Times New Roman" w:hAnsi="Times New Roman" w:eastAsia="宋体" w:cs="Times New Roman"/>
                <w:color w:val="auto"/>
                <w:sz w:val="24"/>
                <w:szCs w:val="24"/>
                <w:lang w:val="en-US" w:eastAsia="zh-CN"/>
              </w:rPr>
              <w:t>审批文件名称及文号：《</w:t>
            </w:r>
            <w:r>
              <w:rPr>
                <w:rFonts w:hint="eastAsia" w:cs="Times New Roman"/>
                <w:color w:val="auto"/>
                <w:sz w:val="24"/>
                <w:szCs w:val="24"/>
                <w:lang w:val="en-US" w:eastAsia="zh-CN"/>
              </w:rPr>
              <w:t>泗水县人民政府</w:t>
            </w:r>
            <w:r>
              <w:rPr>
                <w:rFonts w:hint="default" w:ascii="Times New Roman" w:hAnsi="Times New Roman" w:eastAsia="宋体" w:cs="Times New Roman"/>
                <w:color w:val="auto"/>
                <w:sz w:val="24"/>
                <w:szCs w:val="24"/>
                <w:lang w:val="en-US" w:eastAsia="zh-CN"/>
              </w:rPr>
              <w:t>关于同意实施泗水县西城工业园区控制性详细规划的批复》（泗政字</w:t>
            </w:r>
            <w:r>
              <w:rPr>
                <w:rFonts w:hint="eastAsia" w:cs="Times New Roman"/>
                <w:color w:val="auto"/>
                <w:sz w:val="24"/>
                <w:szCs w:val="24"/>
                <w:lang w:val="en-US" w:eastAsia="zh-CN"/>
              </w:rPr>
              <w:t>〔2008〕40号</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p>
        </w:tc>
      </w:tr>
      <w:tr w14:paraId="168F5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812" w:type="dxa"/>
            <w:gridSpan w:val="2"/>
            <w:noWrap w:val="0"/>
            <w:vAlign w:val="center"/>
          </w:tcPr>
          <w:p w14:paraId="324E30B7">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4"/>
                <w:szCs w:val="24"/>
                <w:highlight w:val="none"/>
              </w:rPr>
            </w:pPr>
            <w:r>
              <w:rPr>
                <w:rFonts w:hint="eastAsia" w:ascii="宋体" w:hAnsi="宋体" w:cs="宋体"/>
                <w:color w:val="auto"/>
                <w:sz w:val="24"/>
                <w:szCs w:val="24"/>
                <w:highlight w:val="none"/>
              </w:rPr>
              <w:t>规划环境影响评价情况</w:t>
            </w:r>
          </w:p>
        </w:tc>
        <w:tc>
          <w:tcPr>
            <w:tcW w:w="7058" w:type="dxa"/>
            <w:gridSpan w:val="3"/>
            <w:noWrap w:val="0"/>
            <w:vAlign w:val="center"/>
          </w:tcPr>
          <w:p w14:paraId="0FF7562D">
            <w:pPr>
              <w:keepNext w:val="0"/>
              <w:keepLines w:val="0"/>
              <w:suppressLineNumbers w:val="0"/>
              <w:bidi w:val="0"/>
              <w:spacing w:before="0" w:beforeAutospacing="0" w:after="0" w:afterAutospacing="0" w:line="360" w:lineRule="auto"/>
              <w:ind w:left="0" w:right="0"/>
              <w:jc w:val="both"/>
              <w:rPr>
                <w:rFonts w:hint="default"/>
                <w:color w:val="auto"/>
                <w:sz w:val="24"/>
                <w:szCs w:val="24"/>
                <w:lang w:val="en-US" w:eastAsia="zh-CN"/>
              </w:rPr>
            </w:pPr>
            <w:r>
              <w:rPr>
                <w:rFonts w:hint="default"/>
                <w:color w:val="auto"/>
                <w:sz w:val="24"/>
                <w:szCs w:val="24"/>
                <w:lang w:val="en-US" w:eastAsia="zh-CN"/>
              </w:rPr>
              <w:t>规划环评名称：《泗水县西城工业园区控制性详细规划环境影响报告书》</w:t>
            </w:r>
            <w:r>
              <w:rPr>
                <w:rFonts w:hint="eastAsia"/>
                <w:color w:val="auto"/>
                <w:sz w:val="24"/>
                <w:szCs w:val="24"/>
                <w:lang w:val="en-US" w:eastAsia="zh-CN"/>
              </w:rPr>
              <w:t>；</w:t>
            </w:r>
          </w:p>
          <w:p w14:paraId="3A4F1D15">
            <w:pPr>
              <w:keepNext w:val="0"/>
              <w:keepLines w:val="0"/>
              <w:suppressLineNumbers w:val="0"/>
              <w:bidi w:val="0"/>
              <w:spacing w:before="0" w:beforeAutospacing="0" w:after="0" w:afterAutospacing="0" w:line="360" w:lineRule="auto"/>
              <w:ind w:left="0" w:right="0"/>
              <w:jc w:val="both"/>
              <w:rPr>
                <w:rFonts w:hint="default"/>
                <w:color w:val="auto"/>
                <w:sz w:val="24"/>
                <w:szCs w:val="24"/>
                <w:lang w:val="en-US" w:eastAsia="zh-CN"/>
              </w:rPr>
            </w:pPr>
            <w:r>
              <w:rPr>
                <w:rFonts w:hint="default"/>
                <w:color w:val="auto"/>
                <w:sz w:val="24"/>
                <w:szCs w:val="24"/>
                <w:lang w:val="en-US" w:eastAsia="zh-CN"/>
              </w:rPr>
              <w:t>召集审查机关</w:t>
            </w:r>
            <w:r>
              <w:rPr>
                <w:rFonts w:hint="eastAsia"/>
                <w:color w:val="auto"/>
                <w:sz w:val="24"/>
                <w:szCs w:val="24"/>
                <w:lang w:val="en-US" w:eastAsia="zh-CN"/>
              </w:rPr>
              <w:t>：</w:t>
            </w:r>
            <w:r>
              <w:rPr>
                <w:rFonts w:hint="default"/>
                <w:color w:val="auto"/>
                <w:sz w:val="24"/>
                <w:szCs w:val="24"/>
                <w:lang w:val="en-US" w:eastAsia="zh-CN"/>
              </w:rPr>
              <w:t>济宁市生态环境局泗水县分局（原泗水县环保局）</w:t>
            </w:r>
            <w:r>
              <w:rPr>
                <w:rFonts w:hint="eastAsia"/>
                <w:color w:val="auto"/>
                <w:sz w:val="24"/>
                <w:szCs w:val="24"/>
                <w:lang w:val="en-US" w:eastAsia="zh-CN"/>
              </w:rPr>
              <w:t>；</w:t>
            </w:r>
          </w:p>
          <w:p w14:paraId="3B76D23E">
            <w:pPr>
              <w:keepNext w:val="0"/>
              <w:keepLines w:val="0"/>
              <w:suppressLineNumbers w:val="0"/>
              <w:bidi w:val="0"/>
              <w:spacing w:before="0" w:beforeAutospacing="0" w:after="0" w:afterAutospacing="0" w:line="360" w:lineRule="auto"/>
              <w:ind w:left="0" w:right="0"/>
              <w:jc w:val="both"/>
              <w:rPr>
                <w:rFonts w:hint="eastAsia" w:ascii="宋体" w:hAnsi="宋体" w:eastAsia="宋体" w:cs="宋体"/>
                <w:color w:val="auto"/>
                <w:kern w:val="0"/>
                <w:sz w:val="24"/>
                <w:szCs w:val="24"/>
                <w:highlight w:val="yellow"/>
                <w:lang w:eastAsia="zh-CN"/>
              </w:rPr>
            </w:pPr>
            <w:r>
              <w:rPr>
                <w:rFonts w:hint="default"/>
                <w:color w:val="auto"/>
                <w:sz w:val="24"/>
                <w:szCs w:val="24"/>
                <w:lang w:val="en-US" w:eastAsia="zh-CN"/>
              </w:rPr>
              <w:t>审查文件名称及文号：关于《泗水县西城工业园区控制性详细规划环境影响报告书》的审查意见（泗环书审</w:t>
            </w:r>
            <w:r>
              <w:rPr>
                <w:rFonts w:hint="eastAsia"/>
                <w:color w:val="auto"/>
                <w:sz w:val="24"/>
                <w:szCs w:val="24"/>
                <w:lang w:val="en-US" w:eastAsia="zh-CN"/>
              </w:rPr>
              <w:t>〔2018〕4号</w:t>
            </w:r>
            <w:r>
              <w:rPr>
                <w:rFonts w:hint="default"/>
                <w:color w:val="auto"/>
                <w:sz w:val="24"/>
                <w:szCs w:val="24"/>
                <w:lang w:val="en-US" w:eastAsia="zh-CN"/>
              </w:rPr>
              <w:t>）</w:t>
            </w:r>
            <w:r>
              <w:rPr>
                <w:rFonts w:hint="eastAsia"/>
                <w:color w:val="auto"/>
                <w:sz w:val="24"/>
                <w:szCs w:val="24"/>
                <w:lang w:val="en-US" w:eastAsia="zh-CN"/>
              </w:rPr>
              <w:t>。</w:t>
            </w:r>
          </w:p>
        </w:tc>
      </w:tr>
      <w:tr w14:paraId="1E8FD3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1812" w:type="dxa"/>
            <w:gridSpan w:val="2"/>
            <w:noWrap w:val="0"/>
            <w:vAlign w:val="center"/>
          </w:tcPr>
          <w:p w14:paraId="12A6A225">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 w:val="24"/>
                <w:szCs w:val="24"/>
              </w:rPr>
            </w:pPr>
            <w:r>
              <w:rPr>
                <w:rFonts w:hint="eastAsia" w:ascii="宋体" w:hAnsi="宋体" w:cs="宋体"/>
                <w:color w:val="auto"/>
                <w:kern w:val="0"/>
                <w:sz w:val="24"/>
                <w:szCs w:val="24"/>
              </w:rPr>
              <w:t>规划及规划环境影响评价符合性分析</w:t>
            </w:r>
          </w:p>
        </w:tc>
        <w:tc>
          <w:tcPr>
            <w:tcW w:w="7058" w:type="dxa"/>
            <w:gridSpan w:val="3"/>
            <w:noWrap w:val="0"/>
            <w:vAlign w:val="center"/>
          </w:tcPr>
          <w:p w14:paraId="6CA52FA6">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eastAsiaTheme="minorEastAsia"/>
                <w:b/>
                <w:bCs/>
                <w:kern w:val="0"/>
                <w:sz w:val="24"/>
                <w:szCs w:val="24"/>
              </w:rPr>
            </w:pPr>
            <w:r>
              <w:rPr>
                <w:rFonts w:hint="default" w:ascii="Times New Roman" w:hAnsi="Times New Roman" w:cs="Times New Roman" w:eastAsiaTheme="minorEastAsia"/>
                <w:b/>
                <w:bCs/>
                <w:kern w:val="0"/>
                <w:sz w:val="24"/>
                <w:szCs w:val="24"/>
              </w:rPr>
              <w:t>泗水县西城工业园区控制性详细规划符合性</w:t>
            </w:r>
          </w:p>
          <w:p w14:paraId="6EA4F4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泗水县西城工业园区位于泗水县县城西部，西起玉沟河、东到圣源大道（原</w:t>
            </w:r>
            <w:r>
              <w:rPr>
                <w:rFonts w:hint="default" w:ascii="Times New Roman" w:hAnsi="Times New Roman" w:eastAsia="宋体" w:cs="Times New Roman"/>
                <w:kern w:val="2"/>
                <w:sz w:val="24"/>
                <w:szCs w:val="24"/>
                <w:lang w:val="en-US" w:eastAsia="zh-CN" w:bidi="ar"/>
              </w:rPr>
              <w:t>西外环）、北接泉通路（原北外环）、南至泉源大道（原济河路），规划面积5.38平方公里。2008年7月14日，泗水县人民政府批准（泗政字</w:t>
            </w:r>
            <w:r>
              <w:rPr>
                <w:rFonts w:hint="default" w:ascii="Times New Roman" w:hAnsi="Times New Roman" w:cs="Times New Roman"/>
                <w:kern w:val="2"/>
                <w:sz w:val="24"/>
                <w:szCs w:val="24"/>
                <w:lang w:val="en-US" w:eastAsia="zh-CN" w:bidi="ar"/>
              </w:rPr>
              <w:t>〔2008〕40号</w:t>
            </w:r>
            <w:r>
              <w:rPr>
                <w:rFonts w:hint="default" w:ascii="Times New Roman" w:hAnsi="Times New Roman" w:eastAsia="宋体" w:cs="Times New Roman"/>
                <w:kern w:val="2"/>
                <w:sz w:val="24"/>
                <w:szCs w:val="24"/>
                <w:lang w:val="en-US" w:eastAsia="zh-CN" w:bidi="ar"/>
              </w:rPr>
              <w:t>），同</w:t>
            </w:r>
            <w:r>
              <w:rPr>
                <w:rFonts w:hint="eastAsia" w:ascii="宋体" w:hAnsi="宋体" w:eastAsia="宋体" w:cs="宋体"/>
                <w:kern w:val="2"/>
                <w:sz w:val="24"/>
                <w:szCs w:val="24"/>
                <w:lang w:val="en-US" w:eastAsia="zh-CN" w:bidi="ar"/>
              </w:rPr>
              <w:t>意实施泗水县西城工业园区控制性详细规划。</w:t>
            </w:r>
          </w:p>
          <w:p w14:paraId="71A054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泗水县西城工业园区功能定位为：以一、二类工业为主导，以加工制造业为龙头，集科、工、贸</w:t>
            </w:r>
            <w:r>
              <w:rPr>
                <w:rFonts w:hint="eastAsia" w:ascii="宋体" w:hAnsi="宋体" w:cs="宋体"/>
                <w:kern w:val="2"/>
                <w:sz w:val="24"/>
                <w:szCs w:val="24"/>
                <w:lang w:val="en-US" w:eastAsia="zh-CN" w:bidi="ar"/>
              </w:rPr>
              <w:t>于</w:t>
            </w:r>
            <w:r>
              <w:rPr>
                <w:rFonts w:hint="eastAsia" w:ascii="宋体" w:hAnsi="宋体" w:eastAsia="宋体" w:cs="宋体"/>
                <w:kern w:val="2"/>
                <w:sz w:val="24"/>
                <w:szCs w:val="24"/>
                <w:lang w:val="en-US" w:eastAsia="zh-CN" w:bidi="ar"/>
              </w:rPr>
              <w:t>一体的现代化、生态化工业园区。</w:t>
            </w:r>
          </w:p>
          <w:p w14:paraId="5876FB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4"/>
              </w:rPr>
            </w:pPr>
            <w:r>
              <w:rPr>
                <w:rFonts w:hint="eastAsia" w:ascii="宋体" w:hAnsi="宋体" w:eastAsia="宋体" w:cs="宋体"/>
                <w:kern w:val="2"/>
                <w:sz w:val="24"/>
                <w:szCs w:val="24"/>
                <w:lang w:val="en-US" w:eastAsia="zh-CN" w:bidi="ar"/>
              </w:rPr>
              <w:t>立足县城，根据城市整体生长理论，延续城市“轴线</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生长核”的生长肌理，整合县城西部用地，组织由中心管理区，生活服务区，商贸物流区和工业区所构成的西城工业园区，形成“一心、两轴、六区”的结构模式。</w:t>
            </w:r>
          </w:p>
          <w:p w14:paraId="1A5B77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4"/>
              </w:rPr>
            </w:pPr>
            <w:r>
              <w:rPr>
                <w:rFonts w:hint="eastAsia" w:ascii="宋体" w:hAnsi="宋体" w:eastAsia="宋体" w:cs="宋体"/>
                <w:kern w:val="2"/>
                <w:sz w:val="24"/>
                <w:szCs w:val="24"/>
                <w:lang w:val="en-US" w:eastAsia="zh-CN" w:bidi="ar"/>
              </w:rPr>
              <w:t>一心——工业园区的中心管理区，集行政办公、信息服务、金融、科研等服务职能为一体的新区中心。</w:t>
            </w:r>
          </w:p>
          <w:p w14:paraId="244F22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4"/>
              </w:rPr>
            </w:pPr>
            <w:r>
              <w:rPr>
                <w:rFonts w:hint="eastAsia" w:ascii="宋体" w:hAnsi="宋体" w:eastAsia="宋体" w:cs="宋体"/>
                <w:kern w:val="2"/>
                <w:sz w:val="24"/>
                <w:szCs w:val="24"/>
                <w:lang w:val="en-US" w:eastAsia="zh-CN" w:bidi="ar"/>
              </w:rPr>
              <w:t>两轴——沿复兴路的发展轴和沿新城路的景观轴。</w:t>
            </w:r>
          </w:p>
          <w:p w14:paraId="24C53F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4"/>
              </w:rPr>
            </w:pPr>
            <w:r>
              <w:rPr>
                <w:rFonts w:hint="eastAsia" w:ascii="宋体" w:hAnsi="宋体" w:eastAsia="宋体" w:cs="宋体"/>
                <w:kern w:val="2"/>
                <w:sz w:val="24"/>
                <w:szCs w:val="24"/>
                <w:lang w:val="en-US" w:eastAsia="zh-CN" w:bidi="ar"/>
              </w:rPr>
              <w:t>六区——居住片区、中心管理区、商贸物流区以及三个工业生产区。</w:t>
            </w:r>
          </w:p>
          <w:p w14:paraId="627086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4"/>
              </w:rPr>
            </w:pPr>
            <w:r>
              <w:rPr>
                <w:rFonts w:hint="eastAsia" w:ascii="宋体" w:hAnsi="宋体" w:eastAsia="宋体" w:cs="宋体"/>
                <w:kern w:val="2"/>
                <w:sz w:val="24"/>
                <w:szCs w:val="24"/>
                <w:lang w:val="en-US" w:eastAsia="zh-CN" w:bidi="ar"/>
              </w:rPr>
              <w:t>园区</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个工业组团的产业主要为：</w:t>
            </w:r>
          </w:p>
          <w:p w14:paraId="38BEA4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4"/>
              </w:rPr>
            </w:pPr>
            <w:r>
              <w:rPr>
                <w:rFonts w:hint="eastAsia" w:ascii="宋体" w:hAnsi="宋体" w:eastAsia="宋体" w:cs="宋体"/>
                <w:kern w:val="2"/>
                <w:sz w:val="24"/>
                <w:szCs w:val="24"/>
                <w:lang w:val="en-US" w:eastAsia="zh-CN" w:bidi="ar"/>
              </w:rPr>
              <w:t>北组团：二类工业为主，包括保留现状工业企业。工业类型以精细化工、机械制造、新型建材、纸业、塑料等加工制造业为主。</w:t>
            </w:r>
          </w:p>
          <w:p w14:paraId="341441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4"/>
              </w:rPr>
            </w:pPr>
            <w:r>
              <w:rPr>
                <w:rFonts w:hint="eastAsia" w:ascii="宋体" w:hAnsi="宋体" w:eastAsia="宋体" w:cs="宋体"/>
                <w:kern w:val="2"/>
                <w:sz w:val="24"/>
                <w:szCs w:val="24"/>
                <w:lang w:val="en-US" w:eastAsia="zh-CN" w:bidi="ar"/>
              </w:rPr>
              <w:t>中组团：一、二类工业混合区。以电子工业、服装纺织、玩具制造为主。</w:t>
            </w:r>
          </w:p>
          <w:p w14:paraId="5D5D54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南组团：轻工业加工制造区，以服装纺织、玩具制造、食品加工为主。</w:t>
            </w:r>
          </w:p>
          <w:p w14:paraId="2AB43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s="宋体"/>
                <w:kern w:val="2"/>
                <w:sz w:val="24"/>
                <w:szCs w:val="24"/>
                <w:lang w:val="en-US"/>
              </w:rPr>
            </w:pPr>
            <w:r>
              <w:rPr>
                <w:rFonts w:hint="eastAsia" w:ascii="宋体" w:hAnsi="宋体" w:cs="宋体"/>
                <w:kern w:val="2"/>
                <w:sz w:val="24"/>
                <w:szCs w:val="24"/>
                <w:lang w:val="en-US" w:eastAsia="zh-CN" w:bidi="ar"/>
              </w:rPr>
              <w:t>本项目位于泗水经济开发区娃哈哈食品有限公司西侧，泉音路以南、泉福路以北、圣和路以东，位于北组团，属于纸制品制造，土地类型为工业用地，符合</w:t>
            </w:r>
            <w:r>
              <w:rPr>
                <w:rFonts w:hint="default" w:ascii="Times New Roman" w:hAnsi="Times New Roman" w:eastAsia="宋体" w:cs="Times New Roman"/>
                <w:color w:val="auto"/>
                <w:sz w:val="24"/>
                <w:szCs w:val="24"/>
                <w:lang w:val="en-US" w:eastAsia="zh-CN"/>
              </w:rPr>
              <w:t>《泗水县西城工业园区控制性详细规划》</w:t>
            </w:r>
            <w:r>
              <w:rPr>
                <w:rFonts w:hint="eastAsia" w:cs="Times New Roman"/>
                <w:color w:val="auto"/>
                <w:sz w:val="24"/>
                <w:szCs w:val="24"/>
                <w:lang w:val="en-US" w:eastAsia="zh-CN"/>
              </w:rPr>
              <w:t>要求，详见附图6。</w:t>
            </w:r>
          </w:p>
          <w:p w14:paraId="0C67E3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ascii="Times New Roman" w:hAnsi="Times New Roman" w:cs="Times New Roman" w:eastAsiaTheme="minorEastAsia"/>
                <w:b/>
                <w:bCs/>
                <w:kern w:val="0"/>
                <w:sz w:val="24"/>
                <w:szCs w:val="24"/>
              </w:rPr>
            </w:pPr>
            <w:r>
              <w:rPr>
                <w:rFonts w:hint="default" w:ascii="Times New Roman" w:hAnsi="Times New Roman" w:cs="Times New Roman" w:eastAsiaTheme="minorEastAsia"/>
                <w:b/>
                <w:bCs/>
                <w:kern w:val="0"/>
                <w:sz w:val="24"/>
                <w:szCs w:val="24"/>
              </w:rPr>
              <w:t>2</w:t>
            </w:r>
            <w:r>
              <w:rPr>
                <w:rFonts w:hint="eastAsia" w:ascii="Times New Roman" w:hAnsi="Times New Roman" w:cs="Times New Roman" w:eastAsiaTheme="minorEastAsia"/>
                <w:b/>
                <w:bCs/>
                <w:kern w:val="0"/>
                <w:sz w:val="24"/>
                <w:szCs w:val="24"/>
              </w:rPr>
              <w:t>、泗水县西城工业园区控制性详细规划环境影响报告书符合性</w:t>
            </w:r>
          </w:p>
          <w:p w14:paraId="324643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宋体"/>
                <w:kern w:val="2"/>
                <w:sz w:val="24"/>
                <w:szCs w:val="24"/>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根据园区功能定位、产业发展导向、发展现状，园区环境准入基本条件见</w:t>
            </w:r>
            <w:r>
              <w:rPr>
                <w:rFonts w:hint="default" w:ascii="Times New Roman" w:hAnsi="Times New Roman" w:eastAsia="宋体" w:cs="Times New Roman"/>
                <w:kern w:val="2"/>
                <w:sz w:val="24"/>
                <w:szCs w:val="24"/>
                <w:lang w:val="en-US" w:eastAsia="zh-CN" w:bidi="ar"/>
              </w:rPr>
              <w:t>1-1</w:t>
            </w:r>
            <w:r>
              <w:rPr>
                <w:rFonts w:hint="eastAsia" w:ascii="宋体" w:hAnsi="宋体" w:eastAsia="宋体" w:cs="宋体"/>
                <w:kern w:val="2"/>
                <w:sz w:val="24"/>
                <w:szCs w:val="24"/>
                <w:lang w:val="en-US" w:eastAsia="zh-CN" w:bidi="ar"/>
              </w:rPr>
              <w:t>。</w:t>
            </w:r>
          </w:p>
          <w:p w14:paraId="71F08335">
            <w:pPr>
              <w:pStyle w:val="106"/>
              <w:widowControl/>
              <w:rPr>
                <w:rFonts w:hint="default" w:ascii="Times New Roman" w:hAnsi="Times New Roman" w:cs="Times New Roman" w:eastAsiaTheme="minorEastAsia"/>
                <w:b/>
                <w:bCs w:val="0"/>
                <w:kern w:val="0"/>
                <w:sz w:val="24"/>
                <w:szCs w:val="24"/>
              </w:rPr>
            </w:pPr>
            <w:r>
              <w:rPr>
                <w:rFonts w:hint="default" w:ascii="Times New Roman" w:hAnsi="Times New Roman" w:cs="Times New Roman" w:eastAsiaTheme="minorEastAsia"/>
                <w:b/>
                <w:bCs w:val="0"/>
                <w:kern w:val="2"/>
                <w:sz w:val="24"/>
                <w:szCs w:val="24"/>
              </w:rPr>
              <w:t xml:space="preserve">表1-1 </w:t>
            </w:r>
            <w:r>
              <w:rPr>
                <w:rFonts w:hint="eastAsia" w:cs="Times New Roman" w:eastAsiaTheme="minorEastAsia"/>
                <w:b/>
                <w:bCs w:val="0"/>
                <w:kern w:val="2"/>
                <w:sz w:val="24"/>
                <w:szCs w:val="24"/>
                <w:lang w:val="en-US" w:eastAsia="zh-CN"/>
              </w:rPr>
              <w:t xml:space="preserve"> </w:t>
            </w:r>
            <w:r>
              <w:rPr>
                <w:rFonts w:hint="default" w:ascii="Times New Roman" w:hAnsi="Times New Roman" w:cs="Times New Roman" w:eastAsiaTheme="minorEastAsia"/>
                <w:b/>
                <w:bCs w:val="0"/>
                <w:kern w:val="2"/>
                <w:sz w:val="24"/>
                <w:szCs w:val="24"/>
              </w:rPr>
              <w:t>泗水县西城工业园区环境准入基本条件</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96"/>
              <w:gridCol w:w="6116"/>
            </w:tblGrid>
            <w:tr w14:paraId="22B8F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5" w:type="dxa"/>
                  <w:tcBorders>
                    <w:tl2br w:val="nil"/>
                    <w:tr2bl w:val="nil"/>
                  </w:tcBorders>
                  <w:shd w:val="clear" w:color="auto" w:fill="auto"/>
                  <w:vAlign w:val="center"/>
                </w:tcPr>
                <w:p w14:paraId="33119919">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类别</w:t>
                  </w:r>
                </w:p>
              </w:tc>
              <w:tc>
                <w:tcPr>
                  <w:tcW w:w="7033" w:type="dxa"/>
                  <w:tcBorders>
                    <w:tl2br w:val="nil"/>
                    <w:tr2bl w:val="nil"/>
                  </w:tcBorders>
                  <w:shd w:val="clear" w:color="auto" w:fill="auto"/>
                  <w:vAlign w:val="top"/>
                </w:tcPr>
                <w:p w14:paraId="4C60BB73">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环境准入条件</w:t>
                  </w:r>
                </w:p>
              </w:tc>
            </w:tr>
            <w:tr w14:paraId="0AD99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5" w:type="dxa"/>
                  <w:tcBorders>
                    <w:tl2br w:val="nil"/>
                    <w:tr2bl w:val="nil"/>
                  </w:tcBorders>
                  <w:shd w:val="clear" w:color="auto" w:fill="auto"/>
                  <w:vAlign w:val="center"/>
                </w:tcPr>
                <w:p w14:paraId="05BDA3E6">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eastAsia"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产业</w:t>
                  </w:r>
                </w:p>
                <w:p w14:paraId="6F16D3E4">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导向</w:t>
                  </w:r>
                </w:p>
              </w:tc>
              <w:tc>
                <w:tcPr>
                  <w:tcW w:w="7033" w:type="dxa"/>
                  <w:tcBorders>
                    <w:tl2br w:val="nil"/>
                    <w:tr2bl w:val="nil"/>
                  </w:tcBorders>
                  <w:shd w:val="clear" w:color="auto" w:fill="auto"/>
                  <w:vAlign w:val="top"/>
                </w:tcPr>
                <w:p w14:paraId="48FBC011">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1、符合国家及地方产业政策，包括《产业结构调整指导目录</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外商投资产业指导目录</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山东省人民政府核准的投资项目目录</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山东省环境保护条例</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山东省禁止、限制供地项目目录》等。</w:t>
                  </w:r>
                </w:p>
                <w:p w14:paraId="26D4A504">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2、符合所属行业有关发展规划。</w:t>
                  </w:r>
                </w:p>
                <w:p w14:paraId="7C35534B">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3、符合园区产业导向及产业准入“负面清单”。</w:t>
                  </w:r>
                </w:p>
              </w:tc>
            </w:tr>
            <w:tr w14:paraId="7F18C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5" w:type="dxa"/>
                  <w:tcBorders>
                    <w:tl2br w:val="nil"/>
                    <w:tr2bl w:val="nil"/>
                  </w:tcBorders>
                  <w:shd w:val="clear" w:color="auto" w:fill="auto"/>
                  <w:vAlign w:val="center"/>
                </w:tcPr>
                <w:p w14:paraId="0406ED2A">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eastAsia"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规划</w:t>
                  </w:r>
                </w:p>
                <w:p w14:paraId="010DBAEE">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选址</w:t>
                  </w:r>
                </w:p>
              </w:tc>
              <w:tc>
                <w:tcPr>
                  <w:tcW w:w="7033" w:type="dxa"/>
                  <w:tcBorders>
                    <w:tl2br w:val="nil"/>
                    <w:tr2bl w:val="nil"/>
                  </w:tcBorders>
                  <w:shd w:val="clear" w:color="auto" w:fill="auto"/>
                  <w:vAlign w:val="top"/>
                </w:tcPr>
                <w:p w14:paraId="368A12CD">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1、选址符合主体功能区划要求。</w:t>
                  </w:r>
                </w:p>
                <w:p w14:paraId="1B3FF8DE">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2、选址符合泗水县土地利用总体规划要求。</w:t>
                  </w:r>
                </w:p>
                <w:p w14:paraId="2377FD35">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3、选址符合泗水县环境功能区划。</w:t>
                  </w:r>
                </w:p>
                <w:p w14:paraId="0760CEA4">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4、选址符合园区规划。</w:t>
                  </w:r>
                </w:p>
              </w:tc>
            </w:tr>
            <w:tr w14:paraId="39E17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5" w:type="dxa"/>
                  <w:tcBorders>
                    <w:tl2br w:val="nil"/>
                    <w:tr2bl w:val="nil"/>
                  </w:tcBorders>
                  <w:shd w:val="clear" w:color="auto" w:fill="auto"/>
                  <w:vAlign w:val="center"/>
                </w:tcPr>
                <w:p w14:paraId="6EE82E00">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eastAsia"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清洁</w:t>
                  </w:r>
                </w:p>
                <w:p w14:paraId="670A5D0D">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生产</w:t>
                  </w:r>
                </w:p>
              </w:tc>
              <w:tc>
                <w:tcPr>
                  <w:tcW w:w="7033" w:type="dxa"/>
                  <w:tcBorders>
                    <w:tl2br w:val="nil"/>
                    <w:tr2bl w:val="nil"/>
                  </w:tcBorders>
                  <w:shd w:val="clear" w:color="auto" w:fill="auto"/>
                  <w:vAlign w:val="top"/>
                </w:tcPr>
                <w:p w14:paraId="349459E1">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入区项目生产工艺、装备技术水平等应达到国内同行业领先水平；水耗、能耗指标应设定在清洁生产一级水平</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国际先进水平</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或二级水平</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国内先进水平</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w:t>
                  </w:r>
                </w:p>
              </w:tc>
            </w:tr>
            <w:tr w14:paraId="057A7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745" w:type="dxa"/>
                  <w:tcBorders>
                    <w:tl2br w:val="nil"/>
                    <w:tr2bl w:val="nil"/>
                  </w:tcBorders>
                  <w:shd w:val="clear" w:color="auto" w:fill="auto"/>
                  <w:vAlign w:val="center"/>
                </w:tcPr>
                <w:p w14:paraId="07277F20">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eastAsia"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环境</w:t>
                  </w:r>
                </w:p>
                <w:p w14:paraId="77EDD6D4">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保护</w:t>
                  </w:r>
                </w:p>
              </w:tc>
              <w:tc>
                <w:tcPr>
                  <w:tcW w:w="7033" w:type="dxa"/>
                  <w:tcBorders>
                    <w:tl2br w:val="nil"/>
                    <w:tr2bl w:val="nil"/>
                  </w:tcBorders>
                  <w:shd w:val="clear" w:color="auto" w:fill="auto"/>
                  <w:vAlign w:val="top"/>
                </w:tcPr>
                <w:p w14:paraId="5DE27BDC">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1、符合行业环境准入要求。</w:t>
                  </w:r>
                </w:p>
                <w:p w14:paraId="66ED0E72">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2、建设项目应符合《山东省大气污染防治条例</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山东省水污染防治条例</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济宁市大气污染防治条例》等的相关要求。</w:t>
                  </w:r>
                </w:p>
                <w:p w14:paraId="78471494">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3、项目建设拟排放污染物符合国家、省规定的污染物排放标准。</w:t>
                  </w:r>
                </w:p>
                <w:p w14:paraId="72C512B4">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4、建设项目新增主要污染物排放应满足《国务院办公厅关于印发控制污染物排放许可制实施方案的通知》（国办发</w:t>
                  </w:r>
                  <w:r>
                    <w:rPr>
                      <w:rFonts w:hint="default" w:ascii="Times New Roman" w:hAnsi="Times New Roman" w:cs="Times New Roman"/>
                      <w:kern w:val="0"/>
                      <w:sz w:val="21"/>
                      <w:szCs w:val="21"/>
                      <w:lang w:val="en-US" w:eastAsia="zh-CN" w:bidi="ar"/>
                    </w:rPr>
                    <w:t>〔2016〕81号</w:t>
                  </w:r>
                  <w:r>
                    <w:rPr>
                      <w:rFonts w:hint="default" w:ascii="Times New Roman" w:hAnsi="Times New Roman" w:eastAsia="宋体" w:cs="Times New Roman"/>
                      <w:kern w:val="0"/>
                      <w:sz w:val="21"/>
                      <w:szCs w:val="21"/>
                      <w:lang w:val="en-US" w:eastAsia="zh-CN" w:bidi="ar"/>
                    </w:rPr>
                    <w:t>）、环保部《关于印发</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排污许可证管理暂行规定</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的通知》（环水体</w:t>
                  </w:r>
                  <w:r>
                    <w:rPr>
                      <w:rFonts w:hint="default" w:ascii="Times New Roman" w:hAnsi="Times New Roman" w:cs="Times New Roman"/>
                      <w:kern w:val="0"/>
                      <w:sz w:val="21"/>
                      <w:szCs w:val="21"/>
                      <w:lang w:val="en-US" w:eastAsia="zh-CN" w:bidi="ar"/>
                    </w:rPr>
                    <w:t>〔2016〕186号</w:t>
                  </w:r>
                  <w:r>
                    <w:rPr>
                      <w:rFonts w:hint="default" w:ascii="Times New Roman" w:hAnsi="Times New Roman" w:eastAsia="宋体" w:cs="Times New Roman"/>
                      <w:kern w:val="0"/>
                      <w:sz w:val="21"/>
                      <w:szCs w:val="21"/>
                      <w:lang w:val="en-US" w:eastAsia="zh-CN" w:bidi="ar"/>
                    </w:rPr>
                    <w:t>）等的相关要求。</w:t>
                  </w:r>
                </w:p>
                <w:p w14:paraId="31C99CD3">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5、废水集中纳管排放。</w:t>
                  </w:r>
                </w:p>
                <w:p w14:paraId="4550EAE7">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left"/>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6、实施技改项目的企业近三年未发生重大污染事故，未发生因环境污染引起的群体性事件。</w:t>
                  </w:r>
                </w:p>
              </w:tc>
            </w:tr>
          </w:tbl>
          <w:p w14:paraId="5DD2D352">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w:t>
            </w:r>
            <w:r>
              <w:rPr>
                <w:rFonts w:hint="eastAsia" w:cs="Times New Roman"/>
                <w:kern w:val="0"/>
                <w:sz w:val="24"/>
                <w:szCs w:val="24"/>
                <w:lang w:val="en-US" w:eastAsia="zh-CN" w:bidi="ar"/>
              </w:rPr>
              <w:t>2</w:t>
            </w:r>
            <w:r>
              <w:rPr>
                <w:rFonts w:hint="eastAsia" w:ascii="宋体" w:hAnsi="宋体" w:eastAsia="宋体" w:cs="宋体"/>
                <w:kern w:val="0"/>
                <w:sz w:val="24"/>
                <w:szCs w:val="24"/>
                <w:lang w:val="en-US" w:eastAsia="zh-CN" w:bidi="ar"/>
              </w:rPr>
              <w:t>）禁止类产业清单</w:t>
            </w:r>
          </w:p>
          <w:p w14:paraId="23EDEF4D">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kern w:val="0"/>
                <w:sz w:val="24"/>
                <w:szCs w:val="24"/>
              </w:rPr>
            </w:pPr>
            <w:r>
              <w:rPr>
                <w:rFonts w:hint="eastAsia" w:ascii="宋体" w:hAnsi="宋体" w:eastAsia="宋体" w:cs="宋体"/>
                <w:color w:val="auto"/>
                <w:kern w:val="2"/>
                <w:sz w:val="24"/>
                <w:szCs w:val="24"/>
                <w:lang w:val="en-US" w:eastAsia="zh-CN" w:bidi="ar"/>
              </w:rPr>
              <w:t>禁止类产业以</w:t>
            </w:r>
            <w:r>
              <w:rPr>
                <w:rFonts w:hint="eastAsia" w:ascii="宋体" w:hAnsi="宋体" w:eastAsia="宋体" w:cs="宋体"/>
                <w:color w:val="auto"/>
                <w:kern w:val="0"/>
                <w:sz w:val="24"/>
                <w:szCs w:val="24"/>
                <w:lang w:val="en-US" w:eastAsia="zh-CN" w:bidi="ar"/>
              </w:rPr>
              <w:t>《产业结构调整指导目录（</w:t>
            </w:r>
            <w:r>
              <w:rPr>
                <w:rFonts w:hint="default" w:ascii="Times New Roman" w:hAnsi="Times New Roman" w:eastAsia="宋体" w:cs="Times New Roman"/>
                <w:color w:val="auto"/>
                <w:kern w:val="0"/>
                <w:sz w:val="24"/>
                <w:szCs w:val="24"/>
                <w:lang w:val="en-US" w:eastAsia="zh-CN" w:bidi="ar"/>
              </w:rPr>
              <w:t>2011</w:t>
            </w:r>
            <w:r>
              <w:rPr>
                <w:rFonts w:hint="eastAsia" w:ascii="宋体" w:hAnsi="宋体" w:eastAsia="宋体" w:cs="宋体"/>
                <w:color w:val="auto"/>
                <w:kern w:val="0"/>
                <w:sz w:val="24"/>
                <w:szCs w:val="24"/>
                <w:lang w:val="en-US" w:eastAsia="zh-CN" w:bidi="ar"/>
              </w:rPr>
              <w:t>本，</w:t>
            </w:r>
            <w:r>
              <w:rPr>
                <w:rFonts w:hint="default" w:ascii="Times New Roman" w:hAnsi="Times New Roman" w:eastAsia="宋体" w:cs="Times New Roman"/>
                <w:color w:val="auto"/>
                <w:kern w:val="0"/>
                <w:sz w:val="24"/>
                <w:szCs w:val="24"/>
                <w:lang w:val="en-US" w:eastAsia="zh-CN" w:bidi="ar"/>
              </w:rPr>
              <w:t>2013</w:t>
            </w:r>
            <w:r>
              <w:rPr>
                <w:rFonts w:hint="eastAsia" w:ascii="宋体" w:hAnsi="宋体" w:eastAsia="宋体" w:cs="宋体"/>
                <w:color w:val="auto"/>
                <w:kern w:val="0"/>
                <w:sz w:val="24"/>
                <w:szCs w:val="24"/>
                <w:lang w:val="en-US" w:eastAsia="zh-CN" w:bidi="ar"/>
              </w:rPr>
              <w:t>年修订）》中淘汰</w:t>
            </w:r>
            <w:r>
              <w:rPr>
                <w:rFonts w:hint="eastAsia" w:ascii="宋体" w:hAnsi="宋体" w:eastAsia="宋体" w:cs="宋体"/>
                <w:kern w:val="0"/>
                <w:sz w:val="24"/>
                <w:szCs w:val="24"/>
                <w:lang w:val="en-US" w:eastAsia="zh-CN" w:bidi="ar"/>
              </w:rPr>
              <w:t>类项目、《山东省禁止、限制供地项目目录》中符合禁止条件的项目、国家及山东省其他法律法规明令禁止的行业及不符合园区产业规划的行业；对禁止类项目，严禁投资新建。</w:t>
            </w:r>
          </w:p>
          <w:p w14:paraId="04791100">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w:t>
            </w:r>
            <w:r>
              <w:rPr>
                <w:rFonts w:hint="eastAsia" w:cs="Times New Roman"/>
                <w:kern w:val="0"/>
                <w:sz w:val="24"/>
                <w:szCs w:val="24"/>
                <w:lang w:val="en-US" w:eastAsia="zh-CN" w:bidi="ar"/>
              </w:rPr>
              <w:t>3</w:t>
            </w:r>
            <w:r>
              <w:rPr>
                <w:rFonts w:hint="eastAsia" w:ascii="宋体" w:hAnsi="宋体" w:eastAsia="宋体" w:cs="宋体"/>
                <w:kern w:val="0"/>
                <w:sz w:val="24"/>
                <w:szCs w:val="24"/>
                <w:lang w:val="en-US" w:eastAsia="zh-CN" w:bidi="ar"/>
              </w:rPr>
              <w:t>）限制类产业清单</w:t>
            </w:r>
          </w:p>
          <w:p w14:paraId="617B4142">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限制类产业主要包括两类，一类是符合规划园区产业发展导向，但可能含有环境</w:t>
            </w:r>
            <w:r>
              <w:rPr>
                <w:rFonts w:hint="eastAsia" w:ascii="宋体" w:hAnsi="宋体" w:eastAsia="宋体" w:cs="宋体"/>
                <w:color w:val="auto"/>
                <w:kern w:val="0"/>
                <w:sz w:val="24"/>
                <w:szCs w:val="24"/>
                <w:lang w:val="en-US" w:eastAsia="zh-CN" w:bidi="ar"/>
              </w:rPr>
              <w:t>污染隐患的工序，本次评价将其中的重污染行业归类为限制发展产业；《产业结构调整指导目录（</w:t>
            </w:r>
            <w:r>
              <w:rPr>
                <w:rFonts w:hint="default" w:ascii="Times New Roman" w:hAnsi="Times New Roman" w:eastAsia="宋体" w:cs="Times New Roman"/>
                <w:color w:val="auto"/>
                <w:kern w:val="0"/>
                <w:sz w:val="24"/>
                <w:szCs w:val="24"/>
                <w:lang w:val="en-US" w:eastAsia="zh-CN" w:bidi="ar"/>
              </w:rPr>
              <w:t>2011</w:t>
            </w:r>
            <w:r>
              <w:rPr>
                <w:rFonts w:hint="eastAsia" w:ascii="宋体" w:hAnsi="宋体" w:eastAsia="宋体" w:cs="宋体"/>
                <w:color w:val="auto"/>
                <w:kern w:val="0"/>
                <w:sz w:val="24"/>
                <w:szCs w:val="24"/>
                <w:lang w:val="en-US" w:eastAsia="zh-CN" w:bidi="ar"/>
              </w:rPr>
              <w:t>本，</w:t>
            </w:r>
            <w:r>
              <w:rPr>
                <w:rFonts w:hint="default" w:ascii="Times New Roman" w:hAnsi="Times New Roman" w:eastAsia="宋体" w:cs="Times New Roman"/>
                <w:color w:val="auto"/>
                <w:kern w:val="0"/>
                <w:sz w:val="24"/>
                <w:szCs w:val="24"/>
                <w:lang w:val="en-US" w:eastAsia="zh-CN" w:bidi="ar"/>
              </w:rPr>
              <w:t>2013</w:t>
            </w:r>
            <w:r>
              <w:rPr>
                <w:rFonts w:hint="eastAsia" w:ascii="宋体" w:hAnsi="宋体" w:eastAsia="宋体" w:cs="宋体"/>
                <w:color w:val="auto"/>
                <w:kern w:val="0"/>
                <w:sz w:val="24"/>
                <w:szCs w:val="24"/>
                <w:lang w:val="en-US" w:eastAsia="zh-CN" w:bidi="ar"/>
              </w:rPr>
              <w:t>年修订）》中限制类、《山</w:t>
            </w:r>
            <w:r>
              <w:rPr>
                <w:rFonts w:hint="eastAsia" w:ascii="宋体" w:hAnsi="宋体" w:eastAsia="宋体" w:cs="宋体"/>
                <w:kern w:val="0"/>
                <w:sz w:val="24"/>
                <w:szCs w:val="24"/>
                <w:lang w:val="en-US" w:eastAsia="zh-CN" w:bidi="ar"/>
              </w:rPr>
              <w:t>东省禁止、限制供地项目目录》中限制条件的项目以及山东省、济宁市其他法律法规明令限制的其它行业；另一类为符合规划区产业发展导向，但受限于基础设施规模及环境容量的项目，主要指片区排水受限于规划远期污水处理厂处理能力，限制高耗水高排水企业。</w:t>
            </w:r>
          </w:p>
          <w:p w14:paraId="1A378817">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cs="Times New Roman"/>
                <w:kern w:val="2"/>
                <w:sz w:val="24"/>
                <w:szCs w:val="24"/>
                <w:lang w:val="en-US" w:eastAsia="zh-CN" w:bidi="ar"/>
              </w:rPr>
              <w:t>4</w:t>
            </w:r>
            <w:r>
              <w:rPr>
                <w:rFonts w:hint="eastAsia" w:ascii="宋体" w:hAnsi="宋体" w:eastAsia="宋体" w:cs="宋体"/>
                <w:kern w:val="2"/>
                <w:sz w:val="24"/>
                <w:szCs w:val="24"/>
                <w:lang w:val="en-US" w:eastAsia="zh-CN" w:bidi="ar"/>
              </w:rPr>
              <w:t>）允许类</w:t>
            </w:r>
          </w:p>
          <w:p w14:paraId="66CCFE87">
            <w:pPr>
              <w:keepNext w:val="0"/>
              <w:keepLines w:val="0"/>
              <w:widowControl w:val="0"/>
              <w:suppressLineNumbers w:val="0"/>
              <w:spacing w:before="0" w:beforeAutospacing="0" w:after="0" w:afterAutospacing="0" w:line="360" w:lineRule="auto"/>
              <w:ind w:left="0" w:right="0" w:firstLine="480"/>
              <w:jc w:val="both"/>
              <w:rPr>
                <w:rFonts w:hint="eastAsia" w:ascii="Times New Roman" w:hAnsi="Times New Roman" w:eastAsia="宋体" w:cs="宋体"/>
                <w:kern w:val="2"/>
                <w:sz w:val="24"/>
                <w:szCs w:val="24"/>
              </w:rPr>
            </w:pPr>
            <w:r>
              <w:rPr>
                <w:rFonts w:hint="eastAsia" w:ascii="宋体" w:hAnsi="宋体" w:eastAsia="宋体" w:cs="宋体"/>
                <w:kern w:val="2"/>
                <w:sz w:val="24"/>
                <w:szCs w:val="24"/>
                <w:lang w:val="en-US" w:eastAsia="zh-CN" w:bidi="ar"/>
              </w:rPr>
              <w:t>不属于上述限制类、禁止类，选址与周围环境相容的其它项目。</w:t>
            </w:r>
          </w:p>
          <w:p w14:paraId="4870024C">
            <w:pPr>
              <w:pStyle w:val="106"/>
              <w:widowControl/>
              <w:rPr>
                <w:rFonts w:hint="eastAsia" w:ascii="Times New Roman" w:hAnsi="Times New Roman" w:eastAsia="宋体" w:cs="Times New Roman"/>
                <w:b/>
                <w:bCs/>
                <w:kern w:val="0"/>
                <w:sz w:val="24"/>
                <w:szCs w:val="24"/>
              </w:rPr>
            </w:pPr>
            <w:r>
              <w:rPr>
                <w:rFonts w:hint="default" w:ascii="Times New Roman" w:hAnsi="Times New Roman" w:cs="Times New Roman" w:eastAsiaTheme="minorEastAsia"/>
                <w:b/>
                <w:bCs w:val="0"/>
                <w:kern w:val="2"/>
                <w:sz w:val="24"/>
                <w:szCs w:val="24"/>
              </w:rPr>
              <w:t xml:space="preserve">表1-2 </w:t>
            </w:r>
            <w:r>
              <w:rPr>
                <w:rFonts w:hint="eastAsia" w:cs="Times New Roman" w:eastAsiaTheme="minorEastAsia"/>
                <w:b/>
                <w:bCs w:val="0"/>
                <w:kern w:val="2"/>
                <w:sz w:val="24"/>
                <w:szCs w:val="24"/>
                <w:lang w:val="en-US" w:eastAsia="zh-CN"/>
              </w:rPr>
              <w:t xml:space="preserve"> </w:t>
            </w:r>
            <w:r>
              <w:rPr>
                <w:rFonts w:hint="default" w:ascii="Times New Roman" w:hAnsi="Times New Roman" w:cs="Times New Roman" w:eastAsiaTheme="minorEastAsia"/>
                <w:b/>
                <w:bCs w:val="0"/>
                <w:kern w:val="2"/>
                <w:sz w:val="24"/>
                <w:szCs w:val="24"/>
              </w:rPr>
              <w:t>园区负面清单（产业清单）</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00"/>
              <w:gridCol w:w="1543"/>
              <w:gridCol w:w="2341"/>
              <w:gridCol w:w="1028"/>
            </w:tblGrid>
            <w:tr w14:paraId="7D1B7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2184" w:type="dxa"/>
                  <w:tcBorders>
                    <w:tl2br w:val="nil"/>
                    <w:tr2bl w:val="nil"/>
                  </w:tcBorders>
                  <w:shd w:val="clear" w:color="auto" w:fill="auto"/>
                  <w:vAlign w:val="center"/>
                </w:tcPr>
                <w:p w14:paraId="2FE6C219">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分类</w:t>
                  </w:r>
                </w:p>
              </w:tc>
              <w:tc>
                <w:tcPr>
                  <w:tcW w:w="1747" w:type="dxa"/>
                  <w:tcBorders>
                    <w:tl2br w:val="nil"/>
                    <w:tr2bl w:val="nil"/>
                  </w:tcBorders>
                  <w:shd w:val="clear" w:color="auto" w:fill="auto"/>
                  <w:vAlign w:val="center"/>
                </w:tcPr>
                <w:p w14:paraId="0DD2948F">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行业清单</w:t>
                  </w:r>
                </w:p>
              </w:tc>
              <w:tc>
                <w:tcPr>
                  <w:tcW w:w="2677" w:type="dxa"/>
                  <w:tcBorders>
                    <w:tl2br w:val="nil"/>
                    <w:tr2bl w:val="nil"/>
                  </w:tcBorders>
                  <w:shd w:val="clear" w:color="auto" w:fill="auto"/>
                  <w:vAlign w:val="center"/>
                </w:tcPr>
                <w:p w14:paraId="6D8E9A0E">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工艺清单</w:t>
                  </w:r>
                </w:p>
              </w:tc>
              <w:tc>
                <w:tcPr>
                  <w:tcW w:w="1162" w:type="dxa"/>
                  <w:tcBorders>
                    <w:tl2br w:val="nil"/>
                    <w:tr2bl w:val="nil"/>
                  </w:tcBorders>
                  <w:shd w:val="clear" w:color="auto" w:fill="auto"/>
                  <w:vAlign w:val="center"/>
                </w:tcPr>
                <w:p w14:paraId="7E7A7574">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b/>
                      <w:bCs/>
                      <w:kern w:val="0"/>
                      <w:sz w:val="21"/>
                      <w:szCs w:val="21"/>
                    </w:rPr>
                  </w:pPr>
                  <w:r>
                    <w:rPr>
                      <w:rFonts w:hint="eastAsia" w:ascii="宋体" w:hAnsi="宋体" w:eastAsia="宋体" w:cs="宋体"/>
                      <w:b/>
                      <w:bCs/>
                      <w:kern w:val="0"/>
                      <w:sz w:val="21"/>
                      <w:szCs w:val="21"/>
                      <w:lang w:val="en-US" w:eastAsia="zh-CN" w:bidi="ar"/>
                    </w:rPr>
                    <w:t>控制级别</w:t>
                  </w:r>
                </w:p>
              </w:tc>
            </w:tr>
            <w:tr w14:paraId="1D415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4" w:type="dxa"/>
                  <w:tcBorders>
                    <w:tl2br w:val="nil"/>
                    <w:tr2bl w:val="nil"/>
                  </w:tcBorders>
                  <w:shd w:val="clear" w:color="auto" w:fill="auto"/>
                  <w:vAlign w:val="center"/>
                </w:tcPr>
                <w:p w14:paraId="3F5DA211">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13</w:t>
                  </w:r>
                  <w:r>
                    <w:rPr>
                      <w:rFonts w:hint="eastAsia" w:ascii="宋体" w:hAnsi="宋体" w:eastAsia="宋体" w:cs="宋体"/>
                      <w:kern w:val="0"/>
                      <w:sz w:val="21"/>
                      <w:szCs w:val="21"/>
                      <w:lang w:val="en-US" w:eastAsia="zh-CN" w:bidi="ar"/>
                    </w:rPr>
                    <w:t>农副食品加工业</w:t>
                  </w:r>
                </w:p>
              </w:tc>
              <w:tc>
                <w:tcPr>
                  <w:tcW w:w="1747" w:type="dxa"/>
                  <w:tcBorders>
                    <w:tl2br w:val="nil"/>
                    <w:tr2bl w:val="nil"/>
                  </w:tcBorders>
                  <w:shd w:val="clear" w:color="auto" w:fill="auto"/>
                  <w:vAlign w:val="center"/>
                </w:tcPr>
                <w:p w14:paraId="05223780">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①《山东省禁止、限制供地项目目录》</w:t>
                  </w:r>
                  <w:r>
                    <w:rPr>
                      <w:rFonts w:hint="eastAsia" w:cs="宋体"/>
                      <w:kern w:val="0"/>
                      <w:sz w:val="21"/>
                      <w:szCs w:val="21"/>
                      <w:lang w:val="en-US" w:eastAsia="zh-CN" w:bidi="ar"/>
                    </w:rPr>
                    <w:t>轻工业</w:t>
                  </w:r>
                  <w:r>
                    <w:rPr>
                      <w:rFonts w:hint="eastAsia" w:ascii="宋体" w:hAnsi="宋体" w:eastAsia="宋体" w:cs="宋体"/>
                      <w:kern w:val="0"/>
                      <w:sz w:val="21"/>
                      <w:szCs w:val="21"/>
                      <w:lang w:val="en-US" w:eastAsia="zh-CN" w:bidi="ar"/>
                    </w:rPr>
                    <w:t>类禁止范围</w:t>
                  </w:r>
                </w:p>
              </w:tc>
              <w:tc>
                <w:tcPr>
                  <w:tcW w:w="2677" w:type="dxa"/>
                  <w:tcBorders>
                    <w:tl2br w:val="nil"/>
                    <w:tr2bl w:val="nil"/>
                  </w:tcBorders>
                  <w:shd w:val="clear" w:color="auto" w:fill="auto"/>
                  <w:vAlign w:val="center"/>
                </w:tcPr>
                <w:p w14:paraId="7DB0DC7F">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①产业结构调整指导目录（</w:t>
                  </w:r>
                  <w:r>
                    <w:rPr>
                      <w:rFonts w:hint="default" w:ascii="Times New Roman" w:hAnsi="Times New Roman" w:eastAsia="宋体" w:cs="Times New Roman"/>
                      <w:color w:val="auto"/>
                      <w:kern w:val="0"/>
                      <w:sz w:val="21"/>
                      <w:szCs w:val="21"/>
                      <w:lang w:val="en-US" w:eastAsia="zh-CN" w:bidi="ar"/>
                    </w:rPr>
                    <w:t>2011</w:t>
                  </w:r>
                  <w:r>
                    <w:rPr>
                      <w:rFonts w:hint="eastAsia" w:ascii="宋体" w:hAnsi="宋体" w:eastAsia="宋体" w:cs="宋体"/>
                      <w:color w:val="auto"/>
                      <w:kern w:val="0"/>
                      <w:sz w:val="21"/>
                      <w:szCs w:val="21"/>
                      <w:lang w:val="en-US" w:eastAsia="zh-CN" w:bidi="ar"/>
                    </w:rPr>
                    <w:t>年本）（</w:t>
                  </w:r>
                  <w:r>
                    <w:rPr>
                      <w:rFonts w:hint="default" w:ascii="Times New Roman" w:hAnsi="Times New Roman" w:eastAsia="宋体" w:cs="Times New Roman"/>
                      <w:color w:val="auto"/>
                      <w:kern w:val="0"/>
                      <w:sz w:val="21"/>
                      <w:szCs w:val="21"/>
                      <w:lang w:val="en-US" w:eastAsia="zh-CN" w:bidi="ar"/>
                    </w:rPr>
                    <w:t>2013</w:t>
                  </w:r>
                  <w:r>
                    <w:rPr>
                      <w:rFonts w:hint="eastAsia" w:ascii="宋体" w:hAnsi="宋体" w:eastAsia="宋体" w:cs="宋体"/>
                      <w:color w:val="auto"/>
                      <w:kern w:val="0"/>
                      <w:sz w:val="21"/>
                      <w:szCs w:val="21"/>
                      <w:lang w:val="en-US" w:eastAsia="zh-CN" w:bidi="ar"/>
                    </w:rPr>
                    <w:t>年修正）淘汰类；</w:t>
                  </w:r>
                </w:p>
                <w:p w14:paraId="6E1A40F5">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color w:val="auto"/>
                      <w:kern w:val="0"/>
                      <w:sz w:val="21"/>
                      <w:szCs w:val="21"/>
                      <w:lang w:val="en-US" w:eastAsia="zh-CN" w:bidi="ar"/>
                    </w:rPr>
                    <w:t>②新建、扩建、改建</w:t>
                  </w:r>
                  <w:r>
                    <w:rPr>
                      <w:rFonts w:hint="eastAsia" w:ascii="宋体" w:hAnsi="宋体" w:eastAsia="宋体" w:cs="宋体"/>
                      <w:kern w:val="0"/>
                      <w:sz w:val="21"/>
                      <w:szCs w:val="21"/>
                      <w:lang w:val="en-US" w:eastAsia="zh-CN" w:bidi="ar"/>
                    </w:rPr>
                    <w:t>农副产品加工行业不能实现主要污染物排放等量或减量置换的项目</w:t>
                  </w:r>
                </w:p>
              </w:tc>
              <w:tc>
                <w:tcPr>
                  <w:tcW w:w="1162" w:type="dxa"/>
                  <w:tcBorders>
                    <w:tl2br w:val="nil"/>
                    <w:tr2bl w:val="nil"/>
                  </w:tcBorders>
                  <w:shd w:val="clear" w:color="auto" w:fill="auto"/>
                  <w:vAlign w:val="center"/>
                </w:tcPr>
                <w:p w14:paraId="0D762E5F">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禁止类</w:t>
                  </w:r>
                </w:p>
              </w:tc>
            </w:tr>
            <w:tr w14:paraId="40807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4" w:type="dxa"/>
                  <w:tcBorders>
                    <w:tl2br w:val="nil"/>
                    <w:tr2bl w:val="nil"/>
                  </w:tcBorders>
                  <w:shd w:val="clear" w:color="auto" w:fill="auto"/>
                  <w:vAlign w:val="center"/>
                </w:tcPr>
                <w:p w14:paraId="68DA6541">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22</w:t>
                  </w:r>
                  <w:r>
                    <w:rPr>
                      <w:rFonts w:hint="eastAsia" w:ascii="宋体" w:hAnsi="宋体" w:eastAsia="宋体" w:cs="宋体"/>
                      <w:kern w:val="0"/>
                      <w:sz w:val="21"/>
                      <w:szCs w:val="21"/>
                      <w:lang w:val="en-US" w:eastAsia="zh-CN" w:bidi="ar"/>
                    </w:rPr>
                    <w:t>造纸和纸制品制造</w:t>
                  </w:r>
                </w:p>
              </w:tc>
              <w:tc>
                <w:tcPr>
                  <w:tcW w:w="1747" w:type="dxa"/>
                  <w:tcBorders>
                    <w:tl2br w:val="nil"/>
                    <w:tr2bl w:val="nil"/>
                  </w:tcBorders>
                  <w:shd w:val="clear" w:color="auto" w:fill="auto"/>
                  <w:vAlign w:val="center"/>
                </w:tcPr>
                <w:p w14:paraId="6F2F7010">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除</w:t>
                  </w:r>
                  <w:r>
                    <w:rPr>
                      <w:rFonts w:hint="default" w:ascii="Times New Roman" w:hAnsi="Times New Roman" w:eastAsia="宋体" w:cs="Times New Roman"/>
                      <w:kern w:val="0"/>
                      <w:sz w:val="21"/>
                      <w:szCs w:val="21"/>
                      <w:lang w:val="en-US" w:eastAsia="zh-CN" w:bidi="ar"/>
                    </w:rPr>
                    <w:t>“223</w:t>
                  </w:r>
                  <w:r>
                    <w:rPr>
                      <w:rFonts w:hint="eastAsia" w:ascii="宋体" w:hAnsi="宋体" w:eastAsia="宋体" w:cs="宋体"/>
                      <w:kern w:val="0"/>
                      <w:sz w:val="21"/>
                      <w:szCs w:val="21"/>
                      <w:lang w:val="en-US" w:eastAsia="zh-CN" w:bidi="ar"/>
                    </w:rPr>
                    <w:t>纸制品制造</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外所有</w:t>
                  </w:r>
                </w:p>
              </w:tc>
              <w:tc>
                <w:tcPr>
                  <w:tcW w:w="2677" w:type="dxa"/>
                  <w:tcBorders>
                    <w:tl2br w:val="nil"/>
                    <w:tr2bl w:val="nil"/>
                  </w:tcBorders>
                  <w:shd w:val="clear" w:color="auto" w:fill="auto"/>
                  <w:vAlign w:val="center"/>
                </w:tcPr>
                <w:p w14:paraId="417A94B9">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除</w:t>
                  </w:r>
                  <w:r>
                    <w:rPr>
                      <w:rFonts w:hint="default" w:ascii="Times New Roman" w:hAnsi="Times New Roman" w:eastAsia="宋体" w:cs="Times New Roman"/>
                      <w:kern w:val="0"/>
                      <w:sz w:val="21"/>
                      <w:szCs w:val="21"/>
                      <w:lang w:val="en-US" w:eastAsia="zh-CN" w:bidi="ar"/>
                    </w:rPr>
                    <w:t>“223</w:t>
                  </w:r>
                  <w:r>
                    <w:rPr>
                      <w:rFonts w:hint="eastAsia" w:ascii="宋体" w:hAnsi="宋体" w:eastAsia="宋体" w:cs="宋体"/>
                      <w:kern w:val="0"/>
                      <w:sz w:val="21"/>
                      <w:szCs w:val="21"/>
                      <w:lang w:val="en-US" w:eastAsia="zh-CN" w:bidi="ar"/>
                    </w:rPr>
                    <w:t>纸制品制造</w:t>
                  </w:r>
                  <w:r>
                    <w:rPr>
                      <w:rFonts w:hint="default" w:ascii="Times New Roman" w:hAnsi="Times New Roman" w:eastAsia="宋体" w:cs="Times New Roman"/>
                      <w:kern w:val="0"/>
                      <w:sz w:val="21"/>
                      <w:szCs w:val="21"/>
                      <w:lang w:val="en-US" w:eastAsia="zh-CN" w:bidi="ar"/>
                    </w:rPr>
                    <w:t>”</w:t>
                  </w:r>
                  <w:r>
                    <w:rPr>
                      <w:rFonts w:hint="eastAsia" w:ascii="宋体" w:hAnsi="宋体" w:eastAsia="宋体" w:cs="宋体"/>
                      <w:kern w:val="0"/>
                      <w:sz w:val="21"/>
                      <w:szCs w:val="21"/>
                      <w:lang w:val="en-US" w:eastAsia="zh-CN" w:bidi="ar"/>
                    </w:rPr>
                    <w:t>外所有</w:t>
                  </w:r>
                </w:p>
              </w:tc>
              <w:tc>
                <w:tcPr>
                  <w:tcW w:w="1162" w:type="dxa"/>
                  <w:tcBorders>
                    <w:tl2br w:val="nil"/>
                    <w:tr2bl w:val="nil"/>
                  </w:tcBorders>
                  <w:shd w:val="clear" w:color="auto" w:fill="auto"/>
                  <w:vAlign w:val="center"/>
                </w:tcPr>
                <w:p w14:paraId="35789E67">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禁止类</w:t>
                  </w:r>
                </w:p>
              </w:tc>
            </w:tr>
            <w:tr w14:paraId="4CDA0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4" w:type="dxa"/>
                  <w:tcBorders>
                    <w:tl2br w:val="nil"/>
                    <w:tr2bl w:val="nil"/>
                  </w:tcBorders>
                  <w:shd w:val="clear" w:color="auto" w:fill="auto"/>
                  <w:vAlign w:val="center"/>
                </w:tcPr>
                <w:p w14:paraId="12E5E0F8">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25</w:t>
                  </w:r>
                  <w:r>
                    <w:rPr>
                      <w:rFonts w:hint="eastAsia" w:ascii="宋体" w:hAnsi="宋体" w:eastAsia="宋体" w:cs="宋体"/>
                      <w:kern w:val="0"/>
                      <w:sz w:val="21"/>
                      <w:szCs w:val="21"/>
                      <w:lang w:val="en-US" w:eastAsia="zh-CN" w:bidi="ar"/>
                    </w:rPr>
                    <w:t>石油、煤炭及其他燃料加工业</w:t>
                  </w:r>
                </w:p>
              </w:tc>
              <w:tc>
                <w:tcPr>
                  <w:tcW w:w="1747" w:type="dxa"/>
                  <w:tcBorders>
                    <w:tl2br w:val="nil"/>
                    <w:tr2bl w:val="nil"/>
                  </w:tcBorders>
                  <w:shd w:val="clear" w:color="auto" w:fill="auto"/>
                  <w:vAlign w:val="center"/>
                </w:tcPr>
                <w:p w14:paraId="5646D2F5">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2677" w:type="dxa"/>
                  <w:tcBorders>
                    <w:tl2br w:val="nil"/>
                    <w:tr2bl w:val="nil"/>
                  </w:tcBorders>
                  <w:shd w:val="clear" w:color="auto" w:fill="auto"/>
                  <w:vAlign w:val="center"/>
                </w:tcPr>
                <w:p w14:paraId="249BC277">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1162" w:type="dxa"/>
                  <w:tcBorders>
                    <w:tl2br w:val="nil"/>
                    <w:tr2bl w:val="nil"/>
                  </w:tcBorders>
                  <w:shd w:val="clear" w:color="auto" w:fill="auto"/>
                  <w:vAlign w:val="center"/>
                </w:tcPr>
                <w:p w14:paraId="1619928C">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禁止类</w:t>
                  </w:r>
                </w:p>
              </w:tc>
            </w:tr>
            <w:tr w14:paraId="12696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4" w:type="dxa"/>
                  <w:tcBorders>
                    <w:tl2br w:val="nil"/>
                    <w:tr2bl w:val="nil"/>
                  </w:tcBorders>
                  <w:shd w:val="clear" w:color="auto" w:fill="auto"/>
                  <w:vAlign w:val="center"/>
                </w:tcPr>
                <w:p w14:paraId="04AADD5B">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26</w:t>
                  </w:r>
                  <w:r>
                    <w:rPr>
                      <w:rFonts w:hint="eastAsia" w:ascii="宋体" w:hAnsi="宋体" w:eastAsia="宋体" w:cs="宋体"/>
                      <w:kern w:val="0"/>
                      <w:sz w:val="21"/>
                      <w:szCs w:val="21"/>
                      <w:lang w:val="en-US" w:eastAsia="zh-CN" w:bidi="ar"/>
                    </w:rPr>
                    <w:t>化学原料和化学制品制造业</w:t>
                  </w:r>
                </w:p>
              </w:tc>
              <w:tc>
                <w:tcPr>
                  <w:tcW w:w="1747" w:type="dxa"/>
                  <w:tcBorders>
                    <w:tl2br w:val="nil"/>
                    <w:tr2bl w:val="nil"/>
                  </w:tcBorders>
                  <w:shd w:val="clear" w:color="auto" w:fill="auto"/>
                  <w:vAlign w:val="center"/>
                </w:tcPr>
                <w:p w14:paraId="5DEA99A2">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2677" w:type="dxa"/>
                  <w:tcBorders>
                    <w:tl2br w:val="nil"/>
                    <w:tr2bl w:val="nil"/>
                  </w:tcBorders>
                  <w:shd w:val="clear" w:color="auto" w:fill="auto"/>
                  <w:vAlign w:val="center"/>
                </w:tcPr>
                <w:p w14:paraId="6F502532">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1162" w:type="dxa"/>
                  <w:tcBorders>
                    <w:tl2br w:val="nil"/>
                    <w:tr2bl w:val="nil"/>
                  </w:tcBorders>
                  <w:shd w:val="clear" w:color="auto" w:fill="auto"/>
                  <w:vAlign w:val="center"/>
                </w:tcPr>
                <w:p w14:paraId="28017938">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禁止类</w:t>
                  </w:r>
                </w:p>
              </w:tc>
            </w:tr>
            <w:tr w14:paraId="4B940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4" w:type="dxa"/>
                  <w:tcBorders>
                    <w:tl2br w:val="nil"/>
                    <w:tr2bl w:val="nil"/>
                  </w:tcBorders>
                  <w:shd w:val="clear" w:color="auto" w:fill="auto"/>
                  <w:vAlign w:val="center"/>
                </w:tcPr>
                <w:p w14:paraId="0A27B8CE">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28</w:t>
                  </w:r>
                  <w:r>
                    <w:rPr>
                      <w:rFonts w:hint="eastAsia" w:ascii="宋体" w:hAnsi="宋体" w:eastAsia="宋体" w:cs="宋体"/>
                      <w:kern w:val="0"/>
                      <w:sz w:val="21"/>
                      <w:szCs w:val="21"/>
                      <w:lang w:val="en-US" w:eastAsia="zh-CN" w:bidi="ar"/>
                    </w:rPr>
                    <w:t>化学纤维制造业</w:t>
                  </w:r>
                </w:p>
              </w:tc>
              <w:tc>
                <w:tcPr>
                  <w:tcW w:w="1747" w:type="dxa"/>
                  <w:tcBorders>
                    <w:tl2br w:val="nil"/>
                    <w:tr2bl w:val="nil"/>
                  </w:tcBorders>
                  <w:shd w:val="clear" w:color="auto" w:fill="auto"/>
                  <w:vAlign w:val="center"/>
                </w:tcPr>
                <w:p w14:paraId="04B6D3D0">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2677" w:type="dxa"/>
                  <w:tcBorders>
                    <w:tl2br w:val="nil"/>
                    <w:tr2bl w:val="nil"/>
                  </w:tcBorders>
                  <w:shd w:val="clear" w:color="auto" w:fill="auto"/>
                  <w:vAlign w:val="center"/>
                </w:tcPr>
                <w:p w14:paraId="4060E726">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1162" w:type="dxa"/>
                  <w:tcBorders>
                    <w:tl2br w:val="nil"/>
                    <w:tr2bl w:val="nil"/>
                  </w:tcBorders>
                  <w:shd w:val="clear" w:color="auto" w:fill="auto"/>
                  <w:vAlign w:val="center"/>
                </w:tcPr>
                <w:p w14:paraId="01508DAB">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禁止类</w:t>
                  </w:r>
                </w:p>
              </w:tc>
            </w:tr>
            <w:tr w14:paraId="012A9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4" w:type="dxa"/>
                  <w:tcBorders>
                    <w:tl2br w:val="nil"/>
                    <w:tr2bl w:val="nil"/>
                  </w:tcBorders>
                  <w:shd w:val="clear" w:color="auto" w:fill="auto"/>
                  <w:vAlign w:val="center"/>
                </w:tcPr>
                <w:p w14:paraId="23365F79">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304</w:t>
                  </w:r>
                  <w:r>
                    <w:rPr>
                      <w:rFonts w:hint="eastAsia" w:ascii="宋体" w:hAnsi="宋体" w:eastAsia="宋体" w:cs="宋体"/>
                      <w:kern w:val="0"/>
                      <w:sz w:val="21"/>
                      <w:szCs w:val="21"/>
                      <w:lang w:val="en-US" w:eastAsia="zh-CN" w:bidi="ar"/>
                    </w:rPr>
                    <w:t>玻璃制造</w:t>
                  </w:r>
                </w:p>
              </w:tc>
              <w:tc>
                <w:tcPr>
                  <w:tcW w:w="1747" w:type="dxa"/>
                  <w:tcBorders>
                    <w:tl2br w:val="nil"/>
                    <w:tr2bl w:val="nil"/>
                  </w:tcBorders>
                  <w:shd w:val="clear" w:color="auto" w:fill="auto"/>
                  <w:vAlign w:val="center"/>
                </w:tcPr>
                <w:p w14:paraId="0B609394">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2677" w:type="dxa"/>
                  <w:tcBorders>
                    <w:tl2br w:val="nil"/>
                    <w:tr2bl w:val="nil"/>
                  </w:tcBorders>
                  <w:shd w:val="clear" w:color="auto" w:fill="auto"/>
                  <w:vAlign w:val="center"/>
                </w:tcPr>
                <w:p w14:paraId="4F5E749A">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1162" w:type="dxa"/>
                  <w:tcBorders>
                    <w:tl2br w:val="nil"/>
                    <w:tr2bl w:val="nil"/>
                  </w:tcBorders>
                  <w:shd w:val="clear" w:color="auto" w:fill="auto"/>
                  <w:vAlign w:val="center"/>
                </w:tcPr>
                <w:p w14:paraId="02016791">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禁止类</w:t>
                  </w:r>
                </w:p>
              </w:tc>
            </w:tr>
            <w:tr w14:paraId="2ACBE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4" w:type="dxa"/>
                  <w:tcBorders>
                    <w:tl2br w:val="nil"/>
                    <w:tr2bl w:val="nil"/>
                  </w:tcBorders>
                  <w:shd w:val="clear" w:color="auto" w:fill="auto"/>
                  <w:vAlign w:val="center"/>
                </w:tcPr>
                <w:p w14:paraId="66DDDD0D">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308</w:t>
                  </w:r>
                  <w:r>
                    <w:rPr>
                      <w:rFonts w:hint="eastAsia" w:ascii="宋体" w:hAnsi="宋体" w:eastAsia="宋体" w:cs="宋体"/>
                      <w:kern w:val="0"/>
                      <w:sz w:val="21"/>
                      <w:szCs w:val="21"/>
                      <w:lang w:val="en-US" w:eastAsia="zh-CN" w:bidi="ar"/>
                    </w:rPr>
                    <w:t>石棉制品制造</w:t>
                  </w:r>
                </w:p>
              </w:tc>
              <w:tc>
                <w:tcPr>
                  <w:tcW w:w="1747" w:type="dxa"/>
                  <w:tcBorders>
                    <w:tl2br w:val="nil"/>
                    <w:tr2bl w:val="nil"/>
                  </w:tcBorders>
                  <w:shd w:val="clear" w:color="auto" w:fill="auto"/>
                  <w:vAlign w:val="center"/>
                </w:tcPr>
                <w:p w14:paraId="267A459E">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2677" w:type="dxa"/>
                  <w:tcBorders>
                    <w:tl2br w:val="nil"/>
                    <w:tr2bl w:val="nil"/>
                  </w:tcBorders>
                  <w:shd w:val="clear" w:color="auto" w:fill="auto"/>
                  <w:vAlign w:val="center"/>
                </w:tcPr>
                <w:p w14:paraId="49AEA7CC">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1162" w:type="dxa"/>
                  <w:tcBorders>
                    <w:tl2br w:val="nil"/>
                    <w:tr2bl w:val="nil"/>
                  </w:tcBorders>
                  <w:shd w:val="clear" w:color="auto" w:fill="auto"/>
                  <w:vAlign w:val="center"/>
                </w:tcPr>
                <w:p w14:paraId="02213A3B">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禁止类</w:t>
                  </w:r>
                </w:p>
              </w:tc>
            </w:tr>
            <w:tr w14:paraId="5FC19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4" w:type="dxa"/>
                  <w:tcBorders>
                    <w:tl2br w:val="nil"/>
                    <w:tr2bl w:val="nil"/>
                  </w:tcBorders>
                  <w:shd w:val="clear" w:color="auto" w:fill="auto"/>
                  <w:vAlign w:val="center"/>
                </w:tcPr>
                <w:p w14:paraId="49969F79">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31</w:t>
                  </w:r>
                  <w:r>
                    <w:rPr>
                      <w:rFonts w:hint="eastAsia" w:ascii="宋体" w:hAnsi="宋体" w:eastAsia="宋体" w:cs="宋体"/>
                      <w:kern w:val="0"/>
                      <w:sz w:val="21"/>
                      <w:szCs w:val="21"/>
                      <w:lang w:val="en-US" w:eastAsia="zh-CN" w:bidi="ar"/>
                    </w:rPr>
                    <w:t>黑色金属冶炼和压延加工业</w:t>
                  </w:r>
                </w:p>
              </w:tc>
              <w:tc>
                <w:tcPr>
                  <w:tcW w:w="1747" w:type="dxa"/>
                  <w:tcBorders>
                    <w:tl2br w:val="nil"/>
                    <w:tr2bl w:val="nil"/>
                  </w:tcBorders>
                  <w:shd w:val="clear" w:color="auto" w:fill="auto"/>
                  <w:vAlign w:val="center"/>
                </w:tcPr>
                <w:p w14:paraId="5DFB3ADA">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2677" w:type="dxa"/>
                  <w:tcBorders>
                    <w:tl2br w:val="nil"/>
                    <w:tr2bl w:val="nil"/>
                  </w:tcBorders>
                  <w:shd w:val="clear" w:color="auto" w:fill="auto"/>
                  <w:vAlign w:val="center"/>
                </w:tcPr>
                <w:p w14:paraId="3925B743">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1162" w:type="dxa"/>
                  <w:tcBorders>
                    <w:tl2br w:val="nil"/>
                    <w:tr2bl w:val="nil"/>
                  </w:tcBorders>
                  <w:shd w:val="clear" w:color="auto" w:fill="auto"/>
                  <w:vAlign w:val="center"/>
                </w:tcPr>
                <w:p w14:paraId="70958E4C">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禁止类</w:t>
                  </w:r>
                </w:p>
              </w:tc>
            </w:tr>
            <w:tr w14:paraId="34034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4" w:type="dxa"/>
                  <w:tcBorders>
                    <w:tl2br w:val="nil"/>
                    <w:tr2bl w:val="nil"/>
                  </w:tcBorders>
                  <w:shd w:val="clear" w:color="auto" w:fill="auto"/>
                  <w:vAlign w:val="center"/>
                </w:tcPr>
                <w:p w14:paraId="0747441E">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32</w:t>
                  </w:r>
                  <w:r>
                    <w:rPr>
                      <w:rFonts w:hint="eastAsia" w:ascii="宋体" w:hAnsi="宋体" w:eastAsia="宋体" w:cs="宋体"/>
                      <w:kern w:val="0"/>
                      <w:sz w:val="21"/>
                      <w:szCs w:val="21"/>
                      <w:lang w:val="en-US" w:eastAsia="zh-CN" w:bidi="ar"/>
                    </w:rPr>
                    <w:t>有色金属冶炼及压延加工业</w:t>
                  </w:r>
                </w:p>
              </w:tc>
              <w:tc>
                <w:tcPr>
                  <w:tcW w:w="1747" w:type="dxa"/>
                  <w:tcBorders>
                    <w:tl2br w:val="nil"/>
                    <w:tr2bl w:val="nil"/>
                  </w:tcBorders>
                  <w:shd w:val="clear" w:color="auto" w:fill="auto"/>
                  <w:vAlign w:val="center"/>
                </w:tcPr>
                <w:p w14:paraId="6C61F013">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2677" w:type="dxa"/>
                  <w:tcBorders>
                    <w:tl2br w:val="nil"/>
                    <w:tr2bl w:val="nil"/>
                  </w:tcBorders>
                  <w:shd w:val="clear" w:color="auto" w:fill="auto"/>
                  <w:vAlign w:val="center"/>
                </w:tcPr>
                <w:p w14:paraId="1EB6300B">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所有</w:t>
                  </w:r>
                </w:p>
              </w:tc>
              <w:tc>
                <w:tcPr>
                  <w:tcW w:w="1162" w:type="dxa"/>
                  <w:tcBorders>
                    <w:tl2br w:val="nil"/>
                    <w:tr2bl w:val="nil"/>
                  </w:tcBorders>
                  <w:shd w:val="clear" w:color="auto" w:fill="auto"/>
                  <w:vAlign w:val="center"/>
                </w:tcPr>
                <w:p w14:paraId="74CAA2C5">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禁止类</w:t>
                  </w:r>
                </w:p>
              </w:tc>
            </w:tr>
            <w:tr w14:paraId="2C2B0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4" w:type="dxa"/>
                  <w:tcBorders>
                    <w:tl2br w:val="nil"/>
                    <w:tr2bl w:val="nil"/>
                  </w:tcBorders>
                  <w:shd w:val="clear" w:color="auto" w:fill="auto"/>
                  <w:vAlign w:val="center"/>
                </w:tcPr>
                <w:p w14:paraId="14B79DF6">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44</w:t>
                  </w:r>
                  <w:r>
                    <w:rPr>
                      <w:rFonts w:hint="eastAsia" w:ascii="宋体" w:hAnsi="宋体" w:eastAsia="宋体" w:cs="宋体"/>
                      <w:kern w:val="0"/>
                      <w:sz w:val="21"/>
                      <w:szCs w:val="21"/>
                      <w:lang w:val="en-US" w:eastAsia="zh-CN" w:bidi="ar"/>
                    </w:rPr>
                    <w:t>电力、热力生产和供应业</w:t>
                  </w:r>
                </w:p>
              </w:tc>
              <w:tc>
                <w:tcPr>
                  <w:tcW w:w="1747" w:type="dxa"/>
                  <w:tcBorders>
                    <w:tl2br w:val="nil"/>
                    <w:tr2bl w:val="nil"/>
                  </w:tcBorders>
                  <w:shd w:val="clear" w:color="auto" w:fill="auto"/>
                  <w:vAlign w:val="center"/>
                </w:tcPr>
                <w:p w14:paraId="21BB6967">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441</w:t>
                  </w:r>
                  <w:r>
                    <w:rPr>
                      <w:rFonts w:hint="eastAsia" w:ascii="宋体" w:hAnsi="宋体" w:eastAsia="宋体" w:cs="宋体"/>
                      <w:kern w:val="0"/>
                      <w:sz w:val="21"/>
                      <w:szCs w:val="21"/>
                      <w:lang w:val="en-US" w:eastAsia="zh-CN" w:bidi="ar"/>
                    </w:rPr>
                    <w:t>电力、热力生产和供应业中</w:t>
                  </w:r>
                </w:p>
              </w:tc>
              <w:tc>
                <w:tcPr>
                  <w:tcW w:w="2677" w:type="dxa"/>
                  <w:tcBorders>
                    <w:tl2br w:val="nil"/>
                    <w:tr2bl w:val="nil"/>
                  </w:tcBorders>
                  <w:shd w:val="clear" w:color="auto" w:fill="auto"/>
                  <w:vAlign w:val="center"/>
                </w:tcPr>
                <w:p w14:paraId="187A3890">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禁止新建额定蒸发量</w:t>
                  </w:r>
                  <w:r>
                    <w:rPr>
                      <w:rFonts w:hint="default" w:ascii="Times New Roman" w:hAnsi="Times New Roman" w:eastAsia="宋体" w:cs="Times New Roman"/>
                      <w:kern w:val="0"/>
                      <w:sz w:val="21"/>
                      <w:szCs w:val="21"/>
                      <w:lang w:val="en-US" w:eastAsia="zh-CN" w:bidi="ar"/>
                    </w:rPr>
                    <w:t>20t/h</w:t>
                  </w:r>
                  <w:r>
                    <w:rPr>
                      <w:rFonts w:hint="eastAsia" w:ascii="宋体" w:hAnsi="宋体" w:eastAsia="宋体" w:cs="宋体"/>
                      <w:kern w:val="0"/>
                      <w:sz w:val="21"/>
                      <w:szCs w:val="21"/>
                      <w:lang w:val="en-US" w:eastAsia="zh-CN" w:bidi="ar"/>
                    </w:rPr>
                    <w:t>以下或额定功率</w:t>
                  </w:r>
                  <w:r>
                    <w:rPr>
                      <w:rFonts w:hint="default" w:ascii="Times New Roman" w:hAnsi="Times New Roman" w:eastAsia="宋体" w:cs="Times New Roman"/>
                      <w:kern w:val="0"/>
                      <w:sz w:val="21"/>
                      <w:szCs w:val="21"/>
                      <w:lang w:val="en-US" w:eastAsia="zh-CN" w:bidi="ar"/>
                    </w:rPr>
                    <w:t>14MW</w:t>
                  </w:r>
                  <w:r>
                    <w:rPr>
                      <w:rFonts w:hint="eastAsia" w:ascii="宋体" w:hAnsi="宋体" w:eastAsia="宋体" w:cs="宋体"/>
                      <w:kern w:val="0"/>
                      <w:sz w:val="21"/>
                      <w:szCs w:val="21"/>
                      <w:lang w:val="en-US" w:eastAsia="zh-CN" w:bidi="ar"/>
                    </w:rPr>
                    <w:t>以下的燃煤、重油、渣油锅炉及直接燃用生物质的锅炉及导热油炉等</w:t>
                  </w:r>
                </w:p>
              </w:tc>
              <w:tc>
                <w:tcPr>
                  <w:tcW w:w="1162" w:type="dxa"/>
                  <w:tcBorders>
                    <w:tl2br w:val="nil"/>
                    <w:tr2bl w:val="nil"/>
                  </w:tcBorders>
                  <w:shd w:val="clear" w:color="auto" w:fill="auto"/>
                  <w:vAlign w:val="center"/>
                </w:tcPr>
                <w:p w14:paraId="31EEEF05">
                  <w:pPr>
                    <w:pStyle w:val="30"/>
                    <w:keepNext w:val="0"/>
                    <w:keepLines w:val="0"/>
                    <w:widowControl w:val="0"/>
                    <w:suppressLineNumbers w:val="0"/>
                    <w:pBdr>
                      <w:top w:val="none" w:color="auto" w:sz="0" w:space="0"/>
                      <w:left w:val="none" w:color="auto" w:sz="0" w:space="0"/>
                      <w:bottom w:val="none" w:color="auto" w:sz="0" w:space="0"/>
                      <w:right w:val="none" w:color="auto" w:sz="0" w:space="0"/>
                    </w:pBdr>
                    <w:overflowPunct w:val="0"/>
                    <w:adjustRightInd w:val="0"/>
                    <w:spacing w:before="0" w:beforeLines="0" w:beforeAutospacing="0" w:after="0" w:afterLines="0" w:afterAutospacing="0"/>
                    <w:ind w:left="0" w:right="0"/>
                    <w:jc w:val="center"/>
                    <w:textAlignment w:val="baseline"/>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禁止类</w:t>
                  </w:r>
                </w:p>
              </w:tc>
            </w:tr>
          </w:tbl>
          <w:p w14:paraId="488B01E6">
            <w:pPr>
              <w:keepNext w:val="0"/>
              <w:keepLines w:val="0"/>
              <w:widowControl w:val="0"/>
              <w:suppressLineNumbers w:val="0"/>
              <w:spacing w:before="0" w:beforeAutospacing="0" w:after="0" w:afterAutospacing="0" w:line="360" w:lineRule="auto"/>
              <w:ind w:left="0" w:right="0" w:firstLine="480"/>
              <w:jc w:val="both"/>
              <w:rPr>
                <w:rFonts w:hint="default" w:ascii="宋体" w:hAnsi="宋体" w:eastAsia="宋体" w:cs="宋体"/>
                <w:color w:val="auto"/>
                <w:kern w:val="0"/>
                <w:sz w:val="24"/>
                <w:szCs w:val="24"/>
                <w:lang w:val="en-US" w:eastAsia="zh-CN"/>
              </w:rPr>
            </w:pPr>
            <w:r>
              <w:rPr>
                <w:rFonts w:hint="eastAsia" w:ascii="宋体" w:hAnsi="宋体" w:eastAsia="宋体" w:cs="宋体"/>
                <w:kern w:val="2"/>
                <w:sz w:val="24"/>
                <w:szCs w:val="24"/>
                <w:lang w:val="en-US" w:eastAsia="zh-CN" w:bidi="ar"/>
              </w:rPr>
              <w:t>本项目属于</w:t>
            </w:r>
            <w:r>
              <w:rPr>
                <w:rFonts w:hint="eastAsia" w:ascii="宋体" w:hAnsi="宋体" w:cs="宋体"/>
                <w:kern w:val="2"/>
                <w:sz w:val="24"/>
                <w:szCs w:val="24"/>
                <w:lang w:val="en-US" w:eastAsia="zh-CN" w:bidi="ar"/>
              </w:rPr>
              <w:t>纸制品</w:t>
            </w:r>
            <w:r>
              <w:rPr>
                <w:rFonts w:hint="eastAsia" w:ascii="宋体" w:hAnsi="宋体" w:eastAsia="宋体" w:cs="宋体"/>
                <w:kern w:val="2"/>
                <w:sz w:val="24"/>
                <w:szCs w:val="24"/>
                <w:lang w:val="en-US" w:eastAsia="zh-CN" w:bidi="ar"/>
              </w:rPr>
              <w:t>制造业，经对照泗水县西城工业园区禁止准入行业清单，不在园区禁止准入行业清单内。</w:t>
            </w:r>
          </w:p>
        </w:tc>
      </w:tr>
      <w:tr w14:paraId="38DCE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9" w:type="dxa"/>
            <w:noWrap w:val="0"/>
            <w:vAlign w:val="center"/>
          </w:tcPr>
          <w:p w14:paraId="1D22FE0D">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 w:val="24"/>
                <w:szCs w:val="24"/>
              </w:rPr>
              <w:t>其他符合性分析</w:t>
            </w:r>
          </w:p>
        </w:tc>
        <w:tc>
          <w:tcPr>
            <w:tcW w:w="7851" w:type="dxa"/>
            <w:gridSpan w:val="4"/>
            <w:noWrap w:val="0"/>
            <w:vAlign w:val="center"/>
          </w:tcPr>
          <w:p w14:paraId="2F2C40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cs="宋体"/>
                <w:b/>
                <w:bCs/>
                <w:color w:val="auto"/>
                <w:kern w:val="0"/>
                <w:sz w:val="24"/>
                <w:szCs w:val="24"/>
                <w:lang w:eastAsia="zh-CN"/>
              </w:rPr>
            </w:pPr>
            <w:bookmarkStart w:id="2" w:name="_Toc14721937"/>
            <w:r>
              <w:rPr>
                <w:rFonts w:hint="default" w:ascii="Times New Roman" w:hAnsi="Times New Roman" w:cs="宋体"/>
                <w:b/>
                <w:bCs/>
                <w:color w:val="auto"/>
                <w:kern w:val="0"/>
                <w:sz w:val="24"/>
                <w:szCs w:val="24"/>
              </w:rPr>
              <w:t>1、产业政策</w:t>
            </w:r>
            <w:r>
              <w:rPr>
                <w:rFonts w:hint="eastAsia" w:ascii="Times New Roman" w:hAnsi="Times New Roman" w:cs="宋体"/>
                <w:b/>
                <w:bCs/>
                <w:color w:val="auto"/>
                <w:kern w:val="0"/>
                <w:sz w:val="24"/>
                <w:szCs w:val="24"/>
                <w:lang w:eastAsia="zh-CN"/>
              </w:rPr>
              <w:t>符合性分析</w:t>
            </w:r>
          </w:p>
          <w:p w14:paraId="67B1C929">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rPr>
            </w:pPr>
            <w:r>
              <w:rPr>
                <w:rFonts w:hint="default" w:ascii="Times New Roman" w:hAnsi="Times New Roman" w:cs="宋体"/>
                <w:b w:val="0"/>
                <w:bCs w:val="0"/>
                <w:color w:val="auto"/>
                <w:kern w:val="0"/>
                <w:sz w:val="24"/>
                <w:szCs w:val="24"/>
              </w:rPr>
              <w:t>项目</w:t>
            </w:r>
            <w:r>
              <w:rPr>
                <w:rFonts w:hint="eastAsia" w:ascii="Times New Roman" w:hAnsi="Times New Roman" w:cs="宋体"/>
                <w:b w:val="0"/>
                <w:bCs w:val="0"/>
                <w:color w:val="auto"/>
                <w:kern w:val="0"/>
                <w:sz w:val="24"/>
                <w:szCs w:val="24"/>
                <w:lang w:eastAsia="zh-CN"/>
              </w:rPr>
              <w:t>为</w:t>
            </w:r>
            <w:r>
              <w:rPr>
                <w:rFonts w:hint="eastAsia" w:cs="Times New Roman"/>
                <w:color w:val="auto"/>
                <w:sz w:val="24"/>
                <w:szCs w:val="24"/>
                <w:highlight w:val="none"/>
                <w:lang w:val="en-US" w:eastAsia="zh-CN"/>
              </w:rPr>
              <w:t>年产2万吨心电图医疗记录纸项目</w:t>
            </w:r>
            <w:r>
              <w:rPr>
                <w:rFonts w:hint="eastAsia" w:ascii="Times New Roman" w:hAnsi="Times New Roman" w:cs="宋体"/>
                <w:b w:val="0"/>
                <w:bCs w:val="0"/>
                <w:color w:val="auto"/>
                <w:kern w:val="0"/>
                <w:sz w:val="24"/>
                <w:szCs w:val="24"/>
                <w:lang w:val="en-US" w:eastAsia="zh-CN"/>
              </w:rPr>
              <w:t>，</w:t>
            </w:r>
            <w:r>
              <w:rPr>
                <w:rFonts w:hint="eastAsia" w:ascii="宋体" w:hAnsi="宋体" w:eastAsia="宋体" w:cs="宋体"/>
                <w:bCs/>
                <w:kern w:val="2"/>
                <w:sz w:val="24"/>
                <w:szCs w:val="24"/>
                <w:lang w:val="en-US" w:eastAsia="zh-CN" w:bidi="ar"/>
              </w:rPr>
              <w:t>根据《产业结构调整指导目录（</w:t>
            </w:r>
            <w:r>
              <w:rPr>
                <w:rFonts w:hint="default" w:ascii="Times New Roman" w:hAnsi="Times New Roman" w:eastAsia="宋体" w:cs="Times New Roman"/>
                <w:bCs/>
                <w:kern w:val="2"/>
                <w:sz w:val="24"/>
                <w:szCs w:val="24"/>
                <w:lang w:val="en-US" w:eastAsia="zh-CN" w:bidi="ar"/>
              </w:rPr>
              <w:t>2024</w:t>
            </w:r>
            <w:r>
              <w:rPr>
                <w:rFonts w:hint="eastAsia" w:ascii="宋体" w:hAnsi="宋体" w:eastAsia="宋体" w:cs="宋体"/>
                <w:bCs/>
                <w:kern w:val="2"/>
                <w:sz w:val="24"/>
                <w:szCs w:val="24"/>
                <w:lang w:val="en-US" w:eastAsia="zh-CN" w:bidi="ar"/>
              </w:rPr>
              <w:t>年本）》，本项目不属于</w:t>
            </w:r>
            <w:r>
              <w:rPr>
                <w:rFonts w:hint="default" w:ascii="Times New Roman" w:hAnsi="Times New Roman" w:eastAsia="宋体" w:cs="Times New Roman"/>
                <w:bCs/>
                <w:kern w:val="2"/>
                <w:sz w:val="24"/>
                <w:szCs w:val="24"/>
                <w:lang w:val="en-US" w:eastAsia="zh-CN" w:bidi="ar"/>
              </w:rPr>
              <w:t>“</w:t>
            </w:r>
            <w:r>
              <w:rPr>
                <w:rFonts w:hint="eastAsia" w:ascii="宋体" w:hAnsi="宋体" w:eastAsia="宋体" w:cs="宋体"/>
                <w:bCs/>
                <w:kern w:val="2"/>
                <w:sz w:val="24"/>
                <w:szCs w:val="24"/>
                <w:lang w:val="en-US" w:eastAsia="zh-CN" w:bidi="ar"/>
              </w:rPr>
              <w:t>限制类</w:t>
            </w:r>
            <w:r>
              <w:rPr>
                <w:rFonts w:hint="eastAsia" w:ascii="宋体" w:hAnsi="宋体" w:cs="宋体"/>
                <w:bCs/>
                <w:kern w:val="2"/>
                <w:sz w:val="24"/>
                <w:szCs w:val="24"/>
                <w:lang w:val="en-US" w:eastAsia="zh-CN" w:bidi="ar"/>
              </w:rPr>
              <w:t>”“</w:t>
            </w:r>
            <w:r>
              <w:rPr>
                <w:rFonts w:hint="eastAsia" w:ascii="宋体" w:hAnsi="宋体" w:eastAsia="宋体" w:cs="宋体"/>
                <w:bCs/>
                <w:kern w:val="2"/>
                <w:sz w:val="24"/>
                <w:szCs w:val="24"/>
                <w:lang w:val="en-US" w:eastAsia="zh-CN" w:bidi="ar"/>
              </w:rPr>
              <w:t>淘汰类</w:t>
            </w:r>
            <w:r>
              <w:rPr>
                <w:rFonts w:hint="default" w:ascii="Times New Roman" w:hAnsi="Times New Roman" w:eastAsia="宋体" w:cs="Times New Roman"/>
                <w:bCs/>
                <w:kern w:val="2"/>
                <w:sz w:val="24"/>
                <w:szCs w:val="24"/>
                <w:lang w:val="en-US" w:eastAsia="zh-CN" w:bidi="ar"/>
              </w:rPr>
              <w:t>”</w:t>
            </w:r>
            <w:r>
              <w:rPr>
                <w:rFonts w:hint="eastAsia" w:ascii="宋体" w:hAnsi="宋体" w:eastAsia="宋体" w:cs="宋体"/>
                <w:bCs/>
                <w:kern w:val="2"/>
                <w:sz w:val="24"/>
                <w:szCs w:val="24"/>
                <w:lang w:val="en-US" w:eastAsia="zh-CN" w:bidi="ar"/>
              </w:rPr>
              <w:t>项目，属于</w:t>
            </w:r>
            <w:r>
              <w:rPr>
                <w:rFonts w:hint="default" w:ascii="Times New Roman" w:hAnsi="Times New Roman" w:eastAsia="宋体" w:cs="Times New Roman"/>
                <w:bCs/>
                <w:kern w:val="2"/>
                <w:sz w:val="24"/>
                <w:szCs w:val="24"/>
                <w:lang w:val="en-US" w:eastAsia="zh-CN" w:bidi="ar"/>
              </w:rPr>
              <w:t>“</w:t>
            </w:r>
            <w:r>
              <w:rPr>
                <w:rFonts w:hint="eastAsia" w:ascii="宋体" w:hAnsi="宋体" w:eastAsia="宋体" w:cs="宋体"/>
                <w:bCs/>
                <w:kern w:val="2"/>
                <w:sz w:val="24"/>
                <w:szCs w:val="24"/>
                <w:lang w:val="en-US" w:eastAsia="zh-CN" w:bidi="ar"/>
              </w:rPr>
              <w:t>允许类</w:t>
            </w:r>
            <w:r>
              <w:rPr>
                <w:rFonts w:hint="default" w:ascii="Times New Roman" w:hAnsi="Times New Roman" w:eastAsia="宋体" w:cs="Times New Roman"/>
                <w:bCs/>
                <w:kern w:val="2"/>
                <w:sz w:val="24"/>
                <w:szCs w:val="24"/>
                <w:lang w:val="en-US" w:eastAsia="zh-CN" w:bidi="ar"/>
              </w:rPr>
              <w:t>”</w:t>
            </w:r>
            <w:r>
              <w:rPr>
                <w:rFonts w:hint="eastAsia" w:ascii="宋体" w:hAnsi="宋体" w:eastAsia="宋体" w:cs="宋体"/>
                <w:bCs/>
                <w:kern w:val="2"/>
                <w:sz w:val="24"/>
                <w:szCs w:val="24"/>
                <w:lang w:val="en-US" w:eastAsia="zh-CN" w:bidi="ar"/>
              </w:rPr>
              <w:t>项目，符合国家有关</w:t>
            </w:r>
            <w:r>
              <w:rPr>
                <w:rFonts w:hint="eastAsia" w:ascii="宋体" w:hAnsi="宋体" w:cs="宋体"/>
                <w:bCs/>
                <w:kern w:val="2"/>
                <w:sz w:val="24"/>
                <w:szCs w:val="24"/>
                <w:lang w:val="en-US" w:eastAsia="zh-CN" w:bidi="ar"/>
              </w:rPr>
              <w:t>法律法规</w:t>
            </w:r>
            <w:r>
              <w:rPr>
                <w:rFonts w:hint="eastAsia" w:ascii="宋体" w:hAnsi="宋体" w:eastAsia="宋体" w:cs="宋体"/>
                <w:bCs/>
                <w:kern w:val="2"/>
                <w:sz w:val="24"/>
                <w:szCs w:val="24"/>
                <w:lang w:val="en-US" w:eastAsia="zh-CN" w:bidi="ar"/>
              </w:rPr>
              <w:t>和政策规定</w:t>
            </w:r>
            <w:r>
              <w:rPr>
                <w:rFonts w:hint="eastAsia" w:ascii="宋体" w:hAnsi="宋体" w:eastAsia="宋体" w:cs="宋体"/>
                <w:kern w:val="0"/>
                <w:sz w:val="24"/>
                <w:szCs w:val="24"/>
                <w:lang w:val="en-US" w:eastAsia="zh-CN" w:bidi="ar"/>
              </w:rPr>
              <w:t>，符合国家产业政策要求。本项目已取得山东省建设项目备案证明，项目代码为</w:t>
            </w:r>
            <w:r>
              <w:rPr>
                <w:rFonts w:hint="eastAsia" w:cs="宋体"/>
                <w:color w:val="auto"/>
                <w:sz w:val="24"/>
                <w:szCs w:val="24"/>
                <w:highlight w:val="none"/>
                <w:lang w:val="en-US" w:eastAsia="zh-CN"/>
              </w:rPr>
              <w:t>2509-370831-04-01-994788</w:t>
            </w:r>
            <w:r>
              <w:rPr>
                <w:rFonts w:hint="eastAsia" w:ascii="宋体" w:hAnsi="宋体" w:eastAsia="宋体" w:cs="宋体"/>
                <w:kern w:val="0"/>
                <w:sz w:val="24"/>
                <w:szCs w:val="24"/>
                <w:lang w:val="en-US" w:eastAsia="zh-CN" w:bidi="ar"/>
              </w:rPr>
              <w:t>，因此本项目符合产业政策要求。</w:t>
            </w:r>
          </w:p>
          <w:p w14:paraId="1F00422F">
            <w:pPr>
              <w:keepNext w:val="0"/>
              <w:keepLines w:val="0"/>
              <w:widowControl w:val="0"/>
              <w:suppressLineNumbers w:val="0"/>
              <w:spacing w:before="0" w:beforeAutospacing="0" w:after="0" w:afterAutospacing="0" w:line="360" w:lineRule="auto"/>
              <w:ind w:left="0" w:right="0" w:firstLine="480" w:firstLineChars="200"/>
              <w:jc w:val="both"/>
              <w:rPr>
                <w:rFonts w:hint="default"/>
              </w:rPr>
            </w:pPr>
            <w:r>
              <w:rPr>
                <w:rFonts w:hint="eastAsia" w:ascii="宋体" w:hAnsi="宋体" w:eastAsia="宋体" w:cs="宋体"/>
                <w:kern w:val="0"/>
                <w:sz w:val="24"/>
                <w:szCs w:val="24"/>
                <w:lang w:val="en-US" w:eastAsia="zh-CN" w:bidi="ar"/>
              </w:rPr>
              <w:t>项目生产过程中未使用国家明令禁止的淘汰类和限制类的工艺和设备，符合国家的产业政策。</w:t>
            </w:r>
          </w:p>
          <w:p w14:paraId="2F960AD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2" w:firstLineChars="200"/>
              <w:jc w:val="left"/>
              <w:textAlignment w:val="auto"/>
              <w:rPr>
                <w:rFonts w:hint="eastAsia" w:ascii="Times New Roman" w:hAnsi="Times New Roman" w:cs="宋体"/>
                <w:b/>
                <w:bCs/>
                <w:color w:val="auto"/>
                <w:kern w:val="0"/>
                <w:sz w:val="24"/>
                <w:szCs w:val="24"/>
                <w:lang w:val="en-US" w:eastAsia="zh-CN"/>
              </w:rPr>
            </w:pPr>
            <w:r>
              <w:rPr>
                <w:rFonts w:hint="eastAsia" w:ascii="Times New Roman" w:hAnsi="Times New Roman" w:cs="宋体"/>
                <w:b/>
                <w:bCs/>
                <w:color w:val="auto"/>
                <w:kern w:val="0"/>
                <w:sz w:val="24"/>
                <w:szCs w:val="24"/>
                <w:lang w:val="en-US" w:eastAsia="zh-CN"/>
              </w:rPr>
              <w:t>2、土地利用符合性分析</w:t>
            </w:r>
          </w:p>
          <w:p w14:paraId="7549D1C7">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宋体"/>
                <w:b w:val="0"/>
                <w:bCs w:val="0"/>
                <w:color w:val="auto"/>
                <w:kern w:val="0"/>
                <w:sz w:val="24"/>
                <w:szCs w:val="24"/>
              </w:rPr>
            </w:pPr>
            <w:r>
              <w:rPr>
                <w:rFonts w:hint="default" w:ascii="Times New Roman" w:hAnsi="Times New Roman" w:cs="宋体"/>
                <w:b w:val="0"/>
                <w:bCs w:val="0"/>
                <w:color w:val="auto"/>
                <w:kern w:val="0"/>
                <w:sz w:val="24"/>
                <w:szCs w:val="24"/>
              </w:rPr>
              <w:t>本项目位于</w:t>
            </w:r>
            <w:r>
              <w:rPr>
                <w:rFonts w:hint="eastAsia" w:cs="宋体"/>
                <w:b w:val="0"/>
                <w:bCs w:val="0"/>
                <w:color w:val="auto"/>
                <w:kern w:val="0"/>
                <w:sz w:val="24"/>
                <w:szCs w:val="24"/>
                <w:highlight w:val="none"/>
                <w:lang w:eastAsia="zh-CN"/>
              </w:rPr>
              <w:t>山东省济宁市泗水经济开发区娃哈哈食品有限公司西侧，泉音路以南、泉福路以北、圣和路以东</w:t>
            </w:r>
            <w:r>
              <w:rPr>
                <w:rFonts w:hint="eastAsia" w:ascii="Times New Roman" w:hAnsi="Times New Roman" w:cs="Times New Roman"/>
                <w:color w:val="auto"/>
                <w:sz w:val="24"/>
                <w:highlight w:val="none"/>
                <w:lang w:eastAsia="zh-CN"/>
              </w:rPr>
              <w:t>。</w:t>
            </w:r>
            <w:r>
              <w:rPr>
                <w:rFonts w:hint="default" w:ascii="Times New Roman" w:hAnsi="Times New Roman" w:cs="宋体"/>
                <w:b w:val="0"/>
                <w:bCs w:val="0"/>
                <w:color w:val="auto"/>
                <w:kern w:val="0"/>
                <w:sz w:val="24"/>
                <w:szCs w:val="24"/>
                <w:highlight w:val="none"/>
              </w:rPr>
              <w:t>根据</w:t>
            </w:r>
            <w:r>
              <w:rPr>
                <w:rFonts w:hint="eastAsia" w:cs="宋体"/>
                <w:b w:val="0"/>
                <w:bCs w:val="0"/>
                <w:color w:val="auto"/>
                <w:kern w:val="0"/>
                <w:sz w:val="24"/>
                <w:szCs w:val="24"/>
                <w:highlight w:val="none"/>
                <w:lang w:eastAsia="zh-CN"/>
              </w:rPr>
              <w:t>《自然资源要素支撑产业高质量发展指导目录（2024年本）》</w:t>
            </w:r>
            <w:r>
              <w:rPr>
                <w:rFonts w:hint="default" w:ascii="Times New Roman" w:hAnsi="Times New Roman" w:cs="宋体"/>
                <w:b w:val="0"/>
                <w:bCs w:val="0"/>
                <w:color w:val="auto"/>
                <w:kern w:val="0"/>
                <w:sz w:val="24"/>
                <w:szCs w:val="24"/>
              </w:rPr>
              <w:t>，本项目的建设不属于限制用地和禁止用地范</w:t>
            </w:r>
            <w:r>
              <w:rPr>
                <w:rFonts w:hint="eastAsia" w:ascii="Times New Roman" w:hAnsi="Times New Roman" w:eastAsia="宋体" w:cs="Times New Roman"/>
                <w:bCs/>
                <w:color w:val="auto"/>
                <w:sz w:val="24"/>
                <w:szCs w:val="24"/>
                <w:highlight w:val="none"/>
              </w:rPr>
              <w:t>围</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本项目新建厂房建设，用地已取得国有建设用地使用权（见附件六）</w:t>
            </w:r>
            <w:r>
              <w:rPr>
                <w:rFonts w:hint="eastAsia" w:ascii="Times New Roman" w:hAnsi="Times New Roman" w:eastAsia="宋体" w:cs="Times New Roman"/>
                <w:bCs/>
                <w:color w:val="auto"/>
                <w:sz w:val="24"/>
                <w:szCs w:val="24"/>
                <w:highlight w:val="none"/>
              </w:rPr>
              <w:t>。</w:t>
            </w:r>
          </w:p>
          <w:p w14:paraId="41CE0EB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2" w:firstLineChars="200"/>
              <w:textAlignment w:val="auto"/>
              <w:rPr>
                <w:rFonts w:hint="eastAsia" w:ascii="Times New Roman" w:hAnsi="Times New Roman" w:cs="宋体"/>
                <w:b/>
                <w:bCs/>
                <w:color w:val="auto"/>
                <w:kern w:val="0"/>
                <w:sz w:val="24"/>
                <w:szCs w:val="24"/>
                <w:lang w:val="en-US" w:eastAsia="zh-CN"/>
              </w:rPr>
            </w:pPr>
            <w:r>
              <w:rPr>
                <w:rFonts w:hint="eastAsia" w:cs="宋体"/>
                <w:b/>
                <w:bCs/>
                <w:color w:val="auto"/>
                <w:kern w:val="0"/>
                <w:sz w:val="24"/>
                <w:szCs w:val="24"/>
                <w:lang w:val="en-US" w:eastAsia="zh-CN"/>
              </w:rPr>
              <w:t>3</w:t>
            </w:r>
            <w:r>
              <w:rPr>
                <w:rFonts w:hint="eastAsia" w:ascii="Times New Roman" w:hAnsi="Times New Roman" w:cs="宋体"/>
                <w:b/>
                <w:bCs/>
                <w:color w:val="auto"/>
                <w:kern w:val="0"/>
                <w:sz w:val="24"/>
                <w:szCs w:val="24"/>
                <w:lang w:val="en-US" w:eastAsia="zh-CN"/>
              </w:rPr>
              <w:t>、与《泗水县国土空间总体规划（2021</w:t>
            </w:r>
            <w:r>
              <w:rPr>
                <w:rFonts w:hint="eastAsia" w:cs="宋体"/>
                <w:b/>
                <w:bCs/>
                <w:color w:val="auto"/>
                <w:kern w:val="0"/>
                <w:sz w:val="24"/>
                <w:szCs w:val="24"/>
                <w:lang w:val="en-US" w:eastAsia="zh-CN"/>
              </w:rPr>
              <w:t>—</w:t>
            </w:r>
            <w:r>
              <w:rPr>
                <w:rFonts w:hint="eastAsia" w:ascii="Times New Roman" w:hAnsi="Times New Roman" w:cs="宋体"/>
                <w:b/>
                <w:bCs/>
                <w:color w:val="auto"/>
                <w:kern w:val="0"/>
                <w:sz w:val="24"/>
                <w:szCs w:val="24"/>
                <w:lang w:val="en-US" w:eastAsia="zh-CN"/>
              </w:rPr>
              <w:t>2035年）》符合性分析</w:t>
            </w:r>
          </w:p>
          <w:p w14:paraId="16576EAF">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宋体"/>
                <w:b w:val="0"/>
                <w:bCs w:val="0"/>
                <w:color w:val="auto"/>
                <w:kern w:val="0"/>
                <w:sz w:val="24"/>
                <w:szCs w:val="24"/>
                <w:lang w:val="en-US" w:eastAsia="zh-CN"/>
              </w:rPr>
            </w:pPr>
            <w:r>
              <w:rPr>
                <w:rFonts w:hint="eastAsia" w:ascii="Times New Roman" w:hAnsi="Times New Roman" w:eastAsia="宋体" w:cs="宋体"/>
                <w:b w:val="0"/>
                <w:bCs w:val="0"/>
                <w:color w:val="auto"/>
                <w:kern w:val="0"/>
                <w:sz w:val="24"/>
                <w:szCs w:val="24"/>
                <w:lang w:val="en-US" w:eastAsia="zh-CN"/>
              </w:rPr>
              <w:t>根据《泗水县国土空间总体规划（2021</w:t>
            </w:r>
            <w:r>
              <w:rPr>
                <w:rFonts w:hint="eastAsia" w:cs="宋体"/>
                <w:b w:val="0"/>
                <w:bCs w:val="0"/>
                <w:color w:val="auto"/>
                <w:kern w:val="0"/>
                <w:sz w:val="24"/>
                <w:szCs w:val="24"/>
                <w:lang w:val="en-US" w:eastAsia="zh-CN"/>
              </w:rPr>
              <w:t>—</w:t>
            </w:r>
            <w:r>
              <w:rPr>
                <w:rFonts w:hint="eastAsia" w:ascii="Times New Roman" w:hAnsi="Times New Roman" w:eastAsia="宋体" w:cs="宋体"/>
                <w:b w:val="0"/>
                <w:bCs w:val="0"/>
                <w:color w:val="auto"/>
                <w:kern w:val="0"/>
                <w:sz w:val="24"/>
                <w:szCs w:val="24"/>
                <w:lang w:val="en-US" w:eastAsia="zh-CN"/>
              </w:rPr>
              <w:t>2035年）》（鲁政字〔2024〕48号，2024年3月29日）中的“县域国土空间控制线规划图”，项目所在地位于城镇开发边界内，属于工业发展区，符合《泗水县国土空间总体规划（2021</w:t>
            </w:r>
            <w:r>
              <w:rPr>
                <w:rFonts w:hint="eastAsia" w:cs="宋体"/>
                <w:b w:val="0"/>
                <w:bCs w:val="0"/>
                <w:color w:val="auto"/>
                <w:kern w:val="0"/>
                <w:sz w:val="24"/>
                <w:szCs w:val="24"/>
                <w:lang w:val="en-US" w:eastAsia="zh-CN"/>
              </w:rPr>
              <w:t>—</w:t>
            </w:r>
            <w:r>
              <w:rPr>
                <w:rFonts w:hint="eastAsia" w:ascii="Times New Roman" w:hAnsi="Times New Roman" w:eastAsia="宋体" w:cs="宋体"/>
                <w:b w:val="0"/>
                <w:bCs w:val="0"/>
                <w:color w:val="auto"/>
                <w:kern w:val="0"/>
                <w:sz w:val="24"/>
                <w:szCs w:val="24"/>
                <w:lang w:val="en-US" w:eastAsia="zh-CN"/>
              </w:rPr>
              <w:t>2035年）》相关要求，</w:t>
            </w:r>
            <w:r>
              <w:rPr>
                <w:rFonts w:hint="eastAsia" w:cs="宋体"/>
                <w:b w:val="0"/>
                <w:bCs w:val="0"/>
                <w:color w:val="auto"/>
                <w:kern w:val="0"/>
                <w:sz w:val="24"/>
                <w:szCs w:val="24"/>
                <w:highlight w:val="none"/>
                <w:lang w:val="en-US" w:eastAsia="zh-CN"/>
              </w:rPr>
              <w:t>详</w:t>
            </w:r>
            <w:r>
              <w:rPr>
                <w:rFonts w:hint="eastAsia" w:ascii="Times New Roman" w:hAnsi="Times New Roman" w:eastAsia="宋体" w:cs="宋体"/>
                <w:b w:val="0"/>
                <w:bCs w:val="0"/>
                <w:color w:val="auto"/>
                <w:kern w:val="0"/>
                <w:sz w:val="24"/>
                <w:szCs w:val="24"/>
                <w:highlight w:val="none"/>
                <w:lang w:val="en-US" w:eastAsia="zh-CN"/>
              </w:rPr>
              <w:t>见附图</w:t>
            </w:r>
            <w:r>
              <w:rPr>
                <w:rFonts w:hint="eastAsia" w:cs="宋体"/>
                <w:b w:val="0"/>
                <w:bCs w:val="0"/>
                <w:color w:val="auto"/>
                <w:kern w:val="0"/>
                <w:sz w:val="24"/>
                <w:szCs w:val="24"/>
                <w:highlight w:val="none"/>
                <w:lang w:val="en-US" w:eastAsia="zh-CN"/>
              </w:rPr>
              <w:t>4</w:t>
            </w:r>
            <w:r>
              <w:rPr>
                <w:rFonts w:hint="eastAsia" w:ascii="Times New Roman" w:hAnsi="Times New Roman" w:eastAsia="宋体" w:cs="宋体"/>
                <w:b w:val="0"/>
                <w:bCs w:val="0"/>
                <w:color w:val="auto"/>
                <w:kern w:val="0"/>
                <w:sz w:val="24"/>
                <w:szCs w:val="24"/>
                <w:lang w:val="en-US" w:eastAsia="zh-CN"/>
              </w:rPr>
              <w:t>。</w:t>
            </w:r>
          </w:p>
          <w:p w14:paraId="572BFBE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2" w:firstLineChars="200"/>
              <w:textAlignment w:val="auto"/>
              <w:rPr>
                <w:rFonts w:hint="eastAsia" w:ascii="Times New Roman" w:hAnsi="Times New Roman" w:cs="宋体"/>
                <w:b/>
                <w:bCs/>
                <w:color w:val="auto"/>
                <w:kern w:val="0"/>
                <w:sz w:val="24"/>
                <w:szCs w:val="24"/>
                <w:lang w:val="en-US" w:eastAsia="zh-CN"/>
              </w:rPr>
            </w:pPr>
            <w:r>
              <w:rPr>
                <w:rFonts w:hint="eastAsia" w:cs="宋体"/>
                <w:b/>
                <w:bCs/>
                <w:color w:val="auto"/>
                <w:kern w:val="0"/>
                <w:sz w:val="24"/>
                <w:szCs w:val="24"/>
                <w:lang w:val="en-US" w:eastAsia="zh-CN"/>
              </w:rPr>
              <w:t>4</w:t>
            </w:r>
            <w:r>
              <w:rPr>
                <w:rFonts w:hint="eastAsia" w:ascii="Times New Roman" w:hAnsi="Times New Roman" w:cs="宋体"/>
                <w:b/>
                <w:bCs/>
                <w:color w:val="auto"/>
                <w:kern w:val="0"/>
                <w:sz w:val="24"/>
                <w:szCs w:val="24"/>
                <w:lang w:val="en-US" w:eastAsia="zh-CN"/>
              </w:rPr>
              <w:t>、选址符合性分析</w:t>
            </w:r>
          </w:p>
          <w:p w14:paraId="7AD93D6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宋体"/>
                <w:b/>
                <w:bCs/>
                <w:color w:val="auto"/>
                <w:kern w:val="0"/>
                <w:sz w:val="24"/>
                <w:szCs w:val="24"/>
                <w:lang w:val="en-US" w:eastAsia="zh-CN"/>
              </w:rPr>
            </w:pPr>
            <w:r>
              <w:rPr>
                <w:rFonts w:hint="eastAsia" w:ascii="Times New Roman" w:hAnsi="Times New Roman" w:eastAsia="宋体" w:cs="宋体"/>
                <w:b w:val="0"/>
                <w:bCs w:val="0"/>
                <w:color w:val="auto"/>
                <w:kern w:val="0"/>
                <w:sz w:val="24"/>
                <w:szCs w:val="24"/>
                <w:lang w:val="en-US" w:eastAsia="zh-CN"/>
              </w:rPr>
              <w:t>根据</w:t>
            </w:r>
            <w:r>
              <w:rPr>
                <w:rFonts w:hint="eastAsia" w:ascii="Times New Roman" w:hAnsi="Times New Roman" w:eastAsia="宋体" w:cs="宋体"/>
                <w:b w:val="0"/>
                <w:bCs w:val="0"/>
                <w:color w:val="auto"/>
                <w:kern w:val="0"/>
                <w:sz w:val="24"/>
                <w:szCs w:val="24"/>
                <w:highlight w:val="none"/>
                <w:lang w:val="en-US" w:eastAsia="zh-CN"/>
              </w:rPr>
              <w:t>山东泗水经济开发区管理委员会</w:t>
            </w:r>
            <w:r>
              <w:rPr>
                <w:rFonts w:hint="eastAsia" w:cs="宋体"/>
                <w:b w:val="0"/>
                <w:bCs w:val="0"/>
                <w:color w:val="auto"/>
                <w:kern w:val="0"/>
                <w:sz w:val="24"/>
                <w:szCs w:val="24"/>
                <w:highlight w:val="none"/>
                <w:lang w:val="en-US" w:eastAsia="zh-CN"/>
              </w:rPr>
              <w:t>出具</w:t>
            </w:r>
            <w:r>
              <w:rPr>
                <w:rFonts w:hint="eastAsia" w:ascii="Times New Roman" w:hAnsi="Times New Roman" w:eastAsia="宋体" w:cs="宋体"/>
                <w:b w:val="0"/>
                <w:bCs w:val="0"/>
                <w:color w:val="auto"/>
                <w:kern w:val="0"/>
                <w:sz w:val="24"/>
                <w:szCs w:val="24"/>
                <w:highlight w:val="none"/>
                <w:lang w:val="en-US" w:eastAsia="zh-CN"/>
              </w:rPr>
              <w:t>的</w:t>
            </w:r>
            <w:r>
              <w:rPr>
                <w:rFonts w:hint="eastAsia" w:cs="宋体"/>
                <w:b w:val="0"/>
                <w:bCs w:val="0"/>
                <w:color w:val="auto"/>
                <w:kern w:val="0"/>
                <w:sz w:val="24"/>
                <w:szCs w:val="24"/>
                <w:highlight w:val="none"/>
                <w:lang w:val="en-US" w:eastAsia="zh-CN"/>
              </w:rPr>
              <w:t>规划符合性说明（附件五）</w:t>
            </w:r>
            <w:r>
              <w:rPr>
                <w:rFonts w:hint="eastAsia" w:ascii="Times New Roman" w:hAnsi="Times New Roman" w:eastAsia="宋体" w:cs="宋体"/>
                <w:b w:val="0"/>
                <w:bCs w:val="0"/>
                <w:color w:val="auto"/>
                <w:kern w:val="0"/>
                <w:sz w:val="24"/>
                <w:szCs w:val="24"/>
                <w:lang w:val="en-US" w:eastAsia="zh-CN"/>
              </w:rPr>
              <w:t>，项目建设符合泗水经济开发区相关规划要求。本项目用地为工业用地，符合土地利用政策。</w:t>
            </w:r>
          </w:p>
          <w:p w14:paraId="1F3270B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val="0"/>
                <w:color w:val="auto"/>
                <w:sz w:val="24"/>
              </w:rPr>
            </w:pPr>
            <w:r>
              <w:rPr>
                <w:rFonts w:hint="eastAsia" w:cs="宋体"/>
                <w:b/>
                <w:bCs/>
                <w:color w:val="auto"/>
                <w:kern w:val="0"/>
                <w:sz w:val="24"/>
                <w:szCs w:val="24"/>
                <w:lang w:val="en-US" w:eastAsia="zh-CN"/>
              </w:rPr>
              <w:t>5</w:t>
            </w:r>
            <w:r>
              <w:rPr>
                <w:rFonts w:hint="eastAsia" w:ascii="Times New Roman" w:hAnsi="Times New Roman" w:cs="宋体"/>
                <w:b/>
                <w:bCs/>
                <w:color w:val="auto"/>
                <w:kern w:val="0"/>
                <w:sz w:val="24"/>
                <w:szCs w:val="24"/>
                <w:lang w:val="en-US" w:eastAsia="zh-CN"/>
              </w:rPr>
              <w:t>、</w:t>
            </w:r>
            <w:bookmarkEnd w:id="2"/>
            <w:r>
              <w:rPr>
                <w:rFonts w:hint="default" w:ascii="Times New Roman" w:hAnsi="Times New Roman" w:cs="Times New Roman"/>
                <w:b/>
                <w:bCs w:val="0"/>
                <w:color w:val="auto"/>
                <w:sz w:val="24"/>
                <w:lang w:val="en-US" w:eastAsia="zh-CN"/>
              </w:rPr>
              <w:t>“生态环境分区管控符合性”分析</w:t>
            </w:r>
          </w:p>
          <w:p w14:paraId="793C172C">
            <w:pPr>
              <w:pStyle w:val="65"/>
              <w:keepNext w:val="0"/>
              <w:keepLines w:val="0"/>
              <w:pageBreakBefore w:val="0"/>
              <w:widowControl w:val="0"/>
              <w:suppressLineNumbers w:val="0"/>
              <w:tabs>
                <w:tab w:val="left" w:pos="1130"/>
              </w:tabs>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生态保护红线</w:t>
            </w:r>
          </w:p>
          <w:p w14:paraId="4ABDD1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根据《泗水县国土空间总体规划（2021</w:t>
            </w:r>
            <w:r>
              <w:rPr>
                <w:rFonts w:hint="eastAsia"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2035年）》（鲁政字〔2024〕48号，2024年3月29日）中的“</w:t>
            </w:r>
            <w:r>
              <w:rPr>
                <w:rFonts w:hint="eastAsia" w:ascii="Times New Roman" w:hAnsi="Times New Roman" w:eastAsia="宋体" w:cs="宋体"/>
                <w:b w:val="0"/>
                <w:bCs w:val="0"/>
                <w:color w:val="auto"/>
                <w:kern w:val="0"/>
                <w:sz w:val="24"/>
                <w:szCs w:val="24"/>
                <w:lang w:val="en-US" w:eastAsia="zh-CN"/>
              </w:rPr>
              <w:t>县域国土空间控制线规划图</w:t>
            </w:r>
            <w:r>
              <w:rPr>
                <w:rFonts w:hint="eastAsia" w:ascii="Times New Roman" w:hAnsi="Times New Roman" w:eastAsia="宋体" w:cs="Times New Roman"/>
                <w:sz w:val="24"/>
                <w:szCs w:val="24"/>
                <w:highlight w:val="none"/>
                <w:lang w:val="en-US" w:eastAsia="zh-CN"/>
              </w:rPr>
              <w:t>”，项目所在地不涉及生态保护红线，</w:t>
            </w:r>
            <w:r>
              <w:rPr>
                <w:rFonts w:hint="eastAsia" w:cs="Times New Roman"/>
                <w:sz w:val="24"/>
                <w:szCs w:val="24"/>
                <w:highlight w:val="none"/>
                <w:lang w:val="en-US" w:eastAsia="zh-CN"/>
              </w:rPr>
              <w:t>详</w:t>
            </w:r>
            <w:r>
              <w:rPr>
                <w:rFonts w:hint="eastAsia" w:ascii="Times New Roman" w:hAnsi="Times New Roman" w:eastAsia="宋体" w:cs="Times New Roman"/>
                <w:sz w:val="24"/>
                <w:szCs w:val="24"/>
                <w:highlight w:val="none"/>
                <w:lang w:val="en-US" w:eastAsia="zh-CN"/>
              </w:rPr>
              <w:t>见附图</w:t>
            </w:r>
            <w:r>
              <w:rPr>
                <w:rFonts w:hint="eastAsia" w:cs="Times New Roman"/>
                <w:sz w:val="24"/>
                <w:szCs w:val="24"/>
                <w:highlight w:val="none"/>
                <w:lang w:val="en-US" w:eastAsia="zh-CN"/>
              </w:rPr>
              <w:t>4</w:t>
            </w:r>
            <w:r>
              <w:rPr>
                <w:rFonts w:hint="eastAsia" w:ascii="Times New Roman" w:hAnsi="Times New Roman" w:eastAsia="宋体" w:cs="Times New Roman"/>
                <w:sz w:val="24"/>
                <w:szCs w:val="24"/>
                <w:highlight w:val="none"/>
                <w:lang w:val="en-US" w:eastAsia="zh-CN"/>
              </w:rPr>
              <w:t>。</w:t>
            </w:r>
          </w:p>
          <w:p w14:paraId="50A9B3BD">
            <w:pPr>
              <w:pStyle w:val="65"/>
              <w:keepNext w:val="0"/>
              <w:keepLines w:val="0"/>
              <w:pageBreakBefore w:val="0"/>
              <w:widowControl w:val="0"/>
              <w:suppressLineNumbers w:val="0"/>
              <w:tabs>
                <w:tab w:val="left" w:pos="1130"/>
              </w:tabs>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bookmarkStart w:id="3" w:name="OLE_LINK2"/>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rPr>
              <w:t>2</w:t>
            </w:r>
            <w:r>
              <w:rPr>
                <w:rFonts w:hint="default" w:ascii="Times New Roman" w:hAnsi="Times New Roman" w:cs="Times New Roman"/>
                <w:color w:val="auto"/>
                <w:sz w:val="24"/>
                <w:szCs w:val="24"/>
                <w:highlight w:val="none"/>
              </w:rPr>
              <w:t>）环境质量底线</w:t>
            </w:r>
          </w:p>
          <w:bookmarkEnd w:id="3"/>
          <w:p w14:paraId="490F75BA">
            <w:pPr>
              <w:keepNext w:val="0"/>
              <w:keepLines w:val="0"/>
              <w:pageBreakBefore w:val="0"/>
              <w:widowControl w:val="0"/>
              <w:suppressLineNumbers w:val="0"/>
              <w:tabs>
                <w:tab w:val="left" w:pos="900"/>
              </w:tabs>
              <w:kinsoku/>
              <w:wordWrap/>
              <w:overflowPunct/>
              <w:topLinePunct w:val="0"/>
              <w:bidi w:val="0"/>
              <w:adjustRightInd/>
              <w:snapToGrid/>
              <w:spacing w:before="0" w:beforeAutospacing="0" w:after="0" w:afterAutospacing="0" w:line="360" w:lineRule="auto"/>
              <w:ind w:left="0" w:right="0" w:firstLine="480" w:firstLineChars="200"/>
              <w:textAlignment w:val="auto"/>
              <w:rPr>
                <w:rFonts w:hint="eastAsia" w:ascii="Times New Roman" w:hAnsi="宋体" w:cs="Times New Roman"/>
                <w:color w:val="auto"/>
                <w:sz w:val="24"/>
                <w:szCs w:val="24"/>
              </w:rPr>
            </w:pPr>
            <w:r>
              <w:rPr>
                <w:rFonts w:hint="eastAsia" w:ascii="Times New Roman" w:hAnsi="宋体" w:cs="Times New Roman"/>
                <w:color w:val="auto"/>
                <w:sz w:val="24"/>
                <w:szCs w:val="24"/>
              </w:rPr>
              <w:t>①项目与大气环境质量的相符性分析</w:t>
            </w:r>
          </w:p>
          <w:p w14:paraId="217D613A">
            <w:pPr>
              <w:pStyle w:val="107"/>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highlight w:val="none"/>
              </w:rPr>
              <w:t>本项目选址区域为环境空气功能区二类区，执行二级标准。根据</w:t>
            </w:r>
            <w:r>
              <w:rPr>
                <w:rFonts w:hint="eastAsia" w:ascii="Times New Roman" w:hAnsi="Times New Roman" w:cs="Times New Roman"/>
                <w:color w:val="auto"/>
                <w:szCs w:val="24"/>
                <w:highlight w:val="none"/>
                <w:lang w:eastAsia="zh-CN"/>
              </w:rPr>
              <w:t>泗水县</w:t>
            </w:r>
            <w:r>
              <w:rPr>
                <w:rFonts w:hint="default" w:ascii="Times New Roman" w:hAnsi="Times New Roman" w:cs="Times New Roman"/>
                <w:color w:val="auto"/>
                <w:szCs w:val="24"/>
                <w:highlight w:val="none"/>
              </w:rPr>
              <w:t>202</w:t>
            </w:r>
            <w:r>
              <w:rPr>
                <w:rFonts w:hint="eastAsia"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年大气环境质量污染物浓度的全年例行检测数据，</w:t>
            </w:r>
            <w:r>
              <w:rPr>
                <w:rFonts w:hint="default" w:ascii="Times New Roman" w:hAnsi="Times New Roman" w:eastAsia="宋体" w:cs="Times New Roman"/>
                <w:color w:val="auto"/>
                <w:sz w:val="24"/>
                <w:highlight w:val="none"/>
              </w:rPr>
              <w:t>泗水县202</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rPr>
              <w:t>年SO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、NO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10</w:t>
            </w:r>
            <w:r>
              <w:rPr>
                <w:rFonts w:hint="default" w:ascii="Times New Roman" w:hAnsi="Times New Roman" w:eastAsia="宋体" w:cs="Times New Roman"/>
                <w:color w:val="auto"/>
                <w:sz w:val="24"/>
                <w:highlight w:val="none"/>
              </w:rPr>
              <w:t>年均浓度</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CO24小时平均浓度第95百分位数</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日最大8小时均值第90百分位数</w:t>
            </w:r>
            <w:r>
              <w:rPr>
                <w:rFonts w:hint="eastAsia" w:ascii="Times New Roman" w:hAnsi="Times New Roman" w:eastAsia="宋体" w:cs="Times New Roman"/>
                <w:color w:val="auto"/>
                <w:sz w:val="24"/>
                <w:highlight w:val="none"/>
                <w:lang w:val="en-US" w:eastAsia="zh-CN"/>
              </w:rPr>
              <w:t>均</w:t>
            </w:r>
            <w:r>
              <w:rPr>
                <w:rFonts w:hint="default" w:ascii="Times New Roman" w:hAnsi="Times New Roman" w:eastAsia="宋体" w:cs="Times New Roman"/>
                <w:color w:val="auto"/>
                <w:sz w:val="24"/>
                <w:highlight w:val="none"/>
              </w:rPr>
              <w:t>符合《环境空气质量标准》（GB3095-2012）中二级标准要求，PM</w:t>
            </w:r>
            <w:r>
              <w:rPr>
                <w:rFonts w:hint="default" w:ascii="Times New Roman" w:hAnsi="Times New Roman" w:eastAsia="宋体" w:cs="Times New Roman"/>
                <w:color w:val="auto"/>
                <w:sz w:val="24"/>
                <w:highlight w:val="none"/>
                <w:vertAlign w:val="subscript"/>
              </w:rPr>
              <w:t>2.5</w:t>
            </w:r>
            <w:r>
              <w:rPr>
                <w:rFonts w:hint="default" w:ascii="Times New Roman" w:hAnsi="Times New Roman" w:eastAsia="宋体" w:cs="Times New Roman"/>
                <w:color w:val="auto"/>
                <w:sz w:val="24"/>
                <w:highlight w:val="none"/>
              </w:rPr>
              <w:t>年均浓度超标</w:t>
            </w:r>
            <w:r>
              <w:rPr>
                <w:rFonts w:hint="default" w:ascii="Times New Roman" w:hAnsi="Times New Roman" w:cs="Times New Roman"/>
                <w:color w:val="auto"/>
                <w:szCs w:val="24"/>
                <w:highlight w:val="none"/>
              </w:rPr>
              <w:t>。因此，本项目所在区域不属于环境空气质量达标区</w:t>
            </w:r>
            <w:r>
              <w:rPr>
                <w:rFonts w:hint="default" w:ascii="Times New Roman" w:hAnsi="Times New Roman" w:cs="Times New Roman"/>
                <w:color w:val="auto"/>
                <w:szCs w:val="24"/>
              </w:rPr>
              <w:t>。</w:t>
            </w:r>
          </w:p>
          <w:p w14:paraId="3177A1C9">
            <w:pPr>
              <w:pStyle w:val="107"/>
              <w:keepNext w:val="0"/>
              <w:keepLines w:val="0"/>
              <w:suppressLineNumbers w:val="0"/>
              <w:spacing w:before="0" w:beforeAutospacing="0" w:after="0" w:afterAutospacing="0"/>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目前泗水县人民政府正积极落实《山东省深入打好蓝天保卫战行动计划（2021—2025年）</w:t>
            </w:r>
            <w:r>
              <w:rPr>
                <w:rFonts w:hint="eastAsia" w:ascii="Times New Roman" w:hAnsi="Times New Roman" w:cs="Times New Roman"/>
                <w:color w:val="auto"/>
                <w:szCs w:val="24"/>
                <w:lang w:eastAsia="zh-CN"/>
              </w:rPr>
              <w:t>》《</w:t>
            </w:r>
            <w:r>
              <w:rPr>
                <w:rFonts w:hint="default" w:ascii="Times New Roman" w:hAnsi="Times New Roman" w:cs="Times New Roman"/>
                <w:color w:val="auto"/>
                <w:szCs w:val="24"/>
              </w:rPr>
              <w:t>山东省生态环境厅关于印发山东建设项目主要大气污染物排放总量替代指标核算及管理办法的通知》等文件要求，通过实行大气污染物排放总量指标2倍削减替代，优化产业结构与布局，减少煤炭消费，推进工业污染源提标改造，强化工业企业无组织排放控制管理，加强VOCs专项整治，控制机动车污染，实施秋冬季重点行业错峰生产等方面的行动，加快以细颗粒物为重点的大气污染治理，项目所在区域大气环境质量将会逐步得到改善。</w:t>
            </w:r>
          </w:p>
          <w:p w14:paraId="71AD1013">
            <w:pPr>
              <w:pStyle w:val="107"/>
              <w:keepNext w:val="0"/>
              <w:keepLines w:val="0"/>
              <w:suppressLineNumbers w:val="0"/>
              <w:spacing w:before="0" w:beforeAutospacing="0" w:after="0" w:afterAutospacing="0"/>
              <w:ind w:left="0" w:right="0" w:firstLine="480"/>
              <w:rPr>
                <w:rFonts w:hint="default" w:ascii="Times New Roman" w:hAnsi="Times New Roman" w:cs="Times New Roman"/>
                <w:color w:val="auto"/>
                <w:szCs w:val="24"/>
                <w:highlight w:val="yellow"/>
              </w:rPr>
            </w:pPr>
            <w:r>
              <w:rPr>
                <w:rFonts w:hint="default" w:ascii="Times New Roman" w:hAnsi="Times New Roman" w:cs="Times New Roman"/>
                <w:color w:val="auto"/>
                <w:szCs w:val="24"/>
                <w:highlight w:val="none"/>
              </w:rPr>
              <w:t>本项目</w:t>
            </w:r>
            <w:r>
              <w:rPr>
                <w:rFonts w:hint="default" w:ascii="Times New Roman" w:hAnsi="Times New Roman" w:cs="Times New Roman"/>
                <w:color w:val="auto"/>
                <w:szCs w:val="24"/>
                <w:highlight w:val="none"/>
                <w:lang w:eastAsia="zh-CN"/>
              </w:rPr>
              <w:t>排放的大气污染物主要为</w:t>
            </w:r>
            <w:r>
              <w:rPr>
                <w:rFonts w:hint="eastAsia" w:ascii="Times New Roman" w:hAnsi="Times New Roman" w:cs="Times New Roman"/>
                <w:color w:val="auto"/>
                <w:szCs w:val="24"/>
                <w:highlight w:val="none"/>
                <w:lang w:val="en-US" w:eastAsia="zh-CN"/>
              </w:rPr>
              <w:t>投料、搅拌过程中产生的颗粒物、烘干过程产生的VOCs、印刷胶钉过程中产生的VOCs及污水处理站恶臭，经处理后达标排放</w:t>
            </w:r>
            <w:r>
              <w:rPr>
                <w:rFonts w:hint="default" w:ascii="Times New Roman" w:hAnsi="Times New Roman" w:cs="Times New Roman"/>
                <w:color w:val="auto"/>
                <w:szCs w:val="24"/>
                <w:highlight w:val="none"/>
              </w:rPr>
              <w:t>，不会对该区域环境空气质量产生较大的影响。</w:t>
            </w:r>
          </w:p>
          <w:p w14:paraId="209DF807">
            <w:pPr>
              <w:keepNext w:val="0"/>
              <w:keepLines w:val="0"/>
              <w:suppressLineNumbers w:val="0"/>
              <w:tabs>
                <w:tab w:val="left" w:pos="900"/>
              </w:tabs>
              <w:snapToGrid w:val="0"/>
              <w:spacing w:before="0" w:beforeAutospacing="0" w:after="0" w:afterAutospacing="0" w:line="360" w:lineRule="auto"/>
              <w:ind w:left="0" w:right="0" w:firstLine="480" w:firstLineChars="200"/>
              <w:rPr>
                <w:rFonts w:hint="eastAsia" w:ascii="Times New Roman" w:hAnsi="宋体" w:cs="Times New Roman"/>
                <w:color w:val="0000FF"/>
                <w:sz w:val="24"/>
                <w:szCs w:val="24"/>
              </w:rPr>
            </w:pPr>
            <w:r>
              <w:rPr>
                <w:rFonts w:hint="eastAsia" w:ascii="Times New Roman" w:hAnsi="宋体" w:cs="Times New Roman"/>
                <w:color w:val="auto"/>
                <w:sz w:val="24"/>
                <w:szCs w:val="24"/>
              </w:rPr>
              <w:t>②项目与水环境质量的相符性分析</w:t>
            </w:r>
          </w:p>
          <w:p w14:paraId="1CB5A3A3">
            <w:pPr>
              <w:keepNext w:val="0"/>
              <w:keepLines w:val="0"/>
              <w:suppressLineNumbers w:val="0"/>
              <w:tabs>
                <w:tab w:val="left" w:pos="900"/>
              </w:tabs>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w:t>
            </w:r>
            <w:r>
              <w:rPr>
                <w:rFonts w:hint="eastAsia" w:ascii="Times New Roman" w:hAnsi="Times New Roman" w:eastAsia="宋体" w:cs="Times New Roman"/>
                <w:color w:val="auto"/>
                <w:kern w:val="0"/>
                <w:sz w:val="24"/>
                <w:szCs w:val="24"/>
                <w:lang w:val="en-US" w:eastAsia="zh-CN" w:bidi="ar-SA"/>
              </w:rPr>
              <w:t>山东省生态环境厅</w:t>
            </w:r>
            <w:r>
              <w:rPr>
                <w:rFonts w:hint="default" w:ascii="Times New Roman" w:hAnsi="Times New Roman" w:eastAsia="宋体" w:cs="Times New Roman"/>
                <w:color w:val="auto"/>
                <w:kern w:val="0"/>
                <w:sz w:val="24"/>
                <w:szCs w:val="24"/>
                <w:lang w:val="en-US" w:eastAsia="zh-CN" w:bidi="ar-SA"/>
              </w:rPr>
              <w:t>网站202</w:t>
            </w:r>
            <w:r>
              <w:rPr>
                <w:rFonts w:hint="eastAsia" w:cs="Times New Roman"/>
                <w:color w:val="auto"/>
                <w:kern w:val="0"/>
                <w:sz w:val="24"/>
                <w:szCs w:val="24"/>
                <w:lang w:val="en-US" w:eastAsia="zh-CN" w:bidi="ar-SA"/>
              </w:rPr>
              <w:t>5</w:t>
            </w:r>
            <w:r>
              <w:rPr>
                <w:rFonts w:hint="default" w:ascii="Times New Roman" w:hAnsi="Times New Roman" w:eastAsia="宋体" w:cs="Times New Roman"/>
                <w:color w:val="auto"/>
                <w:kern w:val="0"/>
                <w:sz w:val="24"/>
                <w:szCs w:val="24"/>
                <w:lang w:val="en-US" w:eastAsia="zh-CN" w:bidi="ar-SA"/>
              </w:rPr>
              <w:t>年</w:t>
            </w:r>
            <w:r>
              <w:rPr>
                <w:rFonts w:hint="eastAsia" w:ascii="Times New Roman" w:hAnsi="Times New Roman" w:eastAsia="宋体" w:cs="Times New Roman"/>
                <w:color w:val="auto"/>
                <w:kern w:val="0"/>
                <w:sz w:val="24"/>
                <w:szCs w:val="24"/>
                <w:lang w:val="en-US" w:eastAsia="zh-CN" w:bidi="ar-SA"/>
              </w:rPr>
              <w:t>09</w:t>
            </w:r>
            <w:r>
              <w:rPr>
                <w:rFonts w:hint="default" w:ascii="Times New Roman" w:hAnsi="Times New Roman" w:eastAsia="宋体" w:cs="Times New Roman"/>
                <w:color w:val="auto"/>
                <w:kern w:val="0"/>
                <w:sz w:val="24"/>
                <w:szCs w:val="24"/>
                <w:lang w:val="en-US" w:eastAsia="zh-CN" w:bidi="ar-SA"/>
              </w:rPr>
              <w:t>月发布的“省控重点河流水质状况”，项目周边地表水“泗河-</w:t>
            </w:r>
            <w:r>
              <w:rPr>
                <w:rFonts w:hint="eastAsia" w:ascii="Times New Roman" w:hAnsi="Times New Roman" w:eastAsia="宋体" w:cs="Times New Roman"/>
                <w:color w:val="auto"/>
                <w:kern w:val="0"/>
                <w:sz w:val="24"/>
                <w:szCs w:val="24"/>
                <w:lang w:val="en-US" w:eastAsia="zh-CN" w:bidi="ar-SA"/>
              </w:rPr>
              <w:t>故县坝</w:t>
            </w:r>
            <w:r>
              <w:rPr>
                <w:rFonts w:hint="default" w:ascii="Times New Roman" w:hAnsi="Times New Roman" w:eastAsia="宋体" w:cs="Times New Roman"/>
                <w:color w:val="auto"/>
                <w:kern w:val="0"/>
                <w:sz w:val="24"/>
                <w:szCs w:val="24"/>
                <w:lang w:val="en-US" w:eastAsia="zh-CN" w:bidi="ar-SA"/>
              </w:rPr>
              <w:t>断面”</w:t>
            </w:r>
            <w:r>
              <w:rPr>
                <w:rFonts w:hint="eastAsia" w:ascii="Times New Roman" w:hAnsi="Times New Roman" w:eastAsia="宋体" w:cs="Times New Roman"/>
                <w:color w:val="auto"/>
                <w:kern w:val="0"/>
                <w:sz w:val="24"/>
                <w:szCs w:val="24"/>
                <w:lang w:val="en-US" w:eastAsia="zh-CN" w:bidi="ar-SA"/>
              </w:rPr>
              <w:t>可</w:t>
            </w:r>
            <w:r>
              <w:rPr>
                <w:rFonts w:hint="default" w:ascii="Times New Roman" w:hAnsi="Times New Roman" w:eastAsia="宋体" w:cs="Times New Roman"/>
                <w:color w:val="auto"/>
                <w:kern w:val="0"/>
                <w:sz w:val="24"/>
                <w:szCs w:val="24"/>
                <w:lang w:val="en-US" w:eastAsia="zh-CN" w:bidi="ar-SA"/>
              </w:rPr>
              <w:t>满足《地表水环境质量标准》（GB3838-2002）Ⅲ类标准。</w:t>
            </w:r>
          </w:p>
          <w:p w14:paraId="17D2ACFC">
            <w:pPr>
              <w:keepNext w:val="0"/>
              <w:keepLines w:val="0"/>
              <w:suppressLineNumbers w:val="0"/>
              <w:tabs>
                <w:tab w:val="left" w:pos="900"/>
              </w:tabs>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w:t>
            </w:r>
            <w:r>
              <w:rPr>
                <w:rFonts w:hint="eastAsia" w:cs="Times New Roman"/>
                <w:color w:val="auto"/>
                <w:kern w:val="0"/>
                <w:sz w:val="24"/>
                <w:szCs w:val="24"/>
                <w:highlight w:val="none"/>
                <w:lang w:val="en-US" w:eastAsia="zh-CN" w:bidi="ar-SA"/>
              </w:rPr>
              <w:t>设备清洗废水</w:t>
            </w:r>
            <w:r>
              <w:rPr>
                <w:rFonts w:hint="eastAsia" w:ascii="Times New Roman" w:hAnsi="Times New Roman" w:eastAsia="宋体" w:cs="Times New Roman"/>
                <w:color w:val="auto"/>
                <w:kern w:val="0"/>
                <w:sz w:val="24"/>
                <w:szCs w:val="24"/>
                <w:highlight w:val="none"/>
                <w:lang w:val="en-US" w:eastAsia="zh-CN" w:bidi="ar-SA"/>
              </w:rPr>
              <w:t>经企业污水处理站处理后</w:t>
            </w:r>
            <w:r>
              <w:rPr>
                <w:rFonts w:hint="eastAsia" w:cs="Times New Roman"/>
                <w:color w:val="auto"/>
                <w:kern w:val="0"/>
                <w:sz w:val="24"/>
                <w:szCs w:val="24"/>
                <w:highlight w:val="none"/>
                <w:lang w:val="en-US" w:eastAsia="zh-CN" w:bidi="ar-SA"/>
              </w:rPr>
              <w:t>与生活污水</w:t>
            </w:r>
            <w:r>
              <w:rPr>
                <w:rFonts w:hint="eastAsia" w:ascii="Times New Roman" w:hAnsi="Times New Roman" w:eastAsia="宋体" w:cs="Times New Roman"/>
                <w:color w:val="auto"/>
                <w:kern w:val="0"/>
                <w:sz w:val="24"/>
                <w:szCs w:val="24"/>
                <w:highlight w:val="none"/>
                <w:lang w:val="en-US" w:eastAsia="zh-CN" w:bidi="ar-SA"/>
              </w:rPr>
              <w:t>通过市政污水管网送泗水国祯水务有限公司深度处理，对周边水环境影响较小。</w:t>
            </w:r>
          </w:p>
          <w:p w14:paraId="502C6E65">
            <w:pPr>
              <w:pStyle w:val="107"/>
              <w:keepNext w:val="0"/>
              <w:keepLines w:val="0"/>
              <w:suppressLineNumbers w:val="0"/>
              <w:spacing w:before="0" w:beforeAutospacing="0" w:after="0" w:afterAutospacing="0"/>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③声环境质量底线符合性分析</w:t>
            </w:r>
          </w:p>
          <w:p w14:paraId="25CCECA6">
            <w:pPr>
              <w:keepNext w:val="0"/>
              <w:keepLines w:val="0"/>
              <w:suppressLineNumbers w:val="0"/>
              <w:tabs>
                <w:tab w:val="left" w:pos="900"/>
              </w:tabs>
              <w:snapToGrid w:val="0"/>
              <w:spacing w:before="0" w:beforeAutospacing="0" w:after="0" w:afterAutospacing="0" w:line="360" w:lineRule="auto"/>
              <w:ind w:left="0" w:right="0" w:firstLine="480" w:firstLineChars="200"/>
              <w:rPr>
                <w:rFonts w:hint="eastAsia" w:ascii="Times New Roman" w:hAnsi="宋体" w:eastAsia="宋体" w:cs="Times New Roman"/>
                <w:color w:val="auto"/>
                <w:sz w:val="24"/>
                <w:szCs w:val="24"/>
              </w:rPr>
            </w:pPr>
            <w:r>
              <w:rPr>
                <w:rFonts w:hint="default" w:ascii="Times New Roman" w:hAnsi="宋体" w:eastAsia="宋体" w:cs="Times New Roman"/>
                <w:color w:val="auto"/>
                <w:sz w:val="24"/>
                <w:szCs w:val="24"/>
              </w:rPr>
              <w:t>本项目所在区域声环境执行《声环境质量标准》（GB3096-2008）3类标准</w:t>
            </w:r>
            <w:r>
              <w:rPr>
                <w:rFonts w:hint="default" w:ascii="Times New Roman" w:hAnsi="宋体" w:eastAsia="宋体" w:cs="Times New Roman"/>
                <w:color w:val="auto"/>
                <w:sz w:val="24"/>
                <w:szCs w:val="24"/>
                <w:lang w:eastAsia="zh-CN"/>
              </w:rPr>
              <w:t>。项目</w:t>
            </w:r>
            <w:r>
              <w:rPr>
                <w:rFonts w:hint="default" w:ascii="Times New Roman" w:hAnsi="宋体" w:eastAsia="宋体" w:cs="Times New Roman"/>
                <w:color w:val="auto"/>
                <w:sz w:val="24"/>
                <w:szCs w:val="24"/>
              </w:rPr>
              <w:t>通过采取隔声、减震、合理布局等措施后，项目厂界噪声排放能够满足《工业企业厂界环境噪声排放标准》（GB12348-2008）3类标准要求，对周围的声环境影响较小。</w:t>
            </w:r>
          </w:p>
          <w:p w14:paraId="789D7E95">
            <w:pPr>
              <w:pStyle w:val="65"/>
              <w:keepNext w:val="0"/>
              <w:keepLines w:val="0"/>
              <w:pageBreakBefore w:val="0"/>
              <w:suppressLineNumbers w:val="0"/>
              <w:tabs>
                <w:tab w:val="left" w:pos="1130"/>
              </w:tabs>
              <w:kinsoku/>
              <w:wordWrap/>
              <w:overflowPunct/>
              <w:topLinePunct w:val="0"/>
              <w:autoSpaceDE/>
              <w:autoSpaceDN/>
              <w:bidi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综上所述，该项目不会降低项目所在地周围的声环境功能，不会对当地环境质量底线造成影响。</w:t>
            </w:r>
          </w:p>
          <w:p w14:paraId="703A3A17">
            <w:pPr>
              <w:pStyle w:val="65"/>
              <w:keepNext w:val="0"/>
              <w:keepLines w:val="0"/>
              <w:pageBreakBefore w:val="0"/>
              <w:suppressLineNumbers w:val="0"/>
              <w:tabs>
                <w:tab w:val="left" w:pos="1130"/>
              </w:tabs>
              <w:kinsoku/>
              <w:wordWrap/>
              <w:overflowPunct/>
              <w:topLinePunct w:val="0"/>
              <w:autoSpaceDE/>
              <w:autoSpaceDN/>
              <w:bidi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rPr>
              <w:t>3</w:t>
            </w:r>
            <w:r>
              <w:rPr>
                <w:rFonts w:hint="default" w:ascii="Times New Roman" w:hAnsi="Times New Roman" w:cs="Times New Roman"/>
                <w:color w:val="auto"/>
                <w:sz w:val="24"/>
                <w:szCs w:val="24"/>
                <w:highlight w:val="none"/>
              </w:rPr>
              <w:t>）资源利用上</w:t>
            </w:r>
            <w:r>
              <w:rPr>
                <w:rFonts w:hint="eastAsia" w:cs="Times New Roman"/>
                <w:color w:val="auto"/>
                <w:sz w:val="24"/>
                <w:szCs w:val="24"/>
                <w:highlight w:val="none"/>
                <w:lang w:eastAsia="zh-CN"/>
              </w:rPr>
              <w:t>限</w:t>
            </w:r>
          </w:p>
          <w:p w14:paraId="45729880">
            <w:pPr>
              <w:pStyle w:val="65"/>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本项目运营过程中</w:t>
            </w:r>
            <w:r>
              <w:rPr>
                <w:rFonts w:hint="default" w:ascii="Times New Roman" w:hAnsi="Times New Roman" w:cs="Times New Roman"/>
                <w:color w:val="auto"/>
                <w:sz w:val="24"/>
                <w:szCs w:val="24"/>
                <w:highlight w:val="none"/>
                <w:lang w:val="en-US" w:eastAsia="zh-CN"/>
              </w:rPr>
              <w:t>消耗一定的电能</w:t>
            </w:r>
            <w:r>
              <w:rPr>
                <w:rFonts w:hint="eastAsia" w:ascii="Times New Roman" w:hAnsi="Times New Roman" w:cs="Times New Roman"/>
                <w:color w:val="auto"/>
                <w:sz w:val="24"/>
                <w:szCs w:val="24"/>
                <w:highlight w:val="none"/>
                <w:lang w:val="en-US" w:eastAsia="zh-CN"/>
              </w:rPr>
              <w:t>、水</w:t>
            </w:r>
            <w:r>
              <w:rPr>
                <w:rFonts w:hint="eastAsia" w:cs="Times New Roman"/>
                <w:color w:val="auto"/>
                <w:sz w:val="24"/>
                <w:szCs w:val="24"/>
                <w:highlight w:val="none"/>
                <w:lang w:val="en-US" w:eastAsia="zh-CN"/>
              </w:rPr>
              <w:t>、蒸汽</w:t>
            </w:r>
            <w:r>
              <w:rPr>
                <w:rFonts w:hint="default" w:ascii="Times New Roman" w:hAnsi="Times New Roman" w:cs="Times New Roman"/>
                <w:color w:val="auto"/>
                <w:sz w:val="24"/>
                <w:szCs w:val="24"/>
                <w:highlight w:val="none"/>
                <w:lang w:val="en-US" w:eastAsia="zh-CN"/>
              </w:rPr>
              <w:t>，用电由供电管网提供</w:t>
            </w:r>
            <w:r>
              <w:rPr>
                <w:rFonts w:hint="eastAsia" w:ascii="Times New Roman" w:hAnsi="Times New Roman" w:cs="Times New Roman"/>
                <w:color w:val="auto"/>
                <w:sz w:val="24"/>
                <w:szCs w:val="24"/>
                <w:highlight w:val="none"/>
                <w:lang w:val="en-US" w:eastAsia="zh-CN"/>
              </w:rPr>
              <w:t>，用水由</w:t>
            </w:r>
            <w:r>
              <w:rPr>
                <w:rFonts w:hint="eastAsia" w:ascii="Times New Roman" w:hAnsi="Times New Roman" w:eastAsia="宋体" w:cs="Times New Roman"/>
                <w:color w:val="auto"/>
                <w:sz w:val="24"/>
                <w:szCs w:val="24"/>
                <w:highlight w:val="none"/>
                <w:lang w:val="en-US" w:eastAsia="zh-CN"/>
              </w:rPr>
              <w:t>自来水管网供给</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蒸汽热源由园区集中热源供应，</w:t>
            </w:r>
            <w:r>
              <w:rPr>
                <w:rFonts w:hint="eastAsia" w:ascii="Times New Roman" w:hAnsi="宋体" w:cs="Times New Roman"/>
                <w:color w:val="auto"/>
                <w:sz w:val="24"/>
                <w:szCs w:val="24"/>
              </w:rPr>
              <w:t>整体消耗量相对于区域而言较小，不属于高耗能行业</w:t>
            </w:r>
            <w:r>
              <w:rPr>
                <w:rFonts w:hint="eastAsia" w:ascii="Times New Roman" w:hAnsi="宋体" w:cs="Times New Roman"/>
                <w:color w:val="auto"/>
                <w:sz w:val="24"/>
                <w:szCs w:val="24"/>
                <w:lang w:eastAsia="zh-CN"/>
              </w:rPr>
              <w:t>；</w:t>
            </w:r>
            <w:r>
              <w:rPr>
                <w:rFonts w:hint="default" w:ascii="Times New Roman" w:hAnsi="Times New Roman" w:cs="Times New Roman"/>
                <w:color w:val="auto"/>
                <w:sz w:val="24"/>
                <w:szCs w:val="24"/>
                <w:highlight w:val="none"/>
              </w:rPr>
              <w:t>本项目不会突破当地资源利用</w:t>
            </w:r>
            <w:r>
              <w:rPr>
                <w:rFonts w:hint="eastAsia" w:cs="Times New Roman"/>
                <w:color w:val="auto"/>
                <w:sz w:val="24"/>
                <w:szCs w:val="24"/>
                <w:highlight w:val="none"/>
                <w:lang w:eastAsia="zh-CN"/>
              </w:rPr>
              <w:t>上限</w:t>
            </w:r>
            <w:r>
              <w:rPr>
                <w:rFonts w:hint="default" w:ascii="Times New Roman" w:hAnsi="Times New Roman" w:cs="Times New Roman"/>
                <w:color w:val="auto"/>
                <w:sz w:val="24"/>
                <w:szCs w:val="24"/>
                <w:highlight w:val="none"/>
              </w:rPr>
              <w:t>。</w:t>
            </w:r>
          </w:p>
          <w:p w14:paraId="61F2B5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rPr>
              <w:t>4</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生态</w:t>
            </w:r>
            <w:r>
              <w:rPr>
                <w:rFonts w:hint="default" w:ascii="Times New Roman" w:hAnsi="Times New Roman" w:cs="Times New Roman"/>
                <w:color w:val="auto"/>
                <w:sz w:val="24"/>
                <w:szCs w:val="24"/>
                <w:highlight w:val="none"/>
              </w:rPr>
              <w:t>环境准入清单</w:t>
            </w:r>
          </w:p>
          <w:p w14:paraId="326EEB7D">
            <w:pPr>
              <w:pStyle w:val="30"/>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本项目位于泗水经济开发区泗水县西城工业园区，根据济宁市生态环境委员会办公区《济宁市“三线一单”生态环境分区管控方案》的通知（济政字〔2021〕27号）、《济宁市生态环境委员会办公室关于发布2023年生态环境分区管控动态更新成果的通知》（济环委办</w:t>
            </w:r>
            <w:r>
              <w:rPr>
                <w:rFonts w:hint="default" w:ascii="Times New Roman" w:hAnsi="Times New Roman" w:cs="Times New Roman"/>
                <w:kern w:val="0"/>
                <w:sz w:val="24"/>
                <w:szCs w:val="24"/>
                <w:lang w:val="en-US" w:eastAsia="zh-CN" w:bidi="ar"/>
              </w:rPr>
              <w:t>〔2024〕5号</w:t>
            </w:r>
            <w:r>
              <w:rPr>
                <w:rFonts w:hint="default" w:ascii="Times New Roman" w:hAnsi="Times New Roman" w:eastAsia="宋体" w:cs="Times New Roman"/>
                <w:kern w:val="0"/>
                <w:sz w:val="24"/>
                <w:szCs w:val="24"/>
                <w:lang w:val="en-US" w:eastAsia="zh-CN" w:bidi="ar"/>
              </w:rPr>
              <w:t>），项目所在地属于重点管控单元，环境管控单元编码：ZH37083120002。项目与济宁市泗水经济开发区环境管控单元生态环境准入清单符合性见下表</w:t>
            </w:r>
            <w:r>
              <w:rPr>
                <w:rFonts w:hint="eastAsia" w:ascii="宋体" w:hAnsi="宋体" w:eastAsia="宋体" w:cs="宋体"/>
                <w:kern w:val="0"/>
                <w:sz w:val="24"/>
                <w:szCs w:val="24"/>
                <w:lang w:val="en-US" w:eastAsia="zh-CN" w:bidi="ar"/>
              </w:rPr>
              <w:t>。</w:t>
            </w:r>
          </w:p>
          <w:p w14:paraId="42973838">
            <w:pPr>
              <w:pStyle w:val="108"/>
              <w:widowControl/>
              <w:rPr>
                <w:rFonts w:hint="default" w:ascii="Times New Roman" w:hAnsi="Times New Roman" w:eastAsia="黑体" w:cs="Times New Roman"/>
                <w:kern w:val="2"/>
                <w:sz w:val="24"/>
                <w:szCs w:val="24"/>
              </w:rPr>
            </w:pPr>
            <w:r>
              <w:rPr>
                <w:rFonts w:hint="default" w:ascii="Times New Roman" w:hAnsi="Times New Roman" w:cs="Times New Roman" w:eastAsiaTheme="minorEastAsia"/>
                <w:b/>
                <w:bCs/>
                <w:kern w:val="2"/>
                <w:sz w:val="24"/>
                <w:szCs w:val="24"/>
              </w:rPr>
              <w:t>表1-</w:t>
            </w:r>
            <w:r>
              <w:rPr>
                <w:rFonts w:hint="default" w:ascii="Times New Roman" w:hAnsi="Times New Roman" w:cs="Times New Roman" w:eastAsiaTheme="minorEastAsia"/>
                <w:b/>
                <w:bCs/>
                <w:kern w:val="2"/>
                <w:sz w:val="24"/>
                <w:szCs w:val="24"/>
                <w:lang w:val="en-US" w:eastAsia="zh-CN"/>
              </w:rPr>
              <w:t xml:space="preserve">3 </w:t>
            </w:r>
            <w:r>
              <w:rPr>
                <w:rFonts w:hint="default" w:ascii="Times New Roman" w:hAnsi="Times New Roman" w:cs="Times New Roman" w:eastAsiaTheme="minorEastAsia"/>
                <w:b/>
                <w:bCs/>
                <w:kern w:val="2"/>
                <w:sz w:val="24"/>
                <w:szCs w:val="24"/>
              </w:rPr>
              <w:t xml:space="preserve"> 与《济宁市“三线一单”生态环境分区管控方案》符合性分析</w:t>
            </w:r>
          </w:p>
          <w:tbl>
            <w:tblPr>
              <w:tblStyle w:val="34"/>
              <w:tblW w:w="75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656"/>
              <w:gridCol w:w="3626"/>
              <w:gridCol w:w="2600"/>
              <w:gridCol w:w="696"/>
            </w:tblGrid>
            <w:tr w14:paraId="64C60C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7" w:hRule="atLeast"/>
                <w:jc w:val="center"/>
              </w:trPr>
              <w:tc>
                <w:tcPr>
                  <w:tcW w:w="4414" w:type="dxa"/>
                  <w:gridSpan w:val="2"/>
                  <w:tcBorders>
                    <w:tl2br w:val="nil"/>
                    <w:tr2bl w:val="nil"/>
                  </w:tcBorders>
                  <w:shd w:val="clear" w:color="auto" w:fill="auto"/>
                  <w:vAlign w:val="center"/>
                </w:tcPr>
                <w:p w14:paraId="636C2452">
                  <w:pPr>
                    <w:pStyle w:val="93"/>
                    <w:widowControl/>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rPr>
                    <w:t>具体要求</w:t>
                  </w:r>
                </w:p>
              </w:tc>
              <w:tc>
                <w:tcPr>
                  <w:tcW w:w="2439" w:type="dxa"/>
                  <w:tcBorders>
                    <w:tl2br w:val="nil"/>
                    <w:tr2bl w:val="nil"/>
                  </w:tcBorders>
                  <w:shd w:val="clear" w:color="auto" w:fill="auto"/>
                  <w:vAlign w:val="center"/>
                </w:tcPr>
                <w:p w14:paraId="49070304">
                  <w:pPr>
                    <w:pStyle w:val="93"/>
                    <w:widowControl/>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rPr>
                    <w:t>本规划情况</w:t>
                  </w:r>
                </w:p>
              </w:tc>
              <w:tc>
                <w:tcPr>
                  <w:tcW w:w="725" w:type="dxa"/>
                  <w:tcBorders>
                    <w:tl2br w:val="nil"/>
                    <w:tr2bl w:val="nil"/>
                  </w:tcBorders>
                  <w:shd w:val="clear" w:color="auto" w:fill="auto"/>
                  <w:vAlign w:val="center"/>
                </w:tcPr>
                <w:p w14:paraId="21A13076">
                  <w:pPr>
                    <w:pStyle w:val="93"/>
                    <w:widowControl/>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rPr>
                    <w:t>符合性</w:t>
                  </w:r>
                </w:p>
              </w:tc>
            </w:tr>
            <w:tr w14:paraId="00040D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7" w:hRule="atLeast"/>
                <w:jc w:val="center"/>
              </w:trPr>
              <w:tc>
                <w:tcPr>
                  <w:tcW w:w="7578" w:type="dxa"/>
                  <w:gridSpan w:val="4"/>
                  <w:tcBorders>
                    <w:tl2br w:val="nil"/>
                    <w:tr2bl w:val="nil"/>
                  </w:tcBorders>
                  <w:shd w:val="clear" w:color="auto" w:fill="auto"/>
                  <w:vAlign w:val="center"/>
                </w:tcPr>
                <w:p w14:paraId="14639793">
                  <w:pPr>
                    <w:pStyle w:val="93"/>
                    <w:widowControl/>
                    <w:rPr>
                      <w:rFonts w:hint="default" w:ascii="Times New Roman" w:hAnsi="Times New Roman" w:eastAsia="宋体" w:cs="Times New Roman"/>
                      <w:kern w:val="2"/>
                      <w:sz w:val="21"/>
                      <w:szCs w:val="21"/>
                    </w:rPr>
                  </w:pPr>
                  <w:r>
                    <w:rPr>
                      <w:rFonts w:hint="eastAsia" w:ascii="宋体" w:hAnsi="宋体" w:eastAsia="宋体" w:cs="宋体"/>
                      <w:kern w:val="2"/>
                      <w:sz w:val="21"/>
                      <w:szCs w:val="21"/>
                    </w:rPr>
                    <w:t>环境控制单元编码：</w:t>
                  </w:r>
                  <w:r>
                    <w:rPr>
                      <w:rFonts w:hint="default" w:ascii="Times New Roman" w:hAnsi="Times New Roman" w:eastAsia="宋体" w:cs="Times New Roman"/>
                      <w:kern w:val="2"/>
                      <w:sz w:val="21"/>
                      <w:szCs w:val="21"/>
                    </w:rPr>
                    <w:t>ZH37083120002</w:t>
                  </w:r>
                </w:p>
              </w:tc>
            </w:tr>
            <w:tr w14:paraId="7359A0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7" w:hRule="atLeast"/>
                <w:jc w:val="center"/>
              </w:trPr>
              <w:tc>
                <w:tcPr>
                  <w:tcW w:w="7578" w:type="dxa"/>
                  <w:gridSpan w:val="4"/>
                  <w:tcBorders>
                    <w:tl2br w:val="nil"/>
                    <w:tr2bl w:val="nil"/>
                  </w:tcBorders>
                  <w:shd w:val="clear" w:color="auto" w:fill="auto"/>
                  <w:vAlign w:val="center"/>
                </w:tcPr>
                <w:p w14:paraId="314802C4">
                  <w:pPr>
                    <w:pStyle w:val="93"/>
                    <w:widowControl/>
                    <w:rPr>
                      <w:rFonts w:hint="default" w:ascii="Times New Roman" w:hAnsi="Times New Roman" w:eastAsia="宋体" w:cs="Times New Roman"/>
                      <w:kern w:val="2"/>
                      <w:sz w:val="21"/>
                      <w:szCs w:val="21"/>
                    </w:rPr>
                  </w:pPr>
                  <w:r>
                    <w:rPr>
                      <w:rFonts w:hint="eastAsia" w:ascii="宋体" w:hAnsi="宋体" w:eastAsia="宋体" w:cs="宋体"/>
                      <w:kern w:val="2"/>
                      <w:sz w:val="21"/>
                      <w:szCs w:val="21"/>
                    </w:rPr>
                    <w:t>环境管控单元名称：泗水经济开发区</w:t>
                  </w:r>
                </w:p>
              </w:tc>
            </w:tr>
            <w:tr w14:paraId="3C4345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7" w:hRule="atLeast"/>
                <w:jc w:val="center"/>
              </w:trPr>
              <w:tc>
                <w:tcPr>
                  <w:tcW w:w="7578" w:type="dxa"/>
                  <w:gridSpan w:val="4"/>
                  <w:tcBorders>
                    <w:tl2br w:val="nil"/>
                    <w:tr2bl w:val="nil"/>
                  </w:tcBorders>
                  <w:shd w:val="clear" w:color="auto" w:fill="auto"/>
                  <w:vAlign w:val="center"/>
                </w:tcPr>
                <w:p w14:paraId="5C5B847C">
                  <w:pPr>
                    <w:pStyle w:val="93"/>
                    <w:widowControl/>
                    <w:rPr>
                      <w:rFonts w:hint="default" w:ascii="Times New Roman" w:hAnsi="Times New Roman" w:eastAsia="宋体" w:cs="Times New Roman"/>
                      <w:kern w:val="2"/>
                      <w:sz w:val="21"/>
                      <w:szCs w:val="21"/>
                    </w:rPr>
                  </w:pPr>
                  <w:r>
                    <w:rPr>
                      <w:rFonts w:hint="eastAsia" w:ascii="宋体" w:hAnsi="宋体" w:eastAsia="宋体" w:cs="宋体"/>
                      <w:kern w:val="2"/>
                      <w:sz w:val="21"/>
                      <w:szCs w:val="21"/>
                    </w:rPr>
                    <w:t>环境管控单元分类：重点管控单元</w:t>
                  </w:r>
                </w:p>
              </w:tc>
            </w:tr>
            <w:tr w14:paraId="2DA3D9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7" w:hRule="atLeast"/>
                <w:jc w:val="center"/>
              </w:trPr>
              <w:tc>
                <w:tcPr>
                  <w:tcW w:w="682" w:type="dxa"/>
                  <w:tcBorders>
                    <w:tl2br w:val="nil"/>
                    <w:tr2bl w:val="nil"/>
                  </w:tcBorders>
                  <w:shd w:val="clear" w:color="auto" w:fill="auto"/>
                  <w:vAlign w:val="center"/>
                </w:tcPr>
                <w:p w14:paraId="2AE1E636">
                  <w:pPr>
                    <w:pStyle w:val="93"/>
                    <w:widowControl/>
                    <w:rPr>
                      <w:rFonts w:hint="default" w:ascii="Times New Roman" w:hAnsi="Times New Roman" w:eastAsia="宋体" w:cs="Times New Roman"/>
                      <w:kern w:val="2"/>
                      <w:sz w:val="21"/>
                      <w:szCs w:val="21"/>
                    </w:rPr>
                  </w:pPr>
                  <w:r>
                    <w:rPr>
                      <w:rFonts w:hint="eastAsia" w:ascii="宋体" w:hAnsi="宋体" w:eastAsia="宋体" w:cs="宋体"/>
                      <w:kern w:val="2"/>
                      <w:sz w:val="21"/>
                      <w:szCs w:val="21"/>
                    </w:rPr>
                    <w:t>空间布局约束</w:t>
                  </w:r>
                </w:p>
              </w:tc>
              <w:tc>
                <w:tcPr>
                  <w:tcW w:w="3732" w:type="dxa"/>
                  <w:tcBorders>
                    <w:tl2br w:val="nil"/>
                    <w:tr2bl w:val="nil"/>
                  </w:tcBorders>
                  <w:shd w:val="clear" w:color="auto" w:fill="auto"/>
                  <w:vAlign w:val="center"/>
                </w:tcPr>
                <w:p w14:paraId="2A43B311">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r>
                    <w:rPr>
                      <w:rFonts w:hint="eastAsia" w:ascii="宋体" w:hAnsi="宋体" w:eastAsia="宋体" w:cs="宋体"/>
                      <w:kern w:val="2"/>
                      <w:sz w:val="21"/>
                      <w:szCs w:val="21"/>
                    </w:rPr>
                    <w:t xml:space="preserve">、严格环境准入，严格实行建设项目环评“一票否决制”，凡不符合环保法律法规和产业政策，不符合生态功能区划要求，达不到排放标准和总量控制目标的项目，不得批准立项，不得批准用地，不得办理营业执照，不得供电。 </w:t>
                  </w:r>
                </w:p>
                <w:p w14:paraId="7665761F">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r>
                    <w:rPr>
                      <w:rFonts w:hint="eastAsia" w:ascii="宋体" w:hAnsi="宋体" w:eastAsia="宋体" w:cs="宋体"/>
                      <w:kern w:val="2"/>
                      <w:sz w:val="21"/>
                      <w:szCs w:val="21"/>
                    </w:rPr>
                    <w:t>、不宜引入水耗大、污染重，尤其不宜引入含重金属等持久性水污染物的项目。优先引进废水零排放或排放</w:t>
                  </w:r>
                  <w:r>
                    <w:rPr>
                      <w:rFonts w:hint="eastAsia" w:ascii="宋体" w:hAnsi="宋体" w:cs="宋体"/>
                      <w:kern w:val="2"/>
                      <w:sz w:val="21"/>
                      <w:szCs w:val="21"/>
                      <w:lang w:eastAsia="zh-CN"/>
                    </w:rPr>
                    <w:t>量</w:t>
                  </w:r>
                  <w:r>
                    <w:rPr>
                      <w:rFonts w:hint="eastAsia" w:ascii="宋体" w:hAnsi="宋体" w:eastAsia="宋体" w:cs="宋体"/>
                      <w:kern w:val="2"/>
                      <w:sz w:val="21"/>
                      <w:szCs w:val="21"/>
                    </w:rPr>
                    <w:t xml:space="preserve">少的项目，其次，引进污染较轻且易处理的排水项目，严格控制排放量大、污染严重的项目。 </w:t>
                  </w:r>
                </w:p>
                <w:p w14:paraId="62D709BE">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r>
                    <w:rPr>
                      <w:rFonts w:hint="eastAsia" w:ascii="宋体" w:hAnsi="宋体" w:eastAsia="宋体" w:cs="宋体"/>
                      <w:kern w:val="2"/>
                      <w:sz w:val="21"/>
                      <w:szCs w:val="21"/>
                    </w:rPr>
                    <w:t xml:space="preserve">、坚决淘汰污染严重的不符合国家产业政策的工艺和设备，对新、改、扩建设项目要严格执行环境影响评价制度和“三同时”制度，保证“三同时”验收合格并稳定达标排放，杜绝超标排放工业污染源产生；尽量避免引进以煤、重油为燃料的建设项目。 </w:t>
                  </w:r>
                </w:p>
                <w:p w14:paraId="0BA05D28">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r>
                    <w:rPr>
                      <w:rFonts w:hint="eastAsia" w:ascii="宋体" w:hAnsi="宋体" w:eastAsia="宋体" w:cs="宋体"/>
                      <w:kern w:val="2"/>
                      <w:sz w:val="21"/>
                      <w:szCs w:val="21"/>
                    </w:rPr>
                    <w:t>、禁止新建、改建、扩建严重污染大气环境的项目。新引入粉尘和气态污染物排放企业，应强化大气污染治理，各项大气污染物指标应同时满足国家和山东省规定的大气污染物排放和控制标准。</w:t>
                  </w:r>
                </w:p>
              </w:tc>
              <w:tc>
                <w:tcPr>
                  <w:tcW w:w="2439" w:type="dxa"/>
                  <w:tcBorders>
                    <w:tl2br w:val="nil"/>
                    <w:tr2bl w:val="nil"/>
                  </w:tcBorders>
                  <w:shd w:val="clear" w:color="auto" w:fill="auto"/>
                  <w:vAlign w:val="center"/>
                </w:tcPr>
                <w:p w14:paraId="1C07290D">
                  <w:pPr>
                    <w:pStyle w:val="93"/>
                    <w:widowControl/>
                    <w:jc w:val="left"/>
                    <w:rPr>
                      <w:rFonts w:hint="eastAsia" w:ascii="Times New Roman" w:hAnsi="Times New Roman" w:eastAsia="宋体" w:cs="宋体"/>
                      <w:kern w:val="2"/>
                      <w:sz w:val="21"/>
                      <w:szCs w:val="21"/>
                    </w:rPr>
                  </w:pPr>
                  <w:r>
                    <w:rPr>
                      <w:rFonts w:hint="default" w:ascii="Times New Roman" w:hAnsi="Times New Roman" w:eastAsia="宋体" w:cs="Times New Roman"/>
                      <w:kern w:val="2"/>
                      <w:sz w:val="21"/>
                      <w:szCs w:val="21"/>
                    </w:rPr>
                    <w:t>1</w:t>
                  </w:r>
                  <w:r>
                    <w:rPr>
                      <w:rFonts w:hint="eastAsia" w:ascii="宋体" w:hAnsi="宋体" w:eastAsia="宋体" w:cs="宋体"/>
                      <w:kern w:val="2"/>
                      <w:sz w:val="21"/>
                      <w:szCs w:val="21"/>
                    </w:rPr>
                    <w:t>、项目已取得山东省建设项目备案证明，备案号：</w:t>
                  </w:r>
                  <w:r>
                    <w:rPr>
                      <w:rFonts w:hint="eastAsia" w:cs="Times New Roman"/>
                      <w:kern w:val="2"/>
                      <w:sz w:val="21"/>
                      <w:szCs w:val="21"/>
                      <w:lang w:eastAsia="zh-CN"/>
                    </w:rPr>
                    <w:t>2509-370831-04-01-994788</w:t>
                  </w:r>
                  <w:r>
                    <w:rPr>
                      <w:rFonts w:hint="eastAsia" w:ascii="宋体" w:hAnsi="宋体" w:eastAsia="宋体" w:cs="宋体"/>
                      <w:kern w:val="2"/>
                      <w:sz w:val="21"/>
                      <w:szCs w:val="21"/>
                    </w:rPr>
                    <w:t>。</w:t>
                  </w:r>
                </w:p>
                <w:p w14:paraId="45F94B0D">
                  <w:pPr>
                    <w:pStyle w:val="93"/>
                    <w:widowControl/>
                    <w:jc w:val="left"/>
                    <w:rPr>
                      <w:rFonts w:hint="default" w:ascii="Times New Roman" w:hAnsi="Times New Roman" w:eastAsia="宋体" w:cs="Times New Roman"/>
                      <w:kern w:val="2"/>
                      <w:sz w:val="21"/>
                      <w:szCs w:val="21"/>
                      <w:highlight w:val="none"/>
                      <w:lang w:val="en-US" w:eastAsia="zh-CN"/>
                    </w:rPr>
                  </w:pPr>
                  <w:r>
                    <w:rPr>
                      <w:rFonts w:hint="default" w:ascii="Times New Roman" w:hAnsi="Times New Roman" w:eastAsia="宋体" w:cs="Times New Roman"/>
                      <w:kern w:val="2"/>
                      <w:sz w:val="21"/>
                      <w:szCs w:val="21"/>
                      <w:highlight w:val="none"/>
                    </w:rPr>
                    <w:t>2</w:t>
                  </w:r>
                  <w:r>
                    <w:rPr>
                      <w:rFonts w:hint="eastAsia" w:ascii="宋体" w:hAnsi="宋体" w:eastAsia="宋体" w:cs="宋体"/>
                      <w:kern w:val="2"/>
                      <w:sz w:val="21"/>
                      <w:szCs w:val="21"/>
                      <w:highlight w:val="none"/>
                    </w:rPr>
                    <w:t>、</w:t>
                  </w:r>
                  <w:r>
                    <w:rPr>
                      <w:rFonts w:hint="eastAsia" w:ascii="宋体" w:hAnsi="宋体" w:cs="宋体"/>
                      <w:kern w:val="2"/>
                      <w:sz w:val="21"/>
                      <w:szCs w:val="21"/>
                      <w:highlight w:val="none"/>
                      <w:lang w:val="en-US" w:eastAsia="zh-CN"/>
                    </w:rPr>
                    <w:t>本项目用水量较小，设备清洗废水经企业污水处理站处理后与生活污水通过市政污水管网送泗水国祯水务有限公司深度处理。</w:t>
                  </w:r>
                </w:p>
                <w:p w14:paraId="07CD88FB">
                  <w:pPr>
                    <w:pStyle w:val="93"/>
                    <w:widowControl/>
                    <w:jc w:val="left"/>
                    <w:rPr>
                      <w:rFonts w:hint="eastAsia" w:ascii="Times New Roman" w:hAnsi="Times New Roman" w:eastAsia="宋体" w:cs="宋体"/>
                      <w:kern w:val="2"/>
                      <w:sz w:val="21"/>
                      <w:szCs w:val="21"/>
                    </w:rPr>
                  </w:pPr>
                  <w:r>
                    <w:rPr>
                      <w:rFonts w:hint="default" w:ascii="Times New Roman" w:hAnsi="Times New Roman" w:eastAsia="宋体" w:cs="Times New Roman"/>
                      <w:kern w:val="2"/>
                      <w:sz w:val="21"/>
                      <w:szCs w:val="21"/>
                    </w:rPr>
                    <w:t>3</w:t>
                  </w:r>
                  <w:r>
                    <w:rPr>
                      <w:rFonts w:hint="eastAsia" w:ascii="宋体" w:hAnsi="宋体" w:eastAsia="宋体" w:cs="宋体"/>
                      <w:kern w:val="2"/>
                      <w:sz w:val="21"/>
                      <w:szCs w:val="21"/>
                    </w:rPr>
                    <w:t>、本次项目符合国家产业政策。</w:t>
                  </w:r>
                </w:p>
                <w:p w14:paraId="4016A9C3">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r>
                    <w:rPr>
                      <w:rFonts w:hint="eastAsia" w:ascii="宋体" w:hAnsi="宋体" w:eastAsia="宋体" w:cs="宋体"/>
                      <w:kern w:val="2"/>
                      <w:sz w:val="21"/>
                      <w:szCs w:val="21"/>
                    </w:rPr>
                    <w:t>、本次项目工艺废气经处理后达标排放。</w:t>
                  </w:r>
                </w:p>
              </w:tc>
              <w:tc>
                <w:tcPr>
                  <w:tcW w:w="725" w:type="dxa"/>
                  <w:tcBorders>
                    <w:tl2br w:val="nil"/>
                    <w:tr2bl w:val="nil"/>
                  </w:tcBorders>
                  <w:shd w:val="clear" w:color="auto" w:fill="auto"/>
                  <w:vAlign w:val="center"/>
                </w:tcPr>
                <w:p w14:paraId="564FA86C">
                  <w:pPr>
                    <w:pStyle w:val="93"/>
                    <w:widowControl/>
                    <w:rPr>
                      <w:rFonts w:hint="default" w:ascii="Times New Roman" w:hAnsi="Times New Roman" w:eastAsia="宋体" w:cs="Times New Roman"/>
                      <w:kern w:val="2"/>
                      <w:sz w:val="21"/>
                      <w:szCs w:val="21"/>
                    </w:rPr>
                  </w:pPr>
                  <w:r>
                    <w:rPr>
                      <w:rFonts w:hint="eastAsia" w:ascii="宋体" w:hAnsi="宋体" w:eastAsia="宋体" w:cs="宋体"/>
                      <w:kern w:val="2"/>
                      <w:sz w:val="21"/>
                      <w:szCs w:val="21"/>
                    </w:rPr>
                    <w:t>符合</w:t>
                  </w:r>
                </w:p>
              </w:tc>
            </w:tr>
            <w:tr w14:paraId="494839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7" w:hRule="atLeast"/>
                <w:jc w:val="center"/>
              </w:trPr>
              <w:tc>
                <w:tcPr>
                  <w:tcW w:w="682" w:type="dxa"/>
                  <w:tcBorders>
                    <w:tl2br w:val="nil"/>
                    <w:tr2bl w:val="nil"/>
                  </w:tcBorders>
                  <w:shd w:val="clear" w:color="auto" w:fill="auto"/>
                  <w:vAlign w:val="center"/>
                </w:tcPr>
                <w:p w14:paraId="70972C40">
                  <w:pPr>
                    <w:pStyle w:val="93"/>
                    <w:widowControl/>
                    <w:jc w:val="both"/>
                    <w:rPr>
                      <w:rFonts w:hint="default" w:ascii="Times New Roman" w:hAnsi="Times New Roman" w:eastAsia="宋体" w:cs="Times New Roman"/>
                      <w:kern w:val="2"/>
                      <w:sz w:val="21"/>
                      <w:szCs w:val="21"/>
                    </w:rPr>
                  </w:pPr>
                  <w:r>
                    <w:rPr>
                      <w:rFonts w:hint="eastAsia" w:ascii="宋体" w:hAnsi="宋体" w:eastAsia="宋体" w:cs="宋体"/>
                      <w:kern w:val="2"/>
                      <w:sz w:val="21"/>
                      <w:szCs w:val="21"/>
                    </w:rPr>
                    <w:t>污染物排放管控</w:t>
                  </w:r>
                </w:p>
              </w:tc>
              <w:tc>
                <w:tcPr>
                  <w:tcW w:w="3732" w:type="dxa"/>
                  <w:tcBorders>
                    <w:tl2br w:val="nil"/>
                    <w:tr2bl w:val="nil"/>
                  </w:tcBorders>
                  <w:shd w:val="clear" w:color="auto" w:fill="auto"/>
                  <w:vAlign w:val="center"/>
                </w:tcPr>
                <w:p w14:paraId="7F2A2DBA">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r>
                    <w:rPr>
                      <w:rFonts w:hint="eastAsia" w:ascii="宋体" w:hAnsi="宋体" w:eastAsia="宋体" w:cs="宋体"/>
                      <w:kern w:val="2"/>
                      <w:sz w:val="21"/>
                      <w:szCs w:val="21"/>
                    </w:rPr>
                    <w:t xml:space="preserve">、对于现有使用重金属的过程中采用更为有效的工艺流程和先进的工艺设备，实行科学的生产和运行管理，减少重金属的耗用量和废水的流失量。 </w:t>
                  </w:r>
                </w:p>
                <w:p w14:paraId="01815FD1">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r>
                    <w:rPr>
                      <w:rFonts w:hint="eastAsia" w:ascii="宋体" w:hAnsi="宋体" w:eastAsia="宋体" w:cs="宋体"/>
                      <w:kern w:val="2"/>
                      <w:sz w:val="21"/>
                      <w:szCs w:val="21"/>
                    </w:rPr>
                    <w:t xml:space="preserve">、严格实施清污分流，污水排放口应按要求设置，对重点行业污染源安装在线监控系统，对污染源实行在线监管，加强对重点污染源的现场监管，实现工业污染源全面达标。 </w:t>
                  </w:r>
                </w:p>
                <w:p w14:paraId="463221CE">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r>
                    <w:rPr>
                      <w:rFonts w:hint="eastAsia" w:ascii="宋体" w:hAnsi="宋体" w:eastAsia="宋体" w:cs="宋体"/>
                      <w:kern w:val="2"/>
                      <w:sz w:val="21"/>
                      <w:szCs w:val="21"/>
                    </w:rPr>
                    <w:t>、各接管企业工业废水必须处理达到污水处理厂接管标准后方可接入工业废水管网，接管标准参照《污水排入城镇下水道水质标准》（</w:t>
                  </w:r>
                  <w:r>
                    <w:rPr>
                      <w:rFonts w:hint="default" w:ascii="Times New Roman" w:hAnsi="Times New Roman" w:eastAsia="宋体" w:cs="Times New Roman"/>
                      <w:kern w:val="2"/>
                      <w:sz w:val="21"/>
                      <w:szCs w:val="21"/>
                    </w:rPr>
                    <w:t>GB/T31962-2015</w:t>
                  </w:r>
                  <w:r>
                    <w:rPr>
                      <w:rFonts w:hint="eastAsia" w:ascii="宋体" w:hAnsi="宋体" w:eastAsia="宋体" w:cs="宋体"/>
                      <w:kern w:val="2"/>
                      <w:sz w:val="21"/>
                      <w:szCs w:val="21"/>
                    </w:rPr>
                    <w:t xml:space="preserve">）标准，有行业标准的，要达到相关行业标准中的间接排放标准。 </w:t>
                  </w:r>
                </w:p>
                <w:p w14:paraId="19E93004">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r>
                    <w:rPr>
                      <w:rFonts w:hint="eastAsia" w:ascii="宋体" w:hAnsi="宋体" w:eastAsia="宋体" w:cs="宋体"/>
                      <w:kern w:val="2"/>
                      <w:sz w:val="21"/>
                      <w:szCs w:val="21"/>
                    </w:rPr>
                    <w:t xml:space="preserve">、加强工业企业无组织排放管理，综合整治扬尘污染。集中治理工业聚集区水污染，完成污水集中处理设施和自动在线监控装置建设任务。严格执行环境保护法律法规，对超过大气和水等污染物排放标准排污、违反固体废物管理法律法规，以及超过重点污染物总量控制指标排污的企业，责令采取限制生产、停产整治等措施；情节严重的，责令停业、关闭。 </w:t>
                  </w:r>
                </w:p>
                <w:p w14:paraId="620770EA">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w:t>
                  </w:r>
                  <w:r>
                    <w:rPr>
                      <w:rFonts w:hint="eastAsia" w:ascii="宋体" w:hAnsi="宋体" w:eastAsia="宋体" w:cs="宋体"/>
                      <w:kern w:val="2"/>
                      <w:sz w:val="21"/>
                      <w:szCs w:val="21"/>
                    </w:rPr>
                    <w:t>、严格执行国家环境保护</w:t>
                  </w:r>
                  <w:r>
                    <w:rPr>
                      <w:rFonts w:hint="default" w:ascii="Times New Roman" w:hAnsi="Times New Roman" w:eastAsia="宋体" w:cs="Times New Roman"/>
                      <w:kern w:val="2"/>
                      <w:sz w:val="21"/>
                      <w:szCs w:val="21"/>
                    </w:rPr>
                    <w:t>“</w:t>
                  </w:r>
                  <w:r>
                    <w:rPr>
                      <w:rFonts w:hint="eastAsia" w:ascii="宋体" w:hAnsi="宋体" w:eastAsia="宋体" w:cs="宋体"/>
                      <w:kern w:val="2"/>
                      <w:sz w:val="21"/>
                      <w:szCs w:val="21"/>
                    </w:rPr>
                    <w:t>三同时</w:t>
                  </w:r>
                  <w:r>
                    <w:rPr>
                      <w:rFonts w:hint="default" w:ascii="Times New Roman" w:hAnsi="Times New Roman" w:eastAsia="宋体" w:cs="Times New Roman"/>
                      <w:kern w:val="2"/>
                      <w:sz w:val="21"/>
                      <w:szCs w:val="21"/>
                    </w:rPr>
                    <w:t>”</w:t>
                  </w:r>
                  <w:r>
                    <w:rPr>
                      <w:rFonts w:hint="eastAsia" w:ascii="宋体" w:hAnsi="宋体" w:eastAsia="宋体" w:cs="宋体"/>
                      <w:kern w:val="2"/>
                      <w:sz w:val="21"/>
                      <w:szCs w:val="21"/>
                    </w:rPr>
                    <w:t>制度和排污许可证制度，并对入园企业执行工程排污总量控制，确保园区污染物排放总量不超过总量控制指标。</w:t>
                  </w:r>
                </w:p>
              </w:tc>
              <w:tc>
                <w:tcPr>
                  <w:tcW w:w="2439" w:type="dxa"/>
                  <w:tcBorders>
                    <w:tl2br w:val="nil"/>
                    <w:tr2bl w:val="nil"/>
                  </w:tcBorders>
                  <w:shd w:val="clear" w:color="auto" w:fill="auto"/>
                  <w:vAlign w:val="center"/>
                </w:tcPr>
                <w:p w14:paraId="6954EB04">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r>
                    <w:rPr>
                      <w:rFonts w:hint="eastAsia" w:ascii="宋体" w:hAnsi="宋体" w:eastAsia="宋体" w:cs="宋体"/>
                      <w:kern w:val="2"/>
                      <w:sz w:val="21"/>
                      <w:szCs w:val="21"/>
                    </w:rPr>
                    <w:t>、本项目原料不含有重金属。</w:t>
                  </w:r>
                </w:p>
                <w:p w14:paraId="1210BFB1">
                  <w:pPr>
                    <w:pStyle w:val="93"/>
                    <w:widowControl/>
                    <w:jc w:val="left"/>
                    <w:rPr>
                      <w:rFonts w:hint="eastAsia" w:ascii="Times New Roman" w:hAnsi="Times New Roman" w:eastAsia="宋体" w:cs="宋体"/>
                      <w:kern w:val="2"/>
                      <w:sz w:val="21"/>
                      <w:szCs w:val="21"/>
                    </w:rPr>
                  </w:pPr>
                  <w:r>
                    <w:rPr>
                      <w:rFonts w:hint="default" w:ascii="Times New Roman" w:hAnsi="Times New Roman" w:eastAsia="宋体" w:cs="Times New Roman"/>
                      <w:kern w:val="2"/>
                      <w:sz w:val="21"/>
                      <w:szCs w:val="21"/>
                    </w:rPr>
                    <w:t>2</w:t>
                  </w:r>
                  <w:r>
                    <w:rPr>
                      <w:rFonts w:hint="eastAsia" w:ascii="宋体" w:hAnsi="宋体" w:eastAsia="宋体" w:cs="宋体"/>
                      <w:kern w:val="2"/>
                      <w:sz w:val="21"/>
                      <w:szCs w:val="21"/>
                    </w:rPr>
                    <w:t>、本项目工艺废气经处理后达标排放。</w:t>
                  </w:r>
                </w:p>
                <w:p w14:paraId="34D7D4F0">
                  <w:pPr>
                    <w:pStyle w:val="93"/>
                    <w:widowControl/>
                    <w:jc w:val="left"/>
                    <w:rPr>
                      <w:rFonts w:hint="eastAsia" w:ascii="Times New Roman" w:hAnsi="Times New Roman" w:eastAsia="宋体" w:cs="宋体"/>
                      <w:kern w:val="2"/>
                      <w:sz w:val="21"/>
                      <w:szCs w:val="21"/>
                    </w:rPr>
                  </w:pPr>
                  <w:r>
                    <w:rPr>
                      <w:rFonts w:hint="default" w:ascii="Times New Roman" w:hAnsi="Times New Roman" w:eastAsia="宋体" w:cs="Times New Roman"/>
                      <w:kern w:val="2"/>
                      <w:sz w:val="21"/>
                      <w:szCs w:val="21"/>
                    </w:rPr>
                    <w:t>3</w:t>
                  </w:r>
                  <w:r>
                    <w:rPr>
                      <w:rFonts w:hint="eastAsia" w:ascii="宋体" w:hAnsi="宋体" w:eastAsia="宋体" w:cs="宋体"/>
                      <w:kern w:val="2"/>
                      <w:sz w:val="21"/>
                      <w:szCs w:val="21"/>
                    </w:rPr>
                    <w:t>、</w:t>
                  </w:r>
                  <w:r>
                    <w:rPr>
                      <w:rFonts w:hint="eastAsia" w:ascii="宋体" w:hAnsi="宋体" w:cs="宋体"/>
                      <w:kern w:val="2"/>
                      <w:sz w:val="21"/>
                      <w:szCs w:val="21"/>
                      <w:lang w:eastAsia="zh-CN"/>
                    </w:rPr>
                    <w:t>本项目设备清洗废水经企业污水处理站处理后与生活污水通过市政污水管网送泗水国祯水务有限公司深度处理</w:t>
                  </w:r>
                  <w:r>
                    <w:rPr>
                      <w:rFonts w:hint="eastAsia" w:ascii="宋体" w:hAnsi="宋体" w:eastAsia="宋体" w:cs="宋体"/>
                      <w:kern w:val="2"/>
                      <w:sz w:val="21"/>
                      <w:szCs w:val="21"/>
                    </w:rPr>
                    <w:t>。</w:t>
                  </w:r>
                </w:p>
                <w:p w14:paraId="31ACB513">
                  <w:pPr>
                    <w:pStyle w:val="93"/>
                    <w:widowControl/>
                    <w:jc w:val="left"/>
                    <w:rPr>
                      <w:rFonts w:hint="eastAsia" w:ascii="Times New Roman" w:hAnsi="Times New Roman" w:eastAsia="宋体" w:cs="宋体"/>
                      <w:kern w:val="2"/>
                      <w:sz w:val="21"/>
                      <w:szCs w:val="21"/>
                    </w:rPr>
                  </w:pPr>
                  <w:r>
                    <w:rPr>
                      <w:rFonts w:hint="default" w:ascii="Times New Roman" w:hAnsi="Times New Roman" w:eastAsia="宋体" w:cs="Times New Roman"/>
                      <w:kern w:val="2"/>
                      <w:sz w:val="21"/>
                      <w:szCs w:val="21"/>
                    </w:rPr>
                    <w:t>4</w:t>
                  </w:r>
                  <w:r>
                    <w:rPr>
                      <w:rFonts w:hint="eastAsia" w:ascii="宋体" w:hAnsi="宋体" w:eastAsia="宋体" w:cs="宋体"/>
                      <w:kern w:val="2"/>
                      <w:sz w:val="21"/>
                      <w:szCs w:val="21"/>
                    </w:rPr>
                    <w:t>、企业在加强污水处理站产臭单元管理等措施下，可进一步减少无组织废气排放；企业将严格执行环保法律法规，污染物排放将严格执行总量控制指标。</w:t>
                  </w:r>
                </w:p>
                <w:p w14:paraId="6900A4F6">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w:t>
                  </w:r>
                  <w:r>
                    <w:rPr>
                      <w:rFonts w:hint="eastAsia" w:ascii="宋体" w:hAnsi="宋体" w:eastAsia="宋体" w:cs="宋体"/>
                      <w:kern w:val="2"/>
                      <w:sz w:val="21"/>
                      <w:szCs w:val="21"/>
                    </w:rPr>
                    <w:t>、企业将严格执行“三同时”制度、排污许可制度，污染物排放严格执行总量控制指标。</w:t>
                  </w:r>
                </w:p>
              </w:tc>
              <w:tc>
                <w:tcPr>
                  <w:tcW w:w="725" w:type="dxa"/>
                  <w:tcBorders>
                    <w:tl2br w:val="nil"/>
                    <w:tr2bl w:val="nil"/>
                  </w:tcBorders>
                  <w:shd w:val="clear" w:color="auto" w:fill="auto"/>
                  <w:vAlign w:val="center"/>
                </w:tcPr>
                <w:p w14:paraId="08D14F4D">
                  <w:pPr>
                    <w:pStyle w:val="93"/>
                    <w:widowControl/>
                    <w:rPr>
                      <w:rFonts w:hint="default" w:ascii="Times New Roman" w:hAnsi="Times New Roman" w:eastAsia="宋体" w:cs="Times New Roman"/>
                      <w:kern w:val="2"/>
                      <w:sz w:val="21"/>
                      <w:szCs w:val="21"/>
                    </w:rPr>
                  </w:pPr>
                  <w:r>
                    <w:rPr>
                      <w:rFonts w:hint="eastAsia" w:ascii="宋体" w:hAnsi="宋体" w:eastAsia="宋体" w:cs="宋体"/>
                      <w:kern w:val="2"/>
                      <w:sz w:val="21"/>
                      <w:szCs w:val="21"/>
                    </w:rPr>
                    <w:t>符合</w:t>
                  </w:r>
                </w:p>
              </w:tc>
            </w:tr>
            <w:tr w14:paraId="09B1AD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7" w:hRule="atLeast"/>
                <w:jc w:val="center"/>
              </w:trPr>
              <w:tc>
                <w:tcPr>
                  <w:tcW w:w="682" w:type="dxa"/>
                  <w:tcBorders>
                    <w:tl2br w:val="nil"/>
                    <w:tr2bl w:val="nil"/>
                  </w:tcBorders>
                  <w:shd w:val="clear" w:color="auto" w:fill="auto"/>
                  <w:vAlign w:val="center"/>
                </w:tcPr>
                <w:p w14:paraId="001C2F65">
                  <w:pPr>
                    <w:pStyle w:val="93"/>
                    <w:widowControl/>
                    <w:rPr>
                      <w:rFonts w:hint="default" w:ascii="Times New Roman" w:hAnsi="Times New Roman" w:eastAsia="宋体" w:cs="Times New Roman"/>
                      <w:kern w:val="2"/>
                      <w:sz w:val="21"/>
                      <w:szCs w:val="21"/>
                    </w:rPr>
                  </w:pPr>
                  <w:r>
                    <w:rPr>
                      <w:rFonts w:hint="eastAsia" w:ascii="宋体" w:hAnsi="宋体" w:eastAsia="宋体" w:cs="宋体"/>
                      <w:kern w:val="2"/>
                      <w:sz w:val="21"/>
                      <w:szCs w:val="21"/>
                    </w:rPr>
                    <w:t>环境风险防控</w:t>
                  </w:r>
                </w:p>
              </w:tc>
              <w:tc>
                <w:tcPr>
                  <w:tcW w:w="3732" w:type="dxa"/>
                  <w:tcBorders>
                    <w:tl2br w:val="nil"/>
                    <w:tr2bl w:val="nil"/>
                  </w:tcBorders>
                  <w:shd w:val="clear" w:color="auto" w:fill="auto"/>
                  <w:vAlign w:val="center"/>
                </w:tcPr>
                <w:p w14:paraId="2AA749D7">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r>
                    <w:rPr>
                      <w:rFonts w:hint="eastAsia" w:ascii="宋体" w:hAnsi="宋体" w:eastAsia="宋体" w:cs="宋体"/>
                      <w:kern w:val="2"/>
                      <w:sz w:val="21"/>
                      <w:szCs w:val="21"/>
                    </w:rPr>
                    <w:t>、所有入区的工业企业建立环境风险应急预案和事故防范、减缓措施，特别是使用或生产危险性较大的物料的企业，提出</w:t>
                  </w:r>
                  <w:r>
                    <w:rPr>
                      <w:rFonts w:hint="eastAsia" w:ascii="宋体" w:hAnsi="宋体" w:cs="宋体"/>
                      <w:kern w:val="2"/>
                      <w:sz w:val="21"/>
                      <w:szCs w:val="21"/>
                      <w:lang w:eastAsia="zh-CN"/>
                    </w:rPr>
                    <w:t>行之有效地</w:t>
                  </w:r>
                  <w:r>
                    <w:rPr>
                      <w:rFonts w:hint="eastAsia" w:ascii="宋体" w:hAnsi="宋体" w:eastAsia="宋体" w:cs="宋体"/>
                      <w:kern w:val="2"/>
                      <w:sz w:val="21"/>
                      <w:szCs w:val="21"/>
                    </w:rPr>
                    <w:t xml:space="preserve">杜绝环境污染事故发生的防范与抢险措施。 </w:t>
                  </w:r>
                </w:p>
                <w:p w14:paraId="5B35BF3A">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r>
                    <w:rPr>
                      <w:rFonts w:hint="eastAsia" w:ascii="宋体" w:hAnsi="宋体" w:eastAsia="宋体" w:cs="宋体"/>
                      <w:kern w:val="2"/>
                      <w:sz w:val="21"/>
                      <w:szCs w:val="21"/>
                    </w:rPr>
                    <w:t xml:space="preserve">、为预防和控制风险事故对环境造成的影响，园区及重大危险源企业制定突发环境事件应急预案，区内已建成独立的污水、雨水收集管网，依据具体情况，制定预防泄漏物料和消防液进入外环境的防范措施。 </w:t>
                  </w:r>
                </w:p>
                <w:p w14:paraId="3AA12E9B">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r>
                    <w:rPr>
                      <w:rFonts w:hint="eastAsia" w:ascii="宋体" w:hAnsi="宋体" w:eastAsia="宋体" w:cs="宋体"/>
                      <w:kern w:val="2"/>
                      <w:sz w:val="21"/>
                      <w:szCs w:val="21"/>
                    </w:rPr>
                    <w:t>、当预测到区域将出现重污染天气时，根据预警发布，按级别启动应急响应，落实各项应急减排措施。</w:t>
                  </w:r>
                </w:p>
              </w:tc>
              <w:tc>
                <w:tcPr>
                  <w:tcW w:w="2439" w:type="dxa"/>
                  <w:tcBorders>
                    <w:tl2br w:val="nil"/>
                    <w:tr2bl w:val="nil"/>
                  </w:tcBorders>
                  <w:shd w:val="clear" w:color="auto" w:fill="auto"/>
                  <w:vAlign w:val="center"/>
                </w:tcPr>
                <w:p w14:paraId="7611BE70">
                  <w:pPr>
                    <w:pStyle w:val="93"/>
                    <w:widowControl/>
                    <w:jc w:val="left"/>
                    <w:rPr>
                      <w:rFonts w:hint="eastAsia" w:ascii="Times New Roman" w:hAnsi="Times New Roman" w:eastAsia="宋体" w:cs="宋体"/>
                      <w:kern w:val="2"/>
                      <w:sz w:val="21"/>
                      <w:szCs w:val="21"/>
                    </w:rPr>
                  </w:pPr>
                  <w:r>
                    <w:rPr>
                      <w:rFonts w:hint="default" w:ascii="Times New Roman" w:hAnsi="Times New Roman" w:eastAsia="宋体" w:cs="Times New Roman"/>
                      <w:kern w:val="2"/>
                      <w:sz w:val="21"/>
                      <w:szCs w:val="21"/>
                    </w:rPr>
                    <w:t>1</w:t>
                  </w:r>
                  <w:r>
                    <w:rPr>
                      <w:rFonts w:hint="eastAsia" w:ascii="宋体" w:hAnsi="宋体" w:eastAsia="宋体" w:cs="宋体"/>
                      <w:kern w:val="2"/>
                      <w:sz w:val="21"/>
                      <w:szCs w:val="21"/>
                    </w:rPr>
                    <w:t>、企业建立环境风险应急预案和事故防范、减缓措施；</w:t>
                  </w:r>
                </w:p>
                <w:p w14:paraId="3BF8D653">
                  <w:pPr>
                    <w:pStyle w:val="93"/>
                    <w:widowControl/>
                    <w:jc w:val="left"/>
                    <w:rPr>
                      <w:rFonts w:hint="eastAsia" w:ascii="Times New Roman" w:hAnsi="Times New Roman" w:eastAsia="宋体" w:cs="宋体"/>
                      <w:kern w:val="2"/>
                      <w:sz w:val="21"/>
                      <w:szCs w:val="21"/>
                    </w:rPr>
                  </w:pPr>
                  <w:r>
                    <w:rPr>
                      <w:rFonts w:hint="default" w:ascii="Times New Roman" w:hAnsi="Times New Roman" w:eastAsia="宋体" w:cs="Times New Roman"/>
                      <w:kern w:val="2"/>
                      <w:sz w:val="21"/>
                      <w:szCs w:val="21"/>
                    </w:rPr>
                    <w:t>2</w:t>
                  </w:r>
                  <w:r>
                    <w:rPr>
                      <w:rFonts w:hint="eastAsia" w:ascii="宋体" w:hAnsi="宋体" w:eastAsia="宋体" w:cs="宋体"/>
                      <w:kern w:val="2"/>
                      <w:sz w:val="21"/>
                      <w:szCs w:val="21"/>
                    </w:rPr>
                    <w:t>、企业拟设置重污染天气应急预案；</w:t>
                  </w:r>
                </w:p>
                <w:p w14:paraId="48095B4F">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r>
                    <w:rPr>
                      <w:rFonts w:hint="eastAsia" w:ascii="宋体" w:hAnsi="宋体" w:eastAsia="宋体" w:cs="宋体"/>
                      <w:kern w:val="2"/>
                      <w:sz w:val="21"/>
                      <w:szCs w:val="21"/>
                    </w:rPr>
                    <w:t>、企业将积极响应重污染天气应急预警，落实各项应急减排措施。</w:t>
                  </w:r>
                </w:p>
              </w:tc>
              <w:tc>
                <w:tcPr>
                  <w:tcW w:w="725" w:type="dxa"/>
                  <w:tcBorders>
                    <w:tl2br w:val="nil"/>
                    <w:tr2bl w:val="nil"/>
                  </w:tcBorders>
                  <w:shd w:val="clear" w:color="auto" w:fill="auto"/>
                  <w:vAlign w:val="center"/>
                </w:tcPr>
                <w:p w14:paraId="017FF15B">
                  <w:pPr>
                    <w:pStyle w:val="93"/>
                    <w:widowControl/>
                    <w:rPr>
                      <w:rFonts w:hint="default" w:ascii="Times New Roman" w:hAnsi="Times New Roman" w:eastAsia="宋体" w:cs="Times New Roman"/>
                      <w:kern w:val="2"/>
                      <w:sz w:val="21"/>
                      <w:szCs w:val="21"/>
                    </w:rPr>
                  </w:pPr>
                  <w:r>
                    <w:rPr>
                      <w:rFonts w:hint="eastAsia" w:ascii="宋体" w:hAnsi="宋体" w:eastAsia="宋体" w:cs="宋体"/>
                      <w:kern w:val="2"/>
                      <w:sz w:val="21"/>
                      <w:szCs w:val="21"/>
                    </w:rPr>
                    <w:t>符合</w:t>
                  </w:r>
                </w:p>
              </w:tc>
            </w:tr>
            <w:tr w14:paraId="16E485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7" w:hRule="atLeast"/>
                <w:jc w:val="center"/>
              </w:trPr>
              <w:tc>
                <w:tcPr>
                  <w:tcW w:w="682" w:type="dxa"/>
                  <w:tcBorders>
                    <w:tl2br w:val="nil"/>
                    <w:tr2bl w:val="nil"/>
                  </w:tcBorders>
                  <w:shd w:val="clear" w:color="auto" w:fill="auto"/>
                  <w:vAlign w:val="center"/>
                </w:tcPr>
                <w:p w14:paraId="69A37701">
                  <w:pPr>
                    <w:pStyle w:val="93"/>
                    <w:widowControl/>
                    <w:rPr>
                      <w:rFonts w:hint="default" w:ascii="Times New Roman" w:hAnsi="Times New Roman" w:eastAsia="宋体" w:cs="Times New Roman"/>
                      <w:kern w:val="2"/>
                      <w:sz w:val="21"/>
                      <w:szCs w:val="21"/>
                    </w:rPr>
                  </w:pPr>
                  <w:r>
                    <w:rPr>
                      <w:rFonts w:hint="eastAsia" w:ascii="宋体" w:hAnsi="宋体" w:eastAsia="宋体" w:cs="宋体"/>
                      <w:kern w:val="2"/>
                      <w:sz w:val="21"/>
                      <w:szCs w:val="21"/>
                    </w:rPr>
                    <w:t>资源开发效率要求</w:t>
                  </w:r>
                </w:p>
              </w:tc>
              <w:tc>
                <w:tcPr>
                  <w:tcW w:w="3732" w:type="dxa"/>
                  <w:tcBorders>
                    <w:tl2br w:val="nil"/>
                    <w:tr2bl w:val="nil"/>
                  </w:tcBorders>
                  <w:shd w:val="clear" w:color="auto" w:fill="auto"/>
                  <w:vAlign w:val="center"/>
                </w:tcPr>
                <w:p w14:paraId="655EE3BA">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r>
                    <w:rPr>
                      <w:rFonts w:hint="eastAsia" w:ascii="宋体" w:hAnsi="宋体" w:eastAsia="宋体" w:cs="宋体"/>
                      <w:kern w:val="2"/>
                      <w:sz w:val="21"/>
                      <w:szCs w:val="21"/>
                    </w:rPr>
                    <w:t xml:space="preserve">、引进低耗水企业，同时加强园区污废水的治理力度，同时，从园区的实际出发，加强生产废水的重复利用，提高园区的水资源利用效率。 </w:t>
                  </w:r>
                </w:p>
                <w:p w14:paraId="0E8ABF32">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r>
                    <w:rPr>
                      <w:rFonts w:hint="eastAsia" w:ascii="宋体" w:hAnsi="宋体" w:eastAsia="宋体" w:cs="宋体"/>
                      <w:kern w:val="2"/>
                      <w:sz w:val="21"/>
                      <w:szCs w:val="21"/>
                    </w:rPr>
                    <w:t>、入驻企业均应选择国家推荐节能、高效、低能耗产品。</w:t>
                  </w:r>
                </w:p>
                <w:p w14:paraId="31F4FE28">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r>
                    <w:rPr>
                      <w:rFonts w:hint="eastAsia" w:ascii="宋体" w:hAnsi="宋体" w:eastAsia="宋体" w:cs="宋体"/>
                      <w:kern w:val="2"/>
                      <w:sz w:val="21"/>
                      <w:szCs w:val="21"/>
                    </w:rPr>
                    <w:t xml:space="preserve">、强化土地节约利用，科学规划园区用地，对闲置土地依法进行处置。 </w:t>
                  </w:r>
                </w:p>
                <w:p w14:paraId="78753F74">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r>
                    <w:rPr>
                      <w:rFonts w:hint="eastAsia" w:ascii="宋体" w:hAnsi="宋体" w:eastAsia="宋体" w:cs="宋体"/>
                      <w:kern w:val="2"/>
                      <w:sz w:val="21"/>
                      <w:szCs w:val="21"/>
                    </w:rPr>
                    <w:t>、推广清洁生产和循环经济理念，从源头减少固体废物的排放量，提高固废的综合利用率，做到工业废物减量化、无害化和资源化。</w:t>
                  </w:r>
                </w:p>
              </w:tc>
              <w:tc>
                <w:tcPr>
                  <w:tcW w:w="2439" w:type="dxa"/>
                  <w:tcBorders>
                    <w:tl2br w:val="nil"/>
                    <w:tr2bl w:val="nil"/>
                  </w:tcBorders>
                  <w:shd w:val="clear" w:color="auto" w:fill="auto"/>
                  <w:vAlign w:val="center"/>
                </w:tcPr>
                <w:p w14:paraId="76651743">
                  <w:pPr>
                    <w:pStyle w:val="93"/>
                    <w:widowControl/>
                    <w:jc w:val="left"/>
                    <w:rPr>
                      <w:rFonts w:hint="eastAsia" w:ascii="Times New Roman" w:hAnsi="Times New Roman" w:eastAsia="宋体" w:cs="宋体"/>
                      <w:kern w:val="2"/>
                      <w:sz w:val="21"/>
                      <w:szCs w:val="21"/>
                    </w:rPr>
                  </w:pPr>
                  <w:r>
                    <w:rPr>
                      <w:rFonts w:hint="default" w:ascii="Times New Roman" w:hAnsi="Times New Roman" w:eastAsia="宋体" w:cs="Times New Roman"/>
                      <w:kern w:val="2"/>
                      <w:sz w:val="21"/>
                      <w:szCs w:val="21"/>
                    </w:rPr>
                    <w:t>1</w:t>
                  </w:r>
                  <w:r>
                    <w:rPr>
                      <w:rFonts w:hint="eastAsia" w:ascii="宋体" w:hAnsi="宋体" w:eastAsia="宋体" w:cs="宋体"/>
                      <w:kern w:val="2"/>
                      <w:sz w:val="21"/>
                      <w:szCs w:val="21"/>
                    </w:rPr>
                    <w:t>、本项目位于泗水经济开发区，用水取自开发区自来水管网。</w:t>
                  </w:r>
                </w:p>
                <w:p w14:paraId="010A0BEC">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r>
                    <w:rPr>
                      <w:rFonts w:hint="eastAsia" w:ascii="宋体" w:hAnsi="宋体" w:eastAsia="宋体" w:cs="宋体"/>
                      <w:kern w:val="2"/>
                      <w:sz w:val="21"/>
                      <w:szCs w:val="21"/>
                    </w:rPr>
                    <w:t>、本项目设备拟选用节能、低能耗设备；</w:t>
                  </w:r>
                </w:p>
                <w:p w14:paraId="4DBB4382">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r>
                    <w:rPr>
                      <w:rFonts w:hint="eastAsia" w:ascii="宋体" w:hAnsi="宋体" w:eastAsia="宋体" w:cs="宋体"/>
                      <w:kern w:val="2"/>
                      <w:sz w:val="21"/>
                      <w:szCs w:val="21"/>
                    </w:rPr>
                    <w:t>、本项目用地符合园区用地规划；</w:t>
                  </w:r>
                </w:p>
                <w:p w14:paraId="194B8295">
                  <w:pPr>
                    <w:pStyle w:val="93"/>
                    <w:widowControl/>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r>
                    <w:rPr>
                      <w:rFonts w:hint="eastAsia" w:ascii="宋体" w:hAnsi="宋体" w:eastAsia="宋体" w:cs="宋体"/>
                      <w:kern w:val="2"/>
                      <w:sz w:val="21"/>
                      <w:szCs w:val="21"/>
                    </w:rPr>
                    <w:t>、本项目固体废物均得到合理处置。</w:t>
                  </w:r>
                </w:p>
              </w:tc>
              <w:tc>
                <w:tcPr>
                  <w:tcW w:w="725" w:type="dxa"/>
                  <w:tcBorders>
                    <w:tl2br w:val="nil"/>
                    <w:tr2bl w:val="nil"/>
                  </w:tcBorders>
                  <w:shd w:val="clear" w:color="auto" w:fill="auto"/>
                  <w:vAlign w:val="center"/>
                </w:tcPr>
                <w:p w14:paraId="59BA8B6E">
                  <w:pPr>
                    <w:pStyle w:val="93"/>
                    <w:widowControl/>
                    <w:rPr>
                      <w:rFonts w:hint="default" w:ascii="Times New Roman" w:hAnsi="Times New Roman" w:eastAsia="宋体" w:cs="Times New Roman"/>
                      <w:kern w:val="2"/>
                      <w:sz w:val="21"/>
                      <w:szCs w:val="21"/>
                    </w:rPr>
                  </w:pPr>
                  <w:r>
                    <w:rPr>
                      <w:rFonts w:hint="eastAsia" w:ascii="宋体" w:hAnsi="宋体" w:eastAsia="宋体" w:cs="宋体"/>
                      <w:kern w:val="2"/>
                      <w:sz w:val="21"/>
                      <w:szCs w:val="21"/>
                    </w:rPr>
                    <w:t>符合</w:t>
                  </w:r>
                </w:p>
              </w:tc>
            </w:tr>
          </w:tbl>
          <w:p w14:paraId="2802647A">
            <w:pPr>
              <w:keepNext w:val="0"/>
              <w:keepLines w:val="0"/>
              <w:widowControl w:val="0"/>
              <w:suppressLineNumbers w:val="0"/>
              <w:spacing w:before="0" w:beforeAutospacing="0" w:after="0" w:afterAutospacing="0" w:line="360" w:lineRule="auto"/>
              <w:ind w:left="0" w:right="0" w:firstLine="480" w:firstLineChars="200"/>
              <w:jc w:val="both"/>
              <w:rPr>
                <w:rFonts w:hint="default"/>
              </w:rPr>
            </w:pPr>
            <w:r>
              <w:rPr>
                <w:rFonts w:hint="eastAsia" w:ascii="宋体" w:hAnsi="宋体" w:eastAsia="宋体" w:cs="宋体"/>
                <w:kern w:val="2"/>
                <w:sz w:val="24"/>
                <w:szCs w:val="24"/>
                <w:lang w:val="en-US" w:eastAsia="zh-CN" w:bidi="ar"/>
              </w:rPr>
              <w:t>综上，本项目符合</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三线一单</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与《济宁市</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三线一单</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生态环境分区管控方案》的要求。</w:t>
            </w:r>
          </w:p>
          <w:p w14:paraId="0084FCC4">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lang w:val="en-US" w:eastAsia="zh-CN"/>
              </w:rPr>
            </w:pPr>
            <w:r>
              <w:rPr>
                <w:rFonts w:hint="eastAsia" w:ascii="Times New Roman" w:hAnsi="Times New Roman" w:cs="Times New Roman"/>
                <w:color w:val="auto"/>
                <w:sz w:val="24"/>
                <w:highlight w:val="none"/>
                <w:lang w:val="en-US" w:eastAsia="zh-CN"/>
              </w:rPr>
              <w:t>本项目与生态保护红线位置关系详见附图</w:t>
            </w:r>
            <w:r>
              <w:rPr>
                <w:rFonts w:hint="eastAsia"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，济宁市环境管控单元分类图见附图</w:t>
            </w:r>
            <w:r>
              <w:rPr>
                <w:rFonts w:hint="eastAsia" w:cs="Times New Roman"/>
                <w:color w:val="auto"/>
                <w:sz w:val="24"/>
                <w:highlight w:val="none"/>
                <w:lang w:val="en-US" w:eastAsia="zh-CN"/>
              </w:rPr>
              <w:t>5</w:t>
            </w:r>
            <w:r>
              <w:rPr>
                <w:rFonts w:hint="eastAsia" w:ascii="Times New Roman" w:hAnsi="Times New Roman" w:cs="Times New Roman"/>
                <w:color w:val="auto"/>
                <w:sz w:val="24"/>
                <w:highlight w:val="none"/>
                <w:lang w:eastAsia="zh-CN"/>
              </w:rPr>
              <w:t>。</w:t>
            </w:r>
          </w:p>
        </w:tc>
      </w:tr>
    </w:tbl>
    <w:p w14:paraId="10882FBD">
      <w:pPr>
        <w:spacing w:line="360" w:lineRule="auto"/>
        <w:outlineLvl w:val="0"/>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7770"/>
      </w:tblGrid>
      <w:tr w14:paraId="2A5CD1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62" w:hRule="atLeast"/>
          <w:jc w:val="center"/>
        </w:trPr>
        <w:tc>
          <w:tcPr>
            <w:tcW w:w="1143" w:type="dxa"/>
            <w:noWrap w:val="0"/>
            <w:vAlign w:val="center"/>
          </w:tcPr>
          <w:p w14:paraId="64C940EA">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 w:val="24"/>
                <w:szCs w:val="24"/>
              </w:rPr>
              <w:t>其他符合性分析</w:t>
            </w:r>
          </w:p>
        </w:tc>
        <w:tc>
          <w:tcPr>
            <w:tcW w:w="7770" w:type="dxa"/>
            <w:tcBorders>
              <w:top w:val="single" w:color="auto" w:sz="4" w:space="0"/>
              <w:bottom w:val="single" w:color="auto" w:sz="4" w:space="0"/>
              <w:right w:val="single" w:color="auto" w:sz="4" w:space="0"/>
            </w:tcBorders>
            <w:noWrap w:val="0"/>
            <w:vAlign w:val="center"/>
          </w:tcPr>
          <w:p w14:paraId="7954A5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Calibri"/>
                <w:b/>
                <w:bCs/>
                <w:color w:val="auto"/>
                <w:sz w:val="24"/>
                <w:szCs w:val="24"/>
              </w:rPr>
            </w:pPr>
            <w:r>
              <w:rPr>
                <w:rFonts w:hint="eastAsia" w:cs="Times New Roman"/>
                <w:b/>
                <w:bCs/>
                <w:color w:val="auto"/>
                <w:sz w:val="24"/>
                <w:lang w:val="en-US" w:eastAsia="zh-CN"/>
              </w:rPr>
              <w:t>6</w:t>
            </w:r>
            <w:r>
              <w:rPr>
                <w:rFonts w:hint="eastAsia" w:ascii="Times New Roman" w:hAnsi="Times New Roman" w:cs="Times New Roman"/>
                <w:b/>
                <w:bCs/>
                <w:color w:val="auto"/>
                <w:sz w:val="24"/>
                <w:lang w:val="en-US" w:eastAsia="zh-CN"/>
              </w:rPr>
              <w:t>、与《山东省深入打好蓝天、碧水、净土保卫战行动计划（2021-2025）》（鲁环委办</w:t>
            </w:r>
            <w:r>
              <w:rPr>
                <w:rFonts w:hint="eastAsia" w:cs="Times New Roman"/>
                <w:b/>
                <w:bCs/>
                <w:color w:val="auto"/>
                <w:sz w:val="24"/>
                <w:lang w:val="en-US" w:eastAsia="zh-CN"/>
              </w:rPr>
              <w:t>〔2021〕30号</w:t>
            </w:r>
            <w:r>
              <w:rPr>
                <w:rFonts w:hint="eastAsia" w:ascii="Times New Roman" w:hAnsi="Times New Roman" w:cs="Times New Roman"/>
                <w:b/>
                <w:bCs/>
                <w:color w:val="auto"/>
                <w:sz w:val="24"/>
                <w:lang w:val="en-US" w:eastAsia="zh-CN"/>
              </w:rPr>
              <w:t>）的符合性</w:t>
            </w:r>
          </w:p>
          <w:p w14:paraId="07B415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与《山东省深入打好蓝天、碧水、净土保卫战行动计划（2021-2025</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》的符合性</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9"/>
              <w:gridCol w:w="700"/>
              <w:gridCol w:w="3616"/>
              <w:gridCol w:w="2348"/>
              <w:gridCol w:w="431"/>
            </w:tblGrid>
            <w:tr w14:paraId="45078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noWrap w:val="0"/>
                  <w:vAlign w:val="center"/>
                </w:tcPr>
                <w:p w14:paraId="509A7D35">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p>
              </w:tc>
              <w:tc>
                <w:tcPr>
                  <w:tcW w:w="465" w:type="pct"/>
                  <w:tcBorders>
                    <w:tl2br w:val="nil"/>
                    <w:tr2bl w:val="nil"/>
                  </w:tcBorders>
                  <w:noWrap w:val="0"/>
                  <w:vAlign w:val="center"/>
                </w:tcPr>
                <w:p w14:paraId="50E88F63">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分类</w:t>
                  </w:r>
                </w:p>
              </w:tc>
              <w:tc>
                <w:tcPr>
                  <w:tcW w:w="2402" w:type="pct"/>
                  <w:tcBorders>
                    <w:tl2br w:val="nil"/>
                    <w:tr2bl w:val="nil"/>
                  </w:tcBorders>
                  <w:noWrap w:val="0"/>
                  <w:vAlign w:val="center"/>
                </w:tcPr>
                <w:p w14:paraId="338F52EF">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文件要求</w:t>
                  </w:r>
                </w:p>
              </w:tc>
              <w:tc>
                <w:tcPr>
                  <w:tcW w:w="1560" w:type="pct"/>
                  <w:tcBorders>
                    <w:tl2br w:val="nil"/>
                    <w:tr2bl w:val="nil"/>
                  </w:tcBorders>
                  <w:noWrap w:val="0"/>
                  <w:vAlign w:val="center"/>
                </w:tcPr>
                <w:p w14:paraId="6B360A4E">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w:t>
                  </w:r>
                  <w:r>
                    <w:rPr>
                      <w:rFonts w:hint="eastAsia" w:ascii="Times New Roman" w:hAnsi="Times New Roman" w:cs="Times New Roman"/>
                      <w:b/>
                      <w:bCs/>
                      <w:color w:val="auto"/>
                      <w:szCs w:val="21"/>
                    </w:rPr>
                    <w:t>情</w:t>
                  </w:r>
                  <w:r>
                    <w:rPr>
                      <w:rFonts w:hint="default" w:ascii="Times New Roman" w:hAnsi="Times New Roman" w:cs="Times New Roman"/>
                      <w:b/>
                      <w:bCs/>
                      <w:color w:val="auto"/>
                      <w:szCs w:val="21"/>
                    </w:rPr>
                    <w:t>况</w:t>
                  </w:r>
                </w:p>
              </w:tc>
              <w:tc>
                <w:tcPr>
                  <w:tcW w:w="286" w:type="pct"/>
                  <w:tcBorders>
                    <w:tl2br w:val="nil"/>
                    <w:tr2bl w:val="nil"/>
                  </w:tcBorders>
                  <w:noWrap w:val="0"/>
                  <w:vAlign w:val="center"/>
                </w:tcPr>
                <w:p w14:paraId="3BD92646">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结论</w:t>
                  </w:r>
                </w:p>
              </w:tc>
            </w:tr>
            <w:tr w14:paraId="4CB10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noWrap w:val="0"/>
                  <w:vAlign w:val="center"/>
                </w:tcPr>
                <w:p w14:paraId="5341A5A3">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蓝天</w:t>
                  </w:r>
                </w:p>
                <w:p w14:paraId="1A871473">
                  <w:pPr>
                    <w:pStyle w:val="33"/>
                    <w:ind w:right="0"/>
                    <w:rPr>
                      <w:color w:val="auto"/>
                      <w:szCs w:val="21"/>
                    </w:rPr>
                  </w:pPr>
                </w:p>
              </w:tc>
              <w:tc>
                <w:tcPr>
                  <w:tcW w:w="465" w:type="pct"/>
                  <w:tcBorders>
                    <w:tl2br w:val="nil"/>
                    <w:tr2bl w:val="nil"/>
                  </w:tcBorders>
                  <w:noWrap w:val="0"/>
                  <w:vAlign w:val="center"/>
                </w:tcPr>
                <w:p w14:paraId="5CF3D41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严格扬尘污染管控</w:t>
                  </w:r>
                </w:p>
                <w:p w14:paraId="54BE6FBF">
                  <w:pPr>
                    <w:pStyle w:val="33"/>
                    <w:ind w:right="0"/>
                    <w:rPr>
                      <w:color w:val="auto"/>
                      <w:szCs w:val="21"/>
                    </w:rPr>
                  </w:pPr>
                </w:p>
              </w:tc>
              <w:tc>
                <w:tcPr>
                  <w:tcW w:w="2402" w:type="pct"/>
                  <w:tcBorders>
                    <w:tl2br w:val="nil"/>
                    <w:tr2bl w:val="nil"/>
                  </w:tcBorders>
                  <w:noWrap w:val="0"/>
                  <w:vAlign w:val="center"/>
                </w:tcPr>
                <w:p w14:paraId="55169237">
                  <w:pPr>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加强施工扬尘精细化管控，建立并动态更新施工工地清单。全面推行绿色施工，将扬尘污染防治费用纳入工程造价，各类施工工地严格落实扬尘污染防治措施，其中建筑施工工地严格执行“六项措施”。规模以上建筑施工工地安装在线监测和视频监控设施，并接入当地监管平台。加强执法监管，对问题严重的依法依规实施联合惩戒。强化道路扬尘综合治理，到2025年，设区市和县</w:t>
                  </w:r>
                  <w:r>
                    <w:rPr>
                      <w:rFonts w:hint="eastAsia" w:cs="Times New Roman"/>
                      <w:color w:val="auto"/>
                      <w:szCs w:val="21"/>
                      <w:lang w:eastAsia="zh-CN"/>
                    </w:rPr>
                    <w:t>（</w:t>
                  </w:r>
                  <w:r>
                    <w:rPr>
                      <w:rFonts w:hint="default" w:ascii="Times New Roman" w:hAnsi="Times New Roman" w:cs="Times New Roman"/>
                      <w:color w:val="auto"/>
                      <w:szCs w:val="21"/>
                    </w:rPr>
                    <w:t>市</w:t>
                  </w:r>
                  <w:r>
                    <w:rPr>
                      <w:rFonts w:hint="eastAsia" w:cs="Times New Roman"/>
                      <w:color w:val="auto"/>
                      <w:szCs w:val="21"/>
                      <w:lang w:eastAsia="zh-CN"/>
                    </w:rPr>
                    <w:t>）</w:t>
                  </w:r>
                  <w:r>
                    <w:rPr>
                      <w:rFonts w:hint="default" w:ascii="Times New Roman" w:hAnsi="Times New Roman" w:cs="Times New Roman"/>
                      <w:color w:val="auto"/>
                      <w:szCs w:val="21"/>
                    </w:rPr>
                    <w:t>城市建成区道路机械化清扫率达到85%。规范房屋建筑</w:t>
                  </w:r>
                  <w:r>
                    <w:rPr>
                      <w:rFonts w:hint="eastAsia" w:cs="Times New Roman"/>
                      <w:color w:val="auto"/>
                      <w:szCs w:val="21"/>
                      <w:lang w:eastAsia="zh-CN"/>
                    </w:rPr>
                    <w:t>（</w:t>
                  </w:r>
                  <w:r>
                    <w:rPr>
                      <w:rFonts w:hint="default" w:ascii="Times New Roman" w:hAnsi="Times New Roman" w:cs="Times New Roman"/>
                      <w:color w:val="auto"/>
                      <w:szCs w:val="21"/>
                    </w:rPr>
                    <w:t>含拆除</w:t>
                  </w:r>
                  <w:r>
                    <w:rPr>
                      <w:rFonts w:hint="eastAsia" w:cs="Times New Roman"/>
                      <w:color w:val="auto"/>
                      <w:szCs w:val="21"/>
                      <w:lang w:eastAsia="zh-CN"/>
                    </w:rPr>
                    <w:t>）</w:t>
                  </w:r>
                  <w:r>
                    <w:rPr>
                      <w:rFonts w:hint="default" w:ascii="Times New Roman" w:hAnsi="Times New Roman" w:cs="Times New Roman"/>
                      <w:color w:val="auto"/>
                      <w:szCs w:val="21"/>
                    </w:rPr>
                    <w:t>工程、市政工程建筑垃圾密闭运输和扬尘防控，通过视频监控、车牌号识别、安装卫星定位设备等措施，实行全过程监督。大型煤炭、矿石等干散货码头物料堆场全面完成围挡、苫盖、自动喷淋等抑尘设施建设和物料输送系统封闭改造，鼓励有条件的码头堆场实施全封闭改造。推进露天矿山生态保护和修复，加强对露天矿山生态环境的监测。实施城市降尘监测考核，各市平均降尘量不得高于7.5吨/月·平方公里。鼓励各市细化降尘控制要求，实施县</w:t>
                  </w:r>
                  <w:r>
                    <w:rPr>
                      <w:rFonts w:hint="eastAsia" w:cs="Times New Roman"/>
                      <w:color w:val="auto"/>
                      <w:szCs w:val="21"/>
                      <w:lang w:eastAsia="zh-CN"/>
                    </w:rPr>
                    <w:t>（</w:t>
                  </w:r>
                  <w:r>
                    <w:rPr>
                      <w:rFonts w:hint="default" w:ascii="Times New Roman" w:hAnsi="Times New Roman" w:cs="Times New Roman"/>
                      <w:color w:val="auto"/>
                      <w:szCs w:val="21"/>
                    </w:rPr>
                    <w:t>市、区</w:t>
                  </w:r>
                  <w:r>
                    <w:rPr>
                      <w:rFonts w:hint="eastAsia" w:cs="Times New Roman"/>
                      <w:color w:val="auto"/>
                      <w:szCs w:val="21"/>
                      <w:lang w:eastAsia="zh-CN"/>
                    </w:rPr>
                    <w:t>）</w:t>
                  </w:r>
                  <w:r>
                    <w:rPr>
                      <w:rFonts w:hint="default" w:ascii="Times New Roman" w:hAnsi="Times New Roman" w:cs="Times New Roman"/>
                      <w:color w:val="auto"/>
                      <w:szCs w:val="21"/>
                    </w:rPr>
                    <w:t>降尘量逐月监测排名。</w:t>
                  </w:r>
                </w:p>
              </w:tc>
              <w:tc>
                <w:tcPr>
                  <w:tcW w:w="1560" w:type="pct"/>
                  <w:tcBorders>
                    <w:tl2br w:val="nil"/>
                    <w:tr2bl w:val="nil"/>
                  </w:tcBorders>
                  <w:noWrap w:val="0"/>
                  <w:vAlign w:val="center"/>
                </w:tcPr>
                <w:p w14:paraId="34EAE578">
                  <w:pPr>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highlight w:val="none"/>
                    </w:rPr>
                    <w:t>项目施工期采取洒水抑尘、堆土及建筑材料遮盖等，严格执行</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六项措施</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，可减轻扬尘对环境的影响。</w:t>
                  </w:r>
                </w:p>
              </w:tc>
              <w:tc>
                <w:tcPr>
                  <w:tcW w:w="286" w:type="pct"/>
                  <w:tcBorders>
                    <w:tl2br w:val="nil"/>
                    <w:tr2bl w:val="nil"/>
                  </w:tcBorders>
                  <w:noWrap w:val="0"/>
                  <w:vAlign w:val="center"/>
                </w:tcPr>
                <w:p w14:paraId="031918B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2EEE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tcBorders>
                    <w:tl2br w:val="nil"/>
                    <w:tr2bl w:val="nil"/>
                  </w:tcBorders>
                  <w:noWrap w:val="0"/>
                  <w:vAlign w:val="center"/>
                </w:tcPr>
                <w:p w14:paraId="4769F09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碧水</w:t>
                  </w:r>
                </w:p>
              </w:tc>
              <w:tc>
                <w:tcPr>
                  <w:tcW w:w="465" w:type="pct"/>
                  <w:tcBorders>
                    <w:tl2br w:val="nil"/>
                    <w:tr2bl w:val="nil"/>
                  </w:tcBorders>
                  <w:noWrap w:val="0"/>
                  <w:vAlign w:val="center"/>
                </w:tcPr>
                <w:p w14:paraId="378EEA00">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精准治理工业企业污染</w:t>
                  </w:r>
                </w:p>
                <w:p w14:paraId="348CFB47">
                  <w:pPr>
                    <w:pStyle w:val="33"/>
                    <w:ind w:right="0"/>
                    <w:rPr>
                      <w:color w:val="auto"/>
                      <w:szCs w:val="21"/>
                    </w:rPr>
                  </w:pPr>
                </w:p>
              </w:tc>
              <w:tc>
                <w:tcPr>
                  <w:tcW w:w="2402" w:type="pct"/>
                  <w:tcBorders>
                    <w:tl2br w:val="nil"/>
                    <w:tr2bl w:val="nil"/>
                  </w:tcBorders>
                  <w:noWrap w:val="0"/>
                  <w:vAlign w:val="center"/>
                </w:tcPr>
                <w:p w14:paraId="03E5112E">
                  <w:pPr>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继续推进化工、有色金属、农副食品加工、印染、制革、原料药制造、电镀、冶金等行业退城入园，提高工业园区集聚水平。指导工业园区对污水实施科学收集、分类处理，梯级循环利用工业废水。逐步推进园区纳管企业废水“一企一管、明管输送、实时监控，统一调度”，第一时间锁定园区集中污水处理设施超标来水源头，及时有效处理处置。大力推进生态工业园区建设，对获得国家和省级命名的生态工业园区给予政策支持。鼓励有条件的园区引进“环保管家”服务，提供定制化、全产业链的第三方环保服务，实现园区污水精细化、专业化管理。</w:t>
                  </w:r>
                </w:p>
              </w:tc>
              <w:tc>
                <w:tcPr>
                  <w:tcW w:w="1560" w:type="pct"/>
                  <w:tcBorders>
                    <w:tl2br w:val="nil"/>
                    <w:tr2bl w:val="nil"/>
                  </w:tcBorders>
                  <w:noWrap w:val="0"/>
                  <w:vAlign w:val="center"/>
                </w:tcPr>
                <w:p w14:paraId="4E0352B7">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eastAsia" w:ascii="Times New Roman" w:hAnsi="Times New Roman" w:cs="Times New Roman"/>
                      <w:color w:val="auto"/>
                      <w:szCs w:val="21"/>
                    </w:rPr>
                    <w:t>项目</w:t>
                  </w:r>
                  <w:r>
                    <w:rPr>
                      <w:rFonts w:hint="eastAsia" w:cs="Times New Roman"/>
                      <w:color w:val="auto"/>
                      <w:szCs w:val="21"/>
                      <w:lang w:val="en-US" w:eastAsia="zh-CN"/>
                    </w:rPr>
                    <w:t>位于泗水经济开发区西城工业园区，设备清洗废水经企业污水处理站处理后与生活污水通过市政污水管网送泗水国祯水务有限公司深度处理</w:t>
                  </w:r>
                  <w:r>
                    <w:rPr>
                      <w:rFonts w:hint="eastAsia" w:ascii="Times New Roman" w:hAnsi="Times New Roman" w:cs="Times New Roman"/>
                      <w:color w:val="auto"/>
                      <w:szCs w:val="21"/>
                    </w:rPr>
                    <w:t>。</w:t>
                  </w:r>
                </w:p>
              </w:tc>
              <w:tc>
                <w:tcPr>
                  <w:tcW w:w="286" w:type="pct"/>
                  <w:tcBorders>
                    <w:tl2br w:val="nil"/>
                    <w:tr2bl w:val="nil"/>
                  </w:tcBorders>
                  <w:noWrap w:val="0"/>
                  <w:vAlign w:val="center"/>
                </w:tcPr>
                <w:p w14:paraId="0548DBA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3BBE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restart"/>
                  <w:tcBorders>
                    <w:tl2br w:val="nil"/>
                    <w:tr2bl w:val="nil"/>
                  </w:tcBorders>
                  <w:noWrap w:val="0"/>
                  <w:vAlign w:val="center"/>
                </w:tcPr>
                <w:p w14:paraId="3A7D1D33">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净土</w:t>
                  </w:r>
                </w:p>
              </w:tc>
              <w:tc>
                <w:tcPr>
                  <w:tcW w:w="465" w:type="pct"/>
                  <w:tcBorders>
                    <w:tl2br w:val="nil"/>
                    <w:tr2bl w:val="nil"/>
                  </w:tcBorders>
                  <w:noWrap w:val="0"/>
                  <w:vAlign w:val="center"/>
                </w:tcPr>
                <w:p w14:paraId="2613EEF7">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加强土壤污染重点监管单位环境监管</w:t>
                  </w:r>
                </w:p>
              </w:tc>
              <w:tc>
                <w:tcPr>
                  <w:tcW w:w="2402" w:type="pct"/>
                  <w:tcBorders>
                    <w:tl2br w:val="nil"/>
                    <w:tr2bl w:val="nil"/>
                  </w:tcBorders>
                  <w:noWrap w:val="0"/>
                  <w:vAlign w:val="center"/>
                </w:tcPr>
                <w:p w14:paraId="182CD08A">
                  <w:pPr>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每年更新土壤污染重点监管单位名录并向社会公开。全省1415家土壤污染重点监管单位在2021年年底前应完成一轮隐患排查，制定整改方案并落实。新增纳入土壤污染重点监管单位名录的单位，在一年内应开展隐患排查，2025年年底前，至少完成一轮隐患排查。土壤污染重点监管单位应制定、实施自行监测方案，将监测数据公开并报生态环境部门；严格控制有毒有害物质排放，并按年度向生态环境部门报告排放情况；法定义务在排污许可证发放和变更时应予以载明。</w:t>
                  </w:r>
                </w:p>
              </w:tc>
              <w:tc>
                <w:tcPr>
                  <w:tcW w:w="1560" w:type="pct"/>
                  <w:tcBorders>
                    <w:tl2br w:val="nil"/>
                    <w:tr2bl w:val="nil"/>
                  </w:tcBorders>
                  <w:noWrap w:val="0"/>
                  <w:vAlign w:val="center"/>
                </w:tcPr>
                <w:p w14:paraId="7A9F1336">
                  <w:pPr>
                    <w:keepNext w:val="0"/>
                    <w:keepLines w:val="0"/>
                    <w:suppressLineNumbers w:val="0"/>
                    <w:snapToGrid w:val="0"/>
                    <w:spacing w:before="0" w:beforeAutospacing="0" w:after="0" w:afterAutospacing="0"/>
                    <w:ind w:left="0" w:right="0"/>
                    <w:jc w:val="both"/>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highlight w:val="none"/>
                    </w:rPr>
                    <w:t>项目</w:t>
                  </w:r>
                  <w:r>
                    <w:rPr>
                      <w:rFonts w:hint="eastAsia" w:cs="Times New Roman"/>
                      <w:color w:val="auto"/>
                      <w:szCs w:val="21"/>
                      <w:highlight w:val="none"/>
                      <w:lang w:val="en-US" w:eastAsia="zh-CN"/>
                    </w:rPr>
                    <w:t>危废间、配料区、涂布区、胶钉印刷区、一般固废库和污水处理站</w:t>
                  </w:r>
                  <w:r>
                    <w:rPr>
                      <w:rFonts w:hint="eastAsia" w:ascii="Times New Roman" w:hAnsi="Times New Roman" w:cs="Times New Roman"/>
                      <w:color w:val="auto"/>
                      <w:szCs w:val="21"/>
                      <w:highlight w:val="none"/>
                    </w:rPr>
                    <w:t>重点防渗，</w:t>
                  </w:r>
                  <w:r>
                    <w:rPr>
                      <w:rFonts w:hint="eastAsia" w:cs="Times New Roman"/>
                      <w:color w:val="auto"/>
                      <w:szCs w:val="21"/>
                      <w:highlight w:val="none"/>
                      <w:lang w:val="en-US" w:eastAsia="zh-CN"/>
                    </w:rPr>
                    <w:t>机房</w:t>
                  </w:r>
                  <w:r>
                    <w:rPr>
                      <w:rFonts w:hint="eastAsia" w:ascii="Times New Roman" w:hAnsi="Times New Roman" w:cs="Times New Roman"/>
                      <w:color w:val="auto"/>
                      <w:szCs w:val="21"/>
                      <w:highlight w:val="none"/>
                    </w:rPr>
                    <w:t>一般防渗；其他区域采取简单防渗措施，项目对周围地下水环境影响很小。</w:t>
                  </w:r>
                </w:p>
              </w:tc>
              <w:tc>
                <w:tcPr>
                  <w:tcW w:w="286" w:type="pct"/>
                  <w:tcBorders>
                    <w:tl2br w:val="nil"/>
                    <w:tr2bl w:val="nil"/>
                  </w:tcBorders>
                  <w:noWrap w:val="0"/>
                  <w:vAlign w:val="center"/>
                </w:tcPr>
                <w:p w14:paraId="09894E83">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81E1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tcBorders>
                    <w:tl2br w:val="nil"/>
                    <w:tr2bl w:val="nil"/>
                  </w:tcBorders>
                  <w:noWrap w:val="0"/>
                  <w:vAlign w:val="center"/>
                </w:tcPr>
                <w:p w14:paraId="0C6326ED">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shd w:val="clear" w:color="auto" w:fill="FFFFFF"/>
                    </w:rPr>
                  </w:pPr>
                </w:p>
              </w:tc>
              <w:tc>
                <w:tcPr>
                  <w:tcW w:w="465" w:type="pct"/>
                  <w:tcBorders>
                    <w:tl2br w:val="nil"/>
                    <w:tr2bl w:val="nil"/>
                  </w:tcBorders>
                  <w:noWrap w:val="0"/>
                  <w:vAlign w:val="center"/>
                </w:tcPr>
                <w:p w14:paraId="7701DD8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加强固体废物环境管理</w:t>
                  </w:r>
                </w:p>
              </w:tc>
              <w:tc>
                <w:tcPr>
                  <w:tcW w:w="2402" w:type="pct"/>
                  <w:tcBorders>
                    <w:tl2br w:val="nil"/>
                    <w:tr2bl w:val="nil"/>
                  </w:tcBorders>
                  <w:noWrap w:val="0"/>
                  <w:vAlign w:val="center"/>
                </w:tcPr>
                <w:p w14:paraId="7B6DB4AB">
                  <w:pPr>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构建集污水、垃圾、固废、危废、医废处理处置设施和监测监管能力于一体的环境基础设施体系，形成由城市向建制镇和乡村延伸覆盖的环境基础设施网络。到2025年，试点城市建立起“无废城市”建设综合管理制度和监管体系。</w:t>
                  </w:r>
                </w:p>
              </w:tc>
              <w:tc>
                <w:tcPr>
                  <w:tcW w:w="1560" w:type="pct"/>
                  <w:tcBorders>
                    <w:tl2br w:val="nil"/>
                    <w:tr2bl w:val="nil"/>
                  </w:tcBorders>
                  <w:noWrap w:val="0"/>
                  <w:vAlign w:val="center"/>
                </w:tcPr>
                <w:p w14:paraId="70BA8F35">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Cs w:val="21"/>
                      <w:highlight w:val="none"/>
                    </w:rPr>
                  </w:pPr>
                  <w:r>
                    <w:rPr>
                      <w:rFonts w:hint="eastAsia" w:ascii="Times New Roman" w:hAnsi="Times New Roman" w:eastAsia="宋体" w:cs="Times New Roman"/>
                      <w:color w:val="auto"/>
                      <w:highlight w:val="none"/>
                      <w:lang w:val="en-US" w:eastAsia="zh-CN"/>
                    </w:rPr>
                    <w:t>生活垃圾</w:t>
                  </w:r>
                  <w:r>
                    <w:rPr>
                      <w:rFonts w:hint="eastAsia" w:cs="Times New Roman"/>
                      <w:color w:val="auto"/>
                      <w:highlight w:val="none"/>
                      <w:lang w:val="en-US" w:eastAsia="zh-CN"/>
                    </w:rPr>
                    <w:t>和污水处理站污泥由</w:t>
                  </w:r>
                  <w:r>
                    <w:rPr>
                      <w:rFonts w:hint="eastAsia" w:ascii="Times New Roman" w:hAnsi="Times New Roman" w:eastAsia="宋体" w:cs="Times New Roman"/>
                      <w:color w:val="auto"/>
                      <w:highlight w:val="none"/>
                      <w:lang w:val="en-US" w:eastAsia="zh-CN"/>
                    </w:rPr>
                    <w:t>环卫部门清运；废包装</w:t>
                  </w:r>
                  <w:r>
                    <w:rPr>
                      <w:rFonts w:hint="eastAsia" w:cs="Times New Roman"/>
                      <w:color w:val="auto"/>
                      <w:highlight w:val="none"/>
                      <w:lang w:val="en-US" w:eastAsia="zh-CN"/>
                    </w:rPr>
                    <w:t>材料和下脚料</w:t>
                  </w:r>
                  <w:r>
                    <w:rPr>
                      <w:rFonts w:hint="eastAsia" w:ascii="Times New Roman" w:hAnsi="Times New Roman" w:eastAsia="宋体" w:cs="Times New Roman"/>
                      <w:color w:val="auto"/>
                      <w:highlight w:val="none"/>
                      <w:lang w:val="en-US" w:eastAsia="zh-CN"/>
                    </w:rPr>
                    <w:t>收集后外售；</w:t>
                  </w:r>
                  <w:r>
                    <w:rPr>
                      <w:rFonts w:hint="eastAsia" w:cs="Times New Roman"/>
                      <w:color w:val="auto"/>
                      <w:highlight w:val="none"/>
                      <w:lang w:val="en-US" w:eastAsia="zh-CN"/>
                    </w:rPr>
                    <w:t>废墨水桶、废机油、废油桶和废活性炭</w:t>
                  </w:r>
                  <w:r>
                    <w:rPr>
                      <w:rFonts w:hint="eastAsia" w:ascii="Times New Roman" w:hAnsi="Times New Roman" w:eastAsia="宋体" w:cs="Times New Roman"/>
                      <w:color w:val="auto"/>
                      <w:highlight w:val="none"/>
                      <w:lang w:val="en-US" w:eastAsia="zh-CN"/>
                    </w:rPr>
                    <w:t>委托资质单位处理。</w:t>
                  </w:r>
                </w:p>
              </w:tc>
              <w:tc>
                <w:tcPr>
                  <w:tcW w:w="286" w:type="pct"/>
                  <w:tcBorders>
                    <w:tl2br w:val="nil"/>
                    <w:tr2bl w:val="nil"/>
                  </w:tcBorders>
                  <w:noWrap w:val="0"/>
                  <w:vAlign w:val="center"/>
                </w:tcPr>
                <w:p w14:paraId="5375F70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04682A3A">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0" w:firstLineChars="200"/>
              <w:jc w:val="both"/>
              <w:textAlignment w:val="auto"/>
              <w:rPr>
                <w:rFonts w:hint="eastAsia" w:ascii="Times New Roman" w:hAnsi="Times New Roman" w:cs="宋体"/>
                <w:b/>
                <w:bCs/>
                <w:color w:val="auto"/>
                <w:kern w:val="0"/>
                <w:sz w:val="24"/>
                <w:szCs w:val="24"/>
                <w:lang w:eastAsia="zh-CN"/>
              </w:rPr>
            </w:pPr>
            <w:r>
              <w:rPr>
                <w:rFonts w:hint="default" w:ascii="Times New Roman" w:hAnsi="Times New Roman" w:eastAsia="宋体" w:cs="Times New Roman"/>
                <w:color w:val="auto"/>
                <w:sz w:val="24"/>
                <w:szCs w:val="24"/>
              </w:rPr>
              <w:t>由上表可知，</w:t>
            </w:r>
            <w:r>
              <w:rPr>
                <w:rFonts w:hint="eastAsia" w:ascii="Times New Roman" w:hAnsi="Times New Roman" w:cs="Times New Roman"/>
                <w:color w:val="auto"/>
                <w:sz w:val="24"/>
                <w:szCs w:val="24"/>
                <w:lang w:eastAsia="zh-CN"/>
              </w:rPr>
              <w:t>项目</w:t>
            </w:r>
            <w:r>
              <w:rPr>
                <w:rFonts w:hint="default" w:ascii="Times New Roman" w:hAnsi="Times New Roman" w:eastAsia="宋体" w:cs="Times New Roman"/>
                <w:b w:val="0"/>
                <w:bCs w:val="0"/>
                <w:color w:val="auto"/>
                <w:sz w:val="24"/>
                <w:szCs w:val="24"/>
              </w:rPr>
              <w:t>符合《</w:t>
            </w:r>
            <w:r>
              <w:rPr>
                <w:rFonts w:hint="eastAsia" w:ascii="Times New Roman" w:hAnsi="Times New Roman" w:cs="Times New Roman"/>
                <w:b w:val="0"/>
                <w:bCs w:val="0"/>
                <w:color w:val="auto"/>
                <w:sz w:val="24"/>
                <w:szCs w:val="24"/>
                <w:lang w:val="en-US" w:eastAsia="zh-CN"/>
              </w:rPr>
              <w:t>山东省深入打好蓝天、碧水、净土保卫战行动计划（2021-2025）</w:t>
            </w:r>
            <w:r>
              <w:rPr>
                <w:rFonts w:hint="default" w:ascii="Times New Roman" w:hAnsi="Times New Roman" w:eastAsia="宋体" w:cs="Times New Roman"/>
                <w:color w:val="auto"/>
                <w:sz w:val="24"/>
                <w:szCs w:val="24"/>
              </w:rPr>
              <w:t>》要求。</w:t>
            </w:r>
          </w:p>
          <w:p w14:paraId="71CDD160">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lang w:val="en-US" w:eastAsia="zh-CN"/>
              </w:rPr>
              <w:t>7</w:t>
            </w:r>
            <w:r>
              <w:rPr>
                <w:rFonts w:hint="eastAsia" w:ascii="Times New Roman" w:hAnsi="Times New Roman" w:eastAsia="宋体" w:cs="Times New Roman"/>
                <w:b/>
                <w:bCs/>
                <w:color w:val="auto"/>
                <w:sz w:val="24"/>
                <w:szCs w:val="24"/>
                <w:lang w:val="en-US" w:eastAsia="zh-CN"/>
              </w:rPr>
              <w:t>、项目</w:t>
            </w:r>
            <w:r>
              <w:rPr>
                <w:rFonts w:hint="eastAsia" w:ascii="Times New Roman" w:hAnsi="Times New Roman" w:eastAsia="宋体" w:cs="Times New Roman"/>
                <w:b/>
                <w:bCs/>
                <w:color w:val="auto"/>
                <w:sz w:val="24"/>
                <w:szCs w:val="24"/>
                <w:highlight w:val="none"/>
                <w:lang w:val="en-US" w:eastAsia="zh-CN"/>
              </w:rPr>
              <w:t>与</w:t>
            </w:r>
            <w:r>
              <w:rPr>
                <w:rFonts w:hint="default" w:ascii="Times New Roman" w:hAnsi="Times New Roman" w:eastAsia="宋体" w:cs="Times New Roman"/>
                <w:b/>
                <w:bCs/>
                <w:color w:val="auto"/>
                <w:sz w:val="24"/>
                <w:szCs w:val="24"/>
                <w:highlight w:val="none"/>
                <w:lang w:val="en-US" w:eastAsia="zh-CN"/>
              </w:rPr>
              <w:t>《山东省空气质量持续改善暨第三轮“四减四增”行动实施方案》</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鲁政字〔2024〕102号）符合性分析</w:t>
            </w:r>
          </w:p>
          <w:p w14:paraId="053694D4">
            <w:pPr>
              <w:pStyle w:val="52"/>
              <w:keepNext w:val="0"/>
              <w:keepLines w:val="0"/>
              <w:pageBreakBefore w:val="0"/>
              <w:widowControl w:val="0"/>
              <w:suppressLineNumbers w:val="0"/>
              <w:tabs>
                <w:tab w:val="left" w:pos="1617"/>
              </w:tabs>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baseline"/>
              <w:outlineLvl w:val="9"/>
              <w:rPr>
                <w:rFonts w:hint="default" w:ascii="Times New Roman" w:hAnsi="Times New Roman" w:eastAsia="宋体" w:cs="Times New Roman"/>
                <w:caps w:val="0"/>
                <w:smallCaps w:val="0"/>
                <w:color w:val="auto"/>
                <w:spacing w:val="0"/>
                <w:w w:val="100"/>
                <w:position w:val="0"/>
                <w:sz w:val="24"/>
                <w:szCs w:val="24"/>
                <w:highlight w:val="none"/>
              </w:rPr>
            </w:pPr>
            <w:r>
              <w:rPr>
                <w:rFonts w:hint="eastAsia" w:ascii="Times New Roman" w:eastAsia="宋体" w:cs="Times New Roman"/>
                <w:caps w:val="0"/>
                <w:smallCaps w:val="0"/>
                <w:color w:val="auto"/>
                <w:spacing w:val="0"/>
                <w:w w:val="100"/>
                <w:position w:val="0"/>
                <w:sz w:val="24"/>
                <w:szCs w:val="24"/>
                <w:highlight w:val="none"/>
                <w:lang w:val="en-US" w:eastAsia="zh-CN"/>
              </w:rPr>
              <w:t>项目</w:t>
            </w:r>
            <w:r>
              <w:rPr>
                <w:rFonts w:hint="default" w:ascii="Times New Roman" w:hAnsi="Times New Roman" w:eastAsia="宋体" w:cs="Times New Roman"/>
                <w:caps w:val="0"/>
                <w:smallCaps w:val="0"/>
                <w:color w:val="auto"/>
                <w:spacing w:val="0"/>
                <w:w w:val="100"/>
                <w:position w:val="0"/>
                <w:sz w:val="24"/>
                <w:szCs w:val="24"/>
                <w:highlight w:val="none"/>
              </w:rPr>
              <w:t>与</w:t>
            </w:r>
            <w:r>
              <w:rPr>
                <w:rFonts w:hint="default" w:ascii="Times New Roman" w:hAnsi="Times New Roman" w:eastAsia="宋体" w:cs="Times New Roman"/>
                <w:color w:val="auto"/>
                <w:sz w:val="24"/>
                <w:szCs w:val="24"/>
                <w:highlight w:val="none"/>
              </w:rPr>
              <w:t>《山东省空气质量持续改善暨第三轮“四减四增”行动实施方案》的通知鲁政字〔2024〕102号</w:t>
            </w:r>
            <w:r>
              <w:rPr>
                <w:rFonts w:hint="default" w:ascii="Times New Roman" w:hAnsi="Times New Roman" w:eastAsia="宋体" w:cs="Times New Roman"/>
                <w:caps w:val="0"/>
                <w:smallCaps w:val="0"/>
                <w:color w:val="auto"/>
                <w:spacing w:val="0"/>
                <w:w w:val="100"/>
                <w:position w:val="0"/>
                <w:sz w:val="24"/>
                <w:szCs w:val="24"/>
                <w:highlight w:val="none"/>
              </w:rPr>
              <w:t>符合性分析见下表。</w:t>
            </w:r>
          </w:p>
          <w:p w14:paraId="4127AA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240" w:lineRule="auto"/>
              <w:ind w:left="432" w:leftChars="0" w:right="0" w:rightChars="0" w:hanging="432" w:firstLineChars="0"/>
              <w:jc w:val="center"/>
              <w:textAlignment w:val="auto"/>
              <w:rPr>
                <w:rFonts w:hint="default" w:ascii="Times New Roman" w:hAnsi="Times New Roman" w:eastAsia="宋体" w:cs="Times New Roman"/>
                <w:b/>
                <w:snapToGrid/>
                <w:color w:val="000000"/>
                <w:sz w:val="24"/>
                <w:szCs w:val="24"/>
                <w:highlight w:val="none"/>
                <w:lang w:val="en-US" w:eastAsia="zh-CN"/>
              </w:rPr>
            </w:pPr>
            <w:r>
              <w:rPr>
                <w:rFonts w:hint="default" w:ascii="Times New Roman" w:hAnsi="Times New Roman" w:eastAsia="宋体" w:cs="Times New Roman"/>
                <w:b/>
                <w:bCs/>
                <w:snapToGrid/>
                <w:color w:val="000000"/>
                <w:kern w:val="2"/>
                <w:sz w:val="24"/>
                <w:szCs w:val="24"/>
                <w:lang w:val="en-US" w:eastAsia="zh-CN" w:bidi="ar-SA"/>
              </w:rPr>
              <w:t>表1-</w:t>
            </w:r>
            <w:r>
              <w:rPr>
                <w:rFonts w:hint="eastAsia" w:cs="Times New Roman"/>
                <w:b/>
                <w:bCs/>
                <w:snapToGrid/>
                <w:color w:val="000000"/>
                <w:kern w:val="2"/>
                <w:sz w:val="24"/>
                <w:szCs w:val="24"/>
                <w:lang w:val="en-US" w:eastAsia="zh-CN" w:bidi="ar-SA"/>
              </w:rPr>
              <w:t>5</w:t>
            </w:r>
            <w:r>
              <w:rPr>
                <w:rFonts w:hint="default" w:ascii="Times New Roman" w:hAnsi="Times New Roman" w:eastAsia="宋体" w:cs="Times New Roman"/>
                <w:b/>
                <w:bCs/>
                <w:snapToGrid/>
                <w:color w:val="000000"/>
                <w:kern w:val="2"/>
                <w:sz w:val="24"/>
                <w:szCs w:val="24"/>
                <w:lang w:val="en-US" w:eastAsia="zh-CN" w:bidi="ar-SA"/>
              </w:rPr>
              <w:t xml:space="preserve">  </w:t>
            </w:r>
            <w:r>
              <w:rPr>
                <w:rFonts w:hint="default" w:ascii="Times New Roman" w:hAnsi="Times New Roman" w:eastAsia="宋体" w:cs="Times New Roman"/>
                <w:b/>
                <w:bCs/>
                <w:snapToGrid/>
                <w:color w:val="000000"/>
                <w:sz w:val="24"/>
                <w:szCs w:val="24"/>
                <w:highlight w:val="none"/>
                <w:lang w:val="en-US" w:eastAsia="zh-CN"/>
              </w:rPr>
              <w:t>与《山东省空气质量持续改善暨第三轮“四减四增”行动实施方</w:t>
            </w:r>
            <w:r>
              <w:rPr>
                <w:rFonts w:hint="default" w:ascii="Times New Roman" w:hAnsi="Times New Roman" w:eastAsia="宋体" w:cs="Times New Roman"/>
                <w:b/>
                <w:snapToGrid/>
                <w:color w:val="000000"/>
                <w:sz w:val="24"/>
                <w:szCs w:val="24"/>
                <w:highlight w:val="none"/>
                <w:lang w:val="en-US" w:eastAsia="zh-CN"/>
              </w:rPr>
              <w:t>案》符合性</w:t>
            </w:r>
          </w:p>
          <w:tbl>
            <w:tblPr>
              <w:tblStyle w:val="35"/>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9"/>
              <w:gridCol w:w="1214"/>
              <w:gridCol w:w="840"/>
            </w:tblGrid>
            <w:tr w14:paraId="691E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9" w:type="dxa"/>
                  <w:tcBorders>
                    <w:top w:val="single" w:color="auto" w:sz="12" w:space="0"/>
                    <w:left w:val="single" w:color="auto" w:sz="12" w:space="0"/>
                  </w:tcBorders>
                  <w:noWrap w:val="0"/>
                  <w:vAlign w:val="center"/>
                </w:tcPr>
                <w:p w14:paraId="3FFEF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outlineLvl w:val="9"/>
                    <w:rPr>
                      <w:rFonts w:hint="default" w:ascii="Times New Roman" w:hAnsi="Times New Roman" w:eastAsia="宋体" w:cs="Times New Roman"/>
                      <w:b/>
                      <w:bCs/>
                      <w:caps w:val="0"/>
                      <w:smallCaps w:val="0"/>
                      <w:color w:val="000000"/>
                      <w:spacing w:val="0"/>
                      <w:w w:val="100"/>
                      <w:kern w:val="0"/>
                      <w:position w:val="0"/>
                      <w:sz w:val="21"/>
                      <w:szCs w:val="21"/>
                      <w:highlight w:val="none"/>
                      <w:lang w:val="en-US" w:eastAsia="zh-CN"/>
                    </w:rPr>
                  </w:pPr>
                  <w:r>
                    <w:rPr>
                      <w:rFonts w:hint="default" w:ascii="Times New Roman" w:hAnsi="Times New Roman" w:eastAsia="宋体" w:cs="Times New Roman"/>
                      <w:b/>
                      <w:bCs/>
                      <w:caps w:val="0"/>
                      <w:smallCaps w:val="0"/>
                      <w:color w:val="000000"/>
                      <w:spacing w:val="0"/>
                      <w:w w:val="100"/>
                      <w:kern w:val="0"/>
                      <w:position w:val="0"/>
                      <w:sz w:val="21"/>
                      <w:szCs w:val="21"/>
                      <w:highlight w:val="none"/>
                      <w:lang w:val="en-US" w:eastAsia="zh-CN"/>
                    </w:rPr>
                    <w:t>要求</w:t>
                  </w:r>
                </w:p>
              </w:tc>
              <w:tc>
                <w:tcPr>
                  <w:tcW w:w="1214" w:type="dxa"/>
                  <w:tcBorders>
                    <w:top w:val="single" w:color="auto" w:sz="12" w:space="0"/>
                  </w:tcBorders>
                  <w:noWrap w:val="0"/>
                  <w:vAlign w:val="center"/>
                </w:tcPr>
                <w:p w14:paraId="039849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outlineLvl w:val="9"/>
                    <w:rPr>
                      <w:rFonts w:hint="default" w:ascii="Times New Roman" w:hAnsi="Times New Roman" w:eastAsia="宋体" w:cs="Times New Roman"/>
                      <w:b/>
                      <w:bCs/>
                      <w:caps w:val="0"/>
                      <w:smallCaps w:val="0"/>
                      <w:color w:val="000000"/>
                      <w:spacing w:val="0"/>
                      <w:w w:val="100"/>
                      <w:kern w:val="0"/>
                      <w:position w:val="0"/>
                      <w:sz w:val="21"/>
                      <w:szCs w:val="21"/>
                      <w:highlight w:val="none"/>
                      <w:lang w:val="en-US" w:eastAsia="zh-CN"/>
                    </w:rPr>
                  </w:pPr>
                  <w:r>
                    <w:rPr>
                      <w:rFonts w:hint="eastAsia" w:ascii="Times New Roman" w:hAnsi="Times New Roman" w:eastAsia="宋体" w:cs="Times New Roman"/>
                      <w:b/>
                      <w:bCs/>
                      <w:caps w:val="0"/>
                      <w:smallCaps w:val="0"/>
                      <w:color w:val="000000"/>
                      <w:spacing w:val="0"/>
                      <w:w w:val="100"/>
                      <w:kern w:val="0"/>
                      <w:position w:val="0"/>
                      <w:sz w:val="21"/>
                      <w:szCs w:val="21"/>
                      <w:highlight w:val="none"/>
                      <w:lang w:val="en-US" w:eastAsia="zh-CN"/>
                    </w:rPr>
                    <w:t>园区</w:t>
                  </w:r>
                  <w:r>
                    <w:rPr>
                      <w:rFonts w:hint="default" w:ascii="Times New Roman" w:hAnsi="Times New Roman" w:eastAsia="宋体" w:cs="Times New Roman"/>
                      <w:b/>
                      <w:bCs/>
                      <w:caps w:val="0"/>
                      <w:smallCaps w:val="0"/>
                      <w:color w:val="000000"/>
                      <w:spacing w:val="0"/>
                      <w:w w:val="100"/>
                      <w:kern w:val="0"/>
                      <w:position w:val="0"/>
                      <w:sz w:val="21"/>
                      <w:szCs w:val="21"/>
                      <w:highlight w:val="none"/>
                      <w:lang w:val="en-US" w:eastAsia="zh-CN"/>
                    </w:rPr>
                    <w:t>情况</w:t>
                  </w:r>
                </w:p>
              </w:tc>
              <w:tc>
                <w:tcPr>
                  <w:tcW w:w="840" w:type="dxa"/>
                  <w:tcBorders>
                    <w:top w:val="single" w:color="auto" w:sz="12" w:space="0"/>
                    <w:right w:val="single" w:color="auto" w:sz="12" w:space="0"/>
                  </w:tcBorders>
                  <w:noWrap w:val="0"/>
                  <w:vAlign w:val="center"/>
                </w:tcPr>
                <w:p w14:paraId="79AC26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outlineLvl w:val="9"/>
                    <w:rPr>
                      <w:rFonts w:hint="default" w:ascii="Times New Roman" w:hAnsi="Times New Roman" w:eastAsia="宋体" w:cs="Times New Roman"/>
                      <w:b/>
                      <w:caps w:val="0"/>
                      <w:smallCaps w:val="0"/>
                      <w:color w:val="000000"/>
                      <w:spacing w:val="0"/>
                      <w:w w:val="100"/>
                      <w:kern w:val="0"/>
                      <w:position w:val="0"/>
                      <w:sz w:val="21"/>
                      <w:szCs w:val="21"/>
                      <w:highlight w:val="none"/>
                    </w:rPr>
                  </w:pPr>
                  <w:r>
                    <w:rPr>
                      <w:rFonts w:hint="default" w:ascii="Times New Roman" w:hAnsi="Times New Roman" w:eastAsia="宋体" w:cs="Times New Roman"/>
                      <w:b/>
                      <w:caps w:val="0"/>
                      <w:smallCaps w:val="0"/>
                      <w:color w:val="000000"/>
                      <w:spacing w:val="0"/>
                      <w:w w:val="100"/>
                      <w:kern w:val="0"/>
                      <w:position w:val="0"/>
                      <w:sz w:val="21"/>
                      <w:szCs w:val="21"/>
                      <w:highlight w:val="none"/>
                    </w:rPr>
                    <w:t>符合性</w:t>
                  </w:r>
                </w:p>
              </w:tc>
            </w:tr>
            <w:tr w14:paraId="199B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9" w:type="dxa"/>
                  <w:tcBorders>
                    <w:left w:val="single" w:color="auto" w:sz="12" w:space="0"/>
                  </w:tcBorders>
                  <w:noWrap w:val="0"/>
                  <w:vAlign w:val="center"/>
                </w:tcPr>
                <w:p w14:paraId="51C6EA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both"/>
                    <w:textAlignment w:val="auto"/>
                    <w:outlineLvl w:val="9"/>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pPr>
                  <w:r>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t>严格环境准入。坚决遏制高耗能、高排放、低水平项目盲目上马，新、改、扩建项目严格落实国家和省产业规划、产业政策</w:t>
                  </w:r>
                  <w:r>
                    <w:rPr>
                      <w:rFonts w:hint="eastAsia" w:ascii="Times New Roman" w:hAnsi="Times New Roman" w:eastAsia="宋体" w:cs="Times New Roman"/>
                      <w:caps w:val="0"/>
                      <w:smallCaps w:val="0"/>
                      <w:color w:val="000000"/>
                      <w:spacing w:val="0"/>
                      <w:w w:val="100"/>
                      <w:kern w:val="0"/>
                      <w:position w:val="0"/>
                      <w:sz w:val="21"/>
                      <w:szCs w:val="21"/>
                      <w:highlight w:val="none"/>
                      <w:lang w:val="en-US" w:eastAsia="zh-CN"/>
                    </w:rPr>
                    <w:t>、生态环境分区管控方案、规划环评、项目环评、规划水土保持审查、节能审查、产能置换、重点污染物总量控制、污染物排放区域削减、碳排放达峰目标等相关要求，原则上采用清洁运输方式。</w:t>
                  </w:r>
                </w:p>
              </w:tc>
              <w:tc>
                <w:tcPr>
                  <w:tcW w:w="1214" w:type="dxa"/>
                  <w:noWrap w:val="0"/>
                  <w:vAlign w:val="center"/>
                </w:tcPr>
                <w:p w14:paraId="2C01D1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both"/>
                    <w:textAlignment w:val="auto"/>
                    <w:outlineLvl w:val="9"/>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pPr>
                  <w:r>
                    <w:rPr>
                      <w:rFonts w:hint="eastAsia" w:ascii="Times New Roman" w:hAnsi="Times New Roman" w:cs="Times New Roman"/>
                      <w:caps w:val="0"/>
                      <w:smallCaps w:val="0"/>
                      <w:color w:val="000000"/>
                      <w:spacing w:val="0"/>
                      <w:w w:val="100"/>
                      <w:kern w:val="0"/>
                      <w:position w:val="0"/>
                      <w:sz w:val="21"/>
                      <w:szCs w:val="21"/>
                      <w:highlight w:val="none"/>
                      <w:lang w:val="en-US" w:eastAsia="zh-CN"/>
                    </w:rPr>
                    <w:t>本</w:t>
                  </w:r>
                  <w:r>
                    <w:rPr>
                      <w:rFonts w:hint="eastAsia" w:ascii="Times New Roman" w:hAnsi="Times New Roman" w:eastAsia="宋体" w:cs="Times New Roman"/>
                      <w:caps w:val="0"/>
                      <w:smallCaps w:val="0"/>
                      <w:color w:val="000000"/>
                      <w:spacing w:val="0"/>
                      <w:w w:val="100"/>
                      <w:kern w:val="0"/>
                      <w:position w:val="0"/>
                      <w:sz w:val="21"/>
                      <w:szCs w:val="21"/>
                      <w:highlight w:val="none"/>
                      <w:lang w:val="en-US" w:eastAsia="zh-CN"/>
                    </w:rPr>
                    <w:t>项目</w:t>
                  </w:r>
                  <w:r>
                    <w:rPr>
                      <w:rFonts w:hint="eastAsia" w:ascii="Times New Roman" w:hAnsi="Times New Roman" w:cs="Times New Roman"/>
                      <w:caps w:val="0"/>
                      <w:smallCaps w:val="0"/>
                      <w:color w:val="000000"/>
                      <w:spacing w:val="0"/>
                      <w:w w:val="100"/>
                      <w:kern w:val="0"/>
                      <w:position w:val="0"/>
                      <w:sz w:val="21"/>
                      <w:szCs w:val="21"/>
                      <w:highlight w:val="none"/>
                      <w:lang w:val="en-US" w:eastAsia="zh-CN"/>
                    </w:rPr>
                    <w:t>不属于</w:t>
                  </w:r>
                  <w:r>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t>高耗能、高排放、低水平项目</w:t>
                  </w:r>
                  <w:r>
                    <w:rPr>
                      <w:rFonts w:hint="eastAsia" w:ascii="Times New Roman" w:hAnsi="Times New Roman" w:eastAsia="宋体" w:cs="Times New Roman"/>
                      <w:caps w:val="0"/>
                      <w:smallCaps w:val="0"/>
                      <w:color w:val="000000"/>
                      <w:spacing w:val="0"/>
                      <w:w w:val="100"/>
                      <w:kern w:val="0"/>
                      <w:position w:val="0"/>
                      <w:sz w:val="21"/>
                      <w:szCs w:val="21"/>
                      <w:highlight w:val="none"/>
                      <w:lang w:val="en-US" w:eastAsia="zh-CN"/>
                    </w:rPr>
                    <w:t>。</w:t>
                  </w:r>
                </w:p>
              </w:tc>
              <w:tc>
                <w:tcPr>
                  <w:tcW w:w="840" w:type="dxa"/>
                  <w:tcBorders>
                    <w:right w:val="single" w:color="auto" w:sz="12" w:space="0"/>
                  </w:tcBorders>
                  <w:noWrap w:val="0"/>
                  <w:vAlign w:val="center"/>
                </w:tcPr>
                <w:p w14:paraId="15F21C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outlineLvl w:val="9"/>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pPr>
                  <w:r>
                    <w:rPr>
                      <w:rFonts w:hint="default" w:ascii="Times New Roman" w:hAnsi="Times New Roman" w:cs="Times New Roman"/>
                      <w:caps w:val="0"/>
                      <w:smallCaps w:val="0"/>
                      <w:color w:val="000000"/>
                      <w:spacing w:val="0"/>
                      <w:w w:val="100"/>
                      <w:kern w:val="0"/>
                      <w:position w:val="0"/>
                      <w:sz w:val="21"/>
                      <w:szCs w:val="21"/>
                      <w:highlight w:val="none"/>
                      <w:lang w:val="en-US" w:eastAsia="zh-CN"/>
                    </w:rPr>
                    <w:t>符合</w:t>
                  </w:r>
                </w:p>
              </w:tc>
            </w:tr>
            <w:tr w14:paraId="6138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9" w:type="dxa"/>
                  <w:tcBorders>
                    <w:left w:val="single" w:color="auto" w:sz="12" w:space="0"/>
                  </w:tcBorders>
                  <w:noWrap w:val="0"/>
                  <w:vAlign w:val="center"/>
                </w:tcPr>
                <w:p w14:paraId="2EC0B1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both"/>
                    <w:textAlignment w:val="auto"/>
                    <w:outlineLvl w:val="9"/>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pPr>
                  <w:r>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t>优化调整重点行业结构。重点区域进一步提高落后产能能耗、环保、质量、安全、技术等要求，逐步退出限制类涉气行业工艺</w:t>
                  </w:r>
                  <w:r>
                    <w:rPr>
                      <w:rFonts w:hint="eastAsia" w:ascii="Times New Roman" w:hAnsi="Times New Roman" w:eastAsia="宋体" w:cs="Times New Roman"/>
                      <w:caps w:val="0"/>
                      <w:smallCaps w:val="0"/>
                      <w:color w:val="000000"/>
                      <w:spacing w:val="0"/>
                      <w:w w:val="100"/>
                      <w:kern w:val="0"/>
                      <w:position w:val="0"/>
                      <w:sz w:val="21"/>
                      <w:szCs w:val="21"/>
                      <w:highlight w:val="none"/>
                      <w:lang w:val="en-US" w:eastAsia="zh-CN"/>
                    </w:rPr>
                    <w:t>和装备；逐步淘汰步进式烧结机和球团竖炉以及半封闭式硅锰合金、镍铁、高碳铬铁、高碳锰铁电炉。</w:t>
                  </w:r>
                  <w:r>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t>引导钢铁、水泥、焦化、电解铝等产业有序调整优化。到2025年，</w:t>
                  </w:r>
                  <w:r>
                    <w:rPr>
                      <w:rFonts w:hint="eastAsia" w:ascii="Times New Roman" w:hAnsi="Times New Roman" w:eastAsia="宋体" w:cs="Times New Roman"/>
                      <w:caps w:val="0"/>
                      <w:smallCaps w:val="0"/>
                      <w:color w:val="000000"/>
                      <w:spacing w:val="0"/>
                      <w:w w:val="100"/>
                      <w:kern w:val="0"/>
                      <w:position w:val="0"/>
                      <w:sz w:val="21"/>
                      <w:szCs w:val="21"/>
                      <w:highlight w:val="none"/>
                      <w:lang w:val="en-US" w:eastAsia="zh-CN"/>
                    </w:rPr>
                    <w:t>2500吨/日水泥熟料生产线（特种水泥熟料和化工配套水泥熟料生产线除外）全部整合退出。2024年年底前，济宁、滨州、菏泽3市完成焦化退出装置关停；2025年6月底前，济南、枣庄、潍坊、泰安、日照、德州6市完成焦化退出装置关停，全省焦化装置产能压减至3300万吨左右。</w:t>
                  </w:r>
                </w:p>
              </w:tc>
              <w:tc>
                <w:tcPr>
                  <w:tcW w:w="1214" w:type="dxa"/>
                  <w:noWrap w:val="0"/>
                  <w:vAlign w:val="center"/>
                </w:tcPr>
                <w:p w14:paraId="2A4650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both"/>
                    <w:textAlignment w:val="auto"/>
                    <w:outlineLvl w:val="9"/>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pPr>
                  <w:r>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t>项目</w:t>
                  </w:r>
                  <w:r>
                    <w:rPr>
                      <w:rFonts w:hint="eastAsia" w:ascii="Times New Roman" w:hAnsi="Times New Roman" w:eastAsia="宋体" w:cs="Times New Roman"/>
                      <w:caps w:val="0"/>
                      <w:smallCaps w:val="0"/>
                      <w:color w:val="000000"/>
                      <w:spacing w:val="0"/>
                      <w:w w:val="100"/>
                      <w:kern w:val="0"/>
                      <w:position w:val="0"/>
                      <w:sz w:val="21"/>
                      <w:szCs w:val="21"/>
                      <w:highlight w:val="none"/>
                      <w:lang w:val="en-US" w:eastAsia="zh-CN"/>
                    </w:rPr>
                    <w:t>不属于落后产能。</w:t>
                  </w:r>
                </w:p>
              </w:tc>
              <w:tc>
                <w:tcPr>
                  <w:tcW w:w="840" w:type="dxa"/>
                  <w:tcBorders>
                    <w:right w:val="single" w:color="auto" w:sz="12" w:space="0"/>
                  </w:tcBorders>
                  <w:noWrap w:val="0"/>
                  <w:vAlign w:val="center"/>
                </w:tcPr>
                <w:p w14:paraId="3D6CC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outlineLvl w:val="9"/>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pPr>
                  <w:r>
                    <w:rPr>
                      <w:rFonts w:hint="default" w:ascii="Times New Roman" w:hAnsi="Times New Roman" w:cs="Times New Roman"/>
                      <w:caps w:val="0"/>
                      <w:smallCaps w:val="0"/>
                      <w:color w:val="000000"/>
                      <w:spacing w:val="0"/>
                      <w:w w:val="100"/>
                      <w:kern w:val="0"/>
                      <w:position w:val="0"/>
                      <w:sz w:val="21"/>
                      <w:szCs w:val="21"/>
                      <w:highlight w:val="none"/>
                      <w:lang w:val="en-US" w:eastAsia="zh-CN"/>
                    </w:rPr>
                    <w:t>符合</w:t>
                  </w:r>
                </w:p>
              </w:tc>
            </w:tr>
            <w:tr w14:paraId="5AF1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9" w:type="dxa"/>
                  <w:tcBorders>
                    <w:left w:val="single" w:color="auto" w:sz="12" w:space="0"/>
                  </w:tcBorders>
                  <w:noWrap w:val="0"/>
                  <w:vAlign w:val="center"/>
                </w:tcPr>
                <w:p w14:paraId="2ED9E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both"/>
                    <w:textAlignment w:val="auto"/>
                    <w:outlineLvl w:val="9"/>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pPr>
                  <w:r>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t>积极开展燃煤锅炉关停整合。各市要将燃煤供热锅炉替代项目纳入城镇供热规划。县级及以上城市建成区原则上不再新建35蒸</w:t>
                  </w:r>
                  <w:r>
                    <w:rPr>
                      <w:rFonts w:hint="eastAsia" w:ascii="Times New Roman" w:hAnsi="Times New Roman" w:eastAsia="宋体" w:cs="Times New Roman"/>
                      <w:caps w:val="0"/>
                      <w:smallCaps w:val="0"/>
                      <w:color w:val="000000"/>
                      <w:spacing w:val="0"/>
                      <w:w w:val="100"/>
                      <w:kern w:val="0"/>
                      <w:position w:val="0"/>
                      <w:sz w:val="21"/>
                      <w:szCs w:val="21"/>
                      <w:highlight w:val="none"/>
                      <w:lang w:val="en-US" w:eastAsia="zh-CN"/>
                    </w:rPr>
                    <w:t>吨/小时及以下的燃煤锅炉，重点区域原则上不再新建燃煤锅炉。</w:t>
                  </w:r>
                </w:p>
              </w:tc>
              <w:tc>
                <w:tcPr>
                  <w:tcW w:w="1214" w:type="dxa"/>
                  <w:noWrap w:val="0"/>
                  <w:vAlign w:val="center"/>
                </w:tcPr>
                <w:p w14:paraId="50D238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both"/>
                    <w:textAlignment w:val="auto"/>
                    <w:outlineLvl w:val="9"/>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pPr>
                  <w:r>
                    <w:rPr>
                      <w:rFonts w:hint="eastAsia" w:ascii="Times New Roman" w:hAnsi="Times New Roman" w:eastAsia="宋体" w:cs="Times New Roman"/>
                      <w:caps w:val="0"/>
                      <w:smallCaps w:val="0"/>
                      <w:color w:val="000000"/>
                      <w:spacing w:val="0"/>
                      <w:w w:val="100"/>
                      <w:kern w:val="0"/>
                      <w:position w:val="0"/>
                      <w:sz w:val="21"/>
                      <w:szCs w:val="21"/>
                      <w:highlight w:val="none"/>
                      <w:lang w:val="en-US" w:eastAsia="zh-CN"/>
                    </w:rPr>
                    <w:t>项目不涉及燃煤锅炉</w:t>
                  </w:r>
                </w:p>
              </w:tc>
              <w:tc>
                <w:tcPr>
                  <w:tcW w:w="840" w:type="dxa"/>
                  <w:tcBorders>
                    <w:right w:val="single" w:color="auto" w:sz="12" w:space="0"/>
                  </w:tcBorders>
                  <w:noWrap w:val="0"/>
                  <w:vAlign w:val="center"/>
                </w:tcPr>
                <w:p w14:paraId="52C94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outlineLvl w:val="9"/>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pPr>
                  <w:r>
                    <w:rPr>
                      <w:rFonts w:hint="default" w:ascii="Times New Roman" w:hAnsi="Times New Roman" w:cs="Times New Roman"/>
                      <w:caps w:val="0"/>
                      <w:smallCaps w:val="0"/>
                      <w:color w:val="000000"/>
                      <w:spacing w:val="0"/>
                      <w:w w:val="100"/>
                      <w:kern w:val="0"/>
                      <w:position w:val="0"/>
                      <w:sz w:val="21"/>
                      <w:szCs w:val="21"/>
                      <w:highlight w:val="none"/>
                      <w:lang w:val="en-US" w:eastAsia="zh-CN"/>
                    </w:rPr>
                    <w:t>符合</w:t>
                  </w:r>
                </w:p>
              </w:tc>
            </w:tr>
            <w:tr w14:paraId="165B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99" w:type="dxa"/>
                  <w:tcBorders>
                    <w:left w:val="single" w:color="auto" w:sz="12" w:space="0"/>
                    <w:bottom w:val="single" w:color="auto" w:sz="12" w:space="0"/>
                  </w:tcBorders>
                  <w:noWrap w:val="0"/>
                  <w:vAlign w:val="center"/>
                </w:tcPr>
                <w:p w14:paraId="35A6A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both"/>
                    <w:textAlignment w:val="auto"/>
                    <w:outlineLvl w:val="9"/>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pPr>
                  <w:r>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t>开展餐饮油烟、恶臭异味专项治理。禁止在居民住宅楼、未配套设立专用烟道的商住综合楼以及商住综合楼内与居住层相邻的</w:t>
                  </w:r>
                  <w:r>
                    <w:rPr>
                      <w:rFonts w:hint="eastAsia" w:ascii="Times New Roman" w:hAnsi="Times New Roman" w:eastAsia="宋体" w:cs="Times New Roman"/>
                      <w:caps w:val="0"/>
                      <w:smallCaps w:val="0"/>
                      <w:color w:val="000000"/>
                      <w:spacing w:val="0"/>
                      <w:w w:val="100"/>
                      <w:kern w:val="0"/>
                      <w:position w:val="0"/>
                      <w:sz w:val="21"/>
                      <w:szCs w:val="21"/>
                      <w:highlight w:val="none"/>
                      <w:lang w:val="en-US" w:eastAsia="zh-CN"/>
                    </w:rPr>
                    <w:t>商业楼层内新建、改建、扩建产生油烟、异味、废气的餐饮服务项目。推动化工、制药、工业涂装等行业，以及垃圾、污水集中式污染处理设施等加大密闭收集力度，采取除臭措施，防止恶臭污染。对群众反映强烈的恶臭异味扰民问题加强排查整治。</w:t>
                  </w:r>
                </w:p>
              </w:tc>
              <w:tc>
                <w:tcPr>
                  <w:tcW w:w="1214" w:type="dxa"/>
                  <w:tcBorders>
                    <w:bottom w:val="single" w:color="auto" w:sz="12" w:space="0"/>
                  </w:tcBorders>
                  <w:noWrap w:val="0"/>
                  <w:vAlign w:val="center"/>
                </w:tcPr>
                <w:p w14:paraId="20734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both"/>
                    <w:textAlignment w:val="auto"/>
                    <w:outlineLvl w:val="9"/>
                    <w:rPr>
                      <w:rFonts w:hint="default" w:ascii="Times New Roman" w:hAnsi="Times New Roman" w:eastAsia="宋体" w:cs="Times New Roman"/>
                      <w:caps w:val="0"/>
                      <w:smallCaps w:val="0"/>
                      <w:color w:val="000000"/>
                      <w:spacing w:val="0"/>
                      <w:w w:val="100"/>
                      <w:kern w:val="0"/>
                      <w:position w:val="0"/>
                      <w:sz w:val="21"/>
                      <w:szCs w:val="21"/>
                      <w:highlight w:val="none"/>
                      <w:lang w:val="en-US" w:eastAsia="zh-CN"/>
                    </w:rPr>
                  </w:pPr>
                  <w:r>
                    <w:rPr>
                      <w:rFonts w:hint="eastAsia" w:ascii="Times New Roman" w:hAnsi="Times New Roman" w:eastAsia="宋体" w:cs="Times New Roman"/>
                      <w:caps w:val="0"/>
                      <w:smallCaps w:val="0"/>
                      <w:color w:val="000000"/>
                      <w:spacing w:val="0"/>
                      <w:w w:val="100"/>
                      <w:kern w:val="0"/>
                      <w:position w:val="0"/>
                      <w:sz w:val="21"/>
                      <w:szCs w:val="21"/>
                      <w:highlight w:val="none"/>
                      <w:lang w:val="en-US" w:eastAsia="zh-CN"/>
                    </w:rPr>
                    <w:t>项目污水处理站</w:t>
                  </w:r>
                  <w:r>
                    <w:rPr>
                      <w:rFonts w:hint="eastAsia" w:cs="Times New Roman"/>
                      <w:caps w:val="0"/>
                      <w:smallCaps w:val="0"/>
                      <w:color w:val="000000"/>
                      <w:spacing w:val="0"/>
                      <w:w w:val="100"/>
                      <w:kern w:val="0"/>
                      <w:position w:val="0"/>
                      <w:sz w:val="21"/>
                      <w:szCs w:val="21"/>
                      <w:highlight w:val="none"/>
                      <w:lang w:val="en-US" w:eastAsia="zh-CN"/>
                    </w:rPr>
                    <w:t>加盖密闭，</w:t>
                  </w:r>
                  <w:r>
                    <w:rPr>
                      <w:rFonts w:hint="eastAsia" w:ascii="Times New Roman" w:hAnsi="Times New Roman" w:eastAsia="宋体" w:cs="Times New Roman"/>
                      <w:caps w:val="0"/>
                      <w:smallCaps w:val="0"/>
                      <w:color w:val="000000"/>
                      <w:spacing w:val="0"/>
                      <w:w w:val="100"/>
                      <w:kern w:val="0"/>
                      <w:position w:val="0"/>
                      <w:sz w:val="21"/>
                      <w:szCs w:val="21"/>
                      <w:highlight w:val="none"/>
                      <w:lang w:val="en-US" w:eastAsia="zh-CN"/>
                    </w:rPr>
                    <w:t>恶臭气体经喷洒除臭剂后无组织排放。</w:t>
                  </w:r>
                </w:p>
              </w:tc>
              <w:tc>
                <w:tcPr>
                  <w:tcW w:w="840" w:type="dxa"/>
                  <w:tcBorders>
                    <w:bottom w:val="single" w:color="auto" w:sz="12" w:space="0"/>
                    <w:right w:val="single" w:color="auto" w:sz="12" w:space="0"/>
                  </w:tcBorders>
                  <w:noWrap w:val="0"/>
                  <w:vAlign w:val="center"/>
                </w:tcPr>
                <w:p w14:paraId="07BEE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outlineLvl w:val="9"/>
                    <w:rPr>
                      <w:rFonts w:hint="default" w:ascii="Times New Roman" w:hAnsi="Times New Roman" w:cs="Times New Roman"/>
                      <w:caps w:val="0"/>
                      <w:smallCaps w:val="0"/>
                      <w:color w:val="000000"/>
                      <w:spacing w:val="0"/>
                      <w:w w:val="100"/>
                      <w:kern w:val="0"/>
                      <w:position w:val="0"/>
                      <w:sz w:val="21"/>
                      <w:szCs w:val="21"/>
                      <w:highlight w:val="none"/>
                      <w:lang w:val="en-US" w:eastAsia="zh-CN"/>
                    </w:rPr>
                  </w:pPr>
                  <w:r>
                    <w:rPr>
                      <w:rFonts w:hint="default" w:ascii="Times New Roman" w:hAnsi="Times New Roman" w:cs="Times New Roman"/>
                      <w:caps w:val="0"/>
                      <w:smallCaps w:val="0"/>
                      <w:color w:val="000000"/>
                      <w:spacing w:val="0"/>
                      <w:w w:val="100"/>
                      <w:kern w:val="0"/>
                      <w:position w:val="0"/>
                      <w:sz w:val="21"/>
                      <w:szCs w:val="21"/>
                      <w:highlight w:val="none"/>
                      <w:lang w:val="en-US" w:eastAsia="zh-CN"/>
                    </w:rPr>
                    <w:t>符合</w:t>
                  </w:r>
                </w:p>
              </w:tc>
            </w:tr>
          </w:tbl>
          <w:p w14:paraId="5FE903A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综上，本项目建设符合《</w:t>
            </w:r>
            <w:r>
              <w:rPr>
                <w:rFonts w:hint="default" w:ascii="Times New Roman" w:hAnsi="Times New Roman" w:eastAsia="宋体" w:cs="Times New Roman"/>
                <w:color w:val="auto"/>
                <w:sz w:val="24"/>
                <w:szCs w:val="24"/>
                <w:highlight w:val="none"/>
              </w:rPr>
              <w:t>山东省空气质量持续改善暨第三轮“四减四增”行动实施方案</w:t>
            </w:r>
            <w:r>
              <w:rPr>
                <w:rFonts w:hint="default" w:ascii="Times New Roman" w:hAnsi="Times New Roman" w:eastAsia="宋体" w:cs="Times New Roman"/>
                <w:color w:val="auto"/>
                <w:sz w:val="24"/>
                <w:szCs w:val="24"/>
                <w:lang w:val="en-US" w:eastAsia="zh-CN"/>
              </w:rPr>
              <w:t>》的要求。</w:t>
            </w:r>
          </w:p>
          <w:p w14:paraId="2AEE0A54">
            <w:pPr>
              <w:pStyle w:val="5"/>
              <w:numPr>
                <w:ilvl w:val="0"/>
                <w:numId w:val="0"/>
              </w:numPr>
              <w:suppressLineNumbers w:val="0"/>
              <w:tabs>
                <w:tab w:val="clear" w:pos="1586"/>
              </w:tabs>
              <w:bidi w:val="0"/>
              <w:spacing w:before="0" w:beforeAutospacing="0" w:after="0" w:afterAutospacing="0" w:line="360" w:lineRule="auto"/>
              <w:ind w:left="0" w:leftChars="0" w:right="0" w:firstLine="482" w:firstLineChars="200"/>
              <w:rPr>
                <w:rFonts w:hint="default" w:ascii="Times New Roman" w:hAnsi="Times New Roman" w:eastAsia="宋体" w:cs="Times New Roman"/>
                <w:b/>
                <w:bCs/>
                <w:color w:val="auto"/>
                <w:spacing w:val="0"/>
                <w:kern w:val="2"/>
                <w:sz w:val="24"/>
                <w:szCs w:val="24"/>
                <w:lang w:val="en-US" w:eastAsia="zh-CN" w:bidi="ar-SA"/>
              </w:rPr>
            </w:pPr>
            <w:r>
              <w:rPr>
                <w:rFonts w:hint="eastAsia" w:ascii="Times New Roman" w:hAnsi="Times New Roman" w:eastAsia="宋体" w:cs="Times New Roman"/>
                <w:b/>
                <w:bCs/>
                <w:color w:val="auto"/>
                <w:spacing w:val="0"/>
                <w:kern w:val="2"/>
                <w:sz w:val="24"/>
                <w:szCs w:val="24"/>
                <w:lang w:val="en-US" w:eastAsia="zh-CN" w:bidi="ar-SA"/>
              </w:rPr>
              <w:t>8</w:t>
            </w:r>
            <w:r>
              <w:rPr>
                <w:rFonts w:hint="default" w:ascii="Times New Roman" w:hAnsi="Times New Roman" w:eastAsia="宋体" w:cs="Times New Roman"/>
                <w:b/>
                <w:bCs/>
                <w:color w:val="auto"/>
                <w:spacing w:val="0"/>
                <w:kern w:val="2"/>
                <w:sz w:val="24"/>
                <w:szCs w:val="24"/>
                <w:lang w:val="en-US" w:eastAsia="zh-CN" w:bidi="ar-SA"/>
              </w:rPr>
              <w:t>、与《济宁市“十四五”生态环境保护规划》符合性分析</w:t>
            </w:r>
          </w:p>
          <w:p w14:paraId="21CB2D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240" w:lineRule="auto"/>
              <w:ind w:left="432" w:leftChars="0" w:right="0" w:rightChars="0" w:hanging="432" w:firstLineChars="0"/>
              <w:jc w:val="center"/>
              <w:textAlignment w:val="auto"/>
              <w:rPr>
                <w:rFonts w:hint="default" w:ascii="Times New Roman" w:hAnsi="Times New Roman" w:eastAsia="宋体" w:cs="Times New Roman"/>
                <w:b/>
                <w:bCs/>
                <w:snapToGrid/>
                <w:color w:val="000000"/>
                <w:kern w:val="2"/>
                <w:sz w:val="24"/>
                <w:szCs w:val="24"/>
                <w:lang w:val="en-US" w:eastAsia="zh-CN" w:bidi="ar-SA"/>
              </w:rPr>
            </w:pPr>
            <w:r>
              <w:rPr>
                <w:rFonts w:hint="default" w:ascii="Times New Roman" w:hAnsi="Times New Roman" w:eastAsia="宋体" w:cs="Times New Roman"/>
                <w:b/>
                <w:bCs/>
                <w:snapToGrid/>
                <w:color w:val="000000"/>
                <w:kern w:val="2"/>
                <w:sz w:val="24"/>
                <w:szCs w:val="24"/>
                <w:lang w:val="en-US" w:eastAsia="zh-CN" w:bidi="ar-SA"/>
              </w:rPr>
              <w:t>表1-</w:t>
            </w:r>
            <w:r>
              <w:rPr>
                <w:rFonts w:hint="eastAsia" w:ascii="Times New Roman" w:hAnsi="Times New Roman" w:eastAsia="宋体" w:cs="Times New Roman"/>
                <w:b/>
                <w:bCs/>
                <w:snapToGrid/>
                <w:color w:val="000000"/>
                <w:kern w:val="2"/>
                <w:sz w:val="24"/>
                <w:szCs w:val="24"/>
                <w:lang w:val="en-US" w:eastAsia="zh-CN" w:bidi="ar-SA"/>
              </w:rPr>
              <w:t>6</w:t>
            </w:r>
            <w:r>
              <w:rPr>
                <w:rFonts w:hint="default" w:ascii="Times New Roman" w:hAnsi="Times New Roman" w:eastAsia="宋体" w:cs="Times New Roman"/>
                <w:b/>
                <w:bCs/>
                <w:snapToGrid/>
                <w:color w:val="000000"/>
                <w:kern w:val="2"/>
                <w:sz w:val="24"/>
                <w:szCs w:val="24"/>
                <w:lang w:val="en-US" w:eastAsia="zh-CN" w:bidi="ar-SA"/>
              </w:rPr>
              <w:t xml:space="preserve"> </w:t>
            </w:r>
            <w:r>
              <w:rPr>
                <w:rFonts w:hint="eastAsia" w:ascii="Times New Roman" w:hAnsi="Times New Roman" w:eastAsia="宋体" w:cs="Times New Roman"/>
                <w:b/>
                <w:bCs/>
                <w:snapToGrid/>
                <w:color w:val="000000"/>
                <w:kern w:val="2"/>
                <w:sz w:val="24"/>
                <w:szCs w:val="24"/>
                <w:lang w:val="en-US" w:eastAsia="zh-CN" w:bidi="ar-SA"/>
              </w:rPr>
              <w:t xml:space="preserve"> </w:t>
            </w:r>
            <w:r>
              <w:rPr>
                <w:rFonts w:hint="default" w:ascii="Times New Roman" w:hAnsi="Times New Roman" w:eastAsia="宋体" w:cs="Times New Roman"/>
                <w:b/>
                <w:bCs/>
                <w:snapToGrid/>
                <w:color w:val="000000"/>
                <w:kern w:val="2"/>
                <w:sz w:val="24"/>
                <w:szCs w:val="24"/>
                <w:lang w:val="en-US" w:eastAsia="zh-CN" w:bidi="ar-SA"/>
              </w:rPr>
              <w:t>与《济宁市“十四五”生态环境保护规划》符合性分析</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1238"/>
              <w:gridCol w:w="758"/>
            </w:tblGrid>
            <w:tr w14:paraId="6A7C7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2" w:type="pct"/>
                  <w:tcBorders>
                    <w:tl2br w:val="nil"/>
                    <w:tr2bl w:val="nil"/>
                  </w:tcBorders>
                  <w:noWrap w:val="0"/>
                  <w:vAlign w:val="center"/>
                </w:tcPr>
                <w:p w14:paraId="11FA3988">
                  <w:pPr>
                    <w:pStyle w:val="92"/>
                    <w:tabs>
                      <w:tab w:val="center" w:pos="105"/>
                      <w:tab w:val="center" w:pos="283"/>
                    </w:tabs>
                    <w:bidi w:val="0"/>
                    <w:rPr>
                      <w:rFonts w:hint="default" w:ascii="Times New Roman" w:hAnsi="Times New Roman" w:cs="Times New Roman"/>
                      <w:b/>
                      <w:bCs/>
                      <w:color w:val="auto"/>
                    </w:rPr>
                  </w:pPr>
                  <w:r>
                    <w:rPr>
                      <w:rFonts w:hint="default" w:ascii="Times New Roman" w:hAnsi="Times New Roman" w:cs="Times New Roman"/>
                      <w:b/>
                      <w:bCs/>
                      <w:color w:val="auto"/>
                    </w:rPr>
                    <w:t>规划要求</w:t>
                  </w:r>
                </w:p>
              </w:tc>
              <w:tc>
                <w:tcPr>
                  <w:tcW w:w="823" w:type="pct"/>
                  <w:tcBorders>
                    <w:tl2br w:val="nil"/>
                    <w:tr2bl w:val="nil"/>
                  </w:tcBorders>
                  <w:noWrap w:val="0"/>
                  <w:vAlign w:val="center"/>
                </w:tcPr>
                <w:p w14:paraId="0B5996E9">
                  <w:pPr>
                    <w:pStyle w:val="92"/>
                    <w:tabs>
                      <w:tab w:val="center" w:pos="105"/>
                      <w:tab w:val="center" w:pos="283"/>
                    </w:tabs>
                    <w:bidi w:val="0"/>
                    <w:rPr>
                      <w:rFonts w:hint="default" w:ascii="Times New Roman" w:hAnsi="Times New Roman" w:cs="Times New Roman"/>
                      <w:b/>
                      <w:bCs/>
                      <w:color w:val="auto"/>
                    </w:rPr>
                  </w:pPr>
                  <w:r>
                    <w:rPr>
                      <w:rFonts w:hint="default" w:ascii="Times New Roman" w:hAnsi="Times New Roman" w:cs="Times New Roman"/>
                      <w:b/>
                      <w:bCs/>
                      <w:color w:val="auto"/>
                    </w:rPr>
                    <w:t>项目情况</w:t>
                  </w:r>
                </w:p>
              </w:tc>
              <w:tc>
                <w:tcPr>
                  <w:tcW w:w="503" w:type="pct"/>
                  <w:tcBorders>
                    <w:tl2br w:val="nil"/>
                    <w:tr2bl w:val="nil"/>
                  </w:tcBorders>
                  <w:noWrap w:val="0"/>
                  <w:vAlign w:val="center"/>
                </w:tcPr>
                <w:p w14:paraId="7D130136">
                  <w:pPr>
                    <w:pStyle w:val="92"/>
                    <w:tabs>
                      <w:tab w:val="center" w:pos="105"/>
                      <w:tab w:val="center" w:pos="283"/>
                    </w:tabs>
                    <w:bidi w:val="0"/>
                    <w:rPr>
                      <w:rFonts w:hint="default" w:ascii="Times New Roman" w:hAnsi="Times New Roman" w:cs="Times New Roman"/>
                      <w:b/>
                      <w:bCs/>
                      <w:color w:val="auto"/>
                    </w:rPr>
                  </w:pPr>
                  <w:r>
                    <w:rPr>
                      <w:rFonts w:hint="default" w:ascii="Times New Roman" w:hAnsi="Times New Roman" w:cs="Times New Roman"/>
                      <w:b/>
                      <w:bCs/>
                      <w:color w:val="auto"/>
                    </w:rPr>
                    <w:t>符合性</w:t>
                  </w:r>
                </w:p>
              </w:tc>
            </w:tr>
            <w:tr w14:paraId="1C3A6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2" w:type="pct"/>
                  <w:tcBorders>
                    <w:tl2br w:val="nil"/>
                    <w:tr2bl w:val="nil"/>
                  </w:tcBorders>
                  <w:noWrap w:val="0"/>
                  <w:vAlign w:val="center"/>
                </w:tcPr>
                <w:p w14:paraId="1668C7E4">
                  <w:pPr>
                    <w:pStyle w:val="92"/>
                    <w:tabs>
                      <w:tab w:val="center" w:pos="105"/>
                      <w:tab w:val="center" w:pos="283"/>
                    </w:tabs>
                    <w:bidi w:val="0"/>
                    <w:jc w:val="left"/>
                    <w:rPr>
                      <w:rFonts w:hint="default" w:ascii="Times New Roman" w:hAnsi="Times New Roman" w:cs="Times New Roman"/>
                      <w:color w:val="auto"/>
                    </w:rPr>
                  </w:pPr>
                  <w:r>
                    <w:rPr>
                      <w:rFonts w:hint="default" w:ascii="Times New Roman" w:hAnsi="Times New Roman" w:cs="Times New Roman"/>
                      <w:color w:val="auto"/>
                    </w:rPr>
                    <w:t>加快推动产业结构调整</w:t>
                  </w:r>
                </w:p>
                <w:p w14:paraId="0F0807D3">
                  <w:pPr>
                    <w:pStyle w:val="92"/>
                    <w:tabs>
                      <w:tab w:val="center" w:pos="105"/>
                      <w:tab w:val="center" w:pos="283"/>
                    </w:tabs>
                    <w:bidi w:val="0"/>
                    <w:jc w:val="left"/>
                    <w:rPr>
                      <w:rFonts w:hint="default" w:ascii="Times New Roman" w:hAnsi="Times New Roman" w:cs="Times New Roman"/>
                      <w:color w:val="auto"/>
                    </w:rPr>
                  </w:pPr>
                  <w:r>
                    <w:rPr>
                      <w:rFonts w:hint="default" w:ascii="Times New Roman" w:hAnsi="Times New Roman" w:cs="Times New Roman"/>
                      <w:color w:val="auto"/>
                    </w:rPr>
                    <w:t>坚决遏制“两高”项目盲目发展。坚持环境质量“只能更好，不能变坏”的底线，严格落实污染物排放总量和产能总量控制刚性要求。坚决淘汰落后低效产能。严格落实产业结构调整指导目录，对“淘汰类”工艺和装备全部淘汰出清。精准聚焦煤电、水泥、轮胎、煤炭、化工、焦化等6个重点行业，加快淘汰低效落后产能。推进重点行业、园区绿色发展。有序推进焦化、铸造、建材、化工、工业涂装、包装印刷、电镀、造纸、纺织印染、农副食品加工等行业的全流程清洁化、循环化、低碳化改造。</w:t>
                  </w:r>
                </w:p>
              </w:tc>
              <w:tc>
                <w:tcPr>
                  <w:tcW w:w="823" w:type="pct"/>
                  <w:tcBorders>
                    <w:tl2br w:val="nil"/>
                    <w:tr2bl w:val="nil"/>
                  </w:tcBorders>
                  <w:noWrap w:val="0"/>
                  <w:vAlign w:val="center"/>
                </w:tcPr>
                <w:p w14:paraId="67CD2468">
                  <w:pPr>
                    <w:pStyle w:val="92"/>
                    <w:tabs>
                      <w:tab w:val="center" w:pos="105"/>
                      <w:tab w:val="center" w:pos="283"/>
                    </w:tabs>
                    <w:bidi w:val="0"/>
                    <w:jc w:val="left"/>
                    <w:rPr>
                      <w:rFonts w:hint="default" w:ascii="Times New Roman" w:hAnsi="Times New Roman" w:eastAsia="宋体" w:cs="Times New Roman"/>
                      <w:color w:val="auto"/>
                      <w:lang w:eastAsia="zh-CN"/>
                    </w:rPr>
                  </w:pPr>
                  <w:r>
                    <w:rPr>
                      <w:rFonts w:hint="default" w:ascii="Times New Roman" w:hAnsi="Times New Roman" w:cs="Times New Roman"/>
                      <w:color w:val="auto"/>
                    </w:rPr>
                    <w:t>本项目</w:t>
                  </w:r>
                  <w:r>
                    <w:rPr>
                      <w:rFonts w:hint="default" w:ascii="Times New Roman" w:hAnsi="Times New Roman" w:cs="Times New Roman"/>
                      <w:color w:val="auto"/>
                      <w:lang w:eastAsia="zh-CN"/>
                    </w:rPr>
                    <w:t>不属于“两高”项目；</w:t>
                  </w:r>
                  <w:r>
                    <w:rPr>
                      <w:rFonts w:hint="default" w:ascii="Times New Roman" w:hAnsi="Times New Roman" w:cs="Times New Roman"/>
                      <w:color w:val="auto"/>
                    </w:rPr>
                    <w:t>不使用“淘汰类”生产工艺</w:t>
                  </w:r>
                  <w:r>
                    <w:rPr>
                      <w:rFonts w:hint="default" w:ascii="Times New Roman" w:hAnsi="Times New Roman" w:cs="Times New Roman"/>
                      <w:color w:val="auto"/>
                      <w:lang w:eastAsia="zh-CN"/>
                    </w:rPr>
                    <w:t>。</w:t>
                  </w:r>
                </w:p>
              </w:tc>
              <w:tc>
                <w:tcPr>
                  <w:tcW w:w="503" w:type="pct"/>
                  <w:tcBorders>
                    <w:tl2br w:val="nil"/>
                    <w:tr2bl w:val="nil"/>
                  </w:tcBorders>
                  <w:noWrap w:val="0"/>
                  <w:vAlign w:val="center"/>
                </w:tcPr>
                <w:p w14:paraId="21F5A59E">
                  <w:pPr>
                    <w:pStyle w:val="92"/>
                    <w:tabs>
                      <w:tab w:val="center" w:pos="105"/>
                      <w:tab w:val="center" w:pos="283"/>
                    </w:tabs>
                    <w:bidi w:val="0"/>
                    <w:rPr>
                      <w:rFonts w:hint="default" w:ascii="Times New Roman" w:hAnsi="Times New Roman" w:cs="Times New Roman"/>
                      <w:color w:val="auto"/>
                    </w:rPr>
                  </w:pPr>
                  <w:r>
                    <w:rPr>
                      <w:rFonts w:hint="default" w:ascii="Times New Roman" w:hAnsi="Times New Roman" w:cs="Times New Roman"/>
                      <w:color w:val="auto"/>
                    </w:rPr>
                    <w:t>符合</w:t>
                  </w:r>
                </w:p>
              </w:tc>
            </w:tr>
            <w:tr w14:paraId="14DA7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2" w:type="pct"/>
                  <w:tcBorders>
                    <w:tl2br w:val="nil"/>
                    <w:tr2bl w:val="nil"/>
                  </w:tcBorders>
                  <w:noWrap w:val="0"/>
                  <w:vAlign w:val="center"/>
                </w:tcPr>
                <w:p w14:paraId="2AF10823">
                  <w:pPr>
                    <w:pStyle w:val="92"/>
                    <w:tabs>
                      <w:tab w:val="center" w:pos="105"/>
                      <w:tab w:val="center" w:pos="283"/>
                    </w:tabs>
                    <w:bidi w:val="0"/>
                    <w:jc w:val="left"/>
                    <w:rPr>
                      <w:rFonts w:hint="default" w:ascii="Times New Roman" w:hAnsi="Times New Roman" w:cs="Times New Roman"/>
                      <w:color w:val="auto"/>
                    </w:rPr>
                  </w:pPr>
                  <w:r>
                    <w:rPr>
                      <w:rFonts w:hint="default" w:ascii="Times New Roman" w:hAnsi="Times New Roman" w:cs="Times New Roman"/>
                      <w:color w:val="auto"/>
                    </w:rPr>
                    <w:t>深入实施能源结构调整</w:t>
                  </w:r>
                </w:p>
                <w:p w14:paraId="15BFFC1A">
                  <w:pPr>
                    <w:pStyle w:val="92"/>
                    <w:tabs>
                      <w:tab w:val="center" w:pos="105"/>
                      <w:tab w:val="center" w:pos="283"/>
                    </w:tabs>
                    <w:bidi w:val="0"/>
                    <w:jc w:val="left"/>
                    <w:rPr>
                      <w:rFonts w:hint="default" w:ascii="Times New Roman" w:hAnsi="Times New Roman" w:cs="Times New Roman"/>
                      <w:color w:val="auto"/>
                    </w:rPr>
                  </w:pPr>
                  <w:r>
                    <w:rPr>
                      <w:rFonts w:hint="default" w:ascii="Times New Roman" w:hAnsi="Times New Roman" w:cs="Times New Roman"/>
                      <w:color w:val="auto"/>
                    </w:rPr>
                    <w:t>持续压减煤炭消费总量。在确保电力、热力接续稳定供应的前提下，大力推进单机容量30万千瓦以下煤电机组关停整合。积极稳妥利用天然气。工业领域在气源保障条件较好情况下，支持发展天然气冷、热、电三联供分布式能源，有序适度发展天然气热电联产项目。</w:t>
                  </w:r>
                </w:p>
              </w:tc>
              <w:tc>
                <w:tcPr>
                  <w:tcW w:w="823" w:type="pct"/>
                  <w:tcBorders>
                    <w:tl2br w:val="nil"/>
                    <w:tr2bl w:val="nil"/>
                  </w:tcBorders>
                  <w:noWrap w:val="0"/>
                  <w:vAlign w:val="center"/>
                </w:tcPr>
                <w:p w14:paraId="4826CD12">
                  <w:pPr>
                    <w:pStyle w:val="92"/>
                    <w:tabs>
                      <w:tab w:val="center" w:pos="105"/>
                      <w:tab w:val="center" w:pos="283"/>
                    </w:tabs>
                    <w:bidi w:val="0"/>
                    <w:jc w:val="left"/>
                    <w:rPr>
                      <w:rFonts w:hint="default" w:ascii="Times New Roman" w:hAnsi="Times New Roman" w:eastAsia="宋体" w:cs="Times New Roman"/>
                      <w:color w:val="auto"/>
                      <w:lang w:eastAsia="zh-CN"/>
                    </w:rPr>
                  </w:pPr>
                  <w:r>
                    <w:rPr>
                      <w:rFonts w:hint="default" w:ascii="Times New Roman" w:hAnsi="Times New Roman" w:cs="Times New Roman"/>
                      <w:color w:val="auto"/>
                    </w:rPr>
                    <w:t>本项目</w:t>
                  </w:r>
                  <w:r>
                    <w:rPr>
                      <w:rFonts w:hint="default" w:ascii="Times New Roman" w:hAnsi="Times New Roman" w:cs="Times New Roman"/>
                      <w:color w:val="auto"/>
                      <w:lang w:eastAsia="zh-CN"/>
                    </w:rPr>
                    <w:t>不使用煤炭，项目生产</w:t>
                  </w:r>
                  <w:r>
                    <w:rPr>
                      <w:rFonts w:hint="default" w:ascii="Times New Roman" w:hAnsi="Times New Roman" w:cs="Times New Roman"/>
                      <w:color w:val="auto"/>
                      <w:lang w:val="en-US" w:eastAsia="zh-CN"/>
                    </w:rPr>
                    <w:t>采用</w:t>
                  </w:r>
                  <w:r>
                    <w:rPr>
                      <w:rFonts w:hint="eastAsia" w:cs="Times New Roman"/>
                      <w:color w:val="auto"/>
                      <w:lang w:val="en-US" w:eastAsia="zh-CN"/>
                    </w:rPr>
                    <w:t>蒸汽</w:t>
                  </w:r>
                  <w:r>
                    <w:rPr>
                      <w:rFonts w:hint="default" w:ascii="Times New Roman" w:hAnsi="Times New Roman" w:cs="Times New Roman"/>
                      <w:color w:val="auto"/>
                      <w:lang w:val="en-US" w:eastAsia="zh-CN"/>
                    </w:rPr>
                    <w:t>加热</w:t>
                  </w:r>
                  <w:r>
                    <w:rPr>
                      <w:rFonts w:hint="default" w:ascii="Times New Roman" w:hAnsi="Times New Roman" w:cs="Times New Roman"/>
                      <w:color w:val="auto"/>
                      <w:lang w:eastAsia="zh-CN"/>
                    </w:rPr>
                    <w:t>。</w:t>
                  </w:r>
                </w:p>
              </w:tc>
              <w:tc>
                <w:tcPr>
                  <w:tcW w:w="503" w:type="pct"/>
                  <w:tcBorders>
                    <w:tl2br w:val="nil"/>
                    <w:tr2bl w:val="nil"/>
                  </w:tcBorders>
                  <w:noWrap w:val="0"/>
                  <w:vAlign w:val="center"/>
                </w:tcPr>
                <w:p w14:paraId="57FCCB61">
                  <w:pPr>
                    <w:pStyle w:val="92"/>
                    <w:tabs>
                      <w:tab w:val="center" w:pos="105"/>
                      <w:tab w:val="center" w:pos="283"/>
                    </w:tabs>
                    <w:bidi w:val="0"/>
                    <w:rPr>
                      <w:rFonts w:hint="default" w:ascii="Times New Roman" w:hAnsi="Times New Roman" w:cs="Times New Roman"/>
                      <w:color w:val="auto"/>
                    </w:rPr>
                  </w:pPr>
                  <w:r>
                    <w:rPr>
                      <w:rFonts w:hint="default" w:ascii="Times New Roman" w:hAnsi="Times New Roman" w:cs="Times New Roman"/>
                      <w:color w:val="auto"/>
                    </w:rPr>
                    <w:t>符合</w:t>
                  </w:r>
                </w:p>
              </w:tc>
            </w:tr>
            <w:tr w14:paraId="7770D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2" w:type="pct"/>
                  <w:tcBorders>
                    <w:tl2br w:val="nil"/>
                    <w:tr2bl w:val="nil"/>
                  </w:tcBorders>
                  <w:noWrap w:val="0"/>
                  <w:vAlign w:val="center"/>
                </w:tcPr>
                <w:p w14:paraId="59C88BE6">
                  <w:pPr>
                    <w:pStyle w:val="92"/>
                    <w:tabs>
                      <w:tab w:val="center" w:pos="105"/>
                      <w:tab w:val="center" w:pos="283"/>
                    </w:tabs>
                    <w:bidi w:val="0"/>
                    <w:jc w:val="left"/>
                    <w:rPr>
                      <w:rFonts w:hint="default" w:ascii="Times New Roman" w:hAnsi="Times New Roman" w:cs="Times New Roman"/>
                      <w:color w:val="auto"/>
                    </w:rPr>
                  </w:pPr>
                  <w:r>
                    <w:rPr>
                      <w:rFonts w:hint="default" w:ascii="Times New Roman" w:hAnsi="Times New Roman" w:cs="Times New Roman"/>
                      <w:color w:val="auto"/>
                    </w:rPr>
                    <w:t>持续推进交通运输结构调整</w:t>
                  </w:r>
                </w:p>
                <w:p w14:paraId="599194D3">
                  <w:pPr>
                    <w:pStyle w:val="92"/>
                    <w:tabs>
                      <w:tab w:val="center" w:pos="105"/>
                      <w:tab w:val="center" w:pos="283"/>
                    </w:tabs>
                    <w:bidi w:val="0"/>
                    <w:jc w:val="left"/>
                    <w:rPr>
                      <w:rFonts w:hint="default" w:ascii="Times New Roman" w:hAnsi="Times New Roman" w:cs="Times New Roman"/>
                      <w:color w:val="auto"/>
                    </w:rPr>
                  </w:pPr>
                  <w:r>
                    <w:rPr>
                      <w:rFonts w:hint="default" w:ascii="Times New Roman" w:hAnsi="Times New Roman" w:cs="Times New Roman"/>
                      <w:color w:val="auto"/>
                    </w:rPr>
                    <w:t>提升铁路、水路货运比例。减少公路货运周转量，基本形成大宗货物和集装箱中长距离运输以铁路和水路运输为主的格局。实施车船结构优化升级。全面实施国六排放标准，鼓励将老旧车辆和非道路移动机械替换为清洁能源车辆，持续推进清洁柴油车（机）行动。2023年年底前，基本淘汰国三及以下排放标准柴油货车；2025年年底前，完成省下达的国四排放标准营运柴油货车淘汰任务，国六排放标准重型货车占比达到30%以上。</w:t>
                  </w:r>
                </w:p>
              </w:tc>
              <w:tc>
                <w:tcPr>
                  <w:tcW w:w="823" w:type="pct"/>
                  <w:tcBorders>
                    <w:tl2br w:val="nil"/>
                    <w:tr2bl w:val="nil"/>
                  </w:tcBorders>
                  <w:noWrap w:val="0"/>
                  <w:vAlign w:val="center"/>
                </w:tcPr>
                <w:p w14:paraId="7B314BF2">
                  <w:pPr>
                    <w:pStyle w:val="92"/>
                    <w:tabs>
                      <w:tab w:val="center" w:pos="105"/>
                      <w:tab w:val="center" w:pos="283"/>
                    </w:tabs>
                    <w:bidi w:val="0"/>
                    <w:jc w:val="left"/>
                    <w:rPr>
                      <w:rFonts w:hint="default" w:ascii="Times New Roman" w:hAnsi="Times New Roman" w:eastAsia="宋体" w:cs="Times New Roman"/>
                      <w:color w:val="auto"/>
                      <w:lang w:eastAsia="zh-CN"/>
                    </w:rPr>
                  </w:pPr>
                  <w:r>
                    <w:rPr>
                      <w:rFonts w:hint="default" w:ascii="Times New Roman" w:hAnsi="Times New Roman" w:cs="Times New Roman"/>
                      <w:color w:val="auto"/>
                    </w:rPr>
                    <w:t>本项目</w:t>
                  </w:r>
                  <w:r>
                    <w:rPr>
                      <w:rFonts w:hint="default" w:ascii="Times New Roman" w:hAnsi="Times New Roman" w:cs="Times New Roman"/>
                      <w:color w:val="auto"/>
                      <w:lang w:eastAsia="zh-CN"/>
                    </w:rPr>
                    <w:t>不涉及大宗货物运输。</w:t>
                  </w:r>
                </w:p>
              </w:tc>
              <w:tc>
                <w:tcPr>
                  <w:tcW w:w="503" w:type="pct"/>
                  <w:tcBorders>
                    <w:tl2br w:val="nil"/>
                    <w:tr2bl w:val="nil"/>
                  </w:tcBorders>
                  <w:noWrap w:val="0"/>
                  <w:vAlign w:val="center"/>
                </w:tcPr>
                <w:p w14:paraId="4776706C">
                  <w:pPr>
                    <w:pStyle w:val="92"/>
                    <w:tabs>
                      <w:tab w:val="center" w:pos="105"/>
                      <w:tab w:val="center" w:pos="283"/>
                    </w:tabs>
                    <w:bidi w:val="0"/>
                    <w:rPr>
                      <w:rFonts w:hint="default" w:ascii="Times New Roman" w:hAnsi="Times New Roman" w:cs="Times New Roman"/>
                      <w:color w:val="auto"/>
                    </w:rPr>
                  </w:pPr>
                  <w:r>
                    <w:rPr>
                      <w:rFonts w:hint="default" w:ascii="Times New Roman" w:hAnsi="Times New Roman" w:cs="Times New Roman"/>
                      <w:color w:val="auto"/>
                    </w:rPr>
                    <w:t>符合</w:t>
                  </w:r>
                </w:p>
              </w:tc>
            </w:tr>
            <w:tr w14:paraId="11555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2" w:type="pct"/>
                  <w:tcBorders>
                    <w:tl2br w:val="nil"/>
                    <w:tr2bl w:val="nil"/>
                  </w:tcBorders>
                  <w:noWrap w:val="0"/>
                  <w:vAlign w:val="center"/>
                </w:tcPr>
                <w:p w14:paraId="2D6F9140">
                  <w:pPr>
                    <w:pStyle w:val="92"/>
                    <w:tabs>
                      <w:tab w:val="center" w:pos="105"/>
                      <w:tab w:val="center" w:pos="283"/>
                    </w:tabs>
                    <w:bidi w:val="0"/>
                    <w:jc w:val="left"/>
                    <w:rPr>
                      <w:rFonts w:hint="default" w:ascii="Times New Roman" w:hAnsi="Times New Roman" w:cs="Times New Roman"/>
                      <w:color w:val="auto"/>
                    </w:rPr>
                  </w:pPr>
                  <w:r>
                    <w:rPr>
                      <w:rFonts w:hint="default" w:ascii="Times New Roman" w:hAnsi="Times New Roman" w:cs="Times New Roman"/>
                      <w:color w:val="auto"/>
                    </w:rPr>
                    <w:t>深化工业污染源治理</w:t>
                  </w:r>
                </w:p>
                <w:p w14:paraId="334AF55E">
                  <w:pPr>
                    <w:pStyle w:val="92"/>
                    <w:tabs>
                      <w:tab w:val="center" w:pos="105"/>
                      <w:tab w:val="center" w:pos="283"/>
                    </w:tabs>
                    <w:bidi w:val="0"/>
                    <w:jc w:val="left"/>
                    <w:rPr>
                      <w:rFonts w:hint="default" w:ascii="Times New Roman" w:hAnsi="Times New Roman" w:cs="Times New Roman"/>
                      <w:color w:val="auto"/>
                    </w:rPr>
                  </w:pPr>
                  <w:r>
                    <w:rPr>
                      <w:rFonts w:hint="default" w:ascii="Times New Roman" w:hAnsi="Times New Roman" w:cs="Times New Roman"/>
                      <w:color w:val="auto"/>
                    </w:rPr>
                    <w:t>实施重点行业NOx等污染深度治理。开展焦化、水泥行业超低排放改造。推进玻璃、陶瓷、铸造、铁合金、有色等行业污染深度治理，确保各类大气污染物稳定达标排放。加强燃煤机组、锅炉污染治理设施运行管控，确保按照超低排放要求稳定运行。实施VOCs全过程污染防治。实施低VOCs含量工业涂料、油墨、胶粘剂、清洗剂等原辅料使用替代，新、改、扩建工业涂装、包装印刷等含VOCs原辅材料使用项目，原则上使用低（无）VOCs含量产品。</w:t>
                  </w:r>
                </w:p>
              </w:tc>
              <w:tc>
                <w:tcPr>
                  <w:tcW w:w="823" w:type="pct"/>
                  <w:tcBorders>
                    <w:tl2br w:val="nil"/>
                    <w:tr2bl w:val="nil"/>
                  </w:tcBorders>
                  <w:noWrap w:val="0"/>
                  <w:vAlign w:val="center"/>
                </w:tcPr>
                <w:p w14:paraId="2F6954B8">
                  <w:pPr>
                    <w:pStyle w:val="92"/>
                    <w:tabs>
                      <w:tab w:val="center" w:pos="105"/>
                      <w:tab w:val="center" w:pos="283"/>
                    </w:tabs>
                    <w:bidi w:val="0"/>
                    <w:jc w:val="left"/>
                    <w:rPr>
                      <w:rFonts w:hint="default" w:ascii="Times New Roman" w:hAnsi="Times New Roman" w:eastAsia="宋体" w:cs="Times New Roman"/>
                      <w:color w:val="auto"/>
                      <w:lang w:eastAsia="zh-CN"/>
                    </w:rPr>
                  </w:pPr>
                  <w:r>
                    <w:rPr>
                      <w:rFonts w:hint="default" w:ascii="Times New Roman" w:hAnsi="Times New Roman" w:cs="Times New Roman"/>
                      <w:color w:val="auto"/>
                    </w:rPr>
                    <w:t>本项目</w:t>
                  </w:r>
                  <w:r>
                    <w:rPr>
                      <w:rFonts w:hint="default" w:ascii="Times New Roman" w:hAnsi="Times New Roman" w:cs="Times New Roman"/>
                      <w:color w:val="auto"/>
                      <w:lang w:eastAsia="zh-CN"/>
                    </w:rPr>
                    <w:t>不属于重点行业</w:t>
                  </w:r>
                  <w:r>
                    <w:rPr>
                      <w:rFonts w:hint="eastAsia" w:cs="Times New Roman"/>
                      <w:color w:val="auto"/>
                      <w:lang w:eastAsia="zh-CN"/>
                    </w:rPr>
                    <w:t>，</w:t>
                  </w:r>
                  <w:r>
                    <w:rPr>
                      <w:rFonts w:hint="default" w:ascii="Times New Roman" w:hAnsi="Times New Roman" w:cs="Times New Roman"/>
                      <w:color w:val="auto"/>
                      <w:highlight w:val="none"/>
                      <w:lang w:eastAsia="zh-CN"/>
                    </w:rPr>
                    <w:t>生产</w:t>
                  </w:r>
                  <w:r>
                    <w:rPr>
                      <w:rFonts w:hint="default" w:ascii="Times New Roman" w:hAnsi="Times New Roman" w:cs="Times New Roman"/>
                      <w:color w:val="auto"/>
                      <w:highlight w:val="none"/>
                      <w:lang w:val="en-US" w:eastAsia="zh-CN"/>
                    </w:rPr>
                    <w:t>采用</w:t>
                  </w:r>
                  <w:r>
                    <w:rPr>
                      <w:rFonts w:hint="eastAsia" w:cs="Times New Roman"/>
                      <w:color w:val="auto"/>
                      <w:highlight w:val="none"/>
                      <w:lang w:val="en-US" w:eastAsia="zh-CN"/>
                    </w:rPr>
                    <w:t>蒸汽</w:t>
                  </w:r>
                  <w:r>
                    <w:rPr>
                      <w:rFonts w:hint="default" w:ascii="Times New Roman" w:hAnsi="Times New Roman" w:cs="Times New Roman"/>
                      <w:color w:val="auto"/>
                      <w:highlight w:val="none"/>
                      <w:lang w:val="en-US" w:eastAsia="zh-CN"/>
                    </w:rPr>
                    <w:t>加热</w:t>
                  </w:r>
                  <w:r>
                    <w:rPr>
                      <w:rFonts w:hint="default" w:ascii="Times New Roman" w:hAnsi="Times New Roman" w:cs="Times New Roman"/>
                      <w:color w:val="auto"/>
                      <w:highlight w:val="none"/>
                      <w:lang w:eastAsia="zh-CN"/>
                    </w:rPr>
                    <w:t>。</w:t>
                  </w:r>
                </w:p>
              </w:tc>
              <w:tc>
                <w:tcPr>
                  <w:tcW w:w="503" w:type="pct"/>
                  <w:tcBorders>
                    <w:tl2br w:val="nil"/>
                    <w:tr2bl w:val="nil"/>
                  </w:tcBorders>
                  <w:noWrap w:val="0"/>
                  <w:vAlign w:val="center"/>
                </w:tcPr>
                <w:p w14:paraId="6C4BA102">
                  <w:pPr>
                    <w:pStyle w:val="92"/>
                    <w:tabs>
                      <w:tab w:val="center" w:pos="105"/>
                      <w:tab w:val="center" w:pos="283"/>
                    </w:tabs>
                    <w:bidi w:val="0"/>
                    <w:rPr>
                      <w:rFonts w:hint="default" w:ascii="Times New Roman" w:hAnsi="Times New Roman" w:cs="Times New Roman"/>
                      <w:color w:val="auto"/>
                    </w:rPr>
                  </w:pPr>
                  <w:r>
                    <w:rPr>
                      <w:rFonts w:hint="default" w:ascii="Times New Roman" w:hAnsi="Times New Roman" w:cs="Times New Roman"/>
                      <w:color w:val="auto"/>
                    </w:rPr>
                    <w:t>符合</w:t>
                  </w:r>
                </w:p>
              </w:tc>
            </w:tr>
          </w:tbl>
          <w:p w14:paraId="4ED4CA0C">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由上表可知，本项目的建设总体符合《济宁市“十四五”生态环境保护规划》的各项要求。</w:t>
            </w:r>
          </w:p>
          <w:p w14:paraId="00338687">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rPr>
            </w:pPr>
            <w:r>
              <w:rPr>
                <w:rFonts w:hint="eastAsia" w:cs="宋体"/>
                <w:b/>
                <w:bCs/>
                <w:color w:val="auto"/>
                <w:kern w:val="0"/>
                <w:sz w:val="24"/>
                <w:szCs w:val="24"/>
                <w:lang w:val="en-US" w:eastAsia="zh-CN"/>
              </w:rPr>
              <w:t>9</w:t>
            </w:r>
            <w:r>
              <w:rPr>
                <w:rFonts w:hint="eastAsia" w:ascii="Times New Roman" w:hAnsi="Times New Roman" w:eastAsia="宋体" w:cs="宋体"/>
                <w:b/>
                <w:bCs/>
                <w:color w:val="auto"/>
                <w:kern w:val="0"/>
                <w:sz w:val="24"/>
                <w:szCs w:val="24"/>
                <w:lang w:val="en-US" w:eastAsia="zh-CN"/>
              </w:rPr>
              <w:t>、</w:t>
            </w:r>
            <w:r>
              <w:rPr>
                <w:rFonts w:hint="default" w:ascii="Times New Roman" w:hAnsi="Times New Roman" w:eastAsia="宋体" w:cs="Times New Roman"/>
                <w:b/>
                <w:bCs/>
                <w:color w:val="auto"/>
                <w:sz w:val="24"/>
                <w:szCs w:val="24"/>
              </w:rPr>
              <w:t>与《山东省涉挥发性有机物企业分行业治理指导意见》鲁环发</w:t>
            </w:r>
            <w:r>
              <w:rPr>
                <w:rFonts w:hint="default" w:ascii="Times New Roman" w:hAnsi="Times New Roman" w:eastAsia="宋体" w:cs="Times New Roman"/>
                <w:b/>
                <w:bCs/>
                <w:color w:val="auto"/>
                <w:sz w:val="24"/>
                <w:szCs w:val="24"/>
                <w:lang w:eastAsia="zh-CN"/>
              </w:rPr>
              <w:t>〔2019〕146号</w:t>
            </w:r>
            <w:r>
              <w:rPr>
                <w:rFonts w:hint="default" w:ascii="Times New Roman" w:hAnsi="Times New Roman" w:eastAsia="TimesNewRomanPSMT" w:cs="Times New Roman"/>
                <w:b/>
                <w:bCs/>
                <w:color w:val="auto"/>
                <w:sz w:val="24"/>
                <w:szCs w:val="24"/>
              </w:rPr>
              <w:t>]</w:t>
            </w:r>
            <w:r>
              <w:rPr>
                <w:rFonts w:hint="default" w:ascii="Times New Roman" w:hAnsi="Times New Roman" w:eastAsia="宋体" w:cs="Times New Roman"/>
                <w:b/>
                <w:bCs/>
                <w:color w:val="auto"/>
                <w:sz w:val="24"/>
                <w:szCs w:val="24"/>
              </w:rPr>
              <w:t>符合性分析</w:t>
            </w:r>
          </w:p>
          <w:p w14:paraId="51E4D5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szCs w:val="24"/>
              </w:rPr>
              <w:t>表</w:t>
            </w:r>
            <w:r>
              <w:rPr>
                <w:rFonts w:hint="default" w:ascii="Times New Roman" w:hAnsi="Times New Roman" w:eastAsia="TimesNewRomanPS-BoldMT" w:cs="Times New Roman"/>
                <w:b/>
                <w:bCs/>
                <w:color w:val="auto"/>
                <w:sz w:val="24"/>
                <w:szCs w:val="24"/>
              </w:rPr>
              <w:t>1</w:t>
            </w:r>
            <w:r>
              <w:rPr>
                <w:rFonts w:hint="eastAsia" w:ascii="Times New Roman" w:hAnsi="Times New Roman" w:eastAsia="TimesNewRomanPS-BoldMT" w:cs="Times New Roman"/>
                <w:b/>
                <w:bCs/>
                <w:color w:val="auto"/>
                <w:sz w:val="24"/>
                <w:szCs w:val="24"/>
                <w:lang w:val="en-US" w:eastAsia="zh-CN"/>
              </w:rPr>
              <w:t>-</w:t>
            </w:r>
            <w:r>
              <w:rPr>
                <w:rFonts w:hint="eastAsia" w:eastAsia="TimesNewRomanPS-BoldMT" w:cs="Times New Roman"/>
                <w:b/>
                <w:bCs/>
                <w:color w:val="auto"/>
                <w:sz w:val="24"/>
                <w:szCs w:val="24"/>
                <w:lang w:val="en-US" w:eastAsia="zh-CN"/>
              </w:rPr>
              <w:t>7</w:t>
            </w:r>
            <w:r>
              <w:rPr>
                <w:rFonts w:hint="default" w:ascii="Times New Roman" w:hAnsi="Times New Roman" w:eastAsia="TimesNewRomanPS-BoldMT" w:cs="Times New Roman"/>
                <w:b/>
                <w:bCs/>
                <w:color w:val="auto"/>
                <w:sz w:val="24"/>
                <w:szCs w:val="24"/>
              </w:rPr>
              <w:t xml:space="preserve"> </w:t>
            </w:r>
            <w:r>
              <w:rPr>
                <w:rFonts w:hint="eastAsia" w:ascii="Times New Roman" w:hAnsi="Times New Roman" w:eastAsia="TimesNewRomanPS-BoldMT"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项目与鲁环发</w:t>
            </w:r>
            <w:r>
              <w:rPr>
                <w:rFonts w:hint="default" w:ascii="Times New Roman" w:hAnsi="Times New Roman" w:eastAsia="宋体" w:cs="Times New Roman"/>
                <w:b/>
                <w:bCs/>
                <w:color w:val="auto"/>
                <w:sz w:val="24"/>
                <w:szCs w:val="24"/>
                <w:lang w:eastAsia="zh-CN"/>
              </w:rPr>
              <w:t>〔2019〕146号</w:t>
            </w:r>
            <w:r>
              <w:rPr>
                <w:rFonts w:hint="default" w:ascii="Times New Roman" w:hAnsi="Times New Roman" w:eastAsia="宋体" w:cs="Times New Roman"/>
                <w:b/>
                <w:bCs/>
                <w:color w:val="auto"/>
                <w:sz w:val="24"/>
                <w:szCs w:val="24"/>
              </w:rPr>
              <w:t>文的符合性分析</w:t>
            </w:r>
            <w:r>
              <w:rPr>
                <w:rFonts w:hint="default" w:ascii="Times New Roman" w:hAnsi="Times New Roman" w:eastAsia="宋体" w:cs="Times New Roman"/>
                <w:b/>
                <w:bCs/>
                <w:color w:val="auto"/>
                <w:sz w:val="24"/>
                <w:szCs w:val="24"/>
                <w:lang w:val="en-US" w:eastAsia="zh-CN"/>
              </w:rPr>
              <w:t>一览表</w:t>
            </w:r>
          </w:p>
          <w:tbl>
            <w:tblPr>
              <w:tblStyle w:val="3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47"/>
              <w:gridCol w:w="5033"/>
              <w:gridCol w:w="1359"/>
              <w:gridCol w:w="685"/>
            </w:tblGrid>
            <w:tr w14:paraId="62FDDD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97" w:type="pct"/>
                  <w:tcBorders>
                    <w:tl2br w:val="nil"/>
                    <w:tr2bl w:val="nil"/>
                  </w:tcBorders>
                  <w:noWrap w:val="0"/>
                  <w:vAlign w:val="center"/>
                </w:tcPr>
                <w:p w14:paraId="2DB96A9C">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3344" w:type="pct"/>
                  <w:tcBorders>
                    <w:tl2br w:val="nil"/>
                    <w:tr2bl w:val="nil"/>
                  </w:tcBorders>
                  <w:noWrap w:val="0"/>
                  <w:vAlign w:val="center"/>
                </w:tcPr>
                <w:p w14:paraId="6CBCD703">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内容</w:t>
                  </w:r>
                </w:p>
              </w:tc>
              <w:tc>
                <w:tcPr>
                  <w:tcW w:w="903" w:type="pct"/>
                  <w:tcBorders>
                    <w:tl2br w:val="nil"/>
                    <w:tr2bl w:val="nil"/>
                  </w:tcBorders>
                  <w:noWrap w:val="0"/>
                  <w:vAlign w:val="center"/>
                </w:tcPr>
                <w:p w14:paraId="04283059">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本项目情况</w:t>
                  </w:r>
                </w:p>
              </w:tc>
              <w:tc>
                <w:tcPr>
                  <w:tcW w:w="455" w:type="pct"/>
                  <w:tcBorders>
                    <w:tl2br w:val="nil"/>
                    <w:tr2bl w:val="nil"/>
                  </w:tcBorders>
                  <w:noWrap w:val="0"/>
                  <w:vAlign w:val="center"/>
                </w:tcPr>
                <w:p w14:paraId="07C12295">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14:paraId="1DFD74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97" w:type="pct"/>
                  <w:tcBorders>
                    <w:tl2br w:val="nil"/>
                    <w:tr2bl w:val="nil"/>
                  </w:tcBorders>
                  <w:noWrap w:val="0"/>
                  <w:vAlign w:val="center"/>
                </w:tcPr>
                <w:p w14:paraId="20AE93E6">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3344" w:type="pct"/>
                  <w:tcBorders>
                    <w:tl2br w:val="nil"/>
                    <w:tr2bl w:val="nil"/>
                  </w:tcBorders>
                  <w:noWrap w:val="0"/>
                  <w:vAlign w:val="center"/>
                </w:tcPr>
                <w:p w14:paraId="3BE102CD">
                  <w:pPr>
                    <w:keepNext w:val="0"/>
                    <w:keepLines w:val="0"/>
                    <w:pageBreakBefore w:val="0"/>
                    <w:suppressLineNumbers w:val="0"/>
                    <w:kinsoku/>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903" w:type="pct"/>
                  <w:tcBorders>
                    <w:tl2br w:val="nil"/>
                    <w:tr2bl w:val="nil"/>
                  </w:tcBorders>
                  <w:noWrap w:val="0"/>
                  <w:vAlign w:val="center"/>
                </w:tcPr>
                <w:p w14:paraId="72F418D0">
                  <w:pPr>
                    <w:keepNext w:val="0"/>
                    <w:keepLines w:val="0"/>
                    <w:suppressLineNumbers w:val="0"/>
                    <w:adjustRightInd w:val="0"/>
                    <w:snapToGrid w:val="0"/>
                    <w:spacing w:before="0" w:beforeAutospacing="0" w:after="0" w:afterAutospacing="0"/>
                    <w:ind w:left="0" w:right="0"/>
                    <w:jc w:val="both"/>
                    <w:rPr>
                      <w:rFonts w:hint="default"/>
                      <w:color w:val="auto"/>
                      <w:kern w:val="2"/>
                      <w:sz w:val="21"/>
                      <w:szCs w:val="21"/>
                      <w:highlight w:val="none"/>
                      <w:lang w:val="en-US" w:eastAsia="zh-CN" w:bidi="ar-SA"/>
                    </w:rPr>
                  </w:pPr>
                  <w:r>
                    <w:rPr>
                      <w:rFonts w:hint="eastAsia"/>
                      <w:color w:val="auto"/>
                      <w:szCs w:val="21"/>
                      <w:highlight w:val="none"/>
                      <w:lang w:val="en-US" w:eastAsia="zh-CN"/>
                    </w:rPr>
                    <w:t>本项目所使用涂布材料、油墨、胶黏剂等，均为</w:t>
                  </w:r>
                  <w:r>
                    <w:rPr>
                      <w:rFonts w:hint="default" w:ascii="Times New Roman" w:hAnsi="Times New Roman" w:eastAsia="宋体" w:cs="Times New Roman"/>
                      <w:color w:val="auto"/>
                      <w:sz w:val="21"/>
                      <w:szCs w:val="21"/>
                      <w:lang w:val="en-US" w:eastAsia="zh-CN"/>
                    </w:rPr>
                    <w:t>低VOCs</w:t>
                  </w:r>
                  <w:r>
                    <w:rPr>
                      <w:rFonts w:hint="eastAsia"/>
                      <w:color w:val="auto"/>
                      <w:szCs w:val="21"/>
                      <w:highlight w:val="none"/>
                      <w:lang w:val="en-US" w:eastAsia="zh-CN"/>
                    </w:rPr>
                    <w:t>型材料。</w:t>
                  </w:r>
                </w:p>
              </w:tc>
              <w:tc>
                <w:tcPr>
                  <w:tcW w:w="455" w:type="pct"/>
                  <w:tcBorders>
                    <w:tl2br w:val="nil"/>
                    <w:tr2bl w:val="nil"/>
                  </w:tcBorders>
                  <w:noWrap w:val="0"/>
                  <w:vAlign w:val="center"/>
                </w:tcPr>
                <w:p w14:paraId="7BCFB92A">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3AAED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97" w:type="pct"/>
                  <w:tcBorders>
                    <w:tl2br w:val="nil"/>
                    <w:tr2bl w:val="nil"/>
                  </w:tcBorders>
                  <w:noWrap w:val="0"/>
                  <w:vAlign w:val="center"/>
                </w:tcPr>
                <w:p w14:paraId="66BA77F2">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3344" w:type="pct"/>
                  <w:tcBorders>
                    <w:tl2br w:val="nil"/>
                    <w:tr2bl w:val="nil"/>
                  </w:tcBorders>
                  <w:noWrap w:val="0"/>
                  <w:vAlign w:val="center"/>
                </w:tcPr>
                <w:p w14:paraId="091FB47F">
                  <w:pPr>
                    <w:keepNext w:val="0"/>
                    <w:keepLines w:val="0"/>
                    <w:pageBreakBefore w:val="0"/>
                    <w:suppressLineNumbers w:val="0"/>
                    <w:kinsoku/>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涂料、稀释剂、清洗剂等原辅材料应密闭存储，调配、使用、回收等过程应采用密闭设备或在密闭空间内操作，采用密闭管道或密闭容器等输送，废气宜采用下吸风方式进行有效收集。</w:t>
                  </w:r>
                </w:p>
              </w:tc>
              <w:tc>
                <w:tcPr>
                  <w:tcW w:w="903" w:type="pct"/>
                  <w:tcBorders>
                    <w:tl2br w:val="nil"/>
                    <w:tr2bl w:val="nil"/>
                  </w:tcBorders>
                  <w:noWrap w:val="0"/>
                  <w:vAlign w:val="center"/>
                </w:tcPr>
                <w:p w14:paraId="5F5D7B90">
                  <w:pPr>
                    <w:keepNext w:val="0"/>
                    <w:keepLines w:val="0"/>
                    <w:pageBreakBefore w:val="0"/>
                    <w:suppressLineNumbers w:val="0"/>
                    <w:kinsoku/>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项目涂布材料、油墨、胶黏剂等均为桶装密闭存储</w:t>
                  </w:r>
                  <w:r>
                    <w:rPr>
                      <w:rFonts w:hint="default"/>
                      <w:color w:val="auto"/>
                      <w:kern w:val="0"/>
                      <w:szCs w:val="21"/>
                      <w:highlight w:val="none"/>
                    </w:rPr>
                    <w:t>。</w:t>
                  </w:r>
                </w:p>
              </w:tc>
              <w:tc>
                <w:tcPr>
                  <w:tcW w:w="455" w:type="pct"/>
                  <w:tcBorders>
                    <w:tl2br w:val="nil"/>
                    <w:tr2bl w:val="nil"/>
                  </w:tcBorders>
                  <w:noWrap w:val="0"/>
                  <w:vAlign w:val="center"/>
                </w:tcPr>
                <w:p w14:paraId="2094C136">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符合</w:t>
                  </w:r>
                </w:p>
              </w:tc>
            </w:tr>
            <w:tr w14:paraId="161118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97" w:type="pct"/>
                  <w:tcBorders>
                    <w:tl2br w:val="nil"/>
                    <w:tr2bl w:val="nil"/>
                  </w:tcBorders>
                  <w:noWrap w:val="0"/>
                  <w:vAlign w:val="center"/>
                </w:tcPr>
                <w:p w14:paraId="6AADCA94">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3344" w:type="pct"/>
                  <w:tcBorders>
                    <w:tl2br w:val="nil"/>
                    <w:tr2bl w:val="nil"/>
                  </w:tcBorders>
                  <w:noWrap w:val="0"/>
                  <w:vAlign w:val="center"/>
                </w:tcPr>
                <w:p w14:paraId="34B03DAA">
                  <w:pPr>
                    <w:keepNext w:val="0"/>
                    <w:keepLines w:val="0"/>
                    <w:pageBreakBefore w:val="0"/>
                    <w:suppressLineNumbers w:val="0"/>
                    <w:kinsoku/>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涂装、小件修补等工段宜采用上进风、下吸风方式对废气进行收集。</w:t>
                  </w:r>
                </w:p>
              </w:tc>
              <w:tc>
                <w:tcPr>
                  <w:tcW w:w="903" w:type="pct"/>
                  <w:tcBorders>
                    <w:tl2br w:val="nil"/>
                    <w:tr2bl w:val="nil"/>
                  </w:tcBorders>
                  <w:noWrap w:val="0"/>
                  <w:vAlign w:val="center"/>
                </w:tcPr>
                <w:p w14:paraId="75B1A826">
                  <w:pPr>
                    <w:keepNext w:val="0"/>
                    <w:keepLines w:val="0"/>
                    <w:pageBreakBefore w:val="0"/>
                    <w:suppressLineNumbers w:val="0"/>
                    <w:kinsoku/>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w:t>
                  </w:r>
                  <w:r>
                    <w:rPr>
                      <w:rFonts w:hint="eastAsia" w:cs="Times New Roman"/>
                      <w:color w:val="auto"/>
                      <w:sz w:val="21"/>
                      <w:szCs w:val="21"/>
                      <w:highlight w:val="none"/>
                      <w:lang w:val="en-US" w:eastAsia="zh-CN"/>
                    </w:rPr>
                    <w:t>生产过程中产生的少量有机废气经密闭收集处理后达标排放</w:t>
                  </w:r>
                  <w:r>
                    <w:rPr>
                      <w:rFonts w:hint="eastAsia" w:ascii="Times New Roman" w:hAnsi="Times New Roman" w:eastAsia="宋体" w:cs="Times New Roman"/>
                      <w:color w:val="auto"/>
                      <w:sz w:val="21"/>
                      <w:szCs w:val="21"/>
                      <w:lang w:val="en-US" w:eastAsia="zh-CN"/>
                    </w:rPr>
                    <w:t>。</w:t>
                  </w:r>
                </w:p>
              </w:tc>
              <w:tc>
                <w:tcPr>
                  <w:tcW w:w="455" w:type="pct"/>
                  <w:tcBorders>
                    <w:tl2br w:val="nil"/>
                    <w:tr2bl w:val="nil"/>
                  </w:tcBorders>
                  <w:noWrap w:val="0"/>
                  <w:vAlign w:val="center"/>
                </w:tcPr>
                <w:p w14:paraId="065EF1E2">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06EC48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97" w:type="pct"/>
                  <w:tcBorders>
                    <w:tl2br w:val="nil"/>
                    <w:tr2bl w:val="nil"/>
                  </w:tcBorders>
                  <w:noWrap w:val="0"/>
                  <w:vAlign w:val="center"/>
                </w:tcPr>
                <w:p w14:paraId="203D80D6">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3344" w:type="pct"/>
                  <w:tcBorders>
                    <w:tl2br w:val="nil"/>
                    <w:tr2bl w:val="nil"/>
                  </w:tcBorders>
                  <w:noWrap w:val="0"/>
                  <w:vAlign w:val="center"/>
                </w:tcPr>
                <w:p w14:paraId="1F58A001">
                  <w:pPr>
                    <w:keepNext w:val="0"/>
                    <w:keepLines w:val="0"/>
                    <w:pageBreakBefore w:val="0"/>
                    <w:suppressLineNumbers w:val="0"/>
                    <w:kinsoku/>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使用油性漆的企业，各工艺环节产生的废气宜在喷淋+干式过滤后采用浓缩结合燃烧法等工艺进行处理。</w:t>
                  </w:r>
                </w:p>
              </w:tc>
              <w:tc>
                <w:tcPr>
                  <w:tcW w:w="903" w:type="pct"/>
                  <w:tcBorders>
                    <w:tl2br w:val="nil"/>
                    <w:tr2bl w:val="nil"/>
                  </w:tcBorders>
                  <w:noWrap w:val="0"/>
                  <w:vAlign w:val="center"/>
                </w:tcPr>
                <w:p w14:paraId="5BC61B46">
                  <w:pPr>
                    <w:keepNext w:val="0"/>
                    <w:keepLines w:val="0"/>
                    <w:pageBreakBefore w:val="0"/>
                    <w:suppressLineNumbers w:val="0"/>
                    <w:kinsoku/>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lang w:val="en-US" w:eastAsia="zh-CN"/>
                    </w:rPr>
                    <w:t>项目不使用油漆。</w:t>
                  </w:r>
                </w:p>
              </w:tc>
              <w:tc>
                <w:tcPr>
                  <w:tcW w:w="455" w:type="pct"/>
                  <w:tcBorders>
                    <w:tl2br w:val="nil"/>
                    <w:tr2bl w:val="nil"/>
                  </w:tcBorders>
                  <w:noWrap w:val="0"/>
                  <w:vAlign w:val="center"/>
                </w:tcPr>
                <w:p w14:paraId="740C7657">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25F16C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97" w:type="pct"/>
                  <w:tcBorders>
                    <w:tl2br w:val="nil"/>
                    <w:tr2bl w:val="nil"/>
                  </w:tcBorders>
                  <w:noWrap w:val="0"/>
                  <w:vAlign w:val="center"/>
                </w:tcPr>
                <w:p w14:paraId="0F505319">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3344" w:type="pct"/>
                  <w:tcBorders>
                    <w:tl2br w:val="nil"/>
                    <w:tr2bl w:val="nil"/>
                  </w:tcBorders>
                  <w:noWrap w:val="0"/>
                  <w:vAlign w:val="center"/>
                </w:tcPr>
                <w:p w14:paraId="66682CEE">
                  <w:pPr>
                    <w:keepNext w:val="0"/>
                    <w:keepLines w:val="0"/>
                    <w:pageBreakBefore w:val="0"/>
                    <w:suppressLineNumbers w:val="0"/>
                    <w:kinsoku/>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使用水性漆的企业，经检测不能够达标排放的，产生的废气宜在喷淋、过滤后采用纳米气泡氧化吸收法、生物法、低温等离子技术等工艺进行处理。</w:t>
                  </w:r>
                </w:p>
              </w:tc>
              <w:tc>
                <w:tcPr>
                  <w:tcW w:w="903" w:type="pct"/>
                  <w:tcBorders>
                    <w:tl2br w:val="nil"/>
                    <w:tr2bl w:val="nil"/>
                  </w:tcBorders>
                  <w:noWrap w:val="0"/>
                  <w:vAlign w:val="center"/>
                </w:tcPr>
                <w:p w14:paraId="2AD12E5E">
                  <w:pPr>
                    <w:keepNext w:val="0"/>
                    <w:keepLines w:val="0"/>
                    <w:pageBreakBefore w:val="0"/>
                    <w:suppressLineNumbers w:val="0"/>
                    <w:kinsoku/>
                    <w:overflowPunct/>
                    <w:topLinePunct w:val="0"/>
                    <w:autoSpaceDE/>
                    <w:autoSpaceDN/>
                    <w:bidi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项目不使用油漆。</w:t>
                  </w:r>
                </w:p>
              </w:tc>
              <w:tc>
                <w:tcPr>
                  <w:tcW w:w="455" w:type="pct"/>
                  <w:tcBorders>
                    <w:tl2br w:val="nil"/>
                    <w:tr2bl w:val="nil"/>
                  </w:tcBorders>
                  <w:noWrap w:val="0"/>
                  <w:vAlign w:val="center"/>
                </w:tcPr>
                <w:p w14:paraId="51B9E30A">
                  <w:pPr>
                    <w:keepNext w:val="0"/>
                    <w:keepLines w:val="0"/>
                    <w:pageBreakBefore w:val="0"/>
                    <w:suppressLineNumbers w:val="0"/>
                    <w:kinsoku/>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4B21B919">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由上表可知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本项目符合《山东省涉挥发性有机物企业分行业治理指导意见</w:t>
            </w:r>
            <w:r>
              <w:rPr>
                <w:rFonts w:hint="default" w:ascii="Times New Roman" w:hAnsi="Times New Roman" w:eastAsia="宋体" w:cs="Times New Roman"/>
                <w:color w:val="auto"/>
                <w:sz w:val="24"/>
                <w:szCs w:val="24"/>
                <w:highlight w:val="none"/>
              </w:rPr>
              <w:t>》（鲁环发</w:t>
            </w:r>
            <w:r>
              <w:rPr>
                <w:rFonts w:hint="default" w:ascii="Times New Roman" w:hAnsi="Times New Roman" w:eastAsia="宋体" w:cs="Times New Roman"/>
                <w:color w:val="auto"/>
                <w:sz w:val="24"/>
                <w:szCs w:val="24"/>
                <w:highlight w:val="none"/>
                <w:lang w:eastAsia="zh-CN"/>
              </w:rPr>
              <w:t>〔2019〕146号</w:t>
            </w:r>
            <w:r>
              <w:rPr>
                <w:rFonts w:hint="default" w:ascii="Times New Roman" w:hAnsi="Times New Roman" w:eastAsia="宋体" w:cs="Times New Roman"/>
                <w:color w:val="auto"/>
                <w:sz w:val="24"/>
                <w:szCs w:val="24"/>
                <w:highlight w:val="none"/>
              </w:rPr>
              <w:t>）。</w:t>
            </w:r>
          </w:p>
          <w:p w14:paraId="55BD44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Calibri"/>
                <w:b/>
                <w:bCs/>
                <w:color w:val="auto"/>
                <w:sz w:val="24"/>
                <w:szCs w:val="24"/>
              </w:rPr>
            </w:pPr>
            <w:r>
              <w:rPr>
                <w:rFonts w:hint="eastAsia" w:cs="Times New Roman"/>
                <w:b/>
                <w:bCs/>
                <w:color w:val="auto"/>
                <w:sz w:val="24"/>
                <w:szCs w:val="24"/>
                <w:highlight w:val="none"/>
                <w:lang w:val="en-US" w:eastAsia="zh-CN"/>
              </w:rPr>
              <w:t>10</w:t>
            </w:r>
            <w:r>
              <w:rPr>
                <w:rFonts w:hint="eastAsia"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宋体"/>
                <w:b/>
                <w:bCs/>
                <w:color w:val="auto"/>
                <w:kern w:val="0"/>
                <w:sz w:val="24"/>
                <w:szCs w:val="24"/>
                <w:lang w:val="en-US" w:eastAsia="zh-CN"/>
              </w:rPr>
              <w:t>项目与济宁市人民政府关于《济宁市挥发性有机物治理专项行动方案》（市政府通知</w:t>
            </w:r>
            <w:r>
              <w:rPr>
                <w:rFonts w:hint="eastAsia" w:cs="宋体"/>
                <w:b/>
                <w:bCs/>
                <w:color w:val="auto"/>
                <w:kern w:val="0"/>
                <w:sz w:val="24"/>
                <w:szCs w:val="24"/>
                <w:lang w:val="en-US" w:eastAsia="zh-CN"/>
              </w:rPr>
              <w:t>〔2019〕4号</w:t>
            </w:r>
            <w:r>
              <w:rPr>
                <w:rFonts w:hint="eastAsia" w:ascii="Times New Roman" w:hAnsi="Times New Roman" w:eastAsia="宋体" w:cs="宋体"/>
                <w:b/>
                <w:bCs/>
                <w:color w:val="auto"/>
                <w:kern w:val="0"/>
                <w:sz w:val="24"/>
                <w:szCs w:val="24"/>
                <w:lang w:val="en-US" w:eastAsia="zh-CN"/>
              </w:rPr>
              <w:t>）符合性</w:t>
            </w:r>
          </w:p>
          <w:p w14:paraId="0B5DAF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482" w:firstLineChars="200"/>
              <w:jc w:val="left"/>
              <w:textAlignment w:val="auto"/>
              <w:rPr>
                <w:rFonts w:hint="eastAsia" w:ascii="Times New Roman" w:hAnsi="Times New Roman" w:cs="宋体"/>
                <w:color w:val="auto"/>
                <w:kern w:val="0"/>
                <w:szCs w:val="21"/>
                <w:lang w:val="en-US" w:eastAsia="zh-CN"/>
              </w:rPr>
            </w:pPr>
            <w:r>
              <w:rPr>
                <w:rFonts w:hint="eastAsia" w:ascii="Times New Roman" w:hAnsi="Times New Roman" w:cs="宋体"/>
                <w:b/>
                <w:bCs/>
                <w:color w:val="auto"/>
                <w:kern w:val="0"/>
                <w:sz w:val="24"/>
                <w:szCs w:val="24"/>
                <w:lang w:eastAsia="zh-CN"/>
              </w:rPr>
              <w:t>表1</w:t>
            </w:r>
            <w:r>
              <w:rPr>
                <w:rFonts w:hint="eastAsia" w:ascii="Times New Roman" w:hAnsi="Times New Roman" w:cs="宋体"/>
                <w:b/>
                <w:bCs/>
                <w:color w:val="auto"/>
                <w:kern w:val="0"/>
                <w:sz w:val="24"/>
                <w:szCs w:val="24"/>
                <w:lang w:val="en-US" w:eastAsia="zh-CN"/>
              </w:rPr>
              <w:t>-</w:t>
            </w:r>
            <w:r>
              <w:rPr>
                <w:rFonts w:hint="eastAsia" w:cs="宋体"/>
                <w:b/>
                <w:bCs/>
                <w:color w:val="auto"/>
                <w:kern w:val="0"/>
                <w:sz w:val="24"/>
                <w:szCs w:val="24"/>
                <w:lang w:val="en-US" w:eastAsia="zh-CN"/>
              </w:rPr>
              <w:t>8</w:t>
            </w:r>
            <w:r>
              <w:rPr>
                <w:rFonts w:hint="eastAsia" w:ascii="Times New Roman" w:hAnsi="Times New Roman" w:cs="宋体"/>
                <w:b/>
                <w:bCs/>
                <w:color w:val="auto"/>
                <w:kern w:val="0"/>
                <w:sz w:val="24"/>
                <w:szCs w:val="24"/>
                <w:lang w:val="en-US" w:eastAsia="zh-CN"/>
              </w:rPr>
              <w:t xml:space="preserve">  与《济宁市挥发性有机物治理专项行动方案》（市政府通知</w:t>
            </w:r>
            <w:r>
              <w:rPr>
                <w:rFonts w:hint="eastAsia" w:cs="宋体"/>
                <w:b/>
                <w:bCs/>
                <w:color w:val="auto"/>
                <w:kern w:val="0"/>
                <w:sz w:val="24"/>
                <w:szCs w:val="24"/>
                <w:lang w:val="en-US" w:eastAsia="zh-CN"/>
              </w:rPr>
              <w:t>〔2019〕4号</w:t>
            </w:r>
            <w:r>
              <w:rPr>
                <w:rFonts w:hint="eastAsia" w:ascii="Times New Roman" w:hAnsi="Times New Roman" w:cs="宋体"/>
                <w:b/>
                <w:bCs/>
                <w:color w:val="auto"/>
                <w:kern w:val="0"/>
                <w:sz w:val="24"/>
                <w:szCs w:val="24"/>
                <w:lang w:val="en-US" w:eastAsia="zh-CN"/>
              </w:rPr>
              <w:t>）符合性</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2"/>
              <w:gridCol w:w="3654"/>
              <w:gridCol w:w="2359"/>
              <w:gridCol w:w="769"/>
            </w:tblGrid>
            <w:tr w14:paraId="7DF54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 w:type="pct"/>
                  <w:tcBorders>
                    <w:tl2br w:val="nil"/>
                    <w:tr2bl w:val="nil"/>
                  </w:tcBorders>
                  <w:noWrap w:val="0"/>
                  <w:vAlign w:val="center"/>
                </w:tcPr>
                <w:p w14:paraId="7773A50D">
                  <w:pPr>
                    <w:keepNext w:val="0"/>
                    <w:keepLines w:val="0"/>
                    <w:suppressLineNumbers w:val="0"/>
                    <w:spacing w:before="0" w:beforeAutospacing="0" w:after="0" w:afterAutospacing="0"/>
                    <w:ind w:left="0" w:right="0"/>
                    <w:jc w:val="center"/>
                    <w:rPr>
                      <w:rFonts w:hint="default"/>
                      <w:b/>
                      <w:bCs/>
                      <w:color w:val="auto"/>
                      <w:szCs w:val="21"/>
                    </w:rPr>
                  </w:pPr>
                  <w:r>
                    <w:rPr>
                      <w:rFonts w:hint="eastAsia"/>
                      <w:b/>
                      <w:bCs/>
                      <w:color w:val="auto"/>
                      <w:szCs w:val="21"/>
                    </w:rPr>
                    <w:t>重点任务</w:t>
                  </w:r>
                </w:p>
              </w:tc>
              <w:tc>
                <w:tcPr>
                  <w:tcW w:w="2427" w:type="pct"/>
                  <w:tcBorders>
                    <w:tl2br w:val="nil"/>
                    <w:tr2bl w:val="nil"/>
                  </w:tcBorders>
                  <w:noWrap w:val="0"/>
                  <w:vAlign w:val="center"/>
                </w:tcPr>
                <w:p w14:paraId="0569A9FE">
                  <w:pPr>
                    <w:keepNext w:val="0"/>
                    <w:keepLines w:val="0"/>
                    <w:suppressLineNumbers w:val="0"/>
                    <w:spacing w:before="0" w:beforeAutospacing="0" w:after="0" w:afterAutospacing="0"/>
                    <w:ind w:left="0" w:right="0"/>
                    <w:jc w:val="center"/>
                    <w:rPr>
                      <w:rFonts w:hint="default"/>
                      <w:b/>
                      <w:bCs/>
                      <w:color w:val="auto"/>
                      <w:kern w:val="20"/>
                      <w:szCs w:val="21"/>
                    </w:rPr>
                  </w:pPr>
                  <w:r>
                    <w:rPr>
                      <w:rFonts w:hint="eastAsia"/>
                      <w:b/>
                      <w:bCs/>
                      <w:color w:val="auto"/>
                      <w:szCs w:val="21"/>
                    </w:rPr>
                    <w:t>工作内容</w:t>
                  </w:r>
                </w:p>
              </w:tc>
              <w:tc>
                <w:tcPr>
                  <w:tcW w:w="1567" w:type="pct"/>
                  <w:tcBorders>
                    <w:tl2br w:val="nil"/>
                    <w:tr2bl w:val="nil"/>
                  </w:tcBorders>
                  <w:noWrap w:val="0"/>
                  <w:vAlign w:val="center"/>
                </w:tcPr>
                <w:p w14:paraId="01D486CC">
                  <w:pPr>
                    <w:keepNext w:val="0"/>
                    <w:keepLines w:val="0"/>
                    <w:suppressLineNumbers w:val="0"/>
                    <w:spacing w:before="0" w:beforeAutospacing="0" w:after="0" w:afterAutospacing="0"/>
                    <w:ind w:left="0" w:right="0"/>
                    <w:jc w:val="center"/>
                    <w:rPr>
                      <w:rFonts w:hint="default"/>
                      <w:b/>
                      <w:bCs/>
                      <w:color w:val="auto"/>
                      <w:kern w:val="20"/>
                      <w:szCs w:val="21"/>
                    </w:rPr>
                  </w:pPr>
                  <w:r>
                    <w:rPr>
                      <w:rFonts w:hint="eastAsia"/>
                      <w:b/>
                      <w:bCs/>
                      <w:color w:val="auto"/>
                      <w:kern w:val="20"/>
                      <w:szCs w:val="21"/>
                    </w:rPr>
                    <w:t>项目</w:t>
                  </w:r>
                  <w:r>
                    <w:rPr>
                      <w:rFonts w:hint="default"/>
                      <w:b/>
                      <w:bCs/>
                      <w:color w:val="auto"/>
                      <w:kern w:val="20"/>
                      <w:szCs w:val="21"/>
                    </w:rPr>
                    <w:t>情况</w:t>
                  </w:r>
                </w:p>
              </w:tc>
              <w:tc>
                <w:tcPr>
                  <w:tcW w:w="511" w:type="pct"/>
                  <w:tcBorders>
                    <w:tl2br w:val="nil"/>
                    <w:tr2bl w:val="nil"/>
                  </w:tcBorders>
                  <w:noWrap w:val="0"/>
                  <w:vAlign w:val="center"/>
                </w:tcPr>
                <w:p w14:paraId="7FAD6BDE">
                  <w:pPr>
                    <w:keepNext w:val="0"/>
                    <w:keepLines w:val="0"/>
                    <w:suppressLineNumbers w:val="0"/>
                    <w:spacing w:before="0" w:beforeAutospacing="0" w:after="0" w:afterAutospacing="0"/>
                    <w:ind w:left="0" w:right="0"/>
                    <w:jc w:val="center"/>
                    <w:rPr>
                      <w:rFonts w:hint="default"/>
                      <w:b/>
                      <w:bCs/>
                      <w:color w:val="auto"/>
                      <w:kern w:val="20"/>
                      <w:szCs w:val="21"/>
                    </w:rPr>
                  </w:pPr>
                  <w:r>
                    <w:rPr>
                      <w:rFonts w:hint="eastAsia"/>
                      <w:b/>
                      <w:bCs/>
                      <w:color w:val="auto"/>
                      <w:kern w:val="20"/>
                      <w:szCs w:val="21"/>
                    </w:rPr>
                    <w:t>符合性</w:t>
                  </w:r>
                </w:p>
              </w:tc>
            </w:tr>
            <w:tr w14:paraId="28A69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 w:type="pct"/>
                  <w:vMerge w:val="restart"/>
                  <w:tcBorders>
                    <w:tl2br w:val="nil"/>
                    <w:tr2bl w:val="nil"/>
                  </w:tcBorders>
                  <w:noWrap w:val="0"/>
                  <w:vAlign w:val="center"/>
                </w:tcPr>
                <w:p w14:paraId="4C73D642">
                  <w:pPr>
                    <w:keepNext w:val="0"/>
                    <w:keepLines w:val="0"/>
                    <w:suppressLineNumbers w:val="0"/>
                    <w:spacing w:before="0" w:beforeAutospacing="0" w:after="0" w:afterAutospacing="0"/>
                    <w:ind w:left="0" w:right="0"/>
                    <w:jc w:val="center"/>
                    <w:rPr>
                      <w:rFonts w:hint="default"/>
                      <w:color w:val="auto"/>
                      <w:kern w:val="0"/>
                      <w:szCs w:val="21"/>
                    </w:rPr>
                  </w:pPr>
                  <w:r>
                    <w:rPr>
                      <w:rFonts w:hint="eastAsia"/>
                      <w:color w:val="auto"/>
                      <w:kern w:val="0"/>
                      <w:szCs w:val="21"/>
                    </w:rPr>
                    <w:t>加快产业结构调整</w:t>
                  </w:r>
                </w:p>
              </w:tc>
              <w:tc>
                <w:tcPr>
                  <w:tcW w:w="2427" w:type="pct"/>
                  <w:tcBorders>
                    <w:tl2br w:val="nil"/>
                    <w:tr2bl w:val="nil"/>
                  </w:tcBorders>
                  <w:noWrap w:val="0"/>
                  <w:vAlign w:val="center"/>
                </w:tcPr>
                <w:p w14:paraId="3B106793">
                  <w:pPr>
                    <w:keepNext w:val="0"/>
                    <w:keepLines w:val="0"/>
                    <w:suppressLineNumbers w:val="0"/>
                    <w:spacing w:before="0" w:beforeAutospacing="0" w:after="0" w:afterAutospacing="0"/>
                    <w:ind w:left="0" w:right="0"/>
                    <w:contextualSpacing/>
                    <w:jc w:val="both"/>
                    <w:rPr>
                      <w:rFonts w:hint="default"/>
                      <w:color w:val="auto"/>
                      <w:kern w:val="0"/>
                      <w:szCs w:val="21"/>
                    </w:rPr>
                  </w:pPr>
                  <w:r>
                    <w:rPr>
                      <w:rFonts w:hint="eastAsia"/>
                      <w:color w:val="auto"/>
                      <w:kern w:val="0"/>
                      <w:szCs w:val="21"/>
                    </w:rPr>
                    <w:t>推动“低小散”涉VOCs企业综合整治，按照“散乱污”企业整治模式对涉VOCs排放的“低小散”企业开展综合治理。</w:t>
                  </w:r>
                </w:p>
              </w:tc>
              <w:tc>
                <w:tcPr>
                  <w:tcW w:w="1567" w:type="pct"/>
                  <w:tcBorders>
                    <w:tl2br w:val="nil"/>
                    <w:tr2bl w:val="nil"/>
                  </w:tcBorders>
                  <w:noWrap w:val="0"/>
                  <w:vAlign w:val="center"/>
                </w:tcPr>
                <w:p w14:paraId="793A3812">
                  <w:pPr>
                    <w:keepNext w:val="0"/>
                    <w:keepLines w:val="0"/>
                    <w:suppressLineNumbers w:val="0"/>
                    <w:spacing w:before="0" w:beforeAutospacing="0" w:after="0" w:afterAutospacing="0"/>
                    <w:ind w:left="0" w:right="0"/>
                    <w:jc w:val="both"/>
                    <w:rPr>
                      <w:rFonts w:hint="eastAsia" w:eastAsia="宋体"/>
                      <w:bCs/>
                      <w:color w:val="auto"/>
                      <w:kern w:val="20"/>
                      <w:szCs w:val="21"/>
                      <w:lang w:eastAsia="zh-CN"/>
                    </w:rPr>
                  </w:pPr>
                  <w:r>
                    <w:rPr>
                      <w:rFonts w:hint="eastAsia"/>
                      <w:bCs/>
                      <w:color w:val="auto"/>
                      <w:kern w:val="20"/>
                      <w:szCs w:val="21"/>
                    </w:rPr>
                    <w:t>本项目不属于</w:t>
                  </w:r>
                  <w:r>
                    <w:rPr>
                      <w:rFonts w:hint="eastAsia"/>
                      <w:color w:val="auto"/>
                      <w:kern w:val="0"/>
                      <w:szCs w:val="21"/>
                    </w:rPr>
                    <w:t>“低小散”和“散乱污”企业</w:t>
                  </w:r>
                  <w:r>
                    <w:rPr>
                      <w:rFonts w:hint="eastAsia"/>
                      <w:color w:val="auto"/>
                      <w:kern w:val="0"/>
                      <w:szCs w:val="21"/>
                      <w:lang w:eastAsia="zh-CN"/>
                    </w:rPr>
                    <w:t>。</w:t>
                  </w:r>
                </w:p>
              </w:tc>
              <w:tc>
                <w:tcPr>
                  <w:tcW w:w="511" w:type="pct"/>
                  <w:tcBorders>
                    <w:tl2br w:val="nil"/>
                    <w:tr2bl w:val="nil"/>
                  </w:tcBorders>
                  <w:noWrap w:val="0"/>
                  <w:vAlign w:val="center"/>
                </w:tcPr>
                <w:p w14:paraId="16715FB8">
                  <w:pPr>
                    <w:keepNext w:val="0"/>
                    <w:keepLines w:val="0"/>
                    <w:suppressLineNumbers w:val="0"/>
                    <w:spacing w:before="0" w:beforeAutospacing="0" w:after="0" w:afterAutospacing="0"/>
                    <w:ind w:left="0" w:right="0"/>
                    <w:jc w:val="center"/>
                    <w:rPr>
                      <w:rFonts w:hint="default"/>
                      <w:bCs/>
                      <w:color w:val="auto"/>
                      <w:kern w:val="20"/>
                      <w:szCs w:val="21"/>
                    </w:rPr>
                  </w:pPr>
                  <w:r>
                    <w:rPr>
                      <w:rFonts w:hint="eastAsia"/>
                      <w:bCs/>
                      <w:color w:val="auto"/>
                      <w:kern w:val="20"/>
                      <w:szCs w:val="21"/>
                    </w:rPr>
                    <w:t>符合</w:t>
                  </w:r>
                </w:p>
              </w:tc>
            </w:tr>
            <w:tr w14:paraId="4FC80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 w:type="pct"/>
                  <w:vMerge w:val="continue"/>
                  <w:tcBorders>
                    <w:tl2br w:val="nil"/>
                    <w:tr2bl w:val="nil"/>
                  </w:tcBorders>
                  <w:noWrap w:val="0"/>
                  <w:vAlign w:val="center"/>
                </w:tcPr>
                <w:p w14:paraId="59DEEE02">
                  <w:pPr>
                    <w:keepNext w:val="0"/>
                    <w:keepLines w:val="0"/>
                    <w:suppressLineNumbers w:val="0"/>
                    <w:spacing w:before="0" w:beforeAutospacing="0" w:after="0" w:afterAutospacing="0"/>
                    <w:ind w:left="0" w:right="0" w:firstLine="422" w:firstLineChars="200"/>
                    <w:jc w:val="center"/>
                    <w:rPr>
                      <w:rFonts w:hint="default" w:ascii="方正楷体简体" w:eastAsia="方正楷体简体"/>
                      <w:b/>
                      <w:color w:val="auto"/>
                      <w:szCs w:val="21"/>
                    </w:rPr>
                  </w:pPr>
                </w:p>
              </w:tc>
              <w:tc>
                <w:tcPr>
                  <w:tcW w:w="2427" w:type="pct"/>
                  <w:tcBorders>
                    <w:tl2br w:val="nil"/>
                    <w:tr2bl w:val="nil"/>
                  </w:tcBorders>
                  <w:noWrap w:val="0"/>
                  <w:vAlign w:val="center"/>
                </w:tcPr>
                <w:p w14:paraId="55816B4F">
                  <w:pPr>
                    <w:keepNext w:val="0"/>
                    <w:keepLines w:val="0"/>
                    <w:suppressLineNumbers w:val="0"/>
                    <w:spacing w:before="0" w:beforeAutospacing="0" w:after="0" w:afterAutospacing="0"/>
                    <w:ind w:left="0" w:right="0"/>
                    <w:contextualSpacing/>
                    <w:jc w:val="both"/>
                    <w:rPr>
                      <w:rFonts w:hint="default"/>
                      <w:color w:val="auto"/>
                      <w:kern w:val="0"/>
                      <w:szCs w:val="21"/>
                    </w:rPr>
                  </w:pPr>
                  <w:r>
                    <w:rPr>
                      <w:rFonts w:hint="eastAsia"/>
                      <w:color w:val="auto"/>
                      <w:kern w:val="0"/>
                      <w:szCs w:val="21"/>
                    </w:rPr>
                    <w:t>在煤化工、工业涂装等传统行业退出一批低端低效产能，对生产工艺和技术装备落后的列入全市淘汰落后产能计划予以淘汰。</w:t>
                  </w:r>
                </w:p>
              </w:tc>
              <w:tc>
                <w:tcPr>
                  <w:tcW w:w="1567" w:type="pct"/>
                  <w:tcBorders>
                    <w:tl2br w:val="nil"/>
                    <w:tr2bl w:val="nil"/>
                  </w:tcBorders>
                  <w:noWrap w:val="0"/>
                  <w:vAlign w:val="center"/>
                </w:tcPr>
                <w:p w14:paraId="71958D28">
                  <w:pPr>
                    <w:keepNext w:val="0"/>
                    <w:keepLines w:val="0"/>
                    <w:suppressLineNumbers w:val="0"/>
                    <w:spacing w:before="0" w:beforeAutospacing="0" w:after="0" w:afterAutospacing="0"/>
                    <w:ind w:left="0" w:right="0"/>
                    <w:jc w:val="both"/>
                    <w:rPr>
                      <w:rFonts w:hint="default"/>
                      <w:bCs/>
                      <w:color w:val="auto"/>
                      <w:kern w:val="20"/>
                      <w:szCs w:val="21"/>
                    </w:rPr>
                  </w:pPr>
                  <w:r>
                    <w:rPr>
                      <w:rFonts w:hint="eastAsia" w:ascii="Times New Roman" w:hAnsi="Times New Roman" w:eastAsia="宋体" w:cs="Times New Roman"/>
                      <w:bCs/>
                      <w:color w:val="auto"/>
                      <w:spacing w:val="-6"/>
                      <w:sz w:val="21"/>
                      <w:szCs w:val="21"/>
                      <w:highlight w:val="none"/>
                      <w:lang w:val="en-US" w:eastAsia="zh-CN"/>
                    </w:rPr>
                    <w:t>本项目生产设备无《产业结构调整指导目录（</w:t>
                  </w:r>
                  <w:r>
                    <w:rPr>
                      <w:rFonts w:hint="eastAsia" w:cs="Times New Roman"/>
                      <w:bCs/>
                      <w:color w:val="auto"/>
                      <w:spacing w:val="-6"/>
                      <w:sz w:val="21"/>
                      <w:szCs w:val="21"/>
                      <w:highlight w:val="none"/>
                      <w:lang w:val="en-US" w:eastAsia="zh-CN"/>
                    </w:rPr>
                    <w:t>2024</w:t>
                  </w:r>
                  <w:r>
                    <w:rPr>
                      <w:rFonts w:hint="eastAsia" w:ascii="Times New Roman" w:hAnsi="Times New Roman" w:eastAsia="宋体" w:cs="Times New Roman"/>
                      <w:bCs/>
                      <w:color w:val="auto"/>
                      <w:spacing w:val="-6"/>
                      <w:sz w:val="21"/>
                      <w:szCs w:val="21"/>
                      <w:highlight w:val="none"/>
                      <w:lang w:val="en-US" w:eastAsia="zh-CN"/>
                    </w:rPr>
                    <w:t>年本）》中淘汰类设备</w:t>
                  </w:r>
                  <w:r>
                    <w:rPr>
                      <w:rFonts w:hint="eastAsia"/>
                      <w:color w:val="auto"/>
                      <w:kern w:val="0"/>
                      <w:szCs w:val="21"/>
                    </w:rPr>
                    <w:t>。</w:t>
                  </w:r>
                </w:p>
              </w:tc>
              <w:tc>
                <w:tcPr>
                  <w:tcW w:w="511" w:type="pct"/>
                  <w:tcBorders>
                    <w:tl2br w:val="nil"/>
                    <w:tr2bl w:val="nil"/>
                  </w:tcBorders>
                  <w:noWrap w:val="0"/>
                  <w:vAlign w:val="center"/>
                </w:tcPr>
                <w:p w14:paraId="60F998E9">
                  <w:pPr>
                    <w:keepNext w:val="0"/>
                    <w:keepLines w:val="0"/>
                    <w:suppressLineNumbers w:val="0"/>
                    <w:spacing w:before="0" w:beforeAutospacing="0" w:after="0" w:afterAutospacing="0"/>
                    <w:ind w:left="0" w:right="0"/>
                    <w:jc w:val="center"/>
                    <w:rPr>
                      <w:rFonts w:hint="default"/>
                      <w:color w:val="auto"/>
                      <w:kern w:val="0"/>
                      <w:szCs w:val="21"/>
                    </w:rPr>
                  </w:pPr>
                  <w:r>
                    <w:rPr>
                      <w:rFonts w:hint="eastAsia"/>
                      <w:bCs/>
                      <w:color w:val="auto"/>
                      <w:kern w:val="20"/>
                      <w:szCs w:val="21"/>
                    </w:rPr>
                    <w:t>符合</w:t>
                  </w:r>
                </w:p>
              </w:tc>
            </w:tr>
            <w:tr w14:paraId="083C2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 w:type="pct"/>
                  <w:vMerge w:val="restart"/>
                  <w:tcBorders>
                    <w:tl2br w:val="nil"/>
                    <w:tr2bl w:val="nil"/>
                  </w:tcBorders>
                  <w:noWrap w:val="0"/>
                  <w:vAlign w:val="center"/>
                </w:tcPr>
                <w:p w14:paraId="1CCD3613">
                  <w:pPr>
                    <w:keepNext w:val="0"/>
                    <w:keepLines w:val="0"/>
                    <w:suppressLineNumbers w:val="0"/>
                    <w:spacing w:before="0" w:beforeAutospacing="0" w:after="0" w:afterAutospacing="0"/>
                    <w:ind w:left="0" w:right="0"/>
                    <w:jc w:val="center"/>
                    <w:rPr>
                      <w:rFonts w:hint="default"/>
                      <w:color w:val="auto"/>
                      <w:kern w:val="0"/>
                      <w:szCs w:val="21"/>
                    </w:rPr>
                  </w:pPr>
                  <w:r>
                    <w:rPr>
                      <w:rFonts w:hint="eastAsia"/>
                      <w:color w:val="auto"/>
                      <w:kern w:val="0"/>
                      <w:szCs w:val="21"/>
                    </w:rPr>
                    <w:t>重点行业无挥发或低挥发性原料替代</w:t>
                  </w:r>
                </w:p>
              </w:tc>
              <w:tc>
                <w:tcPr>
                  <w:tcW w:w="2427" w:type="pct"/>
                  <w:tcBorders>
                    <w:tl2br w:val="nil"/>
                    <w:tr2bl w:val="nil"/>
                  </w:tcBorders>
                  <w:noWrap w:val="0"/>
                  <w:vAlign w:val="center"/>
                </w:tcPr>
                <w:p w14:paraId="5AA159F6">
                  <w:pPr>
                    <w:keepNext w:val="0"/>
                    <w:keepLines w:val="0"/>
                    <w:suppressLineNumbers w:val="0"/>
                    <w:spacing w:before="0" w:beforeAutospacing="0" w:after="0" w:afterAutospacing="0"/>
                    <w:ind w:left="0" w:right="0"/>
                    <w:jc w:val="both"/>
                    <w:rPr>
                      <w:rFonts w:hint="default" w:ascii="方正仿宋简体" w:eastAsia="方正仿宋简体"/>
                      <w:b/>
                      <w:color w:val="auto"/>
                      <w:szCs w:val="21"/>
                    </w:rPr>
                  </w:pPr>
                  <w:r>
                    <w:rPr>
                      <w:rFonts w:hint="default"/>
                      <w:color w:val="auto"/>
                      <w:kern w:val="0"/>
                      <w:szCs w:val="21"/>
                    </w:rPr>
                    <w:t>禁止新改扩建涉高VOCs含量溶剂型涂料、油墨、胶粘剂等生产和使用的项目。</w:t>
                  </w:r>
                  <w:r>
                    <w:rPr>
                      <w:rFonts w:hint="default"/>
                      <w:color w:val="auto"/>
                      <w:szCs w:val="21"/>
                    </w:rPr>
                    <w:t>积极推进交通工具、家具制造、包装印刷、人造板制造等行业使用低（无）VOCs含量原辅材料和产品。</w:t>
                  </w:r>
                </w:p>
              </w:tc>
              <w:tc>
                <w:tcPr>
                  <w:tcW w:w="1567" w:type="pct"/>
                  <w:vMerge w:val="restart"/>
                  <w:tcBorders>
                    <w:tl2br w:val="nil"/>
                    <w:tr2bl w:val="nil"/>
                  </w:tcBorders>
                  <w:noWrap w:val="0"/>
                  <w:vAlign w:val="center"/>
                </w:tcPr>
                <w:p w14:paraId="7993D3AF">
                  <w:pPr>
                    <w:keepNext w:val="0"/>
                    <w:keepLines w:val="0"/>
                    <w:suppressLineNumbers w:val="0"/>
                    <w:spacing w:before="0" w:beforeAutospacing="0" w:after="0" w:afterAutospacing="0"/>
                    <w:ind w:left="0" w:right="0"/>
                    <w:jc w:val="both"/>
                    <w:rPr>
                      <w:rFonts w:hint="default"/>
                      <w:bCs/>
                      <w:color w:val="auto"/>
                      <w:kern w:val="20"/>
                      <w:szCs w:val="21"/>
                    </w:rPr>
                  </w:pPr>
                  <w:r>
                    <w:rPr>
                      <w:rFonts w:hint="eastAsia"/>
                      <w:bCs/>
                      <w:color w:val="auto"/>
                      <w:kern w:val="20"/>
                      <w:szCs w:val="21"/>
                      <w:highlight w:val="none"/>
                    </w:rPr>
                    <w:t>本</w:t>
                  </w:r>
                  <w:r>
                    <w:rPr>
                      <w:rFonts w:hint="eastAsia"/>
                      <w:bCs/>
                      <w:color w:val="auto"/>
                      <w:kern w:val="20"/>
                      <w:szCs w:val="21"/>
                      <w:highlight w:val="none"/>
                      <w:lang w:val="en-US" w:eastAsia="zh-CN"/>
                    </w:rPr>
                    <w:t>项目涂布材料、油墨、胶黏剂等均为低VOCs型材料</w:t>
                  </w:r>
                  <w:r>
                    <w:rPr>
                      <w:rFonts w:hint="eastAsia"/>
                      <w:bCs/>
                      <w:color w:val="auto"/>
                      <w:kern w:val="20"/>
                      <w:szCs w:val="21"/>
                      <w:highlight w:val="none"/>
                      <w:lang w:eastAsia="zh-CN"/>
                    </w:rPr>
                    <w:t>；</w:t>
                  </w:r>
                  <w:r>
                    <w:rPr>
                      <w:rFonts w:hint="eastAsia"/>
                      <w:bCs/>
                      <w:color w:val="auto"/>
                      <w:kern w:val="20"/>
                      <w:szCs w:val="21"/>
                      <w:highlight w:val="none"/>
                      <w:lang w:val="en-US" w:eastAsia="zh-CN"/>
                    </w:rPr>
                    <w:t>生产过程产生的VOCs废气经二级活性炭吸附后达标排放</w:t>
                  </w:r>
                  <w:r>
                    <w:rPr>
                      <w:rFonts w:hint="eastAsia"/>
                      <w:bCs/>
                      <w:color w:val="auto"/>
                      <w:kern w:val="20"/>
                      <w:szCs w:val="21"/>
                      <w:highlight w:val="none"/>
                    </w:rPr>
                    <w:t>。</w:t>
                  </w:r>
                </w:p>
              </w:tc>
              <w:tc>
                <w:tcPr>
                  <w:tcW w:w="511" w:type="pct"/>
                  <w:vMerge w:val="restart"/>
                  <w:tcBorders>
                    <w:tl2br w:val="nil"/>
                    <w:tr2bl w:val="nil"/>
                  </w:tcBorders>
                  <w:noWrap w:val="0"/>
                  <w:vAlign w:val="center"/>
                </w:tcPr>
                <w:p w14:paraId="13671E88">
                  <w:pPr>
                    <w:keepNext w:val="0"/>
                    <w:keepLines w:val="0"/>
                    <w:suppressLineNumbers w:val="0"/>
                    <w:spacing w:before="0" w:beforeAutospacing="0" w:after="0" w:afterAutospacing="0"/>
                    <w:ind w:left="0" w:right="0"/>
                    <w:jc w:val="center"/>
                    <w:rPr>
                      <w:rFonts w:hint="default"/>
                      <w:snapToGrid w:val="0"/>
                      <w:color w:val="auto"/>
                      <w:kern w:val="0"/>
                      <w:szCs w:val="21"/>
                    </w:rPr>
                  </w:pPr>
                  <w:r>
                    <w:rPr>
                      <w:rFonts w:hint="eastAsia"/>
                      <w:bCs/>
                      <w:color w:val="auto"/>
                      <w:kern w:val="20"/>
                      <w:szCs w:val="21"/>
                    </w:rPr>
                    <w:t>符合</w:t>
                  </w:r>
                </w:p>
              </w:tc>
            </w:tr>
            <w:tr w14:paraId="6A961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 w:type="pct"/>
                  <w:vMerge w:val="continue"/>
                  <w:tcBorders>
                    <w:tl2br w:val="nil"/>
                    <w:tr2bl w:val="nil"/>
                  </w:tcBorders>
                  <w:noWrap w:val="0"/>
                  <w:vAlign w:val="center"/>
                </w:tcPr>
                <w:p w14:paraId="511AE548">
                  <w:pPr>
                    <w:keepNext w:val="0"/>
                    <w:keepLines w:val="0"/>
                    <w:suppressLineNumbers w:val="0"/>
                    <w:spacing w:before="0" w:beforeAutospacing="0" w:after="0" w:afterAutospacing="0"/>
                    <w:ind w:left="0" w:right="0"/>
                    <w:jc w:val="center"/>
                    <w:rPr>
                      <w:rFonts w:hint="default" w:ascii="方正楷体简体" w:eastAsia="方正楷体简体"/>
                      <w:b/>
                      <w:color w:val="auto"/>
                      <w:szCs w:val="21"/>
                    </w:rPr>
                  </w:pPr>
                </w:p>
              </w:tc>
              <w:tc>
                <w:tcPr>
                  <w:tcW w:w="2427" w:type="pct"/>
                  <w:tcBorders>
                    <w:tl2br w:val="nil"/>
                    <w:tr2bl w:val="nil"/>
                  </w:tcBorders>
                  <w:noWrap w:val="0"/>
                  <w:vAlign w:val="center"/>
                </w:tcPr>
                <w:p w14:paraId="44B3E5CE">
                  <w:pPr>
                    <w:keepNext w:val="0"/>
                    <w:keepLines w:val="0"/>
                    <w:suppressLineNumbers w:val="0"/>
                    <w:spacing w:before="0" w:beforeAutospacing="0" w:after="0" w:afterAutospacing="0"/>
                    <w:ind w:left="0" w:right="0"/>
                    <w:jc w:val="both"/>
                    <w:rPr>
                      <w:rFonts w:hint="default"/>
                      <w:color w:val="auto"/>
                      <w:kern w:val="0"/>
                      <w:szCs w:val="21"/>
                    </w:rPr>
                  </w:pPr>
                  <w:r>
                    <w:rPr>
                      <w:rFonts w:hint="eastAsia"/>
                      <w:color w:val="auto"/>
                      <w:kern w:val="0"/>
                      <w:szCs w:val="21"/>
                    </w:rPr>
                    <w:t>积极推进相关行业使用低（无）VOCs含量原辅材料和产品。交通工具制造行业使用高固体分、水性、粉末、无溶剂型等低VOCs含量涂料替代。家具制造行业使用水性、紫外光固化、高固体分等低VOCs含量涂料替代溶剂型涂料。机械设备、钢结构制造行业使用高固体分等低VOCs含量涂料替代。包装印刷行业使用水性、醇溶性、植物基、紫外光固化等低VOCs含量的油墨替代。人造板制造行业使用低（无）VOCs含量的胶黏剂替代。</w:t>
                  </w:r>
                </w:p>
              </w:tc>
              <w:tc>
                <w:tcPr>
                  <w:tcW w:w="1567" w:type="pct"/>
                  <w:vMerge w:val="continue"/>
                  <w:tcBorders>
                    <w:tl2br w:val="nil"/>
                    <w:tr2bl w:val="nil"/>
                  </w:tcBorders>
                  <w:noWrap w:val="0"/>
                  <w:vAlign w:val="center"/>
                </w:tcPr>
                <w:p w14:paraId="109B5C99">
                  <w:pPr>
                    <w:keepNext w:val="0"/>
                    <w:keepLines w:val="0"/>
                    <w:suppressLineNumbers w:val="0"/>
                    <w:spacing w:before="0" w:beforeAutospacing="0" w:after="0" w:afterAutospacing="0"/>
                    <w:ind w:left="0" w:right="0"/>
                    <w:jc w:val="center"/>
                    <w:rPr>
                      <w:rFonts w:hint="default"/>
                      <w:bCs/>
                      <w:color w:val="auto"/>
                      <w:kern w:val="20"/>
                      <w:szCs w:val="21"/>
                    </w:rPr>
                  </w:pPr>
                </w:p>
              </w:tc>
              <w:tc>
                <w:tcPr>
                  <w:tcW w:w="511" w:type="pct"/>
                  <w:vMerge w:val="continue"/>
                  <w:tcBorders>
                    <w:tl2br w:val="nil"/>
                    <w:tr2bl w:val="nil"/>
                  </w:tcBorders>
                  <w:noWrap w:val="0"/>
                  <w:vAlign w:val="center"/>
                </w:tcPr>
                <w:p w14:paraId="67D6CFA1">
                  <w:pPr>
                    <w:keepNext w:val="0"/>
                    <w:keepLines w:val="0"/>
                    <w:suppressLineNumbers w:val="0"/>
                    <w:spacing w:before="0" w:beforeAutospacing="0" w:after="0" w:afterAutospacing="0"/>
                    <w:ind w:left="0" w:right="0"/>
                    <w:jc w:val="center"/>
                    <w:rPr>
                      <w:rFonts w:hint="default"/>
                      <w:bCs/>
                      <w:color w:val="auto"/>
                      <w:kern w:val="20"/>
                      <w:szCs w:val="21"/>
                    </w:rPr>
                  </w:pPr>
                </w:p>
              </w:tc>
            </w:tr>
            <w:tr w14:paraId="4D1BA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 w:type="pct"/>
                  <w:vMerge w:val="continue"/>
                  <w:tcBorders>
                    <w:tl2br w:val="nil"/>
                    <w:tr2bl w:val="nil"/>
                  </w:tcBorders>
                  <w:noWrap w:val="0"/>
                  <w:vAlign w:val="center"/>
                </w:tcPr>
                <w:p w14:paraId="093EBCD6">
                  <w:pPr>
                    <w:keepNext w:val="0"/>
                    <w:keepLines w:val="0"/>
                    <w:suppressLineNumbers w:val="0"/>
                    <w:spacing w:before="0" w:beforeAutospacing="0" w:after="0" w:afterAutospacing="0"/>
                    <w:ind w:left="0" w:right="0"/>
                    <w:jc w:val="center"/>
                    <w:rPr>
                      <w:rFonts w:hint="default" w:ascii="方正楷体简体" w:eastAsia="方正楷体简体"/>
                      <w:b/>
                      <w:color w:val="auto"/>
                      <w:szCs w:val="21"/>
                    </w:rPr>
                  </w:pPr>
                </w:p>
              </w:tc>
              <w:tc>
                <w:tcPr>
                  <w:tcW w:w="2427" w:type="pct"/>
                  <w:tcBorders>
                    <w:tl2br w:val="nil"/>
                    <w:tr2bl w:val="nil"/>
                  </w:tcBorders>
                  <w:noWrap w:val="0"/>
                  <w:vAlign w:val="center"/>
                </w:tcPr>
                <w:p w14:paraId="5CFC41A5">
                  <w:pPr>
                    <w:keepNext w:val="0"/>
                    <w:keepLines w:val="0"/>
                    <w:suppressLineNumbers w:val="0"/>
                    <w:spacing w:before="0" w:beforeAutospacing="0" w:after="0" w:afterAutospacing="0"/>
                    <w:ind w:left="0" w:right="0"/>
                    <w:jc w:val="both"/>
                    <w:rPr>
                      <w:rFonts w:hint="default"/>
                      <w:color w:val="auto"/>
                      <w:kern w:val="0"/>
                      <w:szCs w:val="21"/>
                    </w:rPr>
                  </w:pPr>
                  <w:r>
                    <w:rPr>
                      <w:rFonts w:hint="eastAsia"/>
                      <w:color w:val="auto"/>
                      <w:kern w:val="0"/>
                      <w:szCs w:val="21"/>
                    </w:rPr>
                    <w:t>积极推进汽修行业使用低VOCs含量的涂料汽车修补漆全部使用即用状态下VOCs含量不高于540克/升的涂料，其中，底色漆和面漆不高于420克/升。</w:t>
                  </w:r>
                </w:p>
              </w:tc>
              <w:tc>
                <w:tcPr>
                  <w:tcW w:w="1567" w:type="pct"/>
                  <w:vMerge w:val="continue"/>
                  <w:tcBorders>
                    <w:tl2br w:val="nil"/>
                    <w:tr2bl w:val="nil"/>
                  </w:tcBorders>
                  <w:noWrap w:val="0"/>
                  <w:vAlign w:val="center"/>
                </w:tcPr>
                <w:p w14:paraId="6B96F06F">
                  <w:pPr>
                    <w:keepNext w:val="0"/>
                    <w:keepLines w:val="0"/>
                    <w:suppressLineNumbers w:val="0"/>
                    <w:spacing w:before="0" w:beforeAutospacing="0" w:after="0" w:afterAutospacing="0"/>
                    <w:ind w:left="0" w:right="0"/>
                    <w:jc w:val="center"/>
                    <w:rPr>
                      <w:rFonts w:hint="default"/>
                      <w:bCs/>
                      <w:color w:val="auto"/>
                      <w:kern w:val="20"/>
                      <w:szCs w:val="21"/>
                    </w:rPr>
                  </w:pPr>
                </w:p>
              </w:tc>
              <w:tc>
                <w:tcPr>
                  <w:tcW w:w="511" w:type="pct"/>
                  <w:vMerge w:val="continue"/>
                  <w:tcBorders>
                    <w:tl2br w:val="nil"/>
                    <w:tr2bl w:val="nil"/>
                  </w:tcBorders>
                  <w:noWrap w:val="0"/>
                  <w:vAlign w:val="center"/>
                </w:tcPr>
                <w:p w14:paraId="405B4E9A">
                  <w:pPr>
                    <w:keepNext w:val="0"/>
                    <w:keepLines w:val="0"/>
                    <w:suppressLineNumbers w:val="0"/>
                    <w:spacing w:before="0" w:beforeAutospacing="0" w:after="0" w:afterAutospacing="0"/>
                    <w:ind w:left="0" w:right="0"/>
                    <w:jc w:val="center"/>
                    <w:rPr>
                      <w:rFonts w:hint="default"/>
                      <w:bCs/>
                      <w:color w:val="auto"/>
                      <w:kern w:val="20"/>
                      <w:szCs w:val="21"/>
                    </w:rPr>
                  </w:pPr>
                </w:p>
              </w:tc>
            </w:tr>
            <w:tr w14:paraId="620E3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 w:type="pct"/>
                  <w:tcBorders>
                    <w:tl2br w:val="nil"/>
                    <w:tr2bl w:val="nil"/>
                  </w:tcBorders>
                  <w:noWrap w:val="0"/>
                  <w:vAlign w:val="center"/>
                </w:tcPr>
                <w:p w14:paraId="5B36E84B">
                  <w:pPr>
                    <w:keepNext w:val="0"/>
                    <w:keepLines w:val="0"/>
                    <w:suppressLineNumbers w:val="0"/>
                    <w:spacing w:before="0" w:beforeAutospacing="0" w:after="0" w:afterAutospacing="0"/>
                    <w:ind w:left="0" w:right="0"/>
                    <w:jc w:val="center"/>
                    <w:rPr>
                      <w:rFonts w:hint="default"/>
                      <w:color w:val="auto"/>
                      <w:kern w:val="0"/>
                      <w:szCs w:val="21"/>
                    </w:rPr>
                  </w:pPr>
                  <w:r>
                    <w:rPr>
                      <w:rFonts w:hint="eastAsia"/>
                      <w:color w:val="auto"/>
                      <w:szCs w:val="21"/>
                    </w:rPr>
                    <w:t>实施工业涂装VOCs治理提升工程</w:t>
                  </w:r>
                </w:p>
              </w:tc>
              <w:tc>
                <w:tcPr>
                  <w:tcW w:w="2427" w:type="pct"/>
                  <w:tcBorders>
                    <w:tl2br w:val="nil"/>
                    <w:tr2bl w:val="nil"/>
                  </w:tcBorders>
                  <w:noWrap w:val="0"/>
                  <w:vAlign w:val="center"/>
                </w:tcPr>
                <w:p w14:paraId="3E27FEFD">
                  <w:pPr>
                    <w:keepNext w:val="0"/>
                    <w:keepLines w:val="0"/>
                    <w:suppressLineNumbers w:val="0"/>
                    <w:spacing w:before="0" w:beforeAutospacing="0" w:after="0" w:afterAutospacing="0"/>
                    <w:ind w:left="0" w:right="0"/>
                    <w:jc w:val="both"/>
                    <w:rPr>
                      <w:rFonts w:hint="default"/>
                      <w:bCs/>
                      <w:color w:val="auto"/>
                      <w:kern w:val="20"/>
                      <w:szCs w:val="21"/>
                    </w:rPr>
                  </w:pPr>
                  <w:r>
                    <w:rPr>
                      <w:rFonts w:hint="default"/>
                      <w:color w:val="auto"/>
                      <w:szCs w:val="21"/>
                    </w:rPr>
                    <w:t>严格执行《挥发性有机物排放标准第1部分：汽车制造业（DB37/ 2801.1-2016）》《挥发性有机物排放标准第3部分：家具制造业（DB37/2801.3-2017）》《挥发性有机物排放标准第5部分：表面涂装行业（DB37/ 2801.5-2018）》等国家、省、市有关行业标准规范的治理要求。加强有机废气分类收集与处理，产生含挥发性有机物废气的工艺应当在密闭空间或者设备中进行，并按照规定安装、使用污染防治设施；无法密闭的，应当采取措施减少废气排放，禁止露天和敞开式喷涂作业。对喷漆、流平、烘干等环节产生的废气，采取焚烧等高效末端治理技术。</w:t>
                  </w:r>
                </w:p>
              </w:tc>
              <w:tc>
                <w:tcPr>
                  <w:tcW w:w="1567" w:type="pct"/>
                  <w:tcBorders>
                    <w:tl2br w:val="nil"/>
                    <w:tr2bl w:val="nil"/>
                  </w:tcBorders>
                  <w:noWrap w:val="0"/>
                  <w:vAlign w:val="center"/>
                </w:tcPr>
                <w:p w14:paraId="747B2B3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bCs/>
                      <w:color w:val="auto"/>
                      <w:kern w:val="20"/>
                      <w:szCs w:val="21"/>
                    </w:rPr>
                  </w:pPr>
                  <w:r>
                    <w:rPr>
                      <w:rFonts w:hint="eastAsia"/>
                      <w:bCs/>
                      <w:color w:val="auto"/>
                      <w:kern w:val="20"/>
                      <w:szCs w:val="21"/>
                      <w:highlight w:val="none"/>
                    </w:rPr>
                    <w:t>本</w:t>
                  </w:r>
                  <w:r>
                    <w:rPr>
                      <w:rFonts w:hint="eastAsia"/>
                      <w:bCs/>
                      <w:color w:val="auto"/>
                      <w:kern w:val="20"/>
                      <w:szCs w:val="21"/>
                      <w:highlight w:val="none"/>
                      <w:lang w:val="en-US" w:eastAsia="zh-CN"/>
                    </w:rPr>
                    <w:t>项目烘干、印刷、胶钉工序上方设置集气罩</w:t>
                  </w:r>
                  <w:r>
                    <w:rPr>
                      <w:rFonts w:hint="eastAsia"/>
                      <w:bCs/>
                      <w:color w:val="auto"/>
                      <w:kern w:val="20"/>
                      <w:szCs w:val="21"/>
                      <w:highlight w:val="none"/>
                      <w:lang w:eastAsia="zh-CN"/>
                    </w:rPr>
                    <w:t>；</w:t>
                  </w:r>
                  <w:r>
                    <w:rPr>
                      <w:rFonts w:hint="eastAsia"/>
                      <w:bCs/>
                      <w:color w:val="auto"/>
                      <w:kern w:val="20"/>
                      <w:szCs w:val="21"/>
                      <w:highlight w:val="none"/>
                      <w:lang w:val="en-US" w:eastAsia="zh-CN"/>
                    </w:rPr>
                    <w:t>产生的VOCs废气经二级活性炭吸附后达标排放</w:t>
                  </w:r>
                  <w:r>
                    <w:rPr>
                      <w:rFonts w:hint="eastAsia"/>
                      <w:bCs/>
                      <w:color w:val="auto"/>
                      <w:kern w:val="20"/>
                      <w:szCs w:val="21"/>
                      <w:highlight w:val="none"/>
                    </w:rPr>
                    <w:t>。项目有机废气排放可满足</w:t>
                  </w:r>
                  <w:r>
                    <w:rPr>
                      <w:rFonts w:hint="default"/>
                      <w:color w:val="auto"/>
                      <w:szCs w:val="21"/>
                    </w:rPr>
                    <w:t>《挥发性有机物排放标准第5部分：表面涂装行业（DB37/ 2801.5-2018）》</w:t>
                  </w:r>
                  <w:r>
                    <w:rPr>
                      <w:rFonts w:hint="eastAsia"/>
                      <w:color w:val="auto"/>
                      <w:szCs w:val="21"/>
                      <w:lang w:val="en-US" w:eastAsia="zh-CN"/>
                    </w:rPr>
                    <w:t>和</w:t>
                  </w:r>
                  <w:r>
                    <w:rPr>
                      <w:rFonts w:hint="eastAsia" w:eastAsia="宋体"/>
                      <w:sz w:val="21"/>
                      <w:szCs w:val="21"/>
                      <w:lang w:eastAsia="zh-CN"/>
                    </w:rPr>
                    <w:t>《挥发性有机物排放标准 第4部分：印刷业》（DB37/2801.</w:t>
                  </w:r>
                  <w:r>
                    <w:rPr>
                      <w:rFonts w:hint="eastAsia" w:eastAsia="宋体"/>
                      <w:sz w:val="21"/>
                      <w:szCs w:val="21"/>
                      <w:lang w:val="en-US" w:eastAsia="zh-CN"/>
                    </w:rPr>
                    <w:t>4</w:t>
                  </w:r>
                  <w:r>
                    <w:rPr>
                      <w:rFonts w:hint="eastAsia" w:eastAsia="宋体"/>
                      <w:sz w:val="21"/>
                      <w:szCs w:val="21"/>
                      <w:lang w:eastAsia="zh-CN"/>
                    </w:rPr>
                    <w:t>-201</w:t>
                  </w:r>
                  <w:r>
                    <w:rPr>
                      <w:rFonts w:hint="eastAsia" w:eastAsia="宋体"/>
                      <w:sz w:val="21"/>
                      <w:szCs w:val="21"/>
                      <w:lang w:val="en-US" w:eastAsia="zh-CN"/>
                    </w:rPr>
                    <w:t>7</w:t>
                  </w:r>
                  <w:r>
                    <w:rPr>
                      <w:rFonts w:hint="eastAsia" w:eastAsia="宋体"/>
                      <w:sz w:val="21"/>
                      <w:szCs w:val="21"/>
                      <w:lang w:eastAsia="zh-CN"/>
                    </w:rPr>
                    <w:t>）</w:t>
                  </w:r>
                  <w:r>
                    <w:rPr>
                      <w:rFonts w:hint="eastAsia"/>
                      <w:bCs/>
                      <w:color w:val="auto"/>
                      <w:szCs w:val="21"/>
                      <w:highlight w:val="none"/>
                    </w:rPr>
                    <w:t>。</w:t>
                  </w:r>
                </w:p>
              </w:tc>
              <w:tc>
                <w:tcPr>
                  <w:tcW w:w="511" w:type="pct"/>
                  <w:tcBorders>
                    <w:tl2br w:val="nil"/>
                    <w:tr2bl w:val="nil"/>
                  </w:tcBorders>
                  <w:noWrap w:val="0"/>
                  <w:vAlign w:val="center"/>
                </w:tcPr>
                <w:p w14:paraId="1E86CE1E">
                  <w:pPr>
                    <w:keepNext w:val="0"/>
                    <w:keepLines w:val="0"/>
                    <w:suppressLineNumbers w:val="0"/>
                    <w:spacing w:before="0" w:beforeAutospacing="0" w:after="0" w:afterAutospacing="0"/>
                    <w:ind w:left="0" w:right="0"/>
                    <w:jc w:val="center"/>
                    <w:rPr>
                      <w:rFonts w:hint="default"/>
                      <w:bCs/>
                      <w:color w:val="auto"/>
                      <w:kern w:val="20"/>
                      <w:szCs w:val="21"/>
                    </w:rPr>
                  </w:pPr>
                  <w:r>
                    <w:rPr>
                      <w:rFonts w:hint="eastAsia"/>
                      <w:bCs/>
                      <w:color w:val="auto"/>
                      <w:kern w:val="20"/>
                      <w:szCs w:val="21"/>
                    </w:rPr>
                    <w:t>符合</w:t>
                  </w:r>
                </w:p>
              </w:tc>
            </w:tr>
          </w:tbl>
          <w:p w14:paraId="43214851">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宋体"/>
                <w:b/>
                <w:bCs/>
                <w:color w:val="auto"/>
                <w:kern w:val="0"/>
                <w:sz w:val="24"/>
                <w:szCs w:val="24"/>
                <w:lang w:val="en-US" w:eastAsia="zh-CN"/>
              </w:rPr>
              <w:t>11</w:t>
            </w:r>
            <w:r>
              <w:rPr>
                <w:rFonts w:hint="eastAsia" w:ascii="Times New Roman" w:hAnsi="Times New Roman" w:eastAsia="宋体" w:cs="宋体"/>
                <w:b/>
                <w:bCs/>
                <w:color w:val="auto"/>
                <w:kern w:val="0"/>
                <w:sz w:val="24"/>
                <w:szCs w:val="24"/>
                <w:lang w:val="en-US" w:eastAsia="zh-CN"/>
              </w:rPr>
              <w:t>、</w:t>
            </w:r>
            <w:r>
              <w:rPr>
                <w:rFonts w:hint="eastAsia" w:ascii="Times New Roman" w:hAnsi="Times New Roman" w:eastAsia="宋体" w:cs="Times New Roman"/>
                <w:b/>
                <w:bCs/>
                <w:color w:val="auto"/>
                <w:sz w:val="24"/>
                <w:szCs w:val="24"/>
                <w:highlight w:val="none"/>
                <w:lang w:val="en-US" w:eastAsia="zh-CN"/>
              </w:rPr>
              <w:t>项目与《关于进一步加强环保设备设施安全生产工作的通知》（安委办明电〔</w:t>
            </w:r>
            <w:r>
              <w:rPr>
                <w:rFonts w:hint="default" w:ascii="Times New Roman" w:hAnsi="Times New Roman" w:eastAsia="宋体" w:cs="Times New Roman"/>
                <w:b/>
                <w:bCs/>
                <w:color w:val="auto"/>
                <w:sz w:val="24"/>
                <w:szCs w:val="24"/>
                <w:highlight w:val="none"/>
                <w:lang w:val="en-US" w:eastAsia="zh-CN"/>
              </w:rPr>
              <w:t>2022</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17</w:t>
            </w:r>
            <w:r>
              <w:rPr>
                <w:rFonts w:hint="eastAsia" w:ascii="Times New Roman" w:hAnsi="Times New Roman" w:eastAsia="宋体" w:cs="Times New Roman"/>
                <w:b/>
                <w:bCs/>
                <w:color w:val="auto"/>
                <w:sz w:val="24"/>
                <w:szCs w:val="24"/>
                <w:highlight w:val="none"/>
                <w:lang w:val="en-US" w:eastAsia="zh-CN"/>
              </w:rPr>
              <w:t>号）的符合性</w:t>
            </w:r>
            <w:r>
              <w:rPr>
                <w:rFonts w:hint="default" w:ascii="Times New Roman" w:hAnsi="Times New Roman" w:eastAsia="宋体" w:cs="Times New Roman"/>
                <w:b/>
                <w:bCs/>
                <w:color w:val="auto"/>
                <w:sz w:val="24"/>
                <w:szCs w:val="24"/>
                <w:highlight w:val="none"/>
                <w:lang w:val="en-US" w:eastAsia="zh-CN"/>
              </w:rPr>
              <w:t>分析</w:t>
            </w:r>
          </w:p>
          <w:p w14:paraId="13D931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240" w:lineRule="auto"/>
              <w:ind w:left="432" w:leftChars="0" w:right="0" w:rightChars="0" w:hanging="432" w:firstLineChars="0"/>
              <w:jc w:val="center"/>
              <w:textAlignment w:val="auto"/>
              <w:rPr>
                <w:rFonts w:hint="default" w:ascii="Times New Roman" w:hAnsi="Times New Roman" w:eastAsia="宋体" w:cs="Times New Roman"/>
                <w:b/>
                <w:snapToGrid/>
                <w:color w:val="000000"/>
                <w:sz w:val="24"/>
                <w:szCs w:val="24"/>
                <w:highlight w:val="none"/>
                <w:lang w:val="en-US" w:eastAsia="zh-CN"/>
              </w:rPr>
            </w:pPr>
            <w:r>
              <w:rPr>
                <w:rFonts w:hint="default" w:ascii="Times New Roman" w:hAnsi="Times New Roman" w:eastAsia="宋体" w:cs="Times New Roman"/>
                <w:b/>
                <w:bCs/>
                <w:snapToGrid/>
                <w:color w:val="000000"/>
                <w:kern w:val="2"/>
                <w:sz w:val="24"/>
                <w:szCs w:val="24"/>
                <w:lang w:val="en-US" w:eastAsia="zh-CN" w:bidi="ar-SA"/>
              </w:rPr>
              <w:t>表1-</w:t>
            </w:r>
            <w:r>
              <w:rPr>
                <w:rFonts w:hint="eastAsia" w:cs="Times New Roman"/>
                <w:b/>
                <w:bCs/>
                <w:snapToGrid/>
                <w:color w:val="000000"/>
                <w:kern w:val="2"/>
                <w:sz w:val="24"/>
                <w:szCs w:val="24"/>
                <w:lang w:val="en-US" w:eastAsia="zh-CN" w:bidi="ar-SA"/>
              </w:rPr>
              <w:t>9</w:t>
            </w:r>
            <w:r>
              <w:rPr>
                <w:rFonts w:hint="default" w:ascii="Times New Roman" w:hAnsi="Times New Roman" w:eastAsia="宋体" w:cs="Times New Roman"/>
                <w:b/>
                <w:bCs/>
                <w:snapToGrid/>
                <w:color w:val="000000"/>
                <w:kern w:val="2"/>
                <w:sz w:val="24"/>
                <w:szCs w:val="24"/>
                <w:lang w:val="en-US" w:eastAsia="zh-CN" w:bidi="ar-SA"/>
              </w:rPr>
              <w:t xml:space="preserve"> </w:t>
            </w:r>
            <w:r>
              <w:rPr>
                <w:rFonts w:hint="default" w:ascii="Times New Roman" w:hAnsi="Times New Roman" w:eastAsia="宋体" w:cs="Times New Roman"/>
                <w:b/>
                <w:snapToGrid/>
                <w:color w:val="000000"/>
                <w:sz w:val="24"/>
                <w:szCs w:val="24"/>
                <w:highlight w:val="none"/>
                <w:lang w:val="en-US" w:eastAsia="zh-CN"/>
              </w:rPr>
              <w:t xml:space="preserve"> 与安委办明电〔2022〕17号文符合情况</w:t>
            </w:r>
          </w:p>
          <w:tbl>
            <w:tblPr>
              <w:tblStyle w:val="34"/>
              <w:tblW w:w="5000"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798"/>
              <w:gridCol w:w="2053"/>
              <w:gridCol w:w="673"/>
            </w:tblGrid>
            <w:tr w14:paraId="7A2A6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5337" w:type="dxa"/>
                  <w:tcBorders>
                    <w:tl2br w:val="nil"/>
                    <w:tr2bl w:val="nil"/>
                  </w:tcBorders>
                  <w:noWrap w:val="0"/>
                  <w:vAlign w:val="center"/>
                </w:tcPr>
                <w:p w14:paraId="56B69B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要求</w:t>
                  </w:r>
                </w:p>
              </w:tc>
              <w:tc>
                <w:tcPr>
                  <w:tcW w:w="2282" w:type="dxa"/>
                  <w:tcBorders>
                    <w:tl2br w:val="nil"/>
                    <w:tr2bl w:val="nil"/>
                  </w:tcBorders>
                  <w:noWrap w:val="0"/>
                  <w:vAlign w:val="center"/>
                </w:tcPr>
                <w:p w14:paraId="18AF3C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项目情况</w:t>
                  </w:r>
                </w:p>
              </w:tc>
              <w:tc>
                <w:tcPr>
                  <w:tcW w:w="745" w:type="dxa"/>
                  <w:tcBorders>
                    <w:tl2br w:val="nil"/>
                    <w:tr2bl w:val="nil"/>
                  </w:tcBorders>
                  <w:noWrap w:val="0"/>
                  <w:vAlign w:val="center"/>
                </w:tcPr>
                <w:p w14:paraId="204F68E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jc w:val="center"/>
                    <w:textAlignment w:val="auto"/>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符合性</w:t>
                  </w:r>
                </w:p>
              </w:tc>
            </w:tr>
            <w:tr w14:paraId="5F68F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5337" w:type="dxa"/>
                  <w:tcBorders>
                    <w:tl2br w:val="nil"/>
                    <w:tr2bl w:val="nil"/>
                  </w:tcBorders>
                  <w:noWrap w:val="0"/>
                  <w:vAlign w:val="center"/>
                </w:tcPr>
                <w:p w14:paraId="700AF108">
                  <w:pPr>
                    <w:pStyle w:val="2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进一步落实部门监管指导责任。要高度关注新增环保设备设施带来的安全问题，提出推广环保新工艺、新技术、新产品的同时要充分考虑安全因素。要紧盯具有脱硫脱硝、挥发性有机物回收、污水处理、粉尘治理、蓄热式焚烧炉5类重点环保设备设施的企业，指导督促企业按照相关法律法规和技术标准规范要求，开展环保设备设施安全风险辨识评估和隐患排查治理，落实安全生产各项责任措施。</w:t>
                  </w:r>
                </w:p>
              </w:tc>
              <w:tc>
                <w:tcPr>
                  <w:tcW w:w="2282" w:type="dxa"/>
                  <w:tcBorders>
                    <w:tl2br w:val="nil"/>
                    <w:tr2bl w:val="nil"/>
                  </w:tcBorders>
                  <w:noWrap w:val="0"/>
                  <w:vAlign w:val="center"/>
                </w:tcPr>
                <w:p w14:paraId="23AC8E6E">
                  <w:pPr>
                    <w:pStyle w:val="2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项目建成后，企业应全面排查治理事故隐患，落实安全生产各项责任措施。</w:t>
                  </w:r>
                </w:p>
              </w:tc>
              <w:tc>
                <w:tcPr>
                  <w:tcW w:w="745" w:type="dxa"/>
                  <w:tcBorders>
                    <w:tl2br w:val="nil"/>
                    <w:tr2bl w:val="nil"/>
                  </w:tcBorders>
                  <w:noWrap w:val="0"/>
                  <w:vAlign w:val="center"/>
                </w:tcPr>
                <w:p w14:paraId="28749593">
                  <w:pPr>
                    <w:pStyle w:val="2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14:paraId="2622E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5337" w:type="dxa"/>
                  <w:tcBorders>
                    <w:tl2br w:val="nil"/>
                    <w:tr2bl w:val="nil"/>
                  </w:tcBorders>
                  <w:noWrap w:val="0"/>
                  <w:vAlign w:val="center"/>
                </w:tcPr>
                <w:p w14:paraId="2D85DB1E">
                  <w:pPr>
                    <w:pStyle w:val="2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进一步落实企业主体责任。推动企业主要负责人严格履行第一责任人责任，将环保设备设施安全作为企业安全管理的重要组成部分，全面负责落实本单位的环保设备设施安全生产工作。严格落实涉环保设备设施新、改、扩建项目环保和安全“ 三同时有关要求，委托有资质的设计单位进行正规设计，在选用污染防治技术时要充分考虑安全因素；在环保设备设施改造中必须依法开展安全风险评估，按要求设置安全监测监控系统和联锁保护装置，做好安全防范。对涉环保设备设施相关岗位人员进行操作规程、风险管控、应急处置、典型事故警示等专项安全培训教育。开展环保设备设施安全风险辨识评估，系统排查隐患，依法建立隐患整改台账，明确整改责任人、措施、资金、时限和应急救援预案，及时消除隐患。</w:t>
                  </w:r>
                </w:p>
              </w:tc>
              <w:tc>
                <w:tcPr>
                  <w:tcW w:w="2282" w:type="dxa"/>
                  <w:tcBorders>
                    <w:tl2br w:val="nil"/>
                    <w:tr2bl w:val="nil"/>
                  </w:tcBorders>
                  <w:noWrap w:val="0"/>
                  <w:vAlign w:val="center"/>
                </w:tcPr>
                <w:p w14:paraId="0651A288">
                  <w:pPr>
                    <w:pStyle w:val="2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企业落实安全主体责任，项目依法开展安全风险评估，严格落实安全“三同时”要求，环保设施委托有资质的设计单位设计，按要求做好安全防范，对相关岗位人员进行专项安全培训教育，做好应急救援预案，及时消除隐患。</w:t>
                  </w:r>
                </w:p>
              </w:tc>
              <w:tc>
                <w:tcPr>
                  <w:tcW w:w="745" w:type="dxa"/>
                  <w:tcBorders>
                    <w:tl2br w:val="nil"/>
                    <w:tr2bl w:val="nil"/>
                  </w:tcBorders>
                  <w:noWrap w:val="0"/>
                  <w:vAlign w:val="center"/>
                </w:tcPr>
                <w:p w14:paraId="1C5AE5FE">
                  <w:pPr>
                    <w:pStyle w:val="2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bl>
          <w:p w14:paraId="3F2812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36" w:lineRule="auto"/>
              <w:ind w:left="0" w:right="0" w:firstLine="482" w:firstLineChars="200"/>
              <w:jc w:val="both"/>
              <w:textAlignment w:val="auto"/>
              <w:rPr>
                <w:rFonts w:hint="eastAsia" w:ascii="Times New Roman" w:hAnsi="Times New Roman" w:eastAsia="宋体" w:cs="Times New Roman"/>
                <w:b/>
                <w:bCs/>
                <w:color w:val="auto"/>
                <w:sz w:val="24"/>
                <w:lang w:val="en-US" w:eastAsia="zh-CN"/>
              </w:rPr>
            </w:pPr>
            <w:r>
              <w:rPr>
                <w:rFonts w:hint="eastAsia" w:cs="宋体"/>
                <w:b/>
                <w:bCs/>
                <w:color w:val="auto"/>
                <w:kern w:val="0"/>
                <w:sz w:val="24"/>
                <w:szCs w:val="24"/>
                <w:lang w:val="en-US" w:eastAsia="zh-CN"/>
              </w:rPr>
              <w:t>12</w:t>
            </w:r>
            <w:r>
              <w:rPr>
                <w:rFonts w:hint="eastAsia" w:ascii="Times New Roman" w:hAnsi="Times New Roman" w:eastAsia="宋体" w:cs="宋体"/>
                <w:b/>
                <w:bCs/>
                <w:color w:val="auto"/>
                <w:kern w:val="0"/>
                <w:sz w:val="24"/>
                <w:szCs w:val="24"/>
                <w:lang w:val="en-US" w:eastAsia="zh-CN"/>
              </w:rPr>
              <w:t>、</w:t>
            </w:r>
            <w:r>
              <w:rPr>
                <w:rFonts w:hint="eastAsia" w:ascii="Times New Roman" w:hAnsi="Times New Roman" w:eastAsia="宋体" w:cs="Times New Roman"/>
                <w:b/>
                <w:bCs/>
                <w:color w:val="auto"/>
                <w:sz w:val="24"/>
                <w:lang w:val="en-US" w:eastAsia="zh-CN"/>
              </w:rPr>
              <w:t>项目与南水北调工程的关系</w:t>
            </w:r>
          </w:p>
          <w:p w14:paraId="62047E77">
            <w:pPr>
              <w:keepNext w:val="0"/>
              <w:keepLines w:val="0"/>
              <w:pageBreakBefore w:val="0"/>
              <w:widowControl w:val="0"/>
              <w:suppressLineNumbers w:val="0"/>
              <w:kinsoku/>
              <w:wordWrap w:val="0"/>
              <w:overflowPunct/>
              <w:topLinePunct w:val="0"/>
              <w:autoSpaceDE w:val="0"/>
              <w:autoSpaceDN w:val="0"/>
              <w:bidi w:val="0"/>
              <w:adjustRightInd w:val="0"/>
              <w:snapToGrid w:val="0"/>
              <w:spacing w:before="0" w:beforeAutospacing="0" w:after="0" w:afterAutospacing="0" w:line="336"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宋体"/>
                <w:color w:val="auto"/>
                <w:kern w:val="0"/>
                <w:sz w:val="24"/>
                <w:szCs w:val="24"/>
                <w:lang w:val="en-US" w:eastAsia="zh-CN"/>
              </w:rPr>
              <w:t>拟建项目位于</w:t>
            </w:r>
            <w:r>
              <w:rPr>
                <w:rFonts w:hint="eastAsia" w:cs="宋体"/>
                <w:color w:val="auto"/>
                <w:kern w:val="0"/>
                <w:sz w:val="24"/>
                <w:szCs w:val="24"/>
                <w:lang w:val="en-US" w:eastAsia="zh-CN"/>
              </w:rPr>
              <w:t>山东省济宁市泗水经济开发区娃哈哈食品有限公司西侧，泉音路以南、泉福路以北、圣和路以东</w:t>
            </w:r>
            <w:r>
              <w:rPr>
                <w:rFonts w:hint="eastAsia" w:ascii="Times New Roman" w:hAnsi="Times New Roman" w:eastAsia="宋体" w:cs="宋体"/>
                <w:color w:val="auto"/>
                <w:kern w:val="0"/>
                <w:sz w:val="24"/>
                <w:szCs w:val="24"/>
                <w:lang w:val="en-US" w:eastAsia="zh-CN"/>
              </w:rPr>
              <w:t>，位于南水北调沿线</w:t>
            </w:r>
            <w:r>
              <w:rPr>
                <w:rFonts w:hint="eastAsia" w:cs="宋体"/>
                <w:color w:val="auto"/>
                <w:kern w:val="0"/>
                <w:sz w:val="24"/>
                <w:szCs w:val="24"/>
                <w:lang w:val="en-US" w:eastAsia="zh-CN"/>
              </w:rPr>
              <w:t>一般</w:t>
            </w:r>
            <w:r>
              <w:rPr>
                <w:rFonts w:hint="eastAsia" w:ascii="Times New Roman" w:hAnsi="Times New Roman" w:eastAsia="宋体" w:cs="宋体"/>
                <w:color w:val="auto"/>
                <w:kern w:val="0"/>
                <w:sz w:val="24"/>
                <w:szCs w:val="24"/>
                <w:lang w:val="en-US" w:eastAsia="zh-CN"/>
              </w:rPr>
              <w:t>保护区域内，按照《南水北调东线工程梁济运河控制单元治污方案》规划要求</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sz w:val="24"/>
                <w:highlight w:val="none"/>
              </w:rPr>
              <w:t>废水排放执行《</w:t>
            </w:r>
            <w:r>
              <w:rPr>
                <w:rFonts w:hint="eastAsia" w:ascii="Times New Roman" w:hAnsi="Times New Roman" w:eastAsia="宋体" w:cs="Times New Roman"/>
                <w:color w:val="auto"/>
                <w:sz w:val="24"/>
                <w:highlight w:val="none"/>
                <w:lang w:eastAsia="zh-CN"/>
              </w:rPr>
              <w:t>流域水污染物综合排放标准 第1部分：南四湖东平湖流域</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DB37/3416.1-2023</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一般</w:t>
            </w:r>
            <w:r>
              <w:rPr>
                <w:rFonts w:hint="eastAsia" w:ascii="Times New Roman" w:hAnsi="Times New Roman" w:eastAsia="宋体" w:cs="Times New Roman"/>
                <w:color w:val="auto"/>
                <w:sz w:val="24"/>
                <w:highlight w:val="none"/>
                <w:lang w:val="en-US" w:eastAsia="zh-CN"/>
              </w:rPr>
              <w:t>保护区</w:t>
            </w:r>
            <w:r>
              <w:rPr>
                <w:rFonts w:hint="default" w:ascii="Times New Roman" w:hAnsi="Times New Roman" w:eastAsia="宋体" w:cs="Times New Roman"/>
                <w:color w:val="auto"/>
                <w:sz w:val="24"/>
                <w:highlight w:val="none"/>
              </w:rPr>
              <w:t>排放标准要求。</w:t>
            </w:r>
          </w:p>
          <w:p w14:paraId="76F3BC05">
            <w:pPr>
              <w:pStyle w:val="10"/>
              <w:keepNext w:val="0"/>
              <w:keepLines w:val="0"/>
              <w:pageBreakBefore w:val="0"/>
              <w:widowControl w:val="0"/>
              <w:suppressLineNumbers w:val="0"/>
              <w:kinsoku/>
              <w:overflowPunct/>
              <w:topLinePunct w:val="0"/>
              <w:bidi w:val="0"/>
              <w:adjustRightInd w:val="0"/>
              <w:snapToGrid w:val="0"/>
              <w:spacing w:before="0" w:beforeAutospacing="0" w:after="0" w:afterAutospacing="0" w:line="336" w:lineRule="auto"/>
              <w:ind w:left="0" w:leftChars="0" w:right="0" w:firstLine="480" w:firstLineChars="200"/>
              <w:jc w:val="both"/>
              <w:textAlignment w:val="auto"/>
              <w:rPr>
                <w:rFonts w:hint="default" w:ascii="Times New Roman" w:hAnsi="Times New Roman" w:cs="Times New Roman"/>
                <w:color w:val="auto"/>
                <w:lang w:val="en-US" w:eastAsia="zh-CN"/>
              </w:rPr>
            </w:pPr>
          </w:p>
        </w:tc>
      </w:tr>
    </w:tbl>
    <w:p w14:paraId="50F51362">
      <w:pPr>
        <w:pStyle w:val="56"/>
        <w:rPr>
          <w:color w:val="auto"/>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7D71CB16">
      <w:pPr>
        <w:pStyle w:val="3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w:t>
      </w:r>
      <w:r>
        <w:rPr>
          <w:rFonts w:hint="eastAsia" w:ascii="黑体" w:hAnsi="黑体" w:eastAsia="黑体"/>
          <w:snapToGrid w:val="0"/>
          <w:color w:val="auto"/>
          <w:sz w:val="30"/>
          <w:szCs w:val="30"/>
          <w:highlight w:val="none"/>
        </w:rPr>
        <w:t>建设项目工程分析</w:t>
      </w:r>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189DE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823" w:type="dxa"/>
            <w:noWrap w:val="0"/>
            <w:vAlign w:val="center"/>
          </w:tcPr>
          <w:p w14:paraId="4C24C18E">
            <w:pPr>
              <w:pStyle w:val="30"/>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4"/>
                <w:szCs w:val="24"/>
              </w:rPr>
              <w:t>建设内容</w:t>
            </w:r>
          </w:p>
        </w:tc>
        <w:tc>
          <w:tcPr>
            <w:tcW w:w="8161" w:type="dxa"/>
            <w:noWrap w:val="0"/>
            <w:vAlign w:val="center"/>
          </w:tcPr>
          <w:p w14:paraId="4C4F5918">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both"/>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1、项目组成：</w:t>
            </w:r>
          </w:p>
          <w:p w14:paraId="19BFF82A">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本项目位于</w:t>
            </w:r>
            <w:r>
              <w:rPr>
                <w:rFonts w:hint="eastAsia" w:cs="Times New Roman"/>
                <w:color w:val="auto"/>
                <w:sz w:val="24"/>
                <w:szCs w:val="24"/>
                <w:lang w:val="en-US" w:eastAsia="zh-CN"/>
              </w:rPr>
              <w:t>山东省济宁市泗水经济开发区娃哈哈食品有限公司西侧，泉音路以南、泉福路以北、圣和路以东。新建厂房</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占地</w:t>
            </w:r>
            <w:r>
              <w:rPr>
                <w:rFonts w:hint="eastAsia" w:ascii="Times New Roman" w:hAnsi="Times New Roman" w:cs="Times New Roman"/>
                <w:color w:val="auto"/>
                <w:sz w:val="24"/>
                <w:szCs w:val="24"/>
                <w:lang w:val="en-US" w:eastAsia="zh-CN"/>
              </w:rPr>
              <w:t>面积</w:t>
            </w:r>
            <w:r>
              <w:rPr>
                <w:rFonts w:hint="eastAsia" w:cs="Times New Roman"/>
                <w:color w:val="auto"/>
                <w:sz w:val="24"/>
                <w:szCs w:val="24"/>
                <w:lang w:val="en-US" w:eastAsia="zh-CN"/>
              </w:rPr>
              <w:t>19259.47</w:t>
            </w:r>
            <w:r>
              <w:rPr>
                <w:rFonts w:hint="eastAsia" w:ascii="Times New Roman" w:hAnsi="Times New Roman" w:cs="Times New Roman"/>
                <w:color w:val="auto"/>
                <w:sz w:val="24"/>
                <w:szCs w:val="24"/>
                <w:lang w:val="en-US" w:eastAsia="zh-CN"/>
              </w:rPr>
              <w:t>平方米</w:t>
            </w:r>
            <w:r>
              <w:rPr>
                <w:rFonts w:hint="eastAsia" w:cs="Times New Roman"/>
                <w:color w:val="auto"/>
                <w:sz w:val="24"/>
                <w:szCs w:val="24"/>
                <w:lang w:val="en-US" w:eastAsia="zh-CN"/>
              </w:rPr>
              <w:t>，建筑面积11633.92平方米，项目总投资12000万元</w:t>
            </w:r>
            <w:r>
              <w:rPr>
                <w:rFonts w:hint="eastAsia" w:ascii="Times New Roman" w:hAnsi="Times New Roman" w:cs="Times New Roman"/>
                <w:color w:val="auto"/>
                <w:sz w:val="24"/>
                <w:szCs w:val="24"/>
                <w:lang w:val="en-US" w:eastAsia="zh-CN"/>
              </w:rPr>
              <w:t>。</w:t>
            </w:r>
          </w:p>
          <w:p w14:paraId="0CA8CC4F">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w:t>
            </w:r>
            <w:r>
              <w:rPr>
                <w:rFonts w:hint="eastAsia" w:ascii="Times New Roman" w:hAnsi="Times New Roman" w:cs="Times New Roman"/>
                <w:color w:val="auto"/>
                <w:sz w:val="24"/>
                <w:szCs w:val="24"/>
                <w:lang w:eastAsia="zh-CN"/>
              </w:rPr>
              <w:t>目组成详见下表。</w:t>
            </w:r>
          </w:p>
          <w:p w14:paraId="116B3CD8">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表2-1  项目组成一览表</w:t>
            </w:r>
          </w:p>
          <w:tbl>
            <w:tblPr>
              <w:tblStyle w:val="34"/>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9"/>
              <w:gridCol w:w="983"/>
              <w:gridCol w:w="6006"/>
            </w:tblGrid>
            <w:tr w14:paraId="7EEBF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8" w:type="pct"/>
                  <w:tcBorders>
                    <w:tl2br w:val="nil"/>
                    <w:tr2bl w:val="nil"/>
                  </w:tcBorders>
                  <w:noWrap w:val="0"/>
                  <w:vAlign w:val="center"/>
                </w:tcPr>
                <w:p w14:paraId="5974B45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工程</w:t>
                  </w:r>
                </w:p>
                <w:p w14:paraId="06E4CD1C">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类别</w:t>
                  </w:r>
                </w:p>
              </w:tc>
              <w:tc>
                <w:tcPr>
                  <w:tcW w:w="640" w:type="pct"/>
                  <w:tcBorders>
                    <w:tl2br w:val="nil"/>
                    <w:tr2bl w:val="nil"/>
                  </w:tcBorders>
                  <w:noWrap w:val="0"/>
                  <w:vAlign w:val="center"/>
                </w:tcPr>
                <w:p w14:paraId="78219679">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工程</w:t>
                  </w:r>
                </w:p>
                <w:p w14:paraId="04F5CDF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名称</w:t>
                  </w:r>
                </w:p>
              </w:tc>
              <w:tc>
                <w:tcPr>
                  <w:tcW w:w="3911" w:type="pct"/>
                  <w:tcBorders>
                    <w:tl2br w:val="nil"/>
                    <w:tr2bl w:val="nil"/>
                  </w:tcBorders>
                  <w:noWrap w:val="0"/>
                  <w:vAlign w:val="center"/>
                </w:tcPr>
                <w:p w14:paraId="305DE7DB">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工程内容</w:t>
                  </w:r>
                </w:p>
              </w:tc>
            </w:tr>
            <w:tr w14:paraId="684CA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8" w:type="pct"/>
                  <w:vMerge w:val="restart"/>
                  <w:tcBorders>
                    <w:tl2br w:val="nil"/>
                    <w:tr2bl w:val="nil"/>
                  </w:tcBorders>
                  <w:noWrap w:val="0"/>
                  <w:vAlign w:val="center"/>
                </w:tcPr>
                <w:p w14:paraId="31E88DD1">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主体</w:t>
                  </w:r>
                </w:p>
                <w:p w14:paraId="0D5C56EF">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工程</w:t>
                  </w:r>
                </w:p>
              </w:tc>
              <w:tc>
                <w:tcPr>
                  <w:tcW w:w="640" w:type="pct"/>
                  <w:tcBorders>
                    <w:tl2br w:val="nil"/>
                    <w:tr2bl w:val="nil"/>
                  </w:tcBorders>
                  <w:noWrap w:val="0"/>
                  <w:vAlign w:val="center"/>
                </w:tcPr>
                <w:p w14:paraId="31F922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1#厂房</w:t>
                  </w:r>
                </w:p>
              </w:tc>
              <w:tc>
                <w:tcPr>
                  <w:tcW w:w="3911" w:type="pct"/>
                  <w:tcBorders>
                    <w:tl2br w:val="nil"/>
                    <w:tr2bl w:val="nil"/>
                  </w:tcBorders>
                  <w:noWrap w:val="0"/>
                  <w:vAlign w:val="center"/>
                </w:tcPr>
                <w:p w14:paraId="7192D713">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占地面积3712平方米，建筑面积3712平方米，一层框架结构。内部设置配料间、涂布区、分切区、原料储存区、半成品储存区、成品储存区、污水处理站、一般固废库、危废库。</w:t>
                  </w:r>
                </w:p>
              </w:tc>
            </w:tr>
            <w:tr w14:paraId="640FD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8" w:type="pct"/>
                  <w:vMerge w:val="continue"/>
                  <w:tcBorders>
                    <w:tl2br w:val="nil"/>
                    <w:tr2bl w:val="nil"/>
                  </w:tcBorders>
                  <w:noWrap w:val="0"/>
                  <w:vAlign w:val="center"/>
                </w:tcPr>
                <w:p w14:paraId="4FDD210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640" w:type="pct"/>
                  <w:tcBorders>
                    <w:tl2br w:val="nil"/>
                    <w:tr2bl w:val="nil"/>
                  </w:tcBorders>
                  <w:noWrap w:val="0"/>
                  <w:vAlign w:val="center"/>
                </w:tcPr>
                <w:p w14:paraId="0485A379">
                  <w:pPr>
                    <w:keepNext w:val="0"/>
                    <w:keepLines w:val="0"/>
                    <w:suppressLineNumbers w:val="0"/>
                    <w:adjustRightInd w:val="0"/>
                    <w:snapToGrid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2#厂房</w:t>
                  </w:r>
                </w:p>
              </w:tc>
              <w:tc>
                <w:tcPr>
                  <w:tcW w:w="3911" w:type="pct"/>
                  <w:tcBorders>
                    <w:tl2br w:val="nil"/>
                    <w:tr2bl w:val="nil"/>
                  </w:tcBorders>
                  <w:noWrap w:val="0"/>
                  <w:vAlign w:val="center"/>
                </w:tcPr>
                <w:p w14:paraId="317B14AF">
                  <w:pPr>
                    <w:keepNext w:val="0"/>
                    <w:keepLines w:val="0"/>
                    <w:suppressLineNumbers w:val="0"/>
                    <w:adjustRightInd w:val="0"/>
                    <w:snapToGrid w:val="0"/>
                    <w:spacing w:before="0" w:beforeAutospacing="0" w:after="0" w:afterAutospacing="0"/>
                    <w:ind w:left="0" w:right="0" w:firstLine="420" w:firstLineChars="200"/>
                    <w:jc w:val="left"/>
                    <w:rPr>
                      <w:rFonts w:hint="eastAsia" w:cs="Times New Roman"/>
                      <w:color w:val="auto"/>
                      <w:sz w:val="21"/>
                      <w:szCs w:val="21"/>
                      <w:lang w:val="en-US" w:eastAsia="zh-CN"/>
                    </w:rPr>
                  </w:pPr>
                  <w:r>
                    <w:rPr>
                      <w:rFonts w:hint="eastAsia" w:cs="Times New Roman"/>
                      <w:color w:val="auto"/>
                      <w:sz w:val="21"/>
                      <w:szCs w:val="21"/>
                      <w:lang w:val="en-US" w:eastAsia="zh-CN"/>
                    </w:rPr>
                    <w:t>占地面积3712平方米，建筑面积5581平方米，局部二层，框架结构。内部设置印刷区、胶钉区、裁切区、打孔区、原料储存区、成品储存区。</w:t>
                  </w:r>
                </w:p>
              </w:tc>
            </w:tr>
            <w:tr w14:paraId="74ACE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8" w:type="pct"/>
                  <w:vMerge w:val="continue"/>
                  <w:tcBorders>
                    <w:tl2br w:val="nil"/>
                    <w:tr2bl w:val="nil"/>
                  </w:tcBorders>
                  <w:noWrap w:val="0"/>
                  <w:vAlign w:val="center"/>
                </w:tcPr>
                <w:p w14:paraId="23355299">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640" w:type="pct"/>
                  <w:tcBorders>
                    <w:tl2br w:val="nil"/>
                    <w:tr2bl w:val="nil"/>
                  </w:tcBorders>
                  <w:noWrap w:val="0"/>
                  <w:vAlign w:val="center"/>
                </w:tcPr>
                <w:p w14:paraId="72649EF8">
                  <w:pPr>
                    <w:keepNext w:val="0"/>
                    <w:keepLines w:val="0"/>
                    <w:suppressLineNumbers w:val="0"/>
                    <w:adjustRightInd w:val="0"/>
                    <w:snapToGrid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3#厂房</w:t>
                  </w:r>
                </w:p>
              </w:tc>
              <w:tc>
                <w:tcPr>
                  <w:tcW w:w="3911" w:type="pct"/>
                  <w:tcBorders>
                    <w:tl2br w:val="nil"/>
                    <w:tr2bl w:val="nil"/>
                  </w:tcBorders>
                  <w:noWrap w:val="0"/>
                  <w:vAlign w:val="center"/>
                </w:tcPr>
                <w:p w14:paraId="458A5265">
                  <w:pPr>
                    <w:keepNext w:val="0"/>
                    <w:keepLines w:val="0"/>
                    <w:suppressLineNumbers w:val="0"/>
                    <w:adjustRightInd w:val="0"/>
                    <w:snapToGrid w:val="0"/>
                    <w:spacing w:before="0" w:beforeAutospacing="0" w:after="0" w:afterAutospacing="0"/>
                    <w:ind w:left="0" w:right="0" w:firstLine="420" w:firstLineChars="200"/>
                    <w:jc w:val="left"/>
                    <w:rPr>
                      <w:rFonts w:hint="eastAsia" w:cs="Times New Roman"/>
                      <w:color w:val="auto"/>
                      <w:sz w:val="21"/>
                      <w:szCs w:val="21"/>
                      <w:lang w:val="en-US" w:eastAsia="zh-CN"/>
                    </w:rPr>
                  </w:pPr>
                  <w:r>
                    <w:rPr>
                      <w:rFonts w:hint="eastAsia" w:cs="Times New Roman"/>
                      <w:color w:val="auto"/>
                      <w:sz w:val="21"/>
                      <w:szCs w:val="21"/>
                      <w:lang w:val="en-US" w:eastAsia="zh-CN"/>
                    </w:rPr>
                    <w:t>占地面积2340平方米，建筑面积23401平方米，一层框架结构。内部设置分切区、成品储存区。</w:t>
                  </w:r>
                </w:p>
              </w:tc>
            </w:tr>
            <w:tr w14:paraId="2A72D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8" w:type="pct"/>
                  <w:vMerge w:val="restart"/>
                  <w:tcBorders>
                    <w:tl2br w:val="nil"/>
                    <w:tr2bl w:val="nil"/>
                  </w:tcBorders>
                  <w:noWrap w:val="0"/>
                  <w:vAlign w:val="center"/>
                </w:tcPr>
                <w:p w14:paraId="1BE926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公用工程</w:t>
                  </w:r>
                </w:p>
              </w:tc>
              <w:tc>
                <w:tcPr>
                  <w:tcW w:w="640" w:type="pct"/>
                  <w:tcBorders>
                    <w:tl2br w:val="nil"/>
                    <w:tr2bl w:val="nil"/>
                  </w:tcBorders>
                  <w:noWrap w:val="0"/>
                  <w:vAlign w:val="center"/>
                </w:tcPr>
                <w:p w14:paraId="4EE27417">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给排水</w:t>
                  </w:r>
                </w:p>
              </w:tc>
              <w:tc>
                <w:tcPr>
                  <w:tcW w:w="3911" w:type="pct"/>
                  <w:tcBorders>
                    <w:tl2br w:val="nil"/>
                    <w:tr2bl w:val="nil"/>
                  </w:tcBorders>
                  <w:noWrap w:val="0"/>
                  <w:vAlign w:val="center"/>
                </w:tcPr>
                <w:p w14:paraId="6FE02770">
                  <w:pPr>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供水由当地自来水管网供给；排水采取雨污分流制。</w:t>
                  </w:r>
                </w:p>
              </w:tc>
            </w:tr>
            <w:tr w14:paraId="716FF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8" w:type="pct"/>
                  <w:vMerge w:val="continue"/>
                  <w:tcBorders>
                    <w:tl2br w:val="nil"/>
                    <w:tr2bl w:val="nil"/>
                  </w:tcBorders>
                  <w:noWrap w:val="0"/>
                  <w:vAlign w:val="center"/>
                </w:tcPr>
                <w:p w14:paraId="36C797D4">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640" w:type="pct"/>
                  <w:tcBorders>
                    <w:tl2br w:val="nil"/>
                    <w:tr2bl w:val="nil"/>
                  </w:tcBorders>
                  <w:noWrap w:val="0"/>
                  <w:vAlign w:val="center"/>
                </w:tcPr>
                <w:p w14:paraId="561C0AAC">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供热</w:t>
                  </w:r>
                </w:p>
              </w:tc>
              <w:tc>
                <w:tcPr>
                  <w:tcW w:w="3911" w:type="pct"/>
                  <w:tcBorders>
                    <w:tl2br w:val="nil"/>
                    <w:tr2bl w:val="nil"/>
                  </w:tcBorders>
                  <w:noWrap w:val="0"/>
                  <w:vAlign w:val="center"/>
                </w:tcPr>
                <w:p w14:paraId="2B7F074B">
                  <w:pPr>
                    <w:keepNext w:val="0"/>
                    <w:keepLines w:val="0"/>
                    <w:suppressLineNumbers w:val="0"/>
                    <w:adjustRightInd w:val="0"/>
                    <w:snapToGrid w:val="0"/>
                    <w:spacing w:before="0" w:beforeAutospacing="0" w:after="0" w:afterAutospacing="0"/>
                    <w:ind w:left="0" w:right="0" w:firstLine="420" w:firstLineChars="200"/>
                    <w:jc w:val="both"/>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w:t>
                  </w:r>
                  <w:r>
                    <w:rPr>
                      <w:rFonts w:hint="eastAsia" w:cs="Times New Roman"/>
                      <w:color w:val="auto"/>
                      <w:sz w:val="21"/>
                      <w:szCs w:val="21"/>
                      <w:lang w:val="en-US" w:eastAsia="zh-CN"/>
                    </w:rPr>
                    <w:t>热源由园区集中热源泗水圣源热电有限公司提供</w:t>
                  </w:r>
                  <w:r>
                    <w:rPr>
                      <w:rFonts w:hint="eastAsia" w:ascii="Times New Roman" w:hAnsi="Times New Roman" w:cs="Times New Roman"/>
                      <w:color w:val="auto"/>
                      <w:sz w:val="21"/>
                      <w:szCs w:val="21"/>
                      <w:lang w:val="en-US" w:eastAsia="zh-CN"/>
                    </w:rPr>
                    <w:t>。</w:t>
                  </w:r>
                </w:p>
              </w:tc>
            </w:tr>
            <w:tr w14:paraId="6D91C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8" w:type="pct"/>
                  <w:vMerge w:val="continue"/>
                  <w:tcBorders>
                    <w:tl2br w:val="nil"/>
                    <w:tr2bl w:val="nil"/>
                  </w:tcBorders>
                  <w:noWrap w:val="0"/>
                  <w:vAlign w:val="center"/>
                </w:tcPr>
                <w:p w14:paraId="6569721E">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640" w:type="pct"/>
                  <w:tcBorders>
                    <w:tl2br w:val="nil"/>
                    <w:tr2bl w:val="nil"/>
                  </w:tcBorders>
                  <w:noWrap w:val="0"/>
                  <w:vAlign w:val="center"/>
                </w:tcPr>
                <w:p w14:paraId="0CB89DA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供电</w:t>
                  </w:r>
                </w:p>
              </w:tc>
              <w:tc>
                <w:tcPr>
                  <w:tcW w:w="3911" w:type="pct"/>
                  <w:tcBorders>
                    <w:tl2br w:val="nil"/>
                    <w:tr2bl w:val="nil"/>
                  </w:tcBorders>
                  <w:noWrap w:val="0"/>
                  <w:vAlign w:val="center"/>
                </w:tcPr>
                <w:p w14:paraId="55EB5F93">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由当地供电站供给。</w:t>
                  </w:r>
                </w:p>
              </w:tc>
            </w:tr>
            <w:tr w14:paraId="52958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8" w:type="pct"/>
                  <w:vMerge w:val="restart"/>
                  <w:tcBorders>
                    <w:tl2br w:val="nil"/>
                    <w:tr2bl w:val="nil"/>
                  </w:tcBorders>
                  <w:noWrap w:val="0"/>
                  <w:vAlign w:val="center"/>
                </w:tcPr>
                <w:p w14:paraId="6F7F74F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储运工程</w:t>
                  </w:r>
                </w:p>
              </w:tc>
              <w:tc>
                <w:tcPr>
                  <w:tcW w:w="640" w:type="pct"/>
                  <w:tcBorders>
                    <w:tl2br w:val="nil"/>
                    <w:tr2bl w:val="nil"/>
                  </w:tcBorders>
                  <w:noWrap w:val="0"/>
                  <w:vAlign w:val="center"/>
                </w:tcPr>
                <w:p w14:paraId="583DBF9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原料储存区</w:t>
                  </w:r>
                </w:p>
              </w:tc>
              <w:tc>
                <w:tcPr>
                  <w:tcW w:w="3911" w:type="pct"/>
                  <w:tcBorders>
                    <w:tl2br w:val="nil"/>
                    <w:tr2bl w:val="nil"/>
                  </w:tcBorders>
                  <w:noWrap w:val="0"/>
                  <w:vAlign w:val="center"/>
                </w:tcPr>
                <w:p w14:paraId="1183ACEB">
                  <w:pPr>
                    <w:keepNext w:val="0"/>
                    <w:keepLines w:val="0"/>
                    <w:suppressLineNumbers w:val="0"/>
                    <w:adjustRightInd w:val="0"/>
                    <w:snapToGrid w:val="0"/>
                    <w:spacing w:before="0" w:beforeAutospacing="0" w:after="0" w:afterAutospacing="0"/>
                    <w:ind w:left="0" w:right="0" w:firstLine="420" w:firstLineChars="200"/>
                    <w:jc w:val="both"/>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总建筑面积1920平方米，其中1#厂房820平方米，2#厂房1100平方米。主要用于原纸、高岭土等原辅材料的暂存。</w:t>
                  </w:r>
                </w:p>
              </w:tc>
            </w:tr>
            <w:tr w14:paraId="4CBBF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8" w:type="pct"/>
                  <w:vMerge w:val="continue"/>
                  <w:tcBorders>
                    <w:tl2br w:val="nil"/>
                    <w:tr2bl w:val="nil"/>
                  </w:tcBorders>
                  <w:noWrap w:val="0"/>
                  <w:vAlign w:val="center"/>
                </w:tcPr>
                <w:p w14:paraId="619A5BE4">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640" w:type="pct"/>
                  <w:tcBorders>
                    <w:tl2br w:val="nil"/>
                    <w:tr2bl w:val="nil"/>
                  </w:tcBorders>
                  <w:noWrap w:val="0"/>
                  <w:vAlign w:val="center"/>
                </w:tcPr>
                <w:p w14:paraId="4AD0157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半成品储存区</w:t>
                  </w:r>
                </w:p>
              </w:tc>
              <w:tc>
                <w:tcPr>
                  <w:tcW w:w="3911" w:type="pct"/>
                  <w:tcBorders>
                    <w:tl2br w:val="nil"/>
                    <w:tr2bl w:val="nil"/>
                  </w:tcBorders>
                  <w:noWrap w:val="0"/>
                  <w:vAlign w:val="center"/>
                </w:tcPr>
                <w:p w14:paraId="710690BD">
                  <w:pPr>
                    <w:keepNext w:val="0"/>
                    <w:keepLines w:val="0"/>
                    <w:suppressLineNumbers w:val="0"/>
                    <w:adjustRightInd w:val="0"/>
                    <w:snapToGrid w:val="0"/>
                    <w:spacing w:before="0" w:beforeAutospacing="0" w:after="0" w:afterAutospacing="0"/>
                    <w:ind w:left="0" w:right="0" w:firstLine="420" w:firstLineChars="200"/>
                    <w:jc w:val="both"/>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建筑面积930平方米，位于1#厂房。主要用于涂布压光后的半成品暂存。</w:t>
                  </w:r>
                </w:p>
              </w:tc>
            </w:tr>
            <w:tr w14:paraId="145C9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8" w:type="pct"/>
                  <w:vMerge w:val="continue"/>
                  <w:tcBorders>
                    <w:tl2br w:val="nil"/>
                    <w:tr2bl w:val="nil"/>
                  </w:tcBorders>
                  <w:noWrap w:val="0"/>
                  <w:vAlign w:val="center"/>
                </w:tcPr>
                <w:p w14:paraId="6808DFA9">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640" w:type="pct"/>
                  <w:tcBorders>
                    <w:tl2br w:val="nil"/>
                    <w:tr2bl w:val="nil"/>
                  </w:tcBorders>
                  <w:noWrap w:val="0"/>
                  <w:vAlign w:val="center"/>
                </w:tcPr>
                <w:p w14:paraId="0B677A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成品</w:t>
                  </w:r>
                  <w:r>
                    <w:rPr>
                      <w:rFonts w:hint="eastAsia" w:cs="Times New Roman"/>
                      <w:color w:val="auto"/>
                      <w:sz w:val="21"/>
                      <w:szCs w:val="21"/>
                      <w:lang w:val="en-US" w:eastAsia="zh-CN"/>
                    </w:rPr>
                    <w:t>储存区</w:t>
                  </w:r>
                </w:p>
              </w:tc>
              <w:tc>
                <w:tcPr>
                  <w:tcW w:w="3911" w:type="pct"/>
                  <w:tcBorders>
                    <w:tl2br w:val="nil"/>
                    <w:tr2bl w:val="nil"/>
                  </w:tcBorders>
                  <w:noWrap w:val="0"/>
                  <w:vAlign w:val="center"/>
                </w:tcPr>
                <w:p w14:paraId="13126EA8">
                  <w:pPr>
                    <w:keepNext w:val="0"/>
                    <w:keepLines w:val="0"/>
                    <w:suppressLineNumbers w:val="0"/>
                    <w:adjustRightInd w:val="0"/>
                    <w:snapToGrid w:val="0"/>
                    <w:spacing w:before="0" w:beforeAutospacing="0" w:after="0" w:afterAutospacing="0"/>
                    <w:ind w:left="0" w:right="0" w:firstLine="420" w:firstLineChars="200"/>
                    <w:jc w:val="both"/>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总建筑面积4670平方米，其中1#厂房1070平方米，2#厂房1700平方米，3#厂房1900平方米。主要用于成品纸的暂存。</w:t>
                  </w:r>
                </w:p>
              </w:tc>
            </w:tr>
            <w:tr w14:paraId="334FA7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8" w:type="pct"/>
                  <w:vMerge w:val="restart"/>
                  <w:tcBorders>
                    <w:tl2br w:val="nil"/>
                    <w:tr2bl w:val="nil"/>
                  </w:tcBorders>
                  <w:noWrap w:val="0"/>
                  <w:vAlign w:val="center"/>
                </w:tcPr>
                <w:p w14:paraId="6174DFC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环保</w:t>
                  </w:r>
                </w:p>
                <w:p w14:paraId="5FC64E6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工程</w:t>
                  </w:r>
                </w:p>
              </w:tc>
              <w:tc>
                <w:tcPr>
                  <w:tcW w:w="640" w:type="pct"/>
                  <w:tcBorders>
                    <w:tl2br w:val="nil"/>
                    <w:tr2bl w:val="nil"/>
                  </w:tcBorders>
                  <w:noWrap w:val="0"/>
                  <w:vAlign w:val="center"/>
                </w:tcPr>
                <w:p w14:paraId="1020F8D1">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废水</w:t>
                  </w:r>
                </w:p>
              </w:tc>
              <w:tc>
                <w:tcPr>
                  <w:tcW w:w="3911" w:type="pct"/>
                  <w:tcBorders>
                    <w:tl2br w:val="nil"/>
                    <w:tr2bl w:val="nil"/>
                  </w:tcBorders>
                  <w:noWrap w:val="0"/>
                  <w:vAlign w:val="center"/>
                </w:tcPr>
                <w:p w14:paraId="5734BDAD">
                  <w:pPr>
                    <w:keepNext w:val="0"/>
                    <w:keepLines w:val="0"/>
                    <w:suppressLineNumbers w:val="0"/>
                    <w:adjustRightInd w:val="0"/>
                    <w:snapToGrid w:val="0"/>
                    <w:spacing w:before="0" w:beforeAutospacing="0" w:after="0" w:afterAutospacing="0"/>
                    <w:ind w:left="0" w:right="0" w:firstLine="420" w:firstLineChars="200"/>
                    <w:jc w:val="left"/>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highlight w:val="none"/>
                      <w:lang w:eastAsia="zh-CN"/>
                    </w:rPr>
                    <w:t>本项目</w:t>
                  </w:r>
                  <w:r>
                    <w:rPr>
                      <w:rFonts w:hint="eastAsia" w:cs="Times New Roman"/>
                      <w:color w:val="auto"/>
                      <w:sz w:val="21"/>
                      <w:highlight w:val="none"/>
                      <w:lang w:val="en-US" w:eastAsia="zh-CN"/>
                    </w:rPr>
                    <w:t>设备清洗废水经</w:t>
                  </w:r>
                  <w:r>
                    <w:rPr>
                      <w:rFonts w:hint="eastAsia" w:ascii="Times New Roman" w:hAnsi="Times New Roman" w:eastAsia="宋体" w:cs="Times New Roman"/>
                      <w:color w:val="auto"/>
                      <w:sz w:val="21"/>
                      <w:highlight w:val="none"/>
                      <w:lang w:val="en-US" w:eastAsia="zh-CN"/>
                    </w:rPr>
                    <w:t>污水处理站处理后</w:t>
                  </w:r>
                  <w:r>
                    <w:rPr>
                      <w:rFonts w:hint="eastAsia" w:cs="Times New Roman"/>
                      <w:color w:val="auto"/>
                      <w:sz w:val="21"/>
                      <w:highlight w:val="none"/>
                      <w:lang w:val="en-US" w:eastAsia="zh-CN"/>
                    </w:rPr>
                    <w:t>与生活污水</w:t>
                  </w:r>
                  <w:r>
                    <w:rPr>
                      <w:rFonts w:hint="eastAsia" w:ascii="Times New Roman" w:hAnsi="Times New Roman" w:eastAsia="宋体" w:cs="Times New Roman"/>
                      <w:color w:val="auto"/>
                      <w:sz w:val="21"/>
                      <w:highlight w:val="none"/>
                      <w:lang w:val="en-US" w:eastAsia="zh-CN"/>
                    </w:rPr>
                    <w:t>通过市政污水管网进入泗水国祯水务有限公司深度处理</w:t>
                  </w:r>
                  <w:r>
                    <w:rPr>
                      <w:rFonts w:hint="eastAsia" w:ascii="Times New Roman" w:hAnsi="Times New Roman" w:eastAsia="宋体" w:cs="Times New Roman"/>
                      <w:color w:val="auto"/>
                      <w:sz w:val="21"/>
                      <w:highlight w:val="none"/>
                      <w:lang w:eastAsia="zh-CN"/>
                    </w:rPr>
                    <w:t>。</w:t>
                  </w:r>
                </w:p>
              </w:tc>
            </w:tr>
            <w:tr w14:paraId="0365C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03" w:hRule="atLeast"/>
                <w:jc w:val="center"/>
              </w:trPr>
              <w:tc>
                <w:tcPr>
                  <w:tcW w:w="448" w:type="pct"/>
                  <w:vMerge w:val="continue"/>
                  <w:tcBorders>
                    <w:tl2br w:val="nil"/>
                    <w:tr2bl w:val="nil"/>
                  </w:tcBorders>
                  <w:noWrap w:val="0"/>
                  <w:vAlign w:val="center"/>
                </w:tcPr>
                <w:p w14:paraId="11C24E3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640" w:type="pct"/>
                  <w:tcBorders>
                    <w:tl2br w:val="nil"/>
                    <w:tr2bl w:val="nil"/>
                  </w:tcBorders>
                  <w:noWrap w:val="0"/>
                  <w:vAlign w:val="center"/>
                </w:tcPr>
                <w:p w14:paraId="32D3DB6F">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废气</w:t>
                  </w:r>
                </w:p>
              </w:tc>
              <w:tc>
                <w:tcPr>
                  <w:tcW w:w="3911" w:type="pct"/>
                  <w:tcBorders>
                    <w:tl2br w:val="nil"/>
                    <w:tr2bl w:val="nil"/>
                  </w:tcBorders>
                  <w:noWrap w:val="0"/>
                  <w:vAlign w:val="center"/>
                </w:tcPr>
                <w:p w14:paraId="4D2F4C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本项目产生的主要废气为</w:t>
                  </w:r>
                  <w:r>
                    <w:rPr>
                      <w:rFonts w:hint="eastAsia" w:cs="Times New Roman"/>
                      <w:color w:val="auto"/>
                      <w:highlight w:val="none"/>
                      <w:lang w:val="en-US" w:eastAsia="zh-CN"/>
                    </w:rPr>
                    <w:t>投料、搅拌过程产生的粉尘颗粒物；烘干、印刷和胶钉过程产生的VOCs；</w:t>
                  </w:r>
                  <w:r>
                    <w:rPr>
                      <w:rFonts w:hint="eastAsia" w:ascii="Times New Roman" w:hAnsi="Times New Roman" w:cs="Times New Roman"/>
                      <w:color w:val="auto"/>
                      <w:highlight w:val="none"/>
                      <w:lang w:val="en-US" w:eastAsia="zh-CN"/>
                    </w:rPr>
                    <w:t>污水处理站产生的恶臭气体。</w:t>
                  </w:r>
                  <w:r>
                    <w:rPr>
                      <w:rFonts w:hint="eastAsia" w:cs="Times New Roman"/>
                      <w:color w:val="auto"/>
                      <w:highlight w:val="none"/>
                      <w:lang w:val="en-US" w:eastAsia="zh-CN"/>
                    </w:rPr>
                    <w:t>投料粉尘经布袋除尘器处理后通过DA001排气筒排放；烘干、印刷和胶钉废气经二级活性炭吸附后通过DA002排气筒排放；</w:t>
                  </w:r>
                  <w:r>
                    <w:rPr>
                      <w:rFonts w:hint="eastAsia" w:ascii="Times New Roman" w:hAnsi="Times New Roman" w:cs="Times New Roman"/>
                      <w:color w:val="auto"/>
                      <w:highlight w:val="none"/>
                      <w:lang w:val="en-US" w:eastAsia="zh-CN"/>
                    </w:rPr>
                    <w:t>污水处理站恶臭气体经喷洒除臭剂后无组织排放。</w:t>
                  </w:r>
                </w:p>
              </w:tc>
            </w:tr>
            <w:tr w14:paraId="31828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8" w:type="pct"/>
                  <w:vMerge w:val="continue"/>
                  <w:tcBorders>
                    <w:tl2br w:val="nil"/>
                    <w:tr2bl w:val="nil"/>
                  </w:tcBorders>
                  <w:noWrap w:val="0"/>
                  <w:vAlign w:val="center"/>
                </w:tcPr>
                <w:p w14:paraId="4156C6F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640" w:type="pct"/>
                  <w:tcBorders>
                    <w:tl2br w:val="nil"/>
                    <w:tr2bl w:val="nil"/>
                  </w:tcBorders>
                  <w:noWrap w:val="0"/>
                  <w:vAlign w:val="center"/>
                </w:tcPr>
                <w:p w14:paraId="5037E38A">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噪声</w:t>
                  </w:r>
                </w:p>
              </w:tc>
              <w:tc>
                <w:tcPr>
                  <w:tcW w:w="3911" w:type="pct"/>
                  <w:tcBorders>
                    <w:tl2br w:val="nil"/>
                    <w:tr2bl w:val="nil"/>
                  </w:tcBorders>
                  <w:noWrap w:val="0"/>
                  <w:vAlign w:val="center"/>
                </w:tcPr>
                <w:p w14:paraId="5BDE51D7">
                  <w:pPr>
                    <w:keepNext w:val="0"/>
                    <w:keepLines w:val="0"/>
                    <w:suppressLineNumbers w:val="0"/>
                    <w:adjustRightInd w:val="0"/>
                    <w:snapToGrid w:val="0"/>
                    <w:spacing w:before="0" w:beforeAutospacing="0" w:after="0" w:afterAutospacing="0"/>
                    <w:ind w:left="0" w:right="0"/>
                    <w:jc w:val="left"/>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选用低噪声设备，采用隔声、减震等措施；</w:t>
                  </w:r>
                </w:p>
              </w:tc>
            </w:tr>
            <w:tr w14:paraId="3B2EE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8" w:type="pct"/>
                  <w:vMerge w:val="continue"/>
                  <w:tcBorders>
                    <w:tl2br w:val="nil"/>
                    <w:tr2bl w:val="nil"/>
                  </w:tcBorders>
                  <w:noWrap w:val="0"/>
                  <w:vAlign w:val="center"/>
                </w:tcPr>
                <w:p w14:paraId="3BBE0214">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640" w:type="pct"/>
                  <w:tcBorders>
                    <w:tl2br w:val="nil"/>
                    <w:tr2bl w:val="nil"/>
                  </w:tcBorders>
                  <w:noWrap w:val="0"/>
                  <w:vAlign w:val="center"/>
                </w:tcPr>
                <w:p w14:paraId="704A98D4">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固废</w:t>
                  </w:r>
                </w:p>
              </w:tc>
              <w:tc>
                <w:tcPr>
                  <w:tcW w:w="3911" w:type="pct"/>
                  <w:tcBorders>
                    <w:tl2br w:val="nil"/>
                    <w:tr2bl w:val="nil"/>
                  </w:tcBorders>
                  <w:noWrap w:val="0"/>
                  <w:vAlign w:val="center"/>
                </w:tcPr>
                <w:p w14:paraId="3BD5D4AF">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生活垃圾</w:t>
                  </w:r>
                  <w:r>
                    <w:rPr>
                      <w:rFonts w:hint="eastAsia" w:cs="Times New Roman"/>
                      <w:color w:val="auto"/>
                      <w:highlight w:val="none"/>
                      <w:lang w:val="en-US" w:eastAsia="zh-CN"/>
                    </w:rPr>
                    <w:t>和污水处理站污泥由</w:t>
                  </w:r>
                  <w:r>
                    <w:rPr>
                      <w:rFonts w:hint="eastAsia" w:ascii="Times New Roman" w:hAnsi="Times New Roman" w:eastAsia="宋体" w:cs="Times New Roman"/>
                      <w:color w:val="auto"/>
                      <w:highlight w:val="none"/>
                      <w:lang w:val="en-US" w:eastAsia="zh-CN"/>
                    </w:rPr>
                    <w:t>环卫部门清运；废包装</w:t>
                  </w:r>
                  <w:r>
                    <w:rPr>
                      <w:rFonts w:hint="eastAsia" w:cs="Times New Roman"/>
                      <w:color w:val="auto"/>
                      <w:highlight w:val="none"/>
                      <w:lang w:val="en-US" w:eastAsia="zh-CN"/>
                    </w:rPr>
                    <w:t>材料和下脚料</w:t>
                  </w:r>
                  <w:r>
                    <w:rPr>
                      <w:rFonts w:hint="eastAsia" w:ascii="Times New Roman" w:hAnsi="Times New Roman" w:eastAsia="宋体" w:cs="Times New Roman"/>
                      <w:color w:val="auto"/>
                      <w:highlight w:val="none"/>
                      <w:lang w:val="en-US" w:eastAsia="zh-CN"/>
                    </w:rPr>
                    <w:t>收集后外售；</w:t>
                  </w:r>
                  <w:r>
                    <w:rPr>
                      <w:rFonts w:hint="eastAsia" w:cs="Times New Roman"/>
                      <w:color w:val="auto"/>
                      <w:highlight w:val="none"/>
                      <w:lang w:val="en-US" w:eastAsia="zh-CN"/>
                    </w:rPr>
                    <w:t>废墨水桶、废机油、废油桶和废活性炭</w:t>
                  </w:r>
                  <w:r>
                    <w:rPr>
                      <w:rFonts w:hint="eastAsia" w:ascii="Times New Roman" w:hAnsi="Times New Roman" w:eastAsia="宋体" w:cs="Times New Roman"/>
                      <w:color w:val="auto"/>
                      <w:highlight w:val="none"/>
                      <w:lang w:val="en-US" w:eastAsia="zh-CN"/>
                    </w:rPr>
                    <w:t>委托资质单位处理。</w:t>
                  </w:r>
                </w:p>
              </w:tc>
            </w:tr>
          </w:tbl>
          <w:p w14:paraId="299BB00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both"/>
              <w:textAlignment w:val="auto"/>
              <w:rPr>
                <w:rFonts w:hint="eastAsia"/>
                <w:b/>
                <w:bCs/>
                <w:color w:val="auto"/>
                <w:sz w:val="24"/>
                <w:szCs w:val="24"/>
                <w:lang w:val="en-US" w:eastAsia="zh-CN"/>
              </w:rPr>
            </w:pPr>
            <w:r>
              <w:rPr>
                <w:rFonts w:hint="eastAsia"/>
                <w:b/>
                <w:bCs/>
                <w:color w:val="auto"/>
                <w:sz w:val="24"/>
                <w:szCs w:val="24"/>
                <w:lang w:val="en-US" w:eastAsia="zh-CN"/>
              </w:rPr>
              <w:t>2、主要产品及产能：</w:t>
            </w:r>
          </w:p>
          <w:p w14:paraId="5D0EBD26">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olor w:val="auto"/>
                <w:sz w:val="24"/>
                <w:szCs w:val="24"/>
                <w:highlight w:val="none"/>
                <w:lang w:val="en-US" w:eastAsia="zh-CN"/>
              </w:rPr>
            </w:pPr>
            <w:r>
              <w:rPr>
                <w:rFonts w:hint="eastAsia"/>
                <w:color w:val="auto"/>
                <w:sz w:val="24"/>
                <w:szCs w:val="24"/>
                <w:lang w:val="en-US" w:eastAsia="zh-CN"/>
              </w:rPr>
              <w:t>本项目建成后产品方案详见</w:t>
            </w:r>
            <w:r>
              <w:rPr>
                <w:rFonts w:hint="eastAsia"/>
                <w:color w:val="auto"/>
                <w:sz w:val="24"/>
                <w:szCs w:val="24"/>
                <w:highlight w:val="none"/>
                <w:lang w:val="en-US" w:eastAsia="zh-CN"/>
              </w:rPr>
              <w:t>表2-2。</w:t>
            </w:r>
          </w:p>
          <w:p w14:paraId="37554678">
            <w:pPr>
              <w:keepNext w:val="0"/>
              <w:keepLines w:val="0"/>
              <w:suppressLineNumbers w:val="0"/>
              <w:adjustRightInd w:val="0"/>
              <w:snapToGrid w:val="0"/>
              <w:spacing w:before="0" w:beforeAutospacing="0" w:after="0" w:afterAutospacing="0"/>
              <w:ind w:left="0" w:right="0"/>
              <w:jc w:val="center"/>
              <w:rPr>
                <w:rFonts w:hint="eastAsia"/>
                <w:b/>
                <w:bCs/>
                <w:color w:val="auto"/>
                <w:sz w:val="24"/>
                <w:szCs w:val="24"/>
                <w:highlight w:val="none"/>
                <w:lang w:val="en-US" w:eastAsia="zh-CN"/>
              </w:rPr>
            </w:pPr>
            <w:r>
              <w:rPr>
                <w:rFonts w:hint="eastAsia"/>
                <w:b/>
                <w:bCs/>
                <w:color w:val="auto"/>
                <w:sz w:val="24"/>
                <w:szCs w:val="24"/>
                <w:highlight w:val="none"/>
                <w:lang w:val="en-US" w:eastAsia="zh-CN"/>
              </w:rPr>
              <w:t>表2-2  本项目产品方案及规模</w:t>
            </w:r>
          </w:p>
          <w:tbl>
            <w:tblPr>
              <w:tblStyle w:val="34"/>
              <w:tblW w:w="465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369"/>
              <w:gridCol w:w="1025"/>
              <w:gridCol w:w="888"/>
              <w:gridCol w:w="2249"/>
            </w:tblGrid>
            <w:tr w14:paraId="533E2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4" w:type="pct"/>
                  <w:tcBorders>
                    <w:tl2br w:val="nil"/>
                    <w:tr2bl w:val="nil"/>
                  </w:tcBorders>
                  <w:noWrap w:val="0"/>
                  <w:vAlign w:val="center"/>
                </w:tcPr>
                <w:p w14:paraId="30901C69">
                  <w:pPr>
                    <w:keepNext w:val="0"/>
                    <w:keepLines w:val="0"/>
                    <w:suppressLineNumbers w:val="0"/>
                    <w:adjustRightInd w:val="0"/>
                    <w:snapToGrid w:val="0"/>
                    <w:spacing w:before="0" w:beforeAutospacing="0" w:after="0" w:afterAutospacing="0"/>
                    <w:ind w:left="0" w:right="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序号</w:t>
                  </w:r>
                </w:p>
              </w:tc>
              <w:tc>
                <w:tcPr>
                  <w:tcW w:w="1608" w:type="pct"/>
                  <w:tcBorders>
                    <w:tl2br w:val="nil"/>
                    <w:tr2bl w:val="nil"/>
                  </w:tcBorders>
                  <w:noWrap w:val="0"/>
                  <w:vAlign w:val="center"/>
                </w:tcPr>
                <w:p w14:paraId="195F4682">
                  <w:pPr>
                    <w:keepNext w:val="0"/>
                    <w:keepLines w:val="0"/>
                    <w:suppressLineNumbers w:val="0"/>
                    <w:adjustRightInd w:val="0"/>
                    <w:snapToGrid w:val="0"/>
                    <w:spacing w:before="0" w:beforeAutospacing="0" w:after="0" w:afterAutospacing="0"/>
                    <w:ind w:left="0" w:right="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产品名称</w:t>
                  </w:r>
                </w:p>
              </w:tc>
              <w:tc>
                <w:tcPr>
                  <w:tcW w:w="696" w:type="pct"/>
                  <w:tcBorders>
                    <w:tl2br w:val="nil"/>
                    <w:tr2bl w:val="nil"/>
                  </w:tcBorders>
                  <w:noWrap w:val="0"/>
                  <w:vAlign w:val="center"/>
                </w:tcPr>
                <w:p w14:paraId="0F0CBC21">
                  <w:pPr>
                    <w:keepNext w:val="0"/>
                    <w:keepLines w:val="0"/>
                    <w:suppressLineNumbers w:val="0"/>
                    <w:adjustRightInd w:val="0"/>
                    <w:snapToGrid w:val="0"/>
                    <w:spacing w:before="0" w:beforeAutospacing="0" w:after="0" w:afterAutospacing="0"/>
                    <w:ind w:left="0" w:right="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数量</w:t>
                  </w:r>
                </w:p>
              </w:tc>
              <w:tc>
                <w:tcPr>
                  <w:tcW w:w="603" w:type="pct"/>
                  <w:tcBorders>
                    <w:tl2br w:val="nil"/>
                    <w:tr2bl w:val="nil"/>
                  </w:tcBorders>
                  <w:noWrap w:val="0"/>
                  <w:vAlign w:val="center"/>
                </w:tcPr>
                <w:p w14:paraId="60B6D6D9">
                  <w:pPr>
                    <w:keepNext w:val="0"/>
                    <w:keepLines w:val="0"/>
                    <w:suppressLineNumbers w:val="0"/>
                    <w:adjustRightInd w:val="0"/>
                    <w:snapToGrid w:val="0"/>
                    <w:spacing w:before="0" w:beforeAutospacing="0" w:after="0" w:afterAutospacing="0"/>
                    <w:ind w:left="0" w:right="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单位</w:t>
                  </w:r>
                </w:p>
              </w:tc>
              <w:tc>
                <w:tcPr>
                  <w:tcW w:w="1527" w:type="pct"/>
                  <w:tcBorders>
                    <w:tl2br w:val="nil"/>
                    <w:tr2bl w:val="nil"/>
                  </w:tcBorders>
                  <w:noWrap w:val="0"/>
                  <w:vAlign w:val="center"/>
                </w:tcPr>
                <w:p w14:paraId="6D14D699">
                  <w:pPr>
                    <w:keepNext w:val="0"/>
                    <w:keepLines w:val="0"/>
                    <w:suppressLineNumbers w:val="0"/>
                    <w:adjustRightInd w:val="0"/>
                    <w:snapToGrid w:val="0"/>
                    <w:spacing w:before="0" w:beforeAutospacing="0" w:after="0" w:afterAutospacing="0"/>
                    <w:ind w:left="0" w:right="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备注</w:t>
                  </w:r>
                </w:p>
              </w:tc>
            </w:tr>
            <w:tr w14:paraId="34CE2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4" w:type="pct"/>
                  <w:tcBorders>
                    <w:tl2br w:val="nil"/>
                    <w:tr2bl w:val="nil"/>
                  </w:tcBorders>
                  <w:noWrap w:val="0"/>
                  <w:vAlign w:val="center"/>
                </w:tcPr>
                <w:p w14:paraId="0E3F55CE">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608" w:type="pct"/>
                  <w:tcBorders>
                    <w:tl2br w:val="nil"/>
                    <w:tr2bl w:val="nil"/>
                  </w:tcBorders>
                  <w:noWrap w:val="0"/>
                  <w:vAlign w:val="center"/>
                </w:tcPr>
                <w:p w14:paraId="481961F5">
                  <w:pPr>
                    <w:pStyle w:val="59"/>
                    <w:keepNext w:val="0"/>
                    <w:keepLines w:val="0"/>
                    <w:suppressLineNumbers w:val="0"/>
                    <w:bidi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lang w:val="en-US" w:eastAsia="zh-CN"/>
                    </w:rPr>
                    <w:t>心电图医疗记录纸</w:t>
                  </w:r>
                </w:p>
              </w:tc>
              <w:tc>
                <w:tcPr>
                  <w:tcW w:w="696" w:type="pct"/>
                  <w:tcBorders>
                    <w:tl2br w:val="nil"/>
                    <w:tr2bl w:val="nil"/>
                  </w:tcBorders>
                  <w:noWrap w:val="0"/>
                  <w:vAlign w:val="center"/>
                </w:tcPr>
                <w:p w14:paraId="76E41E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20000</w:t>
                  </w:r>
                </w:p>
              </w:tc>
              <w:tc>
                <w:tcPr>
                  <w:tcW w:w="603" w:type="pct"/>
                  <w:tcBorders>
                    <w:tl2br w:val="nil"/>
                    <w:tr2bl w:val="nil"/>
                  </w:tcBorders>
                  <w:noWrap w:val="0"/>
                  <w:vAlign w:val="center"/>
                </w:tcPr>
                <w:p w14:paraId="3FEFE3D8">
                  <w:pPr>
                    <w:keepNext w:val="0"/>
                    <w:keepLines w:val="0"/>
                    <w:suppressLineNumbers w:val="0"/>
                    <w:adjustRightInd w:val="0"/>
                    <w:snapToGrid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highlight w:val="none"/>
                      <w:lang w:val="en-US" w:eastAsia="zh-CN"/>
                    </w:rPr>
                    <w:t>t/a</w:t>
                  </w:r>
                </w:p>
              </w:tc>
              <w:tc>
                <w:tcPr>
                  <w:tcW w:w="1527" w:type="pct"/>
                  <w:tcBorders>
                    <w:tl2br w:val="nil"/>
                    <w:tr2bl w:val="nil"/>
                  </w:tcBorders>
                  <w:noWrap w:val="0"/>
                  <w:vAlign w:val="center"/>
                </w:tcPr>
                <w:p w14:paraId="692B3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r>
          </w:tbl>
          <w:p w14:paraId="7DADDEE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both"/>
              <w:textAlignment w:val="auto"/>
              <w:rPr>
                <w:rFonts w:hint="eastAsia"/>
                <w:b/>
                <w:bCs/>
                <w:color w:val="auto"/>
                <w:sz w:val="24"/>
                <w:szCs w:val="32"/>
                <w:lang w:val="en-US" w:eastAsia="zh-CN"/>
              </w:rPr>
            </w:pPr>
            <w:r>
              <w:rPr>
                <w:rFonts w:hint="eastAsia"/>
                <w:b/>
                <w:bCs/>
                <w:color w:val="auto"/>
                <w:sz w:val="24"/>
                <w:szCs w:val="32"/>
                <w:lang w:val="en-US" w:eastAsia="zh-CN"/>
              </w:rPr>
              <w:t>3、生产设施及设施参数：</w:t>
            </w:r>
          </w:p>
          <w:p w14:paraId="3CEA6693">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color w:val="auto"/>
                <w:sz w:val="24"/>
                <w:szCs w:val="32"/>
                <w:lang w:val="en-US" w:eastAsia="zh-CN"/>
              </w:rPr>
            </w:pPr>
            <w:r>
              <w:rPr>
                <w:rFonts w:hint="default"/>
                <w:color w:val="auto"/>
                <w:sz w:val="24"/>
                <w:szCs w:val="32"/>
              </w:rPr>
              <w:t>本项目主要生产设备</w:t>
            </w:r>
            <w:r>
              <w:rPr>
                <w:rFonts w:hint="eastAsia"/>
                <w:color w:val="auto"/>
                <w:sz w:val="24"/>
                <w:szCs w:val="32"/>
                <w:lang w:val="en-US" w:eastAsia="zh-CN"/>
              </w:rPr>
              <w:t>见下表2-3。</w:t>
            </w:r>
          </w:p>
          <w:p w14:paraId="3BBD627B">
            <w:pPr>
              <w:keepNext w:val="0"/>
              <w:keepLines w:val="0"/>
              <w:suppressLineNumbers w:val="0"/>
              <w:adjustRightInd w:val="0"/>
              <w:snapToGrid w:val="0"/>
              <w:spacing w:before="0" w:beforeAutospacing="0" w:after="0" w:afterAutospacing="0"/>
              <w:ind w:left="0" w:right="0"/>
              <w:jc w:val="center"/>
              <w:rPr>
                <w:rFonts w:hint="eastAsia"/>
                <w:b/>
                <w:bCs/>
                <w:color w:val="auto"/>
                <w:sz w:val="24"/>
                <w:szCs w:val="32"/>
                <w:lang w:val="en-US" w:eastAsia="zh-CN"/>
              </w:rPr>
            </w:pPr>
            <w:r>
              <w:rPr>
                <w:rFonts w:hint="eastAsia"/>
                <w:b/>
                <w:bCs/>
                <w:color w:val="auto"/>
                <w:sz w:val="24"/>
                <w:szCs w:val="32"/>
                <w:lang w:val="en-US" w:eastAsia="zh-CN"/>
              </w:rPr>
              <w:t>表2-3  主要设备一览表</w:t>
            </w:r>
          </w:p>
          <w:tbl>
            <w:tblPr>
              <w:tblStyle w:val="34"/>
              <w:tblW w:w="460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11"/>
              <w:gridCol w:w="2415"/>
              <w:gridCol w:w="1348"/>
              <w:gridCol w:w="1168"/>
              <w:gridCol w:w="1652"/>
            </w:tblGrid>
            <w:tr w14:paraId="6CD405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487" w:type="pct"/>
                  <w:tcBorders>
                    <w:tl2br w:val="nil"/>
                    <w:tr2bl w:val="nil"/>
                  </w:tcBorders>
                  <w:shd w:val="clear" w:color="auto" w:fill="auto"/>
                  <w:noWrap/>
                  <w:vAlign w:val="center"/>
                </w:tcPr>
                <w:p w14:paraId="0E3DBB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655" w:type="pct"/>
                  <w:tcBorders>
                    <w:tl2br w:val="nil"/>
                    <w:tr2bl w:val="nil"/>
                  </w:tcBorders>
                  <w:shd w:val="clear" w:color="auto" w:fill="auto"/>
                  <w:noWrap/>
                  <w:vAlign w:val="center"/>
                </w:tcPr>
                <w:p w14:paraId="5D1EE6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名称</w:t>
                  </w:r>
                </w:p>
              </w:tc>
              <w:tc>
                <w:tcPr>
                  <w:tcW w:w="924" w:type="pct"/>
                  <w:tcBorders>
                    <w:tl2br w:val="nil"/>
                    <w:tr2bl w:val="nil"/>
                  </w:tcBorders>
                  <w:shd w:val="clear" w:color="auto" w:fill="auto"/>
                  <w:noWrap/>
                  <w:vAlign w:val="center"/>
                </w:tcPr>
                <w:p w14:paraId="0D76D7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数量</w:t>
                  </w:r>
                </w:p>
              </w:tc>
              <w:tc>
                <w:tcPr>
                  <w:tcW w:w="800" w:type="pct"/>
                  <w:tcBorders>
                    <w:tl2br w:val="nil"/>
                    <w:tr2bl w:val="nil"/>
                  </w:tcBorders>
                  <w:shd w:val="clear" w:color="auto" w:fill="auto"/>
                  <w:noWrap/>
                  <w:vAlign w:val="center"/>
                </w:tcPr>
                <w:p w14:paraId="6687DB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单位</w:t>
                  </w:r>
                </w:p>
              </w:tc>
              <w:tc>
                <w:tcPr>
                  <w:tcW w:w="1132" w:type="pct"/>
                  <w:tcBorders>
                    <w:tl2br w:val="nil"/>
                    <w:tr2bl w:val="nil"/>
                  </w:tcBorders>
                  <w:shd w:val="clear" w:color="auto" w:fill="auto"/>
                  <w:noWrap/>
                  <w:vAlign w:val="center"/>
                </w:tcPr>
                <w:p w14:paraId="3E1D75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规格型号</w:t>
                  </w:r>
                </w:p>
              </w:tc>
            </w:tr>
            <w:tr w14:paraId="6D8AA0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87" w:type="pct"/>
                  <w:tcBorders>
                    <w:tl2br w:val="nil"/>
                    <w:tr2bl w:val="nil"/>
                  </w:tcBorders>
                  <w:shd w:val="clear" w:color="auto" w:fill="auto"/>
                  <w:noWrap/>
                  <w:vAlign w:val="center"/>
                </w:tcPr>
                <w:p w14:paraId="2FD175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1655" w:type="pct"/>
                  <w:tcBorders>
                    <w:tl2br w:val="nil"/>
                    <w:tr2bl w:val="nil"/>
                  </w:tcBorders>
                  <w:shd w:val="clear" w:color="auto" w:fill="auto"/>
                  <w:noWrap/>
                  <w:vAlign w:val="center"/>
                </w:tcPr>
                <w:p w14:paraId="1A35770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color w:val="auto"/>
                      <w:spacing w:val="-1"/>
                      <w:szCs w:val="21"/>
                    </w:rPr>
                    <w:t>配料罐</w:t>
                  </w:r>
                </w:p>
              </w:tc>
              <w:tc>
                <w:tcPr>
                  <w:tcW w:w="924" w:type="pct"/>
                  <w:tcBorders>
                    <w:tl2br w:val="nil"/>
                    <w:tr2bl w:val="nil"/>
                  </w:tcBorders>
                  <w:shd w:val="clear" w:color="auto" w:fill="auto"/>
                  <w:noWrap/>
                  <w:vAlign w:val="center"/>
                </w:tcPr>
                <w:p w14:paraId="1021AF9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snapToGrid w:val="0"/>
                      <w:color w:val="auto"/>
                      <w:kern w:val="0"/>
                      <w:szCs w:val="21"/>
                      <w:lang w:val="en-US" w:eastAsia="zh-CN"/>
                    </w:rPr>
                    <w:t>15</w:t>
                  </w:r>
                </w:p>
              </w:tc>
              <w:tc>
                <w:tcPr>
                  <w:tcW w:w="800" w:type="pct"/>
                  <w:tcBorders>
                    <w:tl2br w:val="nil"/>
                    <w:tr2bl w:val="nil"/>
                  </w:tcBorders>
                  <w:shd w:val="clear" w:color="auto" w:fill="auto"/>
                  <w:noWrap/>
                  <w:vAlign w:val="center"/>
                </w:tcPr>
                <w:p w14:paraId="4551CCC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snapToGrid w:val="0"/>
                      <w:color w:val="auto"/>
                      <w:kern w:val="0"/>
                      <w:szCs w:val="21"/>
                    </w:rPr>
                    <w:t>台</w:t>
                  </w:r>
                </w:p>
              </w:tc>
              <w:tc>
                <w:tcPr>
                  <w:tcW w:w="1132" w:type="pct"/>
                  <w:tcBorders>
                    <w:tl2br w:val="nil"/>
                    <w:tr2bl w:val="nil"/>
                  </w:tcBorders>
                  <w:shd w:val="clear" w:color="auto" w:fill="auto"/>
                  <w:noWrap/>
                  <w:vAlign w:val="center"/>
                </w:tcPr>
                <w:p w14:paraId="08B4FDA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snapToGrid w:val="0"/>
                      <w:color w:val="auto"/>
                      <w:kern w:val="0"/>
                      <w:szCs w:val="21"/>
                    </w:rPr>
                    <w:t>4m</w:t>
                  </w:r>
                  <w:r>
                    <w:rPr>
                      <w:rFonts w:hint="eastAsia"/>
                      <w:snapToGrid w:val="0"/>
                      <w:color w:val="auto"/>
                      <w:kern w:val="0"/>
                      <w:szCs w:val="21"/>
                      <w:vertAlign w:val="superscript"/>
                    </w:rPr>
                    <w:t>3</w:t>
                  </w:r>
                </w:p>
              </w:tc>
            </w:tr>
            <w:tr w14:paraId="38B5D3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87" w:type="pct"/>
                  <w:tcBorders>
                    <w:tl2br w:val="nil"/>
                    <w:tr2bl w:val="nil"/>
                  </w:tcBorders>
                  <w:shd w:val="clear" w:color="auto" w:fill="auto"/>
                  <w:noWrap/>
                  <w:vAlign w:val="center"/>
                </w:tcPr>
                <w:p w14:paraId="61AD35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1655" w:type="pct"/>
                  <w:tcBorders>
                    <w:tl2br w:val="nil"/>
                    <w:tr2bl w:val="nil"/>
                  </w:tcBorders>
                  <w:shd w:val="clear" w:color="auto" w:fill="auto"/>
                  <w:noWrap/>
                  <w:vAlign w:val="center"/>
                </w:tcPr>
                <w:p w14:paraId="417E2FA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color w:val="auto"/>
                    </w:rPr>
                    <w:t>配料系统</w:t>
                  </w:r>
                </w:p>
              </w:tc>
              <w:tc>
                <w:tcPr>
                  <w:tcW w:w="924" w:type="pct"/>
                  <w:tcBorders>
                    <w:tl2br w:val="nil"/>
                    <w:tr2bl w:val="nil"/>
                  </w:tcBorders>
                  <w:shd w:val="clear" w:color="auto" w:fill="auto"/>
                  <w:noWrap/>
                  <w:vAlign w:val="center"/>
                </w:tcPr>
                <w:p w14:paraId="00AF8D9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snapToGrid w:val="0"/>
                      <w:color w:val="auto"/>
                      <w:kern w:val="0"/>
                      <w:szCs w:val="21"/>
                    </w:rPr>
                    <w:t>4</w:t>
                  </w:r>
                </w:p>
              </w:tc>
              <w:tc>
                <w:tcPr>
                  <w:tcW w:w="800" w:type="pct"/>
                  <w:tcBorders>
                    <w:tl2br w:val="nil"/>
                    <w:tr2bl w:val="nil"/>
                  </w:tcBorders>
                  <w:shd w:val="clear" w:color="auto" w:fill="auto"/>
                  <w:noWrap/>
                  <w:vAlign w:val="center"/>
                </w:tcPr>
                <w:p w14:paraId="59EC5A5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snapToGrid w:val="0"/>
                      <w:color w:val="auto"/>
                      <w:kern w:val="0"/>
                      <w:szCs w:val="21"/>
                    </w:rPr>
                    <w:t>套</w:t>
                  </w:r>
                </w:p>
              </w:tc>
              <w:tc>
                <w:tcPr>
                  <w:tcW w:w="1132" w:type="pct"/>
                  <w:tcBorders>
                    <w:tl2br w:val="nil"/>
                    <w:tr2bl w:val="nil"/>
                  </w:tcBorders>
                  <w:shd w:val="clear" w:color="auto" w:fill="auto"/>
                  <w:noWrap/>
                  <w:vAlign w:val="center"/>
                </w:tcPr>
                <w:p w14:paraId="35705F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color w:val="auto"/>
                    </w:rPr>
                    <w:t>1200*1700mm</w:t>
                  </w:r>
                </w:p>
              </w:tc>
            </w:tr>
            <w:tr w14:paraId="441AE9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87" w:type="pct"/>
                  <w:tcBorders>
                    <w:tl2br w:val="nil"/>
                    <w:tr2bl w:val="nil"/>
                  </w:tcBorders>
                  <w:shd w:val="clear" w:color="auto" w:fill="auto"/>
                  <w:noWrap/>
                  <w:vAlign w:val="center"/>
                </w:tcPr>
                <w:p w14:paraId="7BE761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1655" w:type="pct"/>
                  <w:tcBorders>
                    <w:tl2br w:val="nil"/>
                    <w:tr2bl w:val="nil"/>
                  </w:tcBorders>
                  <w:shd w:val="clear" w:color="auto" w:fill="auto"/>
                  <w:noWrap/>
                  <w:vAlign w:val="center"/>
                </w:tcPr>
                <w:p w14:paraId="75DBB4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color w:val="auto"/>
                    </w:rPr>
                    <w:t>涂布机</w:t>
                  </w:r>
                </w:p>
              </w:tc>
              <w:tc>
                <w:tcPr>
                  <w:tcW w:w="924" w:type="pct"/>
                  <w:tcBorders>
                    <w:tl2br w:val="nil"/>
                    <w:tr2bl w:val="nil"/>
                  </w:tcBorders>
                  <w:shd w:val="clear" w:color="auto" w:fill="auto"/>
                  <w:noWrap/>
                  <w:vAlign w:val="center"/>
                </w:tcPr>
                <w:p w14:paraId="61861E5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snapToGrid w:val="0"/>
                      <w:color w:val="auto"/>
                      <w:kern w:val="0"/>
                      <w:szCs w:val="21"/>
                    </w:rPr>
                    <w:t>4</w:t>
                  </w:r>
                </w:p>
              </w:tc>
              <w:tc>
                <w:tcPr>
                  <w:tcW w:w="800" w:type="pct"/>
                  <w:tcBorders>
                    <w:tl2br w:val="nil"/>
                    <w:tr2bl w:val="nil"/>
                  </w:tcBorders>
                  <w:shd w:val="clear" w:color="auto" w:fill="auto"/>
                  <w:noWrap/>
                  <w:vAlign w:val="center"/>
                </w:tcPr>
                <w:p w14:paraId="0DECF43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snapToGrid w:val="0"/>
                      <w:color w:val="auto"/>
                      <w:kern w:val="0"/>
                      <w:szCs w:val="21"/>
                    </w:rPr>
                    <w:t>套</w:t>
                  </w:r>
                </w:p>
              </w:tc>
              <w:tc>
                <w:tcPr>
                  <w:tcW w:w="1132" w:type="pct"/>
                  <w:tcBorders>
                    <w:tl2br w:val="nil"/>
                    <w:tr2bl w:val="nil"/>
                  </w:tcBorders>
                  <w:shd w:val="clear" w:color="auto" w:fill="auto"/>
                  <w:noWrap/>
                  <w:vAlign w:val="center"/>
                </w:tcPr>
                <w:p w14:paraId="24A2FCA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color w:val="auto"/>
                    </w:rPr>
                    <w:t>1092-1</w:t>
                  </w:r>
                  <w:r>
                    <w:rPr>
                      <w:rFonts w:hint="eastAsia"/>
                      <w:color w:val="auto"/>
                      <w:lang w:val="en-US" w:eastAsia="zh-CN"/>
                    </w:rPr>
                    <w:t>88</w:t>
                  </w:r>
                  <w:r>
                    <w:rPr>
                      <w:rFonts w:hint="eastAsia"/>
                      <w:color w:val="auto"/>
                    </w:rPr>
                    <w:t>0</w:t>
                  </w:r>
                  <w:r>
                    <w:rPr>
                      <w:rFonts w:hint="eastAsia"/>
                      <w:color w:val="auto"/>
                      <w:spacing w:val="-1"/>
                      <w:szCs w:val="21"/>
                    </w:rPr>
                    <w:t>型</w:t>
                  </w:r>
                </w:p>
              </w:tc>
            </w:tr>
            <w:tr w14:paraId="5B0813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87" w:type="pct"/>
                  <w:tcBorders>
                    <w:tl2br w:val="nil"/>
                    <w:tr2bl w:val="nil"/>
                  </w:tcBorders>
                  <w:shd w:val="clear" w:color="auto" w:fill="auto"/>
                  <w:noWrap/>
                  <w:vAlign w:val="center"/>
                </w:tcPr>
                <w:p w14:paraId="603C22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1655" w:type="pct"/>
                  <w:tcBorders>
                    <w:tl2br w:val="nil"/>
                    <w:tr2bl w:val="nil"/>
                  </w:tcBorders>
                  <w:shd w:val="clear" w:color="auto" w:fill="auto"/>
                  <w:noWrap/>
                  <w:vAlign w:val="center"/>
                </w:tcPr>
                <w:p w14:paraId="167939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color w:val="auto"/>
                      <w:lang w:val="en-US" w:eastAsia="zh-CN"/>
                    </w:rPr>
                    <w:t>打孔</w:t>
                  </w:r>
                  <w:r>
                    <w:rPr>
                      <w:rFonts w:hint="eastAsia"/>
                      <w:color w:val="auto"/>
                    </w:rPr>
                    <w:t>机</w:t>
                  </w:r>
                </w:p>
              </w:tc>
              <w:tc>
                <w:tcPr>
                  <w:tcW w:w="924" w:type="pct"/>
                  <w:tcBorders>
                    <w:tl2br w:val="nil"/>
                    <w:tr2bl w:val="nil"/>
                  </w:tcBorders>
                  <w:shd w:val="clear" w:color="auto" w:fill="auto"/>
                  <w:noWrap/>
                  <w:vAlign w:val="center"/>
                </w:tcPr>
                <w:p w14:paraId="0843786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snapToGrid w:val="0"/>
                      <w:color w:val="auto"/>
                      <w:kern w:val="0"/>
                      <w:szCs w:val="21"/>
                    </w:rPr>
                    <w:t>25</w:t>
                  </w:r>
                </w:p>
              </w:tc>
              <w:tc>
                <w:tcPr>
                  <w:tcW w:w="800" w:type="pct"/>
                  <w:tcBorders>
                    <w:tl2br w:val="nil"/>
                    <w:tr2bl w:val="nil"/>
                  </w:tcBorders>
                  <w:shd w:val="clear" w:color="auto" w:fill="auto"/>
                  <w:noWrap/>
                  <w:vAlign w:val="center"/>
                </w:tcPr>
                <w:p w14:paraId="2786A5B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snapToGrid w:val="0"/>
                      <w:color w:val="auto"/>
                      <w:kern w:val="0"/>
                      <w:szCs w:val="21"/>
                    </w:rPr>
                    <w:t>台</w:t>
                  </w:r>
                </w:p>
              </w:tc>
              <w:tc>
                <w:tcPr>
                  <w:tcW w:w="1132" w:type="pct"/>
                  <w:tcBorders>
                    <w:tl2br w:val="nil"/>
                    <w:tr2bl w:val="nil"/>
                  </w:tcBorders>
                  <w:shd w:val="clear" w:color="auto" w:fill="auto"/>
                  <w:noWrap/>
                  <w:vAlign w:val="center"/>
                </w:tcPr>
                <w:p w14:paraId="14E211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color w:val="auto"/>
                    </w:rPr>
                    <w:t>520</w:t>
                  </w:r>
                  <w:r>
                    <w:rPr>
                      <w:rFonts w:hint="eastAsia"/>
                      <w:color w:val="auto"/>
                      <w:spacing w:val="-1"/>
                      <w:szCs w:val="21"/>
                    </w:rPr>
                    <w:t>型</w:t>
                  </w:r>
                </w:p>
              </w:tc>
            </w:tr>
            <w:tr w14:paraId="1DF6AD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87" w:type="pct"/>
                  <w:tcBorders>
                    <w:tl2br w:val="nil"/>
                    <w:tr2bl w:val="nil"/>
                  </w:tcBorders>
                  <w:shd w:val="clear" w:color="auto" w:fill="auto"/>
                  <w:noWrap/>
                  <w:vAlign w:val="center"/>
                </w:tcPr>
                <w:p w14:paraId="7A1138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t>
                  </w:r>
                </w:p>
              </w:tc>
              <w:tc>
                <w:tcPr>
                  <w:tcW w:w="1655" w:type="pct"/>
                  <w:tcBorders>
                    <w:tl2br w:val="nil"/>
                    <w:tr2bl w:val="nil"/>
                  </w:tcBorders>
                  <w:shd w:val="clear" w:color="auto" w:fill="auto"/>
                  <w:noWrap/>
                  <w:vAlign w:val="center"/>
                </w:tcPr>
                <w:p w14:paraId="31EEC3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color w:val="auto"/>
                    </w:rPr>
                    <w:t>复卷机</w:t>
                  </w:r>
                </w:p>
              </w:tc>
              <w:tc>
                <w:tcPr>
                  <w:tcW w:w="924" w:type="pct"/>
                  <w:tcBorders>
                    <w:tl2br w:val="nil"/>
                    <w:tr2bl w:val="nil"/>
                  </w:tcBorders>
                  <w:shd w:val="clear" w:color="auto" w:fill="auto"/>
                  <w:noWrap/>
                  <w:vAlign w:val="center"/>
                </w:tcPr>
                <w:p w14:paraId="3F2537D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snapToGrid w:val="0"/>
                      <w:color w:val="auto"/>
                      <w:kern w:val="0"/>
                      <w:szCs w:val="21"/>
                    </w:rPr>
                    <w:t>12</w:t>
                  </w:r>
                </w:p>
              </w:tc>
              <w:tc>
                <w:tcPr>
                  <w:tcW w:w="800" w:type="pct"/>
                  <w:tcBorders>
                    <w:tl2br w:val="nil"/>
                    <w:tr2bl w:val="nil"/>
                  </w:tcBorders>
                  <w:shd w:val="clear" w:color="auto" w:fill="auto"/>
                  <w:noWrap/>
                  <w:vAlign w:val="center"/>
                </w:tcPr>
                <w:p w14:paraId="71C69E0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snapToGrid w:val="0"/>
                      <w:color w:val="auto"/>
                      <w:kern w:val="0"/>
                      <w:szCs w:val="21"/>
                    </w:rPr>
                    <w:t>台</w:t>
                  </w:r>
                </w:p>
              </w:tc>
              <w:tc>
                <w:tcPr>
                  <w:tcW w:w="1132" w:type="pct"/>
                  <w:tcBorders>
                    <w:tl2br w:val="nil"/>
                    <w:tr2bl w:val="nil"/>
                  </w:tcBorders>
                  <w:shd w:val="clear" w:color="auto" w:fill="auto"/>
                  <w:noWrap/>
                  <w:vAlign w:val="center"/>
                </w:tcPr>
                <w:p w14:paraId="125A9C1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color w:val="auto"/>
                    </w:rPr>
                    <w:t>800</w:t>
                  </w:r>
                  <w:r>
                    <w:rPr>
                      <w:rFonts w:hint="eastAsia"/>
                      <w:color w:val="auto"/>
                      <w:lang w:val="en-US" w:eastAsia="zh-CN"/>
                    </w:rPr>
                    <w:t>-1880</w:t>
                  </w:r>
                  <w:r>
                    <w:rPr>
                      <w:rFonts w:hint="eastAsia"/>
                      <w:color w:val="auto"/>
                      <w:spacing w:val="-1"/>
                      <w:szCs w:val="21"/>
                    </w:rPr>
                    <w:t>型</w:t>
                  </w:r>
                </w:p>
              </w:tc>
            </w:tr>
            <w:tr w14:paraId="063514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87" w:type="pct"/>
                  <w:tcBorders>
                    <w:tl2br w:val="nil"/>
                    <w:tr2bl w:val="nil"/>
                  </w:tcBorders>
                  <w:shd w:val="clear" w:color="auto" w:fill="auto"/>
                  <w:noWrap/>
                  <w:vAlign w:val="center"/>
                </w:tcPr>
                <w:p w14:paraId="1FB618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w:t>
                  </w:r>
                </w:p>
              </w:tc>
              <w:tc>
                <w:tcPr>
                  <w:tcW w:w="1655" w:type="pct"/>
                  <w:tcBorders>
                    <w:tl2br w:val="nil"/>
                    <w:tr2bl w:val="nil"/>
                  </w:tcBorders>
                  <w:shd w:val="clear" w:color="auto" w:fill="auto"/>
                  <w:noWrap/>
                  <w:vAlign w:val="center"/>
                </w:tcPr>
                <w:p w14:paraId="62ECDEA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color w:val="auto"/>
                    </w:rPr>
                    <w:t>印刷机</w:t>
                  </w:r>
                </w:p>
              </w:tc>
              <w:tc>
                <w:tcPr>
                  <w:tcW w:w="924" w:type="pct"/>
                  <w:tcBorders>
                    <w:tl2br w:val="nil"/>
                    <w:tr2bl w:val="nil"/>
                  </w:tcBorders>
                  <w:shd w:val="clear" w:color="auto" w:fill="auto"/>
                  <w:noWrap/>
                  <w:vAlign w:val="center"/>
                </w:tcPr>
                <w:p w14:paraId="28804AC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snapToGrid w:val="0"/>
                      <w:color w:val="auto"/>
                      <w:kern w:val="0"/>
                      <w:szCs w:val="21"/>
                    </w:rPr>
                    <w:t>2</w:t>
                  </w:r>
                </w:p>
              </w:tc>
              <w:tc>
                <w:tcPr>
                  <w:tcW w:w="800" w:type="pct"/>
                  <w:tcBorders>
                    <w:tl2br w:val="nil"/>
                    <w:tr2bl w:val="nil"/>
                  </w:tcBorders>
                  <w:shd w:val="clear" w:color="auto" w:fill="auto"/>
                  <w:noWrap/>
                  <w:vAlign w:val="center"/>
                </w:tcPr>
                <w:p w14:paraId="550953A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snapToGrid w:val="0"/>
                      <w:color w:val="auto"/>
                      <w:kern w:val="0"/>
                      <w:szCs w:val="21"/>
                    </w:rPr>
                    <w:t>套</w:t>
                  </w:r>
                </w:p>
              </w:tc>
              <w:tc>
                <w:tcPr>
                  <w:tcW w:w="1132" w:type="pct"/>
                  <w:tcBorders>
                    <w:tl2br w:val="nil"/>
                    <w:tr2bl w:val="nil"/>
                  </w:tcBorders>
                  <w:shd w:val="clear" w:color="auto" w:fill="auto"/>
                  <w:noWrap/>
                  <w:vAlign w:val="center"/>
                </w:tcPr>
                <w:p w14:paraId="08DF5F5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color w:val="auto"/>
                    </w:rPr>
                    <w:t>--</w:t>
                  </w:r>
                </w:p>
              </w:tc>
            </w:tr>
            <w:tr w14:paraId="6382F1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87" w:type="pct"/>
                  <w:tcBorders>
                    <w:tl2br w:val="nil"/>
                    <w:tr2bl w:val="nil"/>
                  </w:tcBorders>
                  <w:shd w:val="clear" w:color="auto" w:fill="auto"/>
                  <w:noWrap/>
                  <w:vAlign w:val="center"/>
                </w:tcPr>
                <w:p w14:paraId="2AF23F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w:t>
                  </w:r>
                </w:p>
              </w:tc>
              <w:tc>
                <w:tcPr>
                  <w:tcW w:w="1655" w:type="pct"/>
                  <w:tcBorders>
                    <w:tl2br w:val="nil"/>
                    <w:tr2bl w:val="nil"/>
                  </w:tcBorders>
                  <w:shd w:val="clear" w:color="auto" w:fill="auto"/>
                  <w:noWrap/>
                  <w:vAlign w:val="center"/>
                </w:tcPr>
                <w:p w14:paraId="16434B5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color w:val="auto"/>
                      <w:szCs w:val="21"/>
                    </w:rPr>
                    <w:t>切纸机</w:t>
                  </w:r>
                </w:p>
              </w:tc>
              <w:tc>
                <w:tcPr>
                  <w:tcW w:w="924" w:type="pct"/>
                  <w:tcBorders>
                    <w:tl2br w:val="nil"/>
                    <w:tr2bl w:val="nil"/>
                  </w:tcBorders>
                  <w:shd w:val="clear" w:color="auto" w:fill="auto"/>
                  <w:noWrap/>
                  <w:vAlign w:val="center"/>
                </w:tcPr>
                <w:p w14:paraId="67CA7AA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snapToGrid w:val="0"/>
                      <w:color w:val="auto"/>
                      <w:kern w:val="0"/>
                      <w:szCs w:val="21"/>
                      <w:lang w:val="en-US" w:eastAsia="zh-CN"/>
                    </w:rPr>
                    <w:t>1</w:t>
                  </w:r>
                </w:p>
              </w:tc>
              <w:tc>
                <w:tcPr>
                  <w:tcW w:w="800" w:type="pct"/>
                  <w:tcBorders>
                    <w:tl2br w:val="nil"/>
                    <w:tr2bl w:val="nil"/>
                  </w:tcBorders>
                  <w:shd w:val="clear" w:color="auto" w:fill="auto"/>
                  <w:noWrap/>
                  <w:vAlign w:val="center"/>
                </w:tcPr>
                <w:p w14:paraId="2B0839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snapToGrid w:val="0"/>
                      <w:color w:val="auto"/>
                      <w:kern w:val="0"/>
                      <w:szCs w:val="21"/>
                    </w:rPr>
                    <w:t>台</w:t>
                  </w:r>
                </w:p>
              </w:tc>
              <w:tc>
                <w:tcPr>
                  <w:tcW w:w="1132" w:type="pct"/>
                  <w:tcBorders>
                    <w:tl2br w:val="nil"/>
                    <w:tr2bl w:val="nil"/>
                  </w:tcBorders>
                  <w:shd w:val="clear" w:color="auto" w:fill="auto"/>
                  <w:noWrap/>
                  <w:vAlign w:val="center"/>
                </w:tcPr>
                <w:p w14:paraId="52121E2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color w:val="auto"/>
                    </w:rPr>
                    <w:t>--</w:t>
                  </w:r>
                </w:p>
              </w:tc>
            </w:tr>
            <w:tr w14:paraId="3F1387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87" w:type="pct"/>
                  <w:tcBorders>
                    <w:tl2br w:val="nil"/>
                    <w:tr2bl w:val="nil"/>
                  </w:tcBorders>
                  <w:shd w:val="clear" w:color="auto" w:fill="auto"/>
                  <w:noWrap/>
                  <w:vAlign w:val="center"/>
                </w:tcPr>
                <w:p w14:paraId="04A39B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w:t>
                  </w:r>
                </w:p>
              </w:tc>
              <w:tc>
                <w:tcPr>
                  <w:tcW w:w="1655" w:type="pct"/>
                  <w:tcBorders>
                    <w:tl2br w:val="nil"/>
                    <w:tr2bl w:val="nil"/>
                  </w:tcBorders>
                  <w:shd w:val="clear" w:color="auto" w:fill="auto"/>
                  <w:noWrap/>
                  <w:vAlign w:val="center"/>
                </w:tcPr>
                <w:p w14:paraId="630BE1A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color w:val="auto"/>
                      <w:szCs w:val="21"/>
                    </w:rPr>
                    <w:t>胶订机</w:t>
                  </w:r>
                </w:p>
              </w:tc>
              <w:tc>
                <w:tcPr>
                  <w:tcW w:w="924" w:type="pct"/>
                  <w:tcBorders>
                    <w:tl2br w:val="nil"/>
                    <w:tr2bl w:val="nil"/>
                  </w:tcBorders>
                  <w:shd w:val="clear" w:color="auto" w:fill="auto"/>
                  <w:noWrap/>
                  <w:vAlign w:val="center"/>
                </w:tcPr>
                <w:p w14:paraId="0F2388F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snapToGrid w:val="0"/>
                      <w:color w:val="auto"/>
                      <w:kern w:val="0"/>
                      <w:szCs w:val="21"/>
                      <w:lang w:val="en-US" w:eastAsia="zh-CN"/>
                    </w:rPr>
                    <w:t>1</w:t>
                  </w:r>
                </w:p>
              </w:tc>
              <w:tc>
                <w:tcPr>
                  <w:tcW w:w="800" w:type="pct"/>
                  <w:tcBorders>
                    <w:tl2br w:val="nil"/>
                    <w:tr2bl w:val="nil"/>
                  </w:tcBorders>
                  <w:shd w:val="clear" w:color="auto" w:fill="auto"/>
                  <w:noWrap/>
                  <w:vAlign w:val="center"/>
                </w:tcPr>
                <w:p w14:paraId="05C950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snapToGrid w:val="0"/>
                      <w:color w:val="auto"/>
                      <w:kern w:val="0"/>
                      <w:szCs w:val="21"/>
                    </w:rPr>
                    <w:t>台</w:t>
                  </w:r>
                </w:p>
              </w:tc>
              <w:tc>
                <w:tcPr>
                  <w:tcW w:w="1132" w:type="pct"/>
                  <w:tcBorders>
                    <w:tl2br w:val="nil"/>
                    <w:tr2bl w:val="nil"/>
                  </w:tcBorders>
                  <w:shd w:val="clear" w:color="auto" w:fill="auto"/>
                  <w:noWrap/>
                  <w:vAlign w:val="center"/>
                </w:tcPr>
                <w:p w14:paraId="023FB47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color w:val="auto"/>
                    </w:rPr>
                    <w:t>--</w:t>
                  </w:r>
                </w:p>
              </w:tc>
            </w:tr>
            <w:tr w14:paraId="0ED537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487" w:type="pct"/>
                  <w:tcBorders>
                    <w:tl2br w:val="nil"/>
                    <w:tr2bl w:val="nil"/>
                  </w:tcBorders>
                  <w:shd w:val="clear" w:color="auto" w:fill="auto"/>
                  <w:noWrap/>
                  <w:vAlign w:val="center"/>
                </w:tcPr>
                <w:p w14:paraId="3746D0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9</w:t>
                  </w:r>
                </w:p>
              </w:tc>
              <w:tc>
                <w:tcPr>
                  <w:tcW w:w="1655" w:type="pct"/>
                  <w:tcBorders>
                    <w:tl2br w:val="nil"/>
                    <w:tr2bl w:val="nil"/>
                  </w:tcBorders>
                  <w:shd w:val="clear" w:color="auto" w:fill="auto"/>
                  <w:noWrap/>
                  <w:vAlign w:val="center"/>
                </w:tcPr>
                <w:p w14:paraId="2B4875B3">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分切机</w:t>
                  </w:r>
                </w:p>
              </w:tc>
              <w:tc>
                <w:tcPr>
                  <w:tcW w:w="924" w:type="pct"/>
                  <w:tcBorders>
                    <w:tl2br w:val="nil"/>
                    <w:tr2bl w:val="nil"/>
                  </w:tcBorders>
                  <w:shd w:val="clear" w:color="auto" w:fill="auto"/>
                  <w:noWrap/>
                  <w:vAlign w:val="center"/>
                </w:tcPr>
                <w:p w14:paraId="083A0016">
                  <w:pPr>
                    <w:keepNext w:val="0"/>
                    <w:keepLines w:val="0"/>
                    <w:suppressLineNumbers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6</w:t>
                  </w:r>
                </w:p>
              </w:tc>
              <w:tc>
                <w:tcPr>
                  <w:tcW w:w="800" w:type="pct"/>
                  <w:tcBorders>
                    <w:tl2br w:val="nil"/>
                    <w:tr2bl w:val="nil"/>
                  </w:tcBorders>
                  <w:shd w:val="clear" w:color="auto" w:fill="auto"/>
                  <w:noWrap/>
                  <w:vAlign w:val="center"/>
                </w:tcPr>
                <w:p w14:paraId="746EBC8F">
                  <w:pPr>
                    <w:keepNext w:val="0"/>
                    <w:keepLines w:val="0"/>
                    <w:suppressLineNumbers w:val="0"/>
                    <w:spacing w:before="0" w:beforeAutospacing="0" w:after="0" w:afterAutospacing="0"/>
                    <w:ind w:left="0" w:right="0"/>
                    <w:jc w:val="center"/>
                    <w:rPr>
                      <w:rFonts w:hint="eastAsia" w:eastAsia="宋体"/>
                      <w:snapToGrid w:val="0"/>
                      <w:color w:val="auto"/>
                      <w:kern w:val="0"/>
                      <w:szCs w:val="21"/>
                      <w:lang w:val="en-US" w:eastAsia="zh-CN"/>
                    </w:rPr>
                  </w:pPr>
                  <w:r>
                    <w:rPr>
                      <w:rFonts w:hint="eastAsia"/>
                      <w:snapToGrid w:val="0"/>
                      <w:color w:val="auto"/>
                      <w:kern w:val="0"/>
                      <w:szCs w:val="21"/>
                      <w:lang w:val="en-US" w:eastAsia="zh-CN"/>
                    </w:rPr>
                    <w:t>台</w:t>
                  </w:r>
                </w:p>
              </w:tc>
              <w:tc>
                <w:tcPr>
                  <w:tcW w:w="1132" w:type="pct"/>
                  <w:tcBorders>
                    <w:tl2br w:val="nil"/>
                    <w:tr2bl w:val="nil"/>
                  </w:tcBorders>
                  <w:shd w:val="clear" w:color="auto" w:fill="auto"/>
                  <w:noWrap/>
                  <w:vAlign w:val="center"/>
                </w:tcPr>
                <w:p w14:paraId="203ADC56">
                  <w:pPr>
                    <w:keepNext w:val="0"/>
                    <w:keepLines w:val="0"/>
                    <w:suppressLineNumbers w:val="0"/>
                    <w:spacing w:before="0" w:beforeAutospacing="0" w:after="0" w:afterAutospacing="0"/>
                    <w:ind w:left="0" w:right="0"/>
                    <w:jc w:val="center"/>
                    <w:rPr>
                      <w:rFonts w:hint="eastAsia"/>
                      <w:color w:val="auto"/>
                    </w:rPr>
                  </w:pPr>
                  <w:r>
                    <w:rPr>
                      <w:rFonts w:hint="eastAsia"/>
                      <w:color w:val="auto"/>
                    </w:rPr>
                    <w:t>--</w:t>
                  </w:r>
                </w:p>
              </w:tc>
            </w:tr>
          </w:tbl>
          <w:p w14:paraId="04E7E02C">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both"/>
              <w:textAlignment w:val="auto"/>
              <w:rPr>
                <w:rFonts w:hint="eastAsia"/>
                <w:b/>
                <w:bCs/>
                <w:color w:val="auto"/>
                <w:sz w:val="24"/>
                <w:szCs w:val="32"/>
                <w:lang w:val="en-US" w:eastAsia="zh-CN"/>
              </w:rPr>
            </w:pPr>
            <w:r>
              <w:rPr>
                <w:rFonts w:hint="eastAsia"/>
                <w:b/>
                <w:bCs/>
                <w:color w:val="auto"/>
                <w:sz w:val="24"/>
                <w:szCs w:val="32"/>
                <w:lang w:val="en-US" w:eastAsia="zh-CN"/>
              </w:rPr>
              <w:t>4、主要原辅材料</w:t>
            </w:r>
          </w:p>
          <w:p w14:paraId="6A2606BF">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color w:val="auto"/>
                <w:sz w:val="24"/>
                <w:szCs w:val="32"/>
                <w:lang w:val="en-US" w:eastAsia="zh-CN"/>
              </w:rPr>
            </w:pPr>
            <w:r>
              <w:rPr>
                <w:rFonts w:hint="eastAsia"/>
                <w:color w:val="auto"/>
                <w:sz w:val="24"/>
                <w:szCs w:val="32"/>
                <w:lang w:val="en-US" w:eastAsia="zh-CN"/>
              </w:rPr>
              <w:t>本项目原辅材料及燃料的种类和用量见下表2-4。</w:t>
            </w:r>
          </w:p>
          <w:p w14:paraId="64F8EBEE">
            <w:pPr>
              <w:keepNext w:val="0"/>
              <w:keepLines w:val="0"/>
              <w:suppressLineNumbers w:val="0"/>
              <w:adjustRightInd w:val="0"/>
              <w:snapToGrid w:val="0"/>
              <w:spacing w:before="0" w:beforeAutospacing="0" w:after="0" w:afterAutospacing="0"/>
              <w:ind w:left="0" w:right="0"/>
              <w:jc w:val="center"/>
              <w:rPr>
                <w:rFonts w:hint="eastAsia"/>
                <w:b/>
                <w:bCs/>
                <w:color w:val="auto"/>
                <w:sz w:val="24"/>
                <w:szCs w:val="32"/>
                <w:highlight w:val="none"/>
                <w:lang w:val="en-US" w:eastAsia="zh-CN"/>
              </w:rPr>
            </w:pPr>
            <w:r>
              <w:rPr>
                <w:rFonts w:hint="eastAsia"/>
                <w:b/>
                <w:bCs/>
                <w:color w:val="auto"/>
                <w:sz w:val="24"/>
                <w:szCs w:val="32"/>
                <w:highlight w:val="none"/>
                <w:lang w:val="en-US" w:eastAsia="zh-CN"/>
              </w:rPr>
              <w:t>表2-4  本项目主要原辅材料及动力消耗一览表</w:t>
            </w:r>
          </w:p>
          <w:tbl>
            <w:tblPr>
              <w:tblStyle w:val="34"/>
              <w:tblW w:w="460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7"/>
              <w:gridCol w:w="2259"/>
              <w:gridCol w:w="1063"/>
              <w:gridCol w:w="1087"/>
              <w:gridCol w:w="2077"/>
            </w:tblGrid>
            <w:tr w14:paraId="66C49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57A04174">
                  <w:pPr>
                    <w:keepNext w:val="0"/>
                    <w:keepLines w:val="0"/>
                    <w:suppressLineNumbers w:val="0"/>
                    <w:adjustRightInd w:val="0"/>
                    <w:snapToGrid w:val="0"/>
                    <w:spacing w:before="0" w:beforeAutospacing="0" w:after="0" w:afterAutospacing="0"/>
                    <w:ind w:left="0" w:right="0"/>
                    <w:jc w:val="center"/>
                    <w:rPr>
                      <w:rFonts w:hint="eastAsia"/>
                      <w:b/>
                      <w:bCs/>
                      <w:color w:val="auto"/>
                      <w:highlight w:val="none"/>
                      <w:lang w:val="en-US" w:eastAsia="zh-CN"/>
                    </w:rPr>
                  </w:pPr>
                  <w:r>
                    <w:rPr>
                      <w:rFonts w:hint="eastAsia"/>
                      <w:b/>
                      <w:bCs/>
                      <w:color w:val="auto"/>
                      <w:highlight w:val="none"/>
                      <w:lang w:val="en-US" w:eastAsia="zh-CN"/>
                    </w:rPr>
                    <w:t>序号</w:t>
                  </w:r>
                </w:p>
              </w:tc>
              <w:tc>
                <w:tcPr>
                  <w:tcW w:w="1548" w:type="pct"/>
                  <w:tcBorders>
                    <w:tl2br w:val="nil"/>
                    <w:tr2bl w:val="nil"/>
                  </w:tcBorders>
                  <w:noWrap w:val="0"/>
                  <w:vAlign w:val="center"/>
                </w:tcPr>
                <w:p w14:paraId="50BCD2A5">
                  <w:pPr>
                    <w:keepNext w:val="0"/>
                    <w:keepLines w:val="0"/>
                    <w:suppressLineNumbers w:val="0"/>
                    <w:adjustRightInd w:val="0"/>
                    <w:snapToGrid w:val="0"/>
                    <w:spacing w:before="0" w:beforeAutospacing="0" w:after="0" w:afterAutospacing="0"/>
                    <w:ind w:left="0" w:right="0"/>
                    <w:jc w:val="center"/>
                    <w:rPr>
                      <w:rFonts w:hint="eastAsia"/>
                      <w:b/>
                      <w:bCs/>
                      <w:color w:val="auto"/>
                      <w:highlight w:val="none"/>
                      <w:lang w:val="en-US" w:eastAsia="zh-CN"/>
                    </w:rPr>
                  </w:pPr>
                  <w:r>
                    <w:rPr>
                      <w:rFonts w:hint="eastAsia"/>
                      <w:b/>
                      <w:bCs/>
                      <w:color w:val="auto"/>
                      <w:highlight w:val="none"/>
                      <w:lang w:val="en-US" w:eastAsia="zh-CN"/>
                    </w:rPr>
                    <w:t>名称</w:t>
                  </w:r>
                </w:p>
              </w:tc>
              <w:tc>
                <w:tcPr>
                  <w:tcW w:w="728" w:type="pct"/>
                  <w:tcBorders>
                    <w:tl2br w:val="nil"/>
                    <w:tr2bl w:val="nil"/>
                  </w:tcBorders>
                  <w:noWrap w:val="0"/>
                  <w:vAlign w:val="center"/>
                </w:tcPr>
                <w:p w14:paraId="322C603E">
                  <w:pPr>
                    <w:keepNext w:val="0"/>
                    <w:keepLines w:val="0"/>
                    <w:suppressLineNumbers w:val="0"/>
                    <w:adjustRightInd w:val="0"/>
                    <w:snapToGrid w:val="0"/>
                    <w:spacing w:before="0" w:beforeAutospacing="0" w:after="0" w:afterAutospacing="0"/>
                    <w:ind w:left="0" w:right="0"/>
                    <w:jc w:val="center"/>
                    <w:rPr>
                      <w:rFonts w:hint="eastAsia"/>
                      <w:b/>
                      <w:bCs/>
                      <w:color w:val="auto"/>
                      <w:highlight w:val="none"/>
                      <w:lang w:val="en-US" w:eastAsia="zh-CN"/>
                    </w:rPr>
                  </w:pPr>
                  <w:r>
                    <w:rPr>
                      <w:rFonts w:hint="eastAsia"/>
                      <w:b/>
                      <w:bCs/>
                      <w:color w:val="auto"/>
                      <w:highlight w:val="none"/>
                      <w:lang w:val="en-US" w:eastAsia="zh-CN"/>
                    </w:rPr>
                    <w:t>数量</w:t>
                  </w:r>
                </w:p>
              </w:tc>
              <w:tc>
                <w:tcPr>
                  <w:tcW w:w="745" w:type="pct"/>
                  <w:tcBorders>
                    <w:tl2br w:val="nil"/>
                    <w:tr2bl w:val="nil"/>
                  </w:tcBorders>
                  <w:noWrap w:val="0"/>
                  <w:vAlign w:val="center"/>
                </w:tcPr>
                <w:p w14:paraId="1D6DA9F3">
                  <w:pPr>
                    <w:keepNext w:val="0"/>
                    <w:keepLines w:val="0"/>
                    <w:suppressLineNumbers w:val="0"/>
                    <w:adjustRightInd w:val="0"/>
                    <w:snapToGrid w:val="0"/>
                    <w:spacing w:before="0" w:beforeAutospacing="0" w:after="0" w:afterAutospacing="0"/>
                    <w:ind w:left="0" w:right="0"/>
                    <w:jc w:val="center"/>
                    <w:rPr>
                      <w:rFonts w:hint="eastAsia"/>
                      <w:b/>
                      <w:bCs/>
                      <w:color w:val="auto"/>
                      <w:highlight w:val="none"/>
                      <w:lang w:val="en-US" w:eastAsia="zh-CN"/>
                    </w:rPr>
                  </w:pPr>
                  <w:r>
                    <w:rPr>
                      <w:rFonts w:hint="eastAsia"/>
                      <w:b/>
                      <w:bCs/>
                      <w:color w:val="auto"/>
                      <w:highlight w:val="none"/>
                      <w:lang w:val="en-US" w:eastAsia="zh-CN"/>
                    </w:rPr>
                    <w:t>单位</w:t>
                  </w:r>
                </w:p>
              </w:tc>
              <w:tc>
                <w:tcPr>
                  <w:tcW w:w="1423" w:type="pct"/>
                  <w:tcBorders>
                    <w:tl2br w:val="nil"/>
                    <w:tr2bl w:val="nil"/>
                  </w:tcBorders>
                  <w:noWrap w:val="0"/>
                  <w:vAlign w:val="center"/>
                </w:tcPr>
                <w:p w14:paraId="4AD0BD30">
                  <w:pPr>
                    <w:keepNext w:val="0"/>
                    <w:keepLines w:val="0"/>
                    <w:suppressLineNumbers w:val="0"/>
                    <w:adjustRightInd w:val="0"/>
                    <w:snapToGrid w:val="0"/>
                    <w:spacing w:before="0" w:beforeAutospacing="0" w:after="0" w:afterAutospacing="0"/>
                    <w:ind w:left="0" w:right="0"/>
                    <w:jc w:val="center"/>
                    <w:rPr>
                      <w:rFonts w:hint="eastAsia"/>
                      <w:b/>
                      <w:bCs/>
                      <w:color w:val="auto"/>
                      <w:highlight w:val="none"/>
                      <w:lang w:val="en-US" w:eastAsia="zh-CN"/>
                    </w:rPr>
                  </w:pPr>
                  <w:r>
                    <w:rPr>
                      <w:rFonts w:hint="eastAsia"/>
                      <w:b/>
                      <w:bCs/>
                      <w:color w:val="auto"/>
                      <w:highlight w:val="none"/>
                      <w:lang w:val="en-US" w:eastAsia="zh-CN"/>
                    </w:rPr>
                    <w:t>备注</w:t>
                  </w:r>
                </w:p>
              </w:tc>
            </w:tr>
            <w:tr w14:paraId="5B5BC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25B564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1548" w:type="pct"/>
                  <w:tcBorders>
                    <w:tl2br w:val="nil"/>
                    <w:tr2bl w:val="nil"/>
                  </w:tcBorders>
                  <w:noWrap w:val="0"/>
                  <w:vAlign w:val="center"/>
                </w:tcPr>
                <w:p w14:paraId="3613696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rPr>
                    <w:t>原纸</w:t>
                  </w:r>
                </w:p>
              </w:tc>
              <w:tc>
                <w:tcPr>
                  <w:tcW w:w="728" w:type="pct"/>
                  <w:tcBorders>
                    <w:tl2br w:val="nil"/>
                    <w:tr2bl w:val="nil"/>
                  </w:tcBorders>
                  <w:noWrap w:val="0"/>
                  <w:vAlign w:val="center"/>
                </w:tcPr>
                <w:p w14:paraId="03876C3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15000</w:t>
                  </w:r>
                </w:p>
              </w:tc>
              <w:tc>
                <w:tcPr>
                  <w:tcW w:w="745" w:type="pct"/>
                  <w:tcBorders>
                    <w:tl2br w:val="nil"/>
                    <w:tr2bl w:val="nil"/>
                  </w:tcBorders>
                  <w:noWrap w:val="0"/>
                  <w:vAlign w:val="center"/>
                </w:tcPr>
                <w:p w14:paraId="24396F87">
                  <w:pPr>
                    <w:keepNext w:val="0"/>
                    <w:keepLines w:val="0"/>
                    <w:suppressLineNumbers w:val="0"/>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1FAFB8FB">
                  <w:pPr>
                    <w:keepNext w:val="0"/>
                    <w:keepLines w:val="0"/>
                    <w:suppressLineNumbers w:val="0"/>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成品木浆纸</w:t>
                  </w:r>
                </w:p>
              </w:tc>
            </w:tr>
            <w:tr w14:paraId="37069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19D080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2</w:t>
                  </w:r>
                </w:p>
              </w:tc>
              <w:tc>
                <w:tcPr>
                  <w:tcW w:w="1548" w:type="pct"/>
                  <w:tcBorders>
                    <w:tl2br w:val="nil"/>
                    <w:tr2bl w:val="nil"/>
                  </w:tcBorders>
                  <w:noWrap w:val="0"/>
                  <w:vAlign w:val="center"/>
                </w:tcPr>
                <w:p w14:paraId="562CB43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rPr>
                    <w:t>微胶囊</w:t>
                  </w:r>
                </w:p>
              </w:tc>
              <w:tc>
                <w:tcPr>
                  <w:tcW w:w="728" w:type="pct"/>
                  <w:tcBorders>
                    <w:tl2br w:val="nil"/>
                    <w:tr2bl w:val="nil"/>
                  </w:tcBorders>
                  <w:noWrap w:val="0"/>
                  <w:vAlign w:val="center"/>
                </w:tcPr>
                <w:p w14:paraId="055BFC8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100</w:t>
                  </w:r>
                </w:p>
              </w:tc>
              <w:tc>
                <w:tcPr>
                  <w:tcW w:w="745" w:type="pct"/>
                  <w:tcBorders>
                    <w:tl2br w:val="nil"/>
                    <w:tr2bl w:val="nil"/>
                  </w:tcBorders>
                  <w:noWrap w:val="0"/>
                  <w:vAlign w:val="center"/>
                </w:tcPr>
                <w:p w14:paraId="63F70645">
                  <w:pPr>
                    <w:keepNext w:val="0"/>
                    <w:keepLines w:val="0"/>
                    <w:suppressLineNumbers w:val="0"/>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444DCD4C">
                  <w:pPr>
                    <w:keepNext w:val="0"/>
                    <w:keepLines w:val="0"/>
                    <w:suppressLineNumbers w:val="0"/>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w:t>
                  </w:r>
                </w:p>
              </w:tc>
            </w:tr>
            <w:tr w14:paraId="0B994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620195A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1548" w:type="pct"/>
                  <w:tcBorders>
                    <w:tl2br w:val="nil"/>
                    <w:tr2bl w:val="nil"/>
                  </w:tcBorders>
                  <w:noWrap w:val="0"/>
                  <w:vAlign w:val="center"/>
                </w:tcPr>
                <w:p w14:paraId="3594204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rPr>
                    <w:t>显色剂</w:t>
                  </w:r>
                </w:p>
              </w:tc>
              <w:tc>
                <w:tcPr>
                  <w:tcW w:w="728" w:type="pct"/>
                  <w:tcBorders>
                    <w:tl2br w:val="nil"/>
                    <w:tr2bl w:val="nil"/>
                  </w:tcBorders>
                  <w:noWrap w:val="0"/>
                  <w:vAlign w:val="center"/>
                </w:tcPr>
                <w:p w14:paraId="07CEB91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150</w:t>
                  </w:r>
                </w:p>
              </w:tc>
              <w:tc>
                <w:tcPr>
                  <w:tcW w:w="745" w:type="pct"/>
                  <w:tcBorders>
                    <w:tl2br w:val="nil"/>
                    <w:tr2bl w:val="nil"/>
                  </w:tcBorders>
                  <w:noWrap w:val="0"/>
                  <w:vAlign w:val="center"/>
                </w:tcPr>
                <w:p w14:paraId="3C1619BF">
                  <w:pPr>
                    <w:keepNext w:val="0"/>
                    <w:keepLines w:val="0"/>
                    <w:suppressLineNumbers w:val="0"/>
                    <w:adjustRightInd w:val="0"/>
                    <w:snapToGrid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31191CE9">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w:t>
                  </w:r>
                </w:p>
              </w:tc>
            </w:tr>
            <w:tr w14:paraId="53E21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78121C5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1548" w:type="pct"/>
                  <w:tcBorders>
                    <w:tl2br w:val="nil"/>
                    <w:tr2bl w:val="nil"/>
                  </w:tcBorders>
                  <w:noWrap w:val="0"/>
                  <w:vAlign w:val="center"/>
                </w:tcPr>
                <w:p w14:paraId="416C76B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rPr>
                    <w:t>抗水剂</w:t>
                  </w:r>
                </w:p>
              </w:tc>
              <w:tc>
                <w:tcPr>
                  <w:tcW w:w="728" w:type="pct"/>
                  <w:tcBorders>
                    <w:tl2br w:val="nil"/>
                    <w:tr2bl w:val="nil"/>
                  </w:tcBorders>
                  <w:noWrap w:val="0"/>
                  <w:vAlign w:val="center"/>
                </w:tcPr>
                <w:p w14:paraId="79CE28B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0.5</w:t>
                  </w:r>
                </w:p>
              </w:tc>
              <w:tc>
                <w:tcPr>
                  <w:tcW w:w="745" w:type="pct"/>
                  <w:tcBorders>
                    <w:tl2br w:val="nil"/>
                    <w:tr2bl w:val="nil"/>
                  </w:tcBorders>
                  <w:noWrap w:val="0"/>
                  <w:vAlign w:val="center"/>
                </w:tcPr>
                <w:p w14:paraId="02546580">
                  <w:pPr>
                    <w:keepNext w:val="0"/>
                    <w:keepLines w:val="0"/>
                    <w:suppressLineNumbers w:val="0"/>
                    <w:adjustRightInd w:val="0"/>
                    <w:snapToGrid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0966D07C">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w:t>
                  </w:r>
                </w:p>
              </w:tc>
            </w:tr>
            <w:tr w14:paraId="03AF8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184D062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1548" w:type="pct"/>
                  <w:tcBorders>
                    <w:tl2br w:val="nil"/>
                    <w:tr2bl w:val="nil"/>
                  </w:tcBorders>
                  <w:noWrap w:val="0"/>
                  <w:vAlign w:val="center"/>
                </w:tcPr>
                <w:p w14:paraId="722A4A0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rPr>
                    <w:t>分散剂</w:t>
                  </w:r>
                </w:p>
              </w:tc>
              <w:tc>
                <w:tcPr>
                  <w:tcW w:w="728" w:type="pct"/>
                  <w:tcBorders>
                    <w:tl2br w:val="nil"/>
                    <w:tr2bl w:val="nil"/>
                  </w:tcBorders>
                  <w:noWrap w:val="0"/>
                  <w:vAlign w:val="center"/>
                </w:tcPr>
                <w:p w14:paraId="372B0E4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745" w:type="pct"/>
                  <w:tcBorders>
                    <w:tl2br w:val="nil"/>
                    <w:tr2bl w:val="nil"/>
                  </w:tcBorders>
                  <w:noWrap w:val="0"/>
                  <w:vAlign w:val="center"/>
                </w:tcPr>
                <w:p w14:paraId="60908581">
                  <w:pPr>
                    <w:keepNext w:val="0"/>
                    <w:keepLines w:val="0"/>
                    <w:suppressLineNumbers w:val="0"/>
                    <w:adjustRightInd w:val="0"/>
                    <w:snapToGrid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34670FAD">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w:t>
                  </w:r>
                </w:p>
              </w:tc>
            </w:tr>
            <w:tr w14:paraId="3504A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58629FA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w:t>
                  </w:r>
                </w:p>
              </w:tc>
              <w:tc>
                <w:tcPr>
                  <w:tcW w:w="1548" w:type="pct"/>
                  <w:tcBorders>
                    <w:tl2br w:val="nil"/>
                    <w:tr2bl w:val="nil"/>
                  </w:tcBorders>
                  <w:noWrap w:val="0"/>
                  <w:vAlign w:val="center"/>
                </w:tcPr>
                <w:p w14:paraId="4FB5DDA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rPr>
                    <w:t>淀粉</w:t>
                  </w:r>
                </w:p>
              </w:tc>
              <w:tc>
                <w:tcPr>
                  <w:tcW w:w="728" w:type="pct"/>
                  <w:tcBorders>
                    <w:tl2br w:val="nil"/>
                    <w:tr2bl w:val="nil"/>
                  </w:tcBorders>
                  <w:noWrap w:val="0"/>
                  <w:vAlign w:val="center"/>
                </w:tcPr>
                <w:p w14:paraId="7C11A56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120</w:t>
                  </w:r>
                </w:p>
              </w:tc>
              <w:tc>
                <w:tcPr>
                  <w:tcW w:w="745" w:type="pct"/>
                  <w:tcBorders>
                    <w:tl2br w:val="nil"/>
                    <w:tr2bl w:val="nil"/>
                  </w:tcBorders>
                  <w:noWrap w:val="0"/>
                  <w:vAlign w:val="center"/>
                </w:tcPr>
                <w:p w14:paraId="56D39F40">
                  <w:pPr>
                    <w:keepNext w:val="0"/>
                    <w:keepLines w:val="0"/>
                    <w:suppressLineNumbers w:val="0"/>
                    <w:adjustRightInd w:val="0"/>
                    <w:snapToGrid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6A623C43">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w:t>
                  </w:r>
                </w:p>
              </w:tc>
            </w:tr>
            <w:tr w14:paraId="10B1C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17D8F37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w:t>
                  </w:r>
                </w:p>
              </w:tc>
              <w:tc>
                <w:tcPr>
                  <w:tcW w:w="1548" w:type="pct"/>
                  <w:tcBorders>
                    <w:tl2br w:val="nil"/>
                    <w:tr2bl w:val="nil"/>
                  </w:tcBorders>
                  <w:noWrap w:val="0"/>
                  <w:vAlign w:val="center"/>
                </w:tcPr>
                <w:p w14:paraId="73D01EF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rPr>
                    <w:t>羧基丁苯胶乳</w:t>
                  </w:r>
                </w:p>
              </w:tc>
              <w:tc>
                <w:tcPr>
                  <w:tcW w:w="728" w:type="pct"/>
                  <w:tcBorders>
                    <w:tl2br w:val="nil"/>
                    <w:tr2bl w:val="nil"/>
                  </w:tcBorders>
                  <w:noWrap w:val="0"/>
                  <w:vAlign w:val="center"/>
                </w:tcPr>
                <w:p w14:paraId="3D08E9B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15</w:t>
                  </w:r>
                </w:p>
              </w:tc>
              <w:tc>
                <w:tcPr>
                  <w:tcW w:w="745" w:type="pct"/>
                  <w:tcBorders>
                    <w:tl2br w:val="nil"/>
                    <w:tr2bl w:val="nil"/>
                  </w:tcBorders>
                  <w:noWrap w:val="0"/>
                  <w:vAlign w:val="center"/>
                </w:tcPr>
                <w:p w14:paraId="2E078F04">
                  <w:pPr>
                    <w:keepNext w:val="0"/>
                    <w:keepLines w:val="0"/>
                    <w:suppressLineNumbers w:val="0"/>
                    <w:adjustRightInd w:val="0"/>
                    <w:snapToGrid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2F7B7386">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w:t>
                  </w:r>
                </w:p>
              </w:tc>
            </w:tr>
            <w:tr w14:paraId="2097E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360F886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w:t>
                  </w:r>
                </w:p>
              </w:tc>
              <w:tc>
                <w:tcPr>
                  <w:tcW w:w="1548" w:type="pct"/>
                  <w:tcBorders>
                    <w:tl2br w:val="nil"/>
                    <w:tr2bl w:val="nil"/>
                  </w:tcBorders>
                  <w:noWrap w:val="0"/>
                  <w:vAlign w:val="center"/>
                </w:tcPr>
                <w:p w14:paraId="2D03F28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rPr>
                    <w:t>高岭土</w:t>
                  </w:r>
                </w:p>
              </w:tc>
              <w:tc>
                <w:tcPr>
                  <w:tcW w:w="728" w:type="pct"/>
                  <w:tcBorders>
                    <w:tl2br w:val="nil"/>
                    <w:tr2bl w:val="nil"/>
                  </w:tcBorders>
                  <w:noWrap w:val="0"/>
                  <w:vAlign w:val="center"/>
                </w:tcPr>
                <w:p w14:paraId="257344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390</w:t>
                  </w:r>
                </w:p>
              </w:tc>
              <w:tc>
                <w:tcPr>
                  <w:tcW w:w="745" w:type="pct"/>
                  <w:tcBorders>
                    <w:tl2br w:val="nil"/>
                    <w:tr2bl w:val="nil"/>
                  </w:tcBorders>
                  <w:noWrap w:val="0"/>
                  <w:vAlign w:val="center"/>
                </w:tcPr>
                <w:p w14:paraId="5A2E4A88">
                  <w:pPr>
                    <w:keepNext w:val="0"/>
                    <w:keepLines w:val="0"/>
                    <w:suppressLineNumbers w:val="0"/>
                    <w:adjustRightInd w:val="0"/>
                    <w:snapToGrid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31B549E3">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w:t>
                  </w:r>
                </w:p>
              </w:tc>
            </w:tr>
            <w:tr w14:paraId="2A865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75C7457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w:t>
                  </w:r>
                </w:p>
              </w:tc>
              <w:tc>
                <w:tcPr>
                  <w:tcW w:w="1548" w:type="pct"/>
                  <w:tcBorders>
                    <w:tl2br w:val="nil"/>
                    <w:tr2bl w:val="nil"/>
                  </w:tcBorders>
                  <w:noWrap w:val="0"/>
                  <w:vAlign w:val="center"/>
                </w:tcPr>
                <w:p w14:paraId="6717E67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rPr>
                    <w:t>ODB染料</w:t>
                  </w:r>
                </w:p>
              </w:tc>
              <w:tc>
                <w:tcPr>
                  <w:tcW w:w="728" w:type="pct"/>
                  <w:tcBorders>
                    <w:tl2br w:val="nil"/>
                    <w:tr2bl w:val="nil"/>
                  </w:tcBorders>
                  <w:noWrap w:val="0"/>
                  <w:vAlign w:val="center"/>
                </w:tcPr>
                <w:p w14:paraId="5652573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50</w:t>
                  </w:r>
                </w:p>
              </w:tc>
              <w:tc>
                <w:tcPr>
                  <w:tcW w:w="745" w:type="pct"/>
                  <w:tcBorders>
                    <w:tl2br w:val="nil"/>
                    <w:tr2bl w:val="nil"/>
                  </w:tcBorders>
                  <w:noWrap w:val="0"/>
                  <w:vAlign w:val="center"/>
                </w:tcPr>
                <w:p w14:paraId="6F3F570C">
                  <w:pPr>
                    <w:keepNext w:val="0"/>
                    <w:keepLines w:val="0"/>
                    <w:suppressLineNumbers w:val="0"/>
                    <w:adjustRightInd w:val="0"/>
                    <w:snapToGrid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20F8B273">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w:t>
                  </w:r>
                </w:p>
              </w:tc>
            </w:tr>
            <w:tr w14:paraId="19E6E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5F2451D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1548" w:type="pct"/>
                  <w:tcBorders>
                    <w:tl2br w:val="nil"/>
                    <w:tr2bl w:val="nil"/>
                  </w:tcBorders>
                  <w:noWrap w:val="0"/>
                  <w:vAlign w:val="center"/>
                </w:tcPr>
                <w:p w14:paraId="1418E87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rPr>
                    <w:t>水性单张纸胶印油墨</w:t>
                  </w:r>
                </w:p>
              </w:tc>
              <w:tc>
                <w:tcPr>
                  <w:tcW w:w="728" w:type="pct"/>
                  <w:tcBorders>
                    <w:tl2br w:val="nil"/>
                    <w:tr2bl w:val="nil"/>
                  </w:tcBorders>
                  <w:noWrap w:val="0"/>
                  <w:vAlign w:val="center"/>
                </w:tcPr>
                <w:p w14:paraId="6B85D5C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0.02</w:t>
                  </w:r>
                </w:p>
              </w:tc>
              <w:tc>
                <w:tcPr>
                  <w:tcW w:w="745" w:type="pct"/>
                  <w:tcBorders>
                    <w:tl2br w:val="nil"/>
                    <w:tr2bl w:val="nil"/>
                  </w:tcBorders>
                  <w:noWrap w:val="0"/>
                  <w:vAlign w:val="center"/>
                </w:tcPr>
                <w:p w14:paraId="34C30E27">
                  <w:pPr>
                    <w:keepNext w:val="0"/>
                    <w:keepLines w:val="0"/>
                    <w:suppressLineNumbers w:val="0"/>
                    <w:adjustRightInd w:val="0"/>
                    <w:snapToGrid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36BCF921">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w:t>
                  </w:r>
                </w:p>
              </w:tc>
            </w:tr>
            <w:tr w14:paraId="0D4E8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55E94D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w:t>
                  </w:r>
                </w:p>
              </w:tc>
              <w:tc>
                <w:tcPr>
                  <w:tcW w:w="1548" w:type="pct"/>
                  <w:tcBorders>
                    <w:tl2br w:val="nil"/>
                    <w:tr2bl w:val="nil"/>
                  </w:tcBorders>
                  <w:noWrap w:val="0"/>
                  <w:vAlign w:val="center"/>
                </w:tcPr>
                <w:p w14:paraId="0E29E40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rPr>
                    <w:t>热熔胶（边胶、背胶）</w:t>
                  </w:r>
                </w:p>
              </w:tc>
              <w:tc>
                <w:tcPr>
                  <w:tcW w:w="728" w:type="pct"/>
                  <w:tcBorders>
                    <w:tl2br w:val="nil"/>
                    <w:tr2bl w:val="nil"/>
                  </w:tcBorders>
                  <w:noWrap w:val="0"/>
                  <w:vAlign w:val="center"/>
                </w:tcPr>
                <w:p w14:paraId="0C6B83F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0.1</w:t>
                  </w:r>
                </w:p>
              </w:tc>
              <w:tc>
                <w:tcPr>
                  <w:tcW w:w="745" w:type="pct"/>
                  <w:tcBorders>
                    <w:tl2br w:val="nil"/>
                    <w:tr2bl w:val="nil"/>
                  </w:tcBorders>
                  <w:noWrap w:val="0"/>
                  <w:vAlign w:val="center"/>
                </w:tcPr>
                <w:p w14:paraId="476169EE">
                  <w:pPr>
                    <w:keepNext w:val="0"/>
                    <w:keepLines w:val="0"/>
                    <w:suppressLineNumbers w:val="0"/>
                    <w:adjustRightInd w:val="0"/>
                    <w:snapToGrid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786BDE00">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w:t>
                  </w:r>
                </w:p>
              </w:tc>
            </w:tr>
            <w:tr w14:paraId="4ABF1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25D134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w:t>
                  </w:r>
                </w:p>
              </w:tc>
              <w:tc>
                <w:tcPr>
                  <w:tcW w:w="1548" w:type="pct"/>
                  <w:tcBorders>
                    <w:tl2br w:val="nil"/>
                    <w:tr2bl w:val="nil"/>
                  </w:tcBorders>
                  <w:noWrap w:val="0"/>
                  <w:vAlign w:val="center"/>
                </w:tcPr>
                <w:p w14:paraId="1B6253F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rPr>
                    <w:t>机油</w:t>
                  </w:r>
                </w:p>
              </w:tc>
              <w:tc>
                <w:tcPr>
                  <w:tcW w:w="728" w:type="pct"/>
                  <w:tcBorders>
                    <w:tl2br w:val="nil"/>
                    <w:tr2bl w:val="nil"/>
                  </w:tcBorders>
                  <w:noWrap w:val="0"/>
                  <w:vAlign w:val="center"/>
                </w:tcPr>
                <w:p w14:paraId="294D749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0.15</w:t>
                  </w:r>
                </w:p>
              </w:tc>
              <w:tc>
                <w:tcPr>
                  <w:tcW w:w="745" w:type="pct"/>
                  <w:tcBorders>
                    <w:tl2br w:val="nil"/>
                    <w:tr2bl w:val="nil"/>
                  </w:tcBorders>
                  <w:noWrap w:val="0"/>
                  <w:vAlign w:val="center"/>
                </w:tcPr>
                <w:p w14:paraId="099A3A7A">
                  <w:pPr>
                    <w:keepNext w:val="0"/>
                    <w:keepLines w:val="0"/>
                    <w:suppressLineNumbers w:val="0"/>
                    <w:adjustRightInd w:val="0"/>
                    <w:snapToGrid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289EF053">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w:t>
                  </w:r>
                </w:p>
              </w:tc>
            </w:tr>
            <w:tr w14:paraId="3172A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3F5B3F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w:t>
                  </w:r>
                </w:p>
              </w:tc>
              <w:tc>
                <w:tcPr>
                  <w:tcW w:w="1548" w:type="pct"/>
                  <w:tcBorders>
                    <w:tl2br w:val="nil"/>
                    <w:tr2bl w:val="nil"/>
                  </w:tcBorders>
                  <w:noWrap w:val="0"/>
                  <w:vAlign w:val="center"/>
                </w:tcPr>
                <w:p w14:paraId="04D7CF7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rPr>
                    <w:t>包装物（牛皮纸）</w:t>
                  </w:r>
                </w:p>
              </w:tc>
              <w:tc>
                <w:tcPr>
                  <w:tcW w:w="728" w:type="pct"/>
                  <w:tcBorders>
                    <w:tl2br w:val="nil"/>
                    <w:tr2bl w:val="nil"/>
                  </w:tcBorders>
                  <w:noWrap w:val="0"/>
                  <w:vAlign w:val="center"/>
                </w:tcPr>
                <w:p w14:paraId="6FDF55E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5</w:t>
                  </w:r>
                </w:p>
              </w:tc>
              <w:tc>
                <w:tcPr>
                  <w:tcW w:w="745" w:type="pct"/>
                  <w:tcBorders>
                    <w:tl2br w:val="nil"/>
                    <w:tr2bl w:val="nil"/>
                  </w:tcBorders>
                  <w:noWrap w:val="0"/>
                  <w:vAlign w:val="center"/>
                </w:tcPr>
                <w:p w14:paraId="2B0BC30C">
                  <w:pPr>
                    <w:keepNext w:val="0"/>
                    <w:keepLines w:val="0"/>
                    <w:suppressLineNumbers w:val="0"/>
                    <w:adjustRightInd w:val="0"/>
                    <w:snapToGrid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6109F645">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w:t>
                  </w:r>
                </w:p>
              </w:tc>
            </w:tr>
            <w:tr w14:paraId="4823F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3" w:type="pct"/>
                  <w:tcBorders>
                    <w:tl2br w:val="nil"/>
                    <w:tr2bl w:val="nil"/>
                  </w:tcBorders>
                  <w:noWrap w:val="0"/>
                  <w:vAlign w:val="center"/>
                </w:tcPr>
                <w:p w14:paraId="4132D0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w:t>
                  </w:r>
                </w:p>
              </w:tc>
              <w:tc>
                <w:tcPr>
                  <w:tcW w:w="1548" w:type="pct"/>
                  <w:tcBorders>
                    <w:tl2br w:val="nil"/>
                    <w:tr2bl w:val="nil"/>
                  </w:tcBorders>
                  <w:noWrap w:val="0"/>
                  <w:vAlign w:val="center"/>
                </w:tcPr>
                <w:p w14:paraId="530976C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rPr>
                    <w:t>配料用水</w:t>
                  </w:r>
                </w:p>
              </w:tc>
              <w:tc>
                <w:tcPr>
                  <w:tcW w:w="728" w:type="pct"/>
                  <w:tcBorders>
                    <w:tl2br w:val="nil"/>
                    <w:tr2bl w:val="nil"/>
                  </w:tcBorders>
                  <w:noWrap w:val="0"/>
                  <w:vAlign w:val="center"/>
                </w:tcPr>
                <w:p w14:paraId="001CA29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i w:val="0"/>
                      <w:iCs w:val="0"/>
                      <w:color w:val="auto"/>
                      <w:kern w:val="0"/>
                      <w:sz w:val="21"/>
                      <w:szCs w:val="21"/>
                      <w:u w:val="none"/>
                      <w:lang w:val="en-US" w:eastAsia="zh-CN" w:bidi="ar"/>
                    </w:rPr>
                    <w:t>1860</w:t>
                  </w:r>
                </w:p>
              </w:tc>
              <w:tc>
                <w:tcPr>
                  <w:tcW w:w="745" w:type="pct"/>
                  <w:tcBorders>
                    <w:tl2br w:val="nil"/>
                    <w:tr2bl w:val="nil"/>
                  </w:tcBorders>
                  <w:noWrap w:val="0"/>
                  <w:vAlign w:val="center"/>
                </w:tcPr>
                <w:p w14:paraId="1AEC08B6">
                  <w:pPr>
                    <w:keepNext w:val="0"/>
                    <w:keepLines w:val="0"/>
                    <w:suppressLineNumbers w:val="0"/>
                    <w:adjustRightInd w:val="0"/>
                    <w:snapToGrid w:val="0"/>
                    <w:spacing w:before="0" w:beforeAutospacing="0" w:after="0" w:afterAutospacing="0"/>
                    <w:ind w:left="0" w:leftChars="0" w:right="0" w:rightChars="0"/>
                    <w:jc w:val="center"/>
                    <w:rPr>
                      <w:rFonts w:hint="eastAsia"/>
                      <w:color w:val="auto"/>
                      <w:highlight w:val="none"/>
                      <w:lang w:val="en-US" w:eastAsia="zh-CN"/>
                    </w:rPr>
                  </w:pPr>
                  <w:r>
                    <w:rPr>
                      <w:rFonts w:hint="eastAsia"/>
                      <w:color w:val="auto"/>
                      <w:highlight w:val="none"/>
                      <w:lang w:val="en-US" w:eastAsia="zh-CN"/>
                    </w:rPr>
                    <w:t>t/a</w:t>
                  </w:r>
                </w:p>
              </w:tc>
              <w:tc>
                <w:tcPr>
                  <w:tcW w:w="1423" w:type="pct"/>
                  <w:tcBorders>
                    <w:tl2br w:val="nil"/>
                    <w:tr2bl w:val="nil"/>
                  </w:tcBorders>
                  <w:noWrap w:val="0"/>
                  <w:vAlign w:val="center"/>
                </w:tcPr>
                <w:p w14:paraId="35D5D767">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w:t>
                  </w:r>
                </w:p>
              </w:tc>
            </w:tr>
          </w:tbl>
          <w:p w14:paraId="613D5410">
            <w:pPr>
              <w:keepNext w:val="0"/>
              <w:keepLines w:val="0"/>
              <w:suppressLineNumbers w:val="0"/>
              <w:spacing w:before="0" w:beforeAutospacing="0" w:after="0" w:afterAutospacing="0" w:line="360" w:lineRule="auto"/>
              <w:ind w:left="0" w:right="0" w:firstLine="480" w:firstLineChars="200"/>
              <w:jc w:val="left"/>
              <w:rPr>
                <w:rFonts w:hint="default"/>
                <w:b w:val="0"/>
                <w:bCs w:val="0"/>
                <w:color w:val="auto"/>
                <w:sz w:val="24"/>
                <w:szCs w:val="24"/>
              </w:rPr>
            </w:pPr>
            <w:r>
              <w:rPr>
                <w:rFonts w:hint="eastAsia"/>
                <w:b w:val="0"/>
                <w:bCs w:val="0"/>
                <w:color w:val="auto"/>
                <w:sz w:val="24"/>
                <w:szCs w:val="24"/>
                <w:lang w:eastAsia="zh-CN"/>
              </w:rPr>
              <w:t>各原料成分不含</w:t>
            </w:r>
            <w:r>
              <w:rPr>
                <w:rFonts w:hint="eastAsia"/>
                <w:b w:val="0"/>
                <w:bCs w:val="0"/>
                <w:color w:val="auto"/>
                <w:sz w:val="24"/>
                <w:szCs w:val="24"/>
              </w:rPr>
              <w:t>有苯、甲苯、二甲苯。</w:t>
            </w:r>
          </w:p>
          <w:p w14:paraId="6A7A11F0">
            <w:pPr>
              <w:keepNext w:val="0"/>
              <w:keepLines w:val="0"/>
              <w:suppressLineNumbers w:val="0"/>
              <w:spacing w:before="0" w:beforeAutospacing="0" w:after="0" w:afterAutospacing="0" w:line="360" w:lineRule="auto"/>
              <w:ind w:left="0" w:right="0" w:firstLine="482" w:firstLineChars="200"/>
              <w:jc w:val="left"/>
              <w:rPr>
                <w:rFonts w:hint="default"/>
                <w:b/>
                <w:bCs/>
                <w:color w:val="auto"/>
                <w:sz w:val="24"/>
                <w:szCs w:val="24"/>
              </w:rPr>
            </w:pPr>
            <w:r>
              <w:rPr>
                <w:rFonts w:hint="default"/>
                <w:b/>
                <w:bCs/>
                <w:color w:val="auto"/>
                <w:sz w:val="24"/>
                <w:szCs w:val="24"/>
              </w:rPr>
              <w:t>主要物料物理化学性质：</w:t>
            </w:r>
          </w:p>
          <w:p w14:paraId="130D165A">
            <w:pPr>
              <w:keepNext w:val="0"/>
              <w:keepLines w:val="0"/>
              <w:suppressLineNumbers w:val="0"/>
              <w:spacing w:before="0" w:beforeAutospacing="0" w:after="0" w:afterAutospacing="0" w:line="360" w:lineRule="auto"/>
              <w:ind w:left="0" w:right="0" w:firstLine="480" w:firstLineChars="200"/>
              <w:jc w:val="left"/>
              <w:rPr>
                <w:rFonts w:hint="default"/>
                <w:color w:val="auto"/>
                <w:sz w:val="24"/>
                <w:szCs w:val="24"/>
              </w:rPr>
            </w:pPr>
            <w:r>
              <w:rPr>
                <w:rFonts w:hint="default"/>
                <w:color w:val="auto"/>
                <w:sz w:val="24"/>
                <w:szCs w:val="24"/>
              </w:rPr>
              <w:t>微胶囊：乳白色液体，粒径2-8微米，密度990-1050g/cm</w:t>
            </w:r>
            <w:r>
              <w:rPr>
                <w:rFonts w:hint="default"/>
                <w:color w:val="auto"/>
                <w:sz w:val="24"/>
                <w:szCs w:val="24"/>
                <w:vertAlign w:val="superscript"/>
              </w:rPr>
              <w:t>3</w:t>
            </w:r>
            <w:r>
              <w:rPr>
                <w:rFonts w:hint="default"/>
                <w:color w:val="auto"/>
                <w:sz w:val="24"/>
                <w:szCs w:val="24"/>
              </w:rPr>
              <w:t>，主要由甲醇、苯乙烯马来酸酐树脂（乳化剂）和水等成分按照一定比例采用微胶囊制备技术制成，是涂料显色的主要成分。不与酸、碱反应，无毒性，不可点燃。</w:t>
            </w:r>
          </w:p>
          <w:p w14:paraId="6C3D8EA3">
            <w:pPr>
              <w:keepNext w:val="0"/>
              <w:keepLines w:val="0"/>
              <w:suppressLineNumbers w:val="0"/>
              <w:spacing w:before="0" w:beforeAutospacing="0" w:after="0" w:afterAutospacing="0" w:line="360" w:lineRule="auto"/>
              <w:ind w:left="0" w:right="0" w:firstLine="480" w:firstLineChars="200"/>
              <w:jc w:val="left"/>
              <w:rPr>
                <w:rFonts w:hint="default"/>
                <w:color w:val="auto"/>
                <w:sz w:val="24"/>
                <w:szCs w:val="24"/>
              </w:rPr>
            </w:pPr>
            <w:r>
              <w:rPr>
                <w:rFonts w:hint="default"/>
                <w:color w:val="auto"/>
                <w:sz w:val="24"/>
                <w:szCs w:val="24"/>
              </w:rPr>
              <w:t>淀粉：淀粉化学式是(C</w:t>
            </w:r>
            <w:r>
              <w:rPr>
                <w:rFonts w:hint="default"/>
                <w:color w:val="auto"/>
                <w:sz w:val="24"/>
                <w:szCs w:val="24"/>
                <w:vertAlign w:val="subscript"/>
              </w:rPr>
              <w:t>6</w:t>
            </w:r>
            <w:r>
              <w:rPr>
                <w:rFonts w:hint="default"/>
                <w:color w:val="auto"/>
                <w:sz w:val="24"/>
                <w:szCs w:val="24"/>
              </w:rPr>
              <w:t>H</w:t>
            </w:r>
            <w:r>
              <w:rPr>
                <w:rFonts w:hint="default"/>
                <w:color w:val="auto"/>
                <w:sz w:val="24"/>
                <w:szCs w:val="24"/>
                <w:vertAlign w:val="subscript"/>
              </w:rPr>
              <w:t>10</w:t>
            </w:r>
            <w:r>
              <w:rPr>
                <w:rFonts w:hint="default"/>
                <w:color w:val="auto"/>
                <w:sz w:val="24"/>
                <w:szCs w:val="24"/>
              </w:rPr>
              <w:t>O</w:t>
            </w:r>
            <w:r>
              <w:rPr>
                <w:rFonts w:hint="default"/>
                <w:color w:val="auto"/>
                <w:sz w:val="24"/>
                <w:szCs w:val="24"/>
                <w:vertAlign w:val="subscript"/>
              </w:rPr>
              <w:t>5</w:t>
            </w:r>
            <w:r>
              <w:rPr>
                <w:rFonts w:hint="default"/>
                <w:color w:val="auto"/>
                <w:sz w:val="24"/>
                <w:szCs w:val="24"/>
              </w:rPr>
              <w:t>)n，属于通过糖苷键连接的大量葡萄糖单元组成的聚合碳水化合物，属于一种多糖。纯淀粉是一种白色、无味、无臭的粉末，不溶于冷水或酒精。</w:t>
            </w:r>
          </w:p>
          <w:p w14:paraId="533C2102">
            <w:pPr>
              <w:keepNext w:val="0"/>
              <w:keepLines w:val="0"/>
              <w:suppressLineNumbers w:val="0"/>
              <w:spacing w:before="0" w:beforeAutospacing="0" w:after="0" w:afterAutospacing="0" w:line="360" w:lineRule="auto"/>
              <w:ind w:left="0" w:right="0" w:firstLine="480" w:firstLineChars="200"/>
              <w:jc w:val="left"/>
              <w:rPr>
                <w:rFonts w:hint="default"/>
                <w:color w:val="auto"/>
                <w:sz w:val="24"/>
                <w:szCs w:val="24"/>
              </w:rPr>
            </w:pPr>
            <w:r>
              <w:rPr>
                <w:rFonts w:hint="default"/>
                <w:color w:val="auto"/>
                <w:sz w:val="24"/>
                <w:szCs w:val="24"/>
              </w:rPr>
              <w:t>显色剂：外观为乳白色液体，无明显异味，主要成分为聚乙烯醇、3,5二甲基苄基水杨酸锌和水，密度1.05~1.15g/cm</w:t>
            </w:r>
            <w:r>
              <w:rPr>
                <w:rFonts w:hint="default"/>
                <w:color w:val="auto"/>
                <w:sz w:val="24"/>
                <w:szCs w:val="24"/>
                <w:vertAlign w:val="superscript"/>
              </w:rPr>
              <w:t>3</w:t>
            </w:r>
            <w:r>
              <w:rPr>
                <w:rFonts w:hint="default"/>
                <w:color w:val="auto"/>
                <w:sz w:val="24"/>
                <w:szCs w:val="24"/>
              </w:rPr>
              <w:t>，</w:t>
            </w:r>
            <w:r>
              <w:rPr>
                <w:rFonts w:hint="eastAsia"/>
                <w:color w:val="auto"/>
                <w:sz w:val="24"/>
                <w:szCs w:val="24"/>
                <w:lang w:eastAsia="zh-CN"/>
              </w:rPr>
              <w:t>pH值</w:t>
            </w:r>
            <w:r>
              <w:rPr>
                <w:rFonts w:hint="default"/>
                <w:color w:val="auto"/>
                <w:sz w:val="24"/>
                <w:szCs w:val="24"/>
              </w:rPr>
              <w:t>4.0~6.0，是一种新型的无碳复写纸显色剂，适用于无碳复写纸的CF和CFB的涂布，具有低温发色速度快，色泽鲜艳，发色浓度深和耐老化性能好的优点。</w:t>
            </w:r>
          </w:p>
          <w:p w14:paraId="05CB0F23">
            <w:pPr>
              <w:keepNext w:val="0"/>
              <w:keepLines w:val="0"/>
              <w:suppressLineNumbers w:val="0"/>
              <w:spacing w:before="0" w:beforeAutospacing="0" w:after="0" w:afterAutospacing="0" w:line="360" w:lineRule="auto"/>
              <w:ind w:left="0" w:right="0" w:firstLine="480" w:firstLineChars="200"/>
              <w:jc w:val="left"/>
              <w:rPr>
                <w:rFonts w:hint="default"/>
                <w:color w:val="auto"/>
                <w:sz w:val="24"/>
                <w:szCs w:val="24"/>
              </w:rPr>
            </w:pPr>
            <w:r>
              <w:rPr>
                <w:rFonts w:hint="default"/>
                <w:color w:val="auto"/>
                <w:sz w:val="24"/>
                <w:szCs w:val="24"/>
              </w:rPr>
              <w:t>抗水剂：是一种含蜡成分的抗水剂，对许多液体的渗透具有抵抗能力，也能形成一种很好的抗水荷叶效果。外观：灰白色均质半透明液体；固含量：30%；</w:t>
            </w:r>
            <w:r>
              <w:rPr>
                <w:rFonts w:hint="eastAsia"/>
                <w:color w:val="auto"/>
                <w:sz w:val="24"/>
                <w:szCs w:val="24"/>
                <w:lang w:eastAsia="zh-CN"/>
              </w:rPr>
              <w:t>pH值</w:t>
            </w:r>
            <w:r>
              <w:rPr>
                <w:rFonts w:hint="default"/>
                <w:color w:val="auto"/>
                <w:sz w:val="24"/>
                <w:szCs w:val="24"/>
              </w:rPr>
              <w:t>：7-9；粒径：约0.065微米；熔点：约56-62℃。其水溶性强、乳液稳定，纸板抗水剂可任意比例水稀释不分层、不破乳、不结块、保质期长、固含量高、分散性好。</w:t>
            </w:r>
          </w:p>
          <w:p w14:paraId="21054222">
            <w:pPr>
              <w:keepNext w:val="0"/>
              <w:keepLines w:val="0"/>
              <w:suppressLineNumbers w:val="0"/>
              <w:spacing w:before="0" w:beforeAutospacing="0" w:after="0" w:afterAutospacing="0" w:line="360" w:lineRule="auto"/>
              <w:ind w:left="0" w:right="0" w:firstLine="480" w:firstLineChars="200"/>
              <w:jc w:val="left"/>
              <w:rPr>
                <w:rFonts w:hint="default"/>
                <w:color w:val="auto"/>
                <w:sz w:val="24"/>
                <w:szCs w:val="24"/>
              </w:rPr>
            </w:pPr>
            <w:r>
              <w:rPr>
                <w:rFonts w:hint="default"/>
                <w:color w:val="auto"/>
                <w:sz w:val="24"/>
                <w:szCs w:val="24"/>
              </w:rPr>
              <w:t>分散剂：主要成分为聚丙烯酸钠，是一种在分子内同时具有</w:t>
            </w:r>
            <w:r>
              <w:rPr>
                <w:rFonts w:hint="default"/>
                <w:color w:val="auto"/>
                <w:sz w:val="24"/>
                <w:szCs w:val="24"/>
              </w:rPr>
              <w:fldChar w:fldCharType="begin"/>
            </w:r>
            <w:r>
              <w:rPr>
                <w:rFonts w:hint="default"/>
                <w:color w:val="auto"/>
                <w:sz w:val="24"/>
                <w:szCs w:val="24"/>
              </w:rPr>
              <w:instrText xml:space="preserve"> HYPERLINK "https://baike.baidu.com/item/%E4%BA%B2%E6%B2%B9%E6%80%A7" \t "_blank" </w:instrText>
            </w:r>
            <w:r>
              <w:rPr>
                <w:rFonts w:hint="default"/>
                <w:color w:val="auto"/>
                <w:sz w:val="24"/>
                <w:szCs w:val="24"/>
              </w:rPr>
              <w:fldChar w:fldCharType="separate"/>
            </w:r>
            <w:r>
              <w:rPr>
                <w:rFonts w:hint="default"/>
                <w:color w:val="auto"/>
                <w:sz w:val="24"/>
                <w:szCs w:val="24"/>
              </w:rPr>
              <w:t>亲油性</w:t>
            </w:r>
            <w:r>
              <w:rPr>
                <w:rFonts w:hint="default"/>
                <w:color w:val="auto"/>
                <w:sz w:val="24"/>
                <w:szCs w:val="24"/>
              </w:rPr>
              <w:fldChar w:fldCharType="end"/>
            </w:r>
            <w:r>
              <w:rPr>
                <w:rFonts w:hint="default"/>
                <w:color w:val="auto"/>
                <w:sz w:val="24"/>
                <w:szCs w:val="24"/>
              </w:rPr>
              <w:t>和</w:t>
            </w:r>
            <w:r>
              <w:rPr>
                <w:rFonts w:hint="default"/>
                <w:color w:val="auto"/>
                <w:sz w:val="24"/>
                <w:szCs w:val="24"/>
              </w:rPr>
              <w:fldChar w:fldCharType="begin"/>
            </w:r>
            <w:r>
              <w:rPr>
                <w:rFonts w:hint="default"/>
                <w:color w:val="auto"/>
                <w:sz w:val="24"/>
                <w:szCs w:val="24"/>
              </w:rPr>
              <w:instrText xml:space="preserve"> HYPERLINK "https://baike.baidu.com/item/%E4%BA%B2%E6%B0%B4%E6%80%A7" \t "_blank" </w:instrText>
            </w:r>
            <w:r>
              <w:rPr>
                <w:rFonts w:hint="default"/>
                <w:color w:val="auto"/>
                <w:sz w:val="24"/>
                <w:szCs w:val="24"/>
              </w:rPr>
              <w:fldChar w:fldCharType="separate"/>
            </w:r>
            <w:r>
              <w:rPr>
                <w:rFonts w:hint="default"/>
                <w:color w:val="auto"/>
                <w:sz w:val="24"/>
                <w:szCs w:val="24"/>
              </w:rPr>
              <w:t>亲水性</w:t>
            </w:r>
            <w:r>
              <w:rPr>
                <w:rFonts w:hint="default"/>
                <w:color w:val="auto"/>
                <w:sz w:val="24"/>
                <w:szCs w:val="24"/>
              </w:rPr>
              <w:fldChar w:fldCharType="end"/>
            </w:r>
            <w:r>
              <w:rPr>
                <w:rFonts w:hint="default"/>
                <w:color w:val="auto"/>
                <w:sz w:val="24"/>
                <w:szCs w:val="24"/>
              </w:rPr>
              <w:t>两种相反性质的界面活性剂。可均一分散那些难于</w:t>
            </w:r>
            <w:r>
              <w:rPr>
                <w:rFonts w:hint="default"/>
                <w:color w:val="auto"/>
                <w:sz w:val="24"/>
                <w:szCs w:val="24"/>
              </w:rPr>
              <w:fldChar w:fldCharType="begin"/>
            </w:r>
            <w:r>
              <w:rPr>
                <w:rFonts w:hint="default"/>
                <w:color w:val="auto"/>
                <w:sz w:val="24"/>
                <w:szCs w:val="24"/>
              </w:rPr>
              <w:instrText xml:space="preserve"> HYPERLINK "https://baike.baidu.com/item/%E6%BA%B6%E8%A7%A3" \t "_blank" </w:instrText>
            </w:r>
            <w:r>
              <w:rPr>
                <w:rFonts w:hint="default"/>
                <w:color w:val="auto"/>
                <w:sz w:val="24"/>
                <w:szCs w:val="24"/>
              </w:rPr>
              <w:fldChar w:fldCharType="separate"/>
            </w:r>
            <w:r>
              <w:rPr>
                <w:rFonts w:hint="default"/>
                <w:color w:val="auto"/>
                <w:sz w:val="24"/>
                <w:szCs w:val="24"/>
              </w:rPr>
              <w:t>溶解</w:t>
            </w:r>
            <w:r>
              <w:rPr>
                <w:rFonts w:hint="default"/>
                <w:color w:val="auto"/>
                <w:sz w:val="24"/>
                <w:szCs w:val="24"/>
              </w:rPr>
              <w:fldChar w:fldCharType="end"/>
            </w:r>
            <w:r>
              <w:rPr>
                <w:rFonts w:hint="default"/>
                <w:color w:val="auto"/>
                <w:sz w:val="24"/>
                <w:szCs w:val="24"/>
              </w:rPr>
              <w:t>于液体的无机，有机颜料的固体及液体颗粒，同时也能防止颗粒的</w:t>
            </w:r>
            <w:r>
              <w:rPr>
                <w:rFonts w:hint="default"/>
                <w:color w:val="auto"/>
                <w:sz w:val="24"/>
                <w:szCs w:val="24"/>
              </w:rPr>
              <w:fldChar w:fldCharType="begin"/>
            </w:r>
            <w:r>
              <w:rPr>
                <w:rFonts w:hint="default"/>
                <w:color w:val="auto"/>
                <w:sz w:val="24"/>
                <w:szCs w:val="24"/>
              </w:rPr>
              <w:instrText xml:space="preserve"> HYPERLINK "https://baike.baidu.com/item/%E6%B2%89%E9%99%8D" \t "_blank" </w:instrText>
            </w:r>
            <w:r>
              <w:rPr>
                <w:rFonts w:hint="default"/>
                <w:color w:val="auto"/>
                <w:sz w:val="24"/>
                <w:szCs w:val="24"/>
              </w:rPr>
              <w:fldChar w:fldCharType="separate"/>
            </w:r>
            <w:r>
              <w:rPr>
                <w:rFonts w:hint="default"/>
                <w:color w:val="auto"/>
                <w:sz w:val="24"/>
                <w:szCs w:val="24"/>
              </w:rPr>
              <w:t>沉降</w:t>
            </w:r>
            <w:r>
              <w:rPr>
                <w:rFonts w:hint="default"/>
                <w:color w:val="auto"/>
                <w:sz w:val="24"/>
                <w:szCs w:val="24"/>
              </w:rPr>
              <w:fldChar w:fldCharType="end"/>
            </w:r>
            <w:r>
              <w:rPr>
                <w:rFonts w:hint="default"/>
                <w:color w:val="auto"/>
                <w:sz w:val="24"/>
                <w:szCs w:val="24"/>
              </w:rPr>
              <w:t>和</w:t>
            </w:r>
            <w:r>
              <w:rPr>
                <w:rFonts w:hint="default"/>
                <w:color w:val="auto"/>
                <w:sz w:val="24"/>
                <w:szCs w:val="24"/>
              </w:rPr>
              <w:fldChar w:fldCharType="begin"/>
            </w:r>
            <w:r>
              <w:rPr>
                <w:rFonts w:hint="default"/>
                <w:color w:val="auto"/>
                <w:sz w:val="24"/>
                <w:szCs w:val="24"/>
              </w:rPr>
              <w:instrText xml:space="preserve"> HYPERLINK "https://baike.baidu.com/item/%E5%87%9D%E8%81%9A" \t "_blank" </w:instrText>
            </w:r>
            <w:r>
              <w:rPr>
                <w:rFonts w:hint="default"/>
                <w:color w:val="auto"/>
                <w:sz w:val="24"/>
                <w:szCs w:val="24"/>
              </w:rPr>
              <w:fldChar w:fldCharType="separate"/>
            </w:r>
            <w:r>
              <w:rPr>
                <w:rFonts w:hint="default"/>
                <w:color w:val="auto"/>
                <w:sz w:val="24"/>
                <w:szCs w:val="24"/>
              </w:rPr>
              <w:t>凝聚</w:t>
            </w:r>
            <w:r>
              <w:rPr>
                <w:rFonts w:hint="default"/>
                <w:color w:val="auto"/>
                <w:sz w:val="24"/>
                <w:szCs w:val="24"/>
              </w:rPr>
              <w:fldChar w:fldCharType="end"/>
            </w:r>
            <w:r>
              <w:rPr>
                <w:rFonts w:hint="default"/>
                <w:color w:val="auto"/>
                <w:sz w:val="24"/>
                <w:szCs w:val="24"/>
              </w:rPr>
              <w:t>，形成安定</w:t>
            </w:r>
            <w:r>
              <w:rPr>
                <w:rFonts w:hint="default"/>
                <w:color w:val="auto"/>
                <w:sz w:val="24"/>
                <w:szCs w:val="24"/>
              </w:rPr>
              <w:fldChar w:fldCharType="begin"/>
            </w:r>
            <w:r>
              <w:rPr>
                <w:rFonts w:hint="default"/>
                <w:color w:val="auto"/>
                <w:sz w:val="24"/>
                <w:szCs w:val="24"/>
              </w:rPr>
              <w:instrText xml:space="preserve"> HYPERLINK "https://baike.baidu.com/item/%E6%82%AC%E6%B5%AE%E6%B6%B2" \t "_blank" </w:instrText>
            </w:r>
            <w:r>
              <w:rPr>
                <w:rFonts w:hint="default"/>
                <w:color w:val="auto"/>
                <w:sz w:val="24"/>
                <w:szCs w:val="24"/>
              </w:rPr>
              <w:fldChar w:fldCharType="separate"/>
            </w:r>
            <w:r>
              <w:rPr>
                <w:rFonts w:hint="default"/>
                <w:color w:val="auto"/>
                <w:sz w:val="24"/>
                <w:szCs w:val="24"/>
              </w:rPr>
              <w:t>悬浮液</w:t>
            </w:r>
            <w:r>
              <w:rPr>
                <w:rFonts w:hint="default"/>
                <w:color w:val="auto"/>
                <w:sz w:val="24"/>
                <w:szCs w:val="24"/>
              </w:rPr>
              <w:fldChar w:fldCharType="end"/>
            </w:r>
            <w:r>
              <w:rPr>
                <w:rFonts w:hint="default"/>
                <w:color w:val="auto"/>
                <w:sz w:val="24"/>
                <w:szCs w:val="24"/>
              </w:rPr>
              <w:t>所需的</w:t>
            </w:r>
            <w:r>
              <w:rPr>
                <w:rFonts w:hint="default"/>
                <w:color w:val="auto"/>
                <w:sz w:val="24"/>
                <w:szCs w:val="24"/>
              </w:rPr>
              <w:fldChar w:fldCharType="begin"/>
            </w:r>
            <w:r>
              <w:rPr>
                <w:rFonts w:hint="default"/>
                <w:color w:val="auto"/>
                <w:sz w:val="24"/>
                <w:szCs w:val="24"/>
              </w:rPr>
              <w:instrText xml:space="preserve"> HYPERLINK "https://baike.baidu.com/item/%E4%B8%A4%E4%BA%B2%E6%80%A7" \t "_blank" </w:instrText>
            </w:r>
            <w:r>
              <w:rPr>
                <w:rFonts w:hint="default"/>
                <w:color w:val="auto"/>
                <w:sz w:val="24"/>
                <w:szCs w:val="24"/>
              </w:rPr>
              <w:fldChar w:fldCharType="separate"/>
            </w:r>
            <w:r>
              <w:rPr>
                <w:rFonts w:hint="default"/>
                <w:color w:val="auto"/>
                <w:sz w:val="24"/>
                <w:szCs w:val="24"/>
              </w:rPr>
              <w:t>两亲性</w:t>
            </w:r>
            <w:r>
              <w:rPr>
                <w:rFonts w:hint="default"/>
                <w:color w:val="auto"/>
                <w:sz w:val="24"/>
                <w:szCs w:val="24"/>
              </w:rPr>
              <w:fldChar w:fldCharType="end"/>
            </w:r>
            <w:r>
              <w:rPr>
                <w:rFonts w:hint="default"/>
                <w:color w:val="auto"/>
                <w:sz w:val="24"/>
                <w:szCs w:val="24"/>
              </w:rPr>
              <w:t>试剂。</w:t>
            </w:r>
            <w:bookmarkStart w:id="10" w:name="_GoBack"/>
            <w:bookmarkEnd w:id="10"/>
          </w:p>
          <w:p w14:paraId="5DDA3B92">
            <w:pPr>
              <w:keepNext w:val="0"/>
              <w:keepLines w:val="0"/>
              <w:suppressLineNumbers w:val="0"/>
              <w:spacing w:before="0" w:beforeAutospacing="0" w:after="0" w:afterAutospacing="0" w:line="360" w:lineRule="auto"/>
              <w:ind w:left="0" w:right="0" w:firstLine="480" w:firstLineChars="200"/>
              <w:jc w:val="left"/>
              <w:rPr>
                <w:rFonts w:hint="default"/>
                <w:color w:val="auto"/>
                <w:sz w:val="24"/>
                <w:szCs w:val="24"/>
              </w:rPr>
            </w:pPr>
            <w:r>
              <w:rPr>
                <w:rFonts w:hint="default"/>
                <w:color w:val="auto"/>
                <w:sz w:val="24"/>
                <w:szCs w:val="24"/>
              </w:rPr>
              <w:t>ODB染料：分子式为C</w:t>
            </w:r>
            <w:r>
              <w:rPr>
                <w:rFonts w:hint="default"/>
                <w:color w:val="auto"/>
                <w:sz w:val="24"/>
                <w:szCs w:val="24"/>
                <w:vertAlign w:val="subscript"/>
              </w:rPr>
              <w:t>35</w:t>
            </w:r>
            <w:r>
              <w:rPr>
                <w:rFonts w:hint="default"/>
                <w:color w:val="auto"/>
                <w:sz w:val="24"/>
                <w:szCs w:val="24"/>
              </w:rPr>
              <w:t>H</w:t>
            </w:r>
            <w:r>
              <w:rPr>
                <w:rFonts w:hint="default"/>
                <w:color w:val="auto"/>
                <w:sz w:val="24"/>
                <w:szCs w:val="24"/>
                <w:vertAlign w:val="subscript"/>
              </w:rPr>
              <w:t>36</w:t>
            </w:r>
            <w:r>
              <w:rPr>
                <w:rFonts w:hint="default"/>
                <w:color w:val="auto"/>
                <w:sz w:val="24"/>
                <w:szCs w:val="24"/>
              </w:rPr>
              <w:t>N</w:t>
            </w:r>
            <w:r>
              <w:rPr>
                <w:rFonts w:hint="default"/>
                <w:color w:val="auto"/>
                <w:sz w:val="24"/>
                <w:szCs w:val="24"/>
                <w:vertAlign w:val="subscript"/>
              </w:rPr>
              <w:t>2</w:t>
            </w:r>
            <w:r>
              <w:rPr>
                <w:rFonts w:hint="default"/>
                <w:color w:val="auto"/>
                <w:sz w:val="24"/>
                <w:szCs w:val="24"/>
              </w:rPr>
              <w:t>O</w:t>
            </w:r>
            <w:r>
              <w:rPr>
                <w:rFonts w:hint="default"/>
                <w:color w:val="auto"/>
                <w:sz w:val="24"/>
                <w:szCs w:val="24"/>
                <w:vertAlign w:val="subscript"/>
              </w:rPr>
              <w:t>3</w:t>
            </w:r>
            <w:r>
              <w:rPr>
                <w:rFonts w:hint="default"/>
                <w:color w:val="auto"/>
                <w:sz w:val="24"/>
                <w:szCs w:val="24"/>
              </w:rPr>
              <w:t>，中文名称 </w:t>
            </w:r>
            <w:r>
              <w:rPr>
                <w:rFonts w:hint="default"/>
                <w:color w:val="auto"/>
                <w:sz w:val="24"/>
                <w:szCs w:val="24"/>
              </w:rPr>
              <w:fldChar w:fldCharType="begin"/>
            </w:r>
            <w:r>
              <w:rPr>
                <w:rFonts w:hint="default"/>
                <w:color w:val="auto"/>
                <w:sz w:val="24"/>
                <w:szCs w:val="24"/>
              </w:rPr>
              <w:instrText xml:space="preserve"> HYPERLINK "https://www.baidu.com/s?wd=2-%E8%8B%AF%E6%B0%A8%E5%9F%BA-3-%E7%94%B2%E5%9F%BA-6-%E4%BA%8C%E4%B8%81%E6%B0%A8%E5%9F%BA%E8%8D%A7%E7%83%B7&amp;tn=SE_PcZhidaonwhc_ngpagmjz&amp;rsv_dl=gh_pc_zhidao" \t "_blank" </w:instrText>
            </w:r>
            <w:r>
              <w:rPr>
                <w:rFonts w:hint="default"/>
                <w:color w:val="auto"/>
                <w:sz w:val="24"/>
                <w:szCs w:val="24"/>
              </w:rPr>
              <w:fldChar w:fldCharType="separate"/>
            </w:r>
            <w:r>
              <w:rPr>
                <w:rFonts w:hint="default"/>
                <w:color w:val="auto"/>
                <w:sz w:val="24"/>
                <w:szCs w:val="24"/>
              </w:rPr>
              <w:t>2-苯氨基-3-甲基-6-二丁氨基荧烷</w:t>
            </w:r>
            <w:r>
              <w:rPr>
                <w:rFonts w:hint="default"/>
                <w:color w:val="auto"/>
                <w:sz w:val="24"/>
                <w:szCs w:val="24"/>
              </w:rPr>
              <w:fldChar w:fldCharType="end"/>
            </w:r>
            <w:r>
              <w:rPr>
                <w:rFonts w:hint="default"/>
                <w:color w:val="auto"/>
                <w:sz w:val="24"/>
                <w:szCs w:val="24"/>
              </w:rPr>
              <w:t>，熔点182℃，作为热敏纸成色剂用于造纸行业生产热敏纸，后期涂布中使用。</w:t>
            </w:r>
          </w:p>
          <w:p w14:paraId="7E9F1D17">
            <w:pPr>
              <w:keepNext w:val="0"/>
              <w:keepLines w:val="0"/>
              <w:suppressLineNumbers w:val="0"/>
              <w:spacing w:before="0" w:beforeAutospacing="0" w:after="0" w:afterAutospacing="0" w:line="360" w:lineRule="auto"/>
              <w:ind w:left="0" w:right="0" w:firstLine="480" w:firstLineChars="200"/>
              <w:jc w:val="left"/>
              <w:rPr>
                <w:rFonts w:hint="default"/>
                <w:color w:val="auto"/>
                <w:sz w:val="24"/>
                <w:szCs w:val="24"/>
              </w:rPr>
            </w:pPr>
            <w:r>
              <w:rPr>
                <w:rFonts w:hint="default"/>
                <w:color w:val="auto"/>
                <w:sz w:val="24"/>
                <w:szCs w:val="24"/>
              </w:rPr>
              <w:t>高岭土：是一种以高岭石族粘土矿物为主的粘土和粘土岩。因呈白色而又细腻，又称白云土。因江西省景德镇高岭村而得名。其质纯的高岭土呈洁白细腻、松软土状，具有良好的可塑性和耐火性等理化性质。其矿物成分主要由高岭石、埃洛石、水云母、伊利石、蒙脱石以及石英、长石等矿物组成。</w:t>
            </w:r>
          </w:p>
          <w:p w14:paraId="3738412E">
            <w:pPr>
              <w:keepNext w:val="0"/>
              <w:keepLines w:val="0"/>
              <w:suppressLineNumbers w:val="0"/>
              <w:spacing w:before="0" w:beforeAutospacing="0" w:after="0" w:afterAutospacing="0" w:line="360" w:lineRule="auto"/>
              <w:ind w:left="0" w:right="0" w:firstLine="480" w:firstLineChars="200"/>
              <w:jc w:val="left"/>
              <w:rPr>
                <w:rFonts w:hint="default"/>
                <w:color w:val="auto"/>
                <w:sz w:val="24"/>
                <w:szCs w:val="24"/>
                <w:highlight w:val="yellow"/>
              </w:rPr>
            </w:pPr>
            <w:r>
              <w:rPr>
                <w:rFonts w:hint="default"/>
                <w:color w:val="auto"/>
                <w:sz w:val="24"/>
                <w:szCs w:val="24"/>
                <w:highlight w:val="none"/>
              </w:rPr>
              <w:t>丁苯乳胶：丁苯乳胶是以1,3-丁二烯和苯乙烯经低温聚合而成的稳定乳液，固体含量</w:t>
            </w:r>
            <w:r>
              <w:rPr>
                <w:rFonts w:hint="eastAsia"/>
                <w:color w:val="auto"/>
                <w:sz w:val="24"/>
                <w:szCs w:val="24"/>
                <w:highlight w:val="none"/>
                <w:lang w:eastAsia="zh-CN"/>
              </w:rPr>
              <w:t>49%—51%</w:t>
            </w:r>
            <w:r>
              <w:rPr>
                <w:rFonts w:hint="default"/>
                <w:color w:val="auto"/>
                <w:sz w:val="24"/>
                <w:szCs w:val="24"/>
                <w:highlight w:val="none"/>
              </w:rPr>
              <w:t>，pH值6-8，经涂布后，使涂布纸得到最高颜料结合强度和抗湿摩擦。广泛用于印染工业、涂料胶黏剂等工业部门。</w:t>
            </w:r>
          </w:p>
          <w:p w14:paraId="1CCD3808">
            <w:pPr>
              <w:pStyle w:val="114"/>
              <w:keepNext w:val="0"/>
              <w:keepLines w:val="0"/>
              <w:suppressLineNumbers w:val="0"/>
              <w:spacing w:before="0" w:beforeAutospacing="0" w:after="0" w:afterAutospacing="0" w:line="360" w:lineRule="auto"/>
              <w:ind w:left="0" w:right="0" w:firstLine="440"/>
              <w:rPr>
                <w:rFonts w:hint="default"/>
                <w:color w:val="auto"/>
                <w:sz w:val="24"/>
                <w:szCs w:val="24"/>
                <w:highlight w:val="none"/>
              </w:rPr>
            </w:pPr>
            <w:r>
              <w:rPr>
                <w:rFonts w:hint="default"/>
                <w:color w:val="auto"/>
                <w:sz w:val="24"/>
                <w:szCs w:val="24"/>
                <w:highlight w:val="none"/>
              </w:rPr>
              <w:t>胶印油墨：是由合成树脂（</w:t>
            </w:r>
            <w:r>
              <w:rPr>
                <w:rFonts w:hint="eastAsia"/>
                <w:color w:val="auto"/>
                <w:sz w:val="24"/>
                <w:szCs w:val="24"/>
                <w:highlight w:val="none"/>
                <w:lang w:eastAsia="zh-CN"/>
              </w:rPr>
              <w:t>20％～30％</w:t>
            </w:r>
            <w:r>
              <w:rPr>
                <w:rFonts w:hint="default"/>
                <w:color w:val="auto"/>
                <w:sz w:val="24"/>
                <w:szCs w:val="24"/>
                <w:highlight w:val="none"/>
              </w:rPr>
              <w:t>）、植物油（</w:t>
            </w:r>
            <w:r>
              <w:rPr>
                <w:rFonts w:hint="eastAsia"/>
                <w:color w:val="auto"/>
                <w:sz w:val="24"/>
                <w:szCs w:val="24"/>
                <w:highlight w:val="none"/>
                <w:lang w:eastAsia="zh-CN"/>
              </w:rPr>
              <w:t>20％～30％</w:t>
            </w:r>
            <w:r>
              <w:rPr>
                <w:rFonts w:hint="default"/>
                <w:color w:val="auto"/>
                <w:sz w:val="24"/>
                <w:szCs w:val="24"/>
                <w:highlight w:val="none"/>
              </w:rPr>
              <w:t>）、矿物油（</w:t>
            </w:r>
            <w:r>
              <w:rPr>
                <w:rFonts w:hint="eastAsia"/>
                <w:color w:val="auto"/>
                <w:sz w:val="24"/>
                <w:szCs w:val="24"/>
                <w:highlight w:val="none"/>
                <w:lang w:eastAsia="zh-CN"/>
              </w:rPr>
              <w:t>40％～50％</w:t>
            </w:r>
            <w:r>
              <w:rPr>
                <w:rFonts w:hint="default"/>
                <w:color w:val="auto"/>
                <w:sz w:val="24"/>
                <w:szCs w:val="24"/>
                <w:highlight w:val="none"/>
              </w:rPr>
              <w:t>）、颜料（</w:t>
            </w:r>
            <w:r>
              <w:rPr>
                <w:rFonts w:hint="eastAsia"/>
                <w:color w:val="auto"/>
                <w:sz w:val="24"/>
                <w:szCs w:val="24"/>
                <w:highlight w:val="none"/>
                <w:lang w:eastAsia="zh-CN"/>
              </w:rPr>
              <w:t>15％～25％</w:t>
            </w:r>
            <w:r>
              <w:rPr>
                <w:rFonts w:hint="default"/>
                <w:color w:val="auto"/>
                <w:sz w:val="24"/>
                <w:szCs w:val="24"/>
                <w:highlight w:val="none"/>
              </w:rPr>
              <w:t>）、助剂（10％以下）组成的均匀混合物，比重为1.00～1.2（25℃），闪点130°以上，供胶印机印刷各种图文及商标等使用，根据厂家提供的测试报告</w:t>
            </w:r>
            <w:r>
              <w:rPr>
                <w:rFonts w:hint="eastAsia"/>
                <w:color w:val="auto"/>
                <w:sz w:val="24"/>
                <w:szCs w:val="24"/>
                <w:highlight w:val="none"/>
                <w:lang w:eastAsia="zh-CN"/>
              </w:rPr>
              <w:t>（</w:t>
            </w:r>
            <w:r>
              <w:rPr>
                <w:rFonts w:hint="eastAsia"/>
                <w:color w:val="auto"/>
                <w:sz w:val="24"/>
                <w:szCs w:val="24"/>
                <w:highlight w:val="none"/>
                <w:lang w:val="en-US" w:eastAsia="zh-CN"/>
              </w:rPr>
              <w:t>见附件七</w:t>
            </w:r>
            <w:r>
              <w:rPr>
                <w:rFonts w:hint="eastAsia"/>
                <w:color w:val="auto"/>
                <w:sz w:val="24"/>
                <w:szCs w:val="24"/>
                <w:highlight w:val="none"/>
                <w:lang w:eastAsia="zh-CN"/>
              </w:rPr>
              <w:t>）</w:t>
            </w:r>
            <w:r>
              <w:rPr>
                <w:rFonts w:hint="default"/>
                <w:color w:val="auto"/>
                <w:sz w:val="24"/>
                <w:szCs w:val="24"/>
                <w:highlight w:val="none"/>
              </w:rPr>
              <w:t>，油墨中挥发性有机化合物（VOC</w:t>
            </w:r>
            <w:r>
              <w:rPr>
                <w:rFonts w:hint="eastAsia"/>
                <w:color w:val="auto"/>
                <w:sz w:val="24"/>
                <w:szCs w:val="24"/>
                <w:highlight w:val="none"/>
              </w:rPr>
              <w:t>s</w:t>
            </w:r>
            <w:r>
              <w:rPr>
                <w:rFonts w:hint="default"/>
                <w:color w:val="auto"/>
                <w:sz w:val="24"/>
                <w:szCs w:val="24"/>
                <w:highlight w:val="none"/>
              </w:rPr>
              <w:t>）含量满足《油墨中可挥发性有机化合物(VOCs)含量的限值》GB 38507-2020、《</w:t>
            </w:r>
            <w:r>
              <w:rPr>
                <w:rFonts w:hint="eastAsia"/>
                <w:color w:val="auto"/>
                <w:sz w:val="24"/>
                <w:szCs w:val="24"/>
                <w:highlight w:val="none"/>
              </w:rPr>
              <w:t>挥发性有机物排放标准 第4部分：印刷业》（DB37/2801.4-2017）中的含量要求</w:t>
            </w:r>
            <w:r>
              <w:rPr>
                <w:rFonts w:hint="default"/>
                <w:color w:val="auto"/>
                <w:sz w:val="24"/>
                <w:szCs w:val="24"/>
                <w:highlight w:val="none"/>
              </w:rPr>
              <w:t>。</w:t>
            </w:r>
          </w:p>
          <w:p w14:paraId="39C43076">
            <w:pPr>
              <w:pStyle w:val="1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b/>
                <w:bCs/>
                <w:color w:val="auto"/>
                <w:sz w:val="24"/>
                <w:szCs w:val="24"/>
                <w:highlight w:val="none"/>
              </w:rPr>
            </w:pPr>
            <w:r>
              <w:rPr>
                <w:rFonts w:hint="default" w:ascii="Times New Roman" w:hAnsi="Times New Roman" w:cs="Times New Roman"/>
                <w:b/>
                <w:bCs/>
                <w:color w:val="auto"/>
                <w:sz w:val="24"/>
                <w:szCs w:val="24"/>
                <w:highlight w:val="none"/>
              </w:rPr>
              <w:t>表</w:t>
            </w:r>
            <w:r>
              <w:rPr>
                <w:rFonts w:hint="eastAsia" w:ascii="Times New Roman" w:hAnsi="Times New Roman" w:cs="Times New Roman"/>
                <w:b/>
                <w:bCs/>
                <w:color w:val="auto"/>
                <w:sz w:val="24"/>
                <w:szCs w:val="24"/>
                <w:highlight w:val="none"/>
                <w:lang w:val="en-US" w:eastAsia="zh-CN"/>
              </w:rPr>
              <w:t>2-5</w:t>
            </w:r>
            <w:r>
              <w:rPr>
                <w:rFonts w:hint="default" w:ascii="Times New Roman" w:hAnsi="Times New Roman" w:cs="Times New Roman"/>
                <w:b/>
                <w:bCs/>
                <w:color w:val="auto"/>
                <w:sz w:val="24"/>
                <w:szCs w:val="24"/>
                <w:highlight w:val="none"/>
              </w:rPr>
              <w:t xml:space="preserve"> </w:t>
            </w:r>
            <w:r>
              <w:rPr>
                <w:rFonts w:hint="eastAsia"/>
                <w:b/>
                <w:bCs/>
                <w:color w:val="auto"/>
                <w:sz w:val="24"/>
                <w:szCs w:val="24"/>
                <w:highlight w:val="none"/>
              </w:rPr>
              <w:t xml:space="preserve">  油墨</w:t>
            </w:r>
            <w:r>
              <w:rPr>
                <w:rFonts w:hint="eastAsia"/>
                <w:b/>
                <w:bCs/>
                <w:color w:val="auto"/>
                <w:sz w:val="24"/>
                <w:szCs w:val="24"/>
                <w:highlight w:val="none"/>
                <w:lang w:eastAsia="zh-CN"/>
              </w:rPr>
              <w:t>挥发分含量</w:t>
            </w:r>
            <w:r>
              <w:rPr>
                <w:rFonts w:hint="eastAsia"/>
                <w:b/>
                <w:bCs/>
                <w:color w:val="auto"/>
                <w:sz w:val="24"/>
                <w:szCs w:val="24"/>
                <w:highlight w:val="none"/>
              </w:rPr>
              <w:t>要求符合性</w:t>
            </w:r>
          </w:p>
          <w:tbl>
            <w:tblPr>
              <w:tblStyle w:val="34"/>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 w:type="dxa"/>
                <w:bottom w:w="0" w:type="dxa"/>
                <w:right w:w="10" w:type="dxa"/>
              </w:tblCellMar>
            </w:tblPr>
            <w:tblGrid>
              <w:gridCol w:w="1093"/>
              <w:gridCol w:w="1610"/>
              <w:gridCol w:w="2100"/>
              <w:gridCol w:w="1842"/>
              <w:gridCol w:w="1292"/>
            </w:tblGrid>
            <w:tr w14:paraId="5D473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375" w:hRule="exact"/>
                <w:jc w:val="center"/>
              </w:trPr>
              <w:tc>
                <w:tcPr>
                  <w:tcW w:w="1093" w:type="dxa"/>
                  <w:vMerge w:val="restart"/>
                  <w:tcBorders>
                    <w:tl2br w:val="nil"/>
                    <w:tr2bl w:val="nil"/>
                  </w:tcBorders>
                  <w:shd w:val="clear" w:color="auto" w:fill="auto"/>
                  <w:noWrap w:val="0"/>
                  <w:vAlign w:val="center"/>
                </w:tcPr>
                <w:p w14:paraId="7836460E">
                  <w:pPr>
                    <w:pStyle w:val="116"/>
                    <w:keepNext w:val="0"/>
                    <w:keepLines w:val="0"/>
                    <w:suppressLineNumbers w:val="0"/>
                    <w:spacing w:before="0" w:beforeAutospacing="0" w:after="0" w:afterAutospacing="0"/>
                    <w:ind w:left="0" w:right="0"/>
                    <w:rPr>
                      <w:rFonts w:hint="default"/>
                      <w:color w:val="auto"/>
                      <w:sz w:val="21"/>
                      <w:szCs w:val="21"/>
                      <w:highlight w:val="none"/>
                      <w:lang w:eastAsia="zh-CN"/>
                    </w:rPr>
                  </w:pPr>
                  <w:r>
                    <w:rPr>
                      <w:rFonts w:hint="eastAsia" w:ascii="Times New Roman" w:hAnsi="Times New Roman" w:cs="Times New Roman"/>
                      <w:color w:val="auto"/>
                      <w:sz w:val="21"/>
                      <w:szCs w:val="21"/>
                      <w:highlight w:val="none"/>
                      <w:lang w:eastAsia="zh-CN"/>
                    </w:rPr>
                    <w:t>油墨</w:t>
                  </w:r>
                </w:p>
              </w:tc>
              <w:tc>
                <w:tcPr>
                  <w:tcW w:w="1610" w:type="dxa"/>
                  <w:vMerge w:val="restart"/>
                  <w:tcBorders>
                    <w:tl2br w:val="nil"/>
                    <w:tr2bl w:val="nil"/>
                  </w:tcBorders>
                  <w:shd w:val="clear" w:color="auto" w:fill="auto"/>
                  <w:noWrap w:val="0"/>
                  <w:vAlign w:val="center"/>
                </w:tcPr>
                <w:p w14:paraId="69086E91">
                  <w:pPr>
                    <w:pStyle w:val="116"/>
                    <w:keepNext w:val="0"/>
                    <w:keepLines w:val="0"/>
                    <w:suppressLineNumbers w:val="0"/>
                    <w:spacing w:before="0" w:beforeAutospacing="0" w:after="0" w:afterAutospacing="0"/>
                    <w:ind w:left="0" w:right="0"/>
                    <w:rPr>
                      <w:rFonts w:hint="default"/>
                      <w:color w:val="auto"/>
                      <w:sz w:val="21"/>
                      <w:szCs w:val="21"/>
                      <w:highlight w:val="none"/>
                      <w:lang w:eastAsia="zh-CN"/>
                    </w:rPr>
                  </w:pPr>
                  <w:r>
                    <w:rPr>
                      <w:rFonts w:hint="eastAsia" w:ascii="Times New Roman" w:hAnsi="Times New Roman" w:cs="Times New Roman"/>
                      <w:color w:val="auto"/>
                      <w:sz w:val="21"/>
                      <w:szCs w:val="21"/>
                      <w:highlight w:val="none"/>
                      <w:lang w:eastAsia="zh-CN"/>
                    </w:rPr>
                    <w:t>挥发分含量</w:t>
                  </w:r>
                </w:p>
              </w:tc>
              <w:tc>
                <w:tcPr>
                  <w:tcW w:w="3942" w:type="dxa"/>
                  <w:gridSpan w:val="2"/>
                  <w:tcBorders>
                    <w:tl2br w:val="nil"/>
                    <w:tr2bl w:val="nil"/>
                  </w:tcBorders>
                  <w:shd w:val="clear" w:color="auto" w:fill="auto"/>
                  <w:noWrap w:val="0"/>
                  <w:vAlign w:val="center"/>
                </w:tcPr>
                <w:p w14:paraId="52ABDD2C">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执行标准</w:t>
                  </w:r>
                </w:p>
              </w:tc>
              <w:tc>
                <w:tcPr>
                  <w:tcW w:w="1292" w:type="dxa"/>
                  <w:vMerge w:val="restart"/>
                  <w:tcBorders>
                    <w:tl2br w:val="nil"/>
                    <w:tr2bl w:val="nil"/>
                  </w:tcBorders>
                  <w:shd w:val="clear" w:color="auto" w:fill="auto"/>
                  <w:noWrap w:val="0"/>
                  <w:vAlign w:val="center"/>
                </w:tcPr>
                <w:p w14:paraId="55F169C0">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符合性</w:t>
                  </w:r>
                </w:p>
              </w:tc>
            </w:tr>
            <w:tr w14:paraId="1CA80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62" w:hRule="exact"/>
                <w:jc w:val="center"/>
              </w:trPr>
              <w:tc>
                <w:tcPr>
                  <w:tcW w:w="1093" w:type="dxa"/>
                  <w:vMerge w:val="continue"/>
                  <w:tcBorders>
                    <w:tl2br w:val="nil"/>
                    <w:tr2bl w:val="nil"/>
                  </w:tcBorders>
                  <w:shd w:val="clear" w:color="auto" w:fill="auto"/>
                  <w:noWrap w:val="0"/>
                  <w:vAlign w:val="center"/>
                </w:tcPr>
                <w:p w14:paraId="56DD9A21">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p>
              </w:tc>
              <w:tc>
                <w:tcPr>
                  <w:tcW w:w="1610" w:type="dxa"/>
                  <w:vMerge w:val="continue"/>
                  <w:tcBorders>
                    <w:tl2br w:val="nil"/>
                    <w:tr2bl w:val="nil"/>
                  </w:tcBorders>
                  <w:shd w:val="clear" w:color="auto" w:fill="auto"/>
                  <w:noWrap w:val="0"/>
                  <w:vAlign w:val="center"/>
                </w:tcPr>
                <w:p w14:paraId="0D0A351C">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p>
              </w:tc>
              <w:tc>
                <w:tcPr>
                  <w:tcW w:w="2100" w:type="dxa"/>
                  <w:tcBorders>
                    <w:tl2br w:val="nil"/>
                    <w:tr2bl w:val="nil"/>
                  </w:tcBorders>
                  <w:shd w:val="clear" w:color="auto" w:fill="auto"/>
                  <w:noWrap w:val="0"/>
                  <w:vAlign w:val="center"/>
                </w:tcPr>
                <w:p w14:paraId="56E35930">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GB38507-2020</w:t>
                  </w:r>
                </w:p>
                <w:p w14:paraId="3C9F1433">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单张胶印油墨</w:t>
                  </w:r>
                </w:p>
              </w:tc>
              <w:tc>
                <w:tcPr>
                  <w:tcW w:w="1842" w:type="dxa"/>
                  <w:tcBorders>
                    <w:tl2br w:val="nil"/>
                    <w:tr2bl w:val="nil"/>
                  </w:tcBorders>
                  <w:shd w:val="clear" w:color="auto" w:fill="auto"/>
                  <w:noWrap w:val="0"/>
                  <w:vAlign w:val="center"/>
                </w:tcPr>
                <w:p w14:paraId="28C2CCE4">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DB37/2801.4-2017</w:t>
                  </w:r>
                </w:p>
                <w:p w14:paraId="06147489">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平版印刷油墨</w:t>
                  </w:r>
                </w:p>
              </w:tc>
              <w:tc>
                <w:tcPr>
                  <w:tcW w:w="1292" w:type="dxa"/>
                  <w:vMerge w:val="continue"/>
                  <w:tcBorders>
                    <w:tl2br w:val="nil"/>
                    <w:tr2bl w:val="nil"/>
                  </w:tcBorders>
                  <w:shd w:val="clear" w:color="auto" w:fill="auto"/>
                  <w:noWrap w:val="0"/>
                  <w:vAlign w:val="center"/>
                </w:tcPr>
                <w:p w14:paraId="50CF7EBB">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p>
              </w:tc>
            </w:tr>
            <w:tr w14:paraId="77422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828" w:hRule="exact"/>
                <w:jc w:val="center"/>
              </w:trPr>
              <w:tc>
                <w:tcPr>
                  <w:tcW w:w="1093" w:type="dxa"/>
                  <w:tcBorders>
                    <w:tl2br w:val="nil"/>
                    <w:tr2bl w:val="nil"/>
                  </w:tcBorders>
                  <w:shd w:val="clear" w:color="auto" w:fill="auto"/>
                  <w:noWrap w:val="0"/>
                  <w:vAlign w:val="center"/>
                </w:tcPr>
                <w:p w14:paraId="26FFB0E7">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单张胶印油墨</w:t>
                  </w:r>
                </w:p>
              </w:tc>
              <w:tc>
                <w:tcPr>
                  <w:tcW w:w="1610" w:type="dxa"/>
                  <w:tcBorders>
                    <w:tl2br w:val="nil"/>
                    <w:tr2bl w:val="nil"/>
                  </w:tcBorders>
                  <w:shd w:val="clear" w:color="auto" w:fill="auto"/>
                  <w:noWrap w:val="0"/>
                  <w:vAlign w:val="center"/>
                </w:tcPr>
                <w:p w14:paraId="2CAC61DE">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ND未检出</w:t>
                  </w:r>
                </w:p>
                <w:p w14:paraId="09A8FECA">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（方法检出限</w:t>
                  </w:r>
                  <w:r>
                    <w:rPr>
                      <w:rFonts w:hint="eastAsia" w:ascii="Times New Roman" w:hAnsi="Times New Roman" w:cs="Times New Roman"/>
                      <w:color w:val="auto"/>
                      <w:sz w:val="21"/>
                      <w:szCs w:val="21"/>
                      <w:highlight w:val="none"/>
                      <w:lang w:val="en-US" w:eastAsia="zh-CN"/>
                    </w:rPr>
                    <w:t>0.1</w:t>
                  </w:r>
                  <w:r>
                    <w:rPr>
                      <w:rFonts w:hint="eastAsia" w:ascii="Times New Roman" w:hAnsi="Times New Roman" w:cs="Times New Roman"/>
                      <w:color w:val="auto"/>
                      <w:sz w:val="21"/>
                      <w:szCs w:val="21"/>
                      <w:highlight w:val="none"/>
                      <w:lang w:eastAsia="zh-CN"/>
                    </w:rPr>
                    <w:t>）</w:t>
                  </w:r>
                </w:p>
                <w:p w14:paraId="13DEF476">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p>
              </w:tc>
              <w:tc>
                <w:tcPr>
                  <w:tcW w:w="2100" w:type="dxa"/>
                  <w:tcBorders>
                    <w:tl2br w:val="nil"/>
                    <w:tr2bl w:val="nil"/>
                  </w:tcBorders>
                  <w:shd w:val="clear" w:color="auto" w:fill="auto"/>
                  <w:noWrap w:val="0"/>
                  <w:vAlign w:val="center"/>
                </w:tcPr>
                <w:p w14:paraId="3B40BDFE">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eastAsia="zh-CN"/>
                    </w:rPr>
                    <w:t>%</w:t>
                  </w:r>
                </w:p>
              </w:tc>
              <w:tc>
                <w:tcPr>
                  <w:tcW w:w="1842" w:type="dxa"/>
                  <w:tcBorders>
                    <w:tl2br w:val="nil"/>
                    <w:tr2bl w:val="nil"/>
                  </w:tcBorders>
                  <w:shd w:val="clear" w:color="auto" w:fill="auto"/>
                  <w:noWrap w:val="0"/>
                  <w:vAlign w:val="center"/>
                </w:tcPr>
                <w:p w14:paraId="3BAB9ED0">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≤3%</w:t>
                  </w:r>
                </w:p>
              </w:tc>
              <w:tc>
                <w:tcPr>
                  <w:tcW w:w="1292" w:type="dxa"/>
                  <w:tcBorders>
                    <w:tl2br w:val="nil"/>
                    <w:tr2bl w:val="nil"/>
                  </w:tcBorders>
                  <w:shd w:val="clear" w:color="auto" w:fill="auto"/>
                  <w:noWrap w:val="0"/>
                  <w:vAlign w:val="center"/>
                </w:tcPr>
                <w:p w14:paraId="09EB664F">
                  <w:pPr>
                    <w:pStyle w:val="11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符合</w:t>
                  </w:r>
                </w:p>
              </w:tc>
            </w:tr>
          </w:tbl>
          <w:p w14:paraId="54829057">
            <w:pPr>
              <w:pStyle w:val="114"/>
              <w:keepNext w:val="0"/>
              <w:keepLines w:val="0"/>
              <w:suppressLineNumbers w:val="0"/>
              <w:spacing w:before="0" w:beforeAutospacing="0" w:after="0" w:afterAutospacing="0" w:line="360" w:lineRule="auto"/>
              <w:ind w:left="0" w:right="0" w:firstLine="440"/>
              <w:rPr>
                <w:rFonts w:hint="default"/>
                <w:color w:val="auto"/>
                <w:sz w:val="22"/>
                <w:szCs w:val="22"/>
                <w:highlight w:val="none"/>
                <w:lang w:val="en-US" w:eastAsia="zh-CN"/>
              </w:rPr>
            </w:pPr>
            <w:r>
              <w:rPr>
                <w:rFonts w:hint="default"/>
                <w:color w:val="auto"/>
                <w:sz w:val="24"/>
                <w:szCs w:val="24"/>
                <w:highlight w:val="none"/>
              </w:rPr>
              <w:t>热熔胶：是一种不需溶剂、不含水分、100%的固体可熔性聚合物，由基本树脂、增黏剂、黏度调节剂和抗氧剂成分组成，为乳白色颗粒状，熔点140-170℃，当加热到一定的温度便熔融成粘稠的液体，涂布、润湿封边材料表面后，经过压合，冷却至室温后，在数秒钟内便完成粘接的水基型胶粘剂。</w:t>
            </w:r>
          </w:p>
          <w:p w14:paraId="633760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cs="Times New Roman"/>
                <w:b/>
                <w:bCs/>
                <w:color w:val="auto"/>
                <w:sz w:val="24"/>
                <w:szCs w:val="32"/>
                <w:lang w:val="en-US" w:eastAsia="zh-CN"/>
              </w:rPr>
            </w:pPr>
            <w:r>
              <w:rPr>
                <w:rFonts w:hint="eastAsia" w:cs="Times New Roman"/>
                <w:b/>
                <w:bCs/>
                <w:color w:val="auto"/>
                <w:sz w:val="24"/>
                <w:szCs w:val="32"/>
                <w:lang w:val="en-US" w:eastAsia="zh-CN"/>
              </w:rPr>
              <w:t>5</w:t>
            </w:r>
            <w:r>
              <w:rPr>
                <w:rFonts w:hint="eastAsia" w:ascii="Times New Roman" w:hAnsi="Times New Roman" w:cs="Times New Roman"/>
                <w:b/>
                <w:bCs/>
                <w:color w:val="auto"/>
                <w:sz w:val="24"/>
                <w:szCs w:val="32"/>
                <w:lang w:val="en-US" w:eastAsia="zh-CN"/>
              </w:rPr>
              <w:t>、公用工程</w:t>
            </w:r>
          </w:p>
          <w:p w14:paraId="3C7773B2">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32"/>
                <w:lang w:val="en-US" w:eastAsia="zh-CN"/>
              </w:rPr>
            </w:pPr>
            <w:r>
              <w:rPr>
                <w:rFonts w:hint="eastAsia" w:cs="Times New Roman"/>
                <w:color w:val="auto"/>
                <w:sz w:val="24"/>
                <w:szCs w:val="32"/>
                <w:lang w:val="en-US" w:eastAsia="zh-CN"/>
              </w:rPr>
              <w:t>5</w:t>
            </w:r>
            <w:r>
              <w:rPr>
                <w:rFonts w:hint="eastAsia" w:ascii="Times New Roman" w:hAnsi="Times New Roman" w:cs="Times New Roman"/>
                <w:color w:val="auto"/>
                <w:sz w:val="24"/>
                <w:szCs w:val="32"/>
                <w:lang w:val="en-US" w:eastAsia="zh-CN"/>
              </w:rPr>
              <w:t>.1</w:t>
            </w:r>
            <w:r>
              <w:rPr>
                <w:rFonts w:hint="default" w:ascii="Times New Roman" w:hAnsi="Times New Roman" w:cs="Times New Roman"/>
                <w:color w:val="auto"/>
                <w:sz w:val="24"/>
                <w:szCs w:val="32"/>
                <w:lang w:val="en-US" w:eastAsia="zh-CN"/>
              </w:rPr>
              <w:t>给排水工程</w:t>
            </w:r>
          </w:p>
          <w:p w14:paraId="5F05439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32"/>
                <w:lang w:val="en-US" w:eastAsia="zh-CN"/>
              </w:rPr>
            </w:pPr>
            <w:r>
              <w:rPr>
                <w:rFonts w:hint="eastAsia" w:cs="Times New Roman"/>
                <w:color w:val="auto"/>
                <w:sz w:val="24"/>
                <w:szCs w:val="32"/>
                <w:lang w:val="en-US" w:eastAsia="zh-CN"/>
              </w:rPr>
              <w:t>5</w:t>
            </w:r>
            <w:r>
              <w:rPr>
                <w:rFonts w:hint="default" w:ascii="Times New Roman" w:hAnsi="Times New Roman" w:cs="Times New Roman"/>
                <w:color w:val="auto"/>
                <w:sz w:val="24"/>
                <w:szCs w:val="32"/>
                <w:lang w:val="en-US" w:eastAsia="zh-CN"/>
              </w:rPr>
              <w:t>.1.1供水系统</w:t>
            </w:r>
          </w:p>
          <w:p w14:paraId="73BD4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eastAsiaTheme="minorEastAsia"/>
                <w:color w:val="auto"/>
                <w:sz w:val="24"/>
                <w:szCs w:val="32"/>
                <w:lang w:val="en-US" w:eastAsia="zh-CN"/>
              </w:rPr>
              <w:t>水源：项目用水由市政自来水供水管网供给。</w:t>
            </w:r>
          </w:p>
          <w:p w14:paraId="5A3BA2E4">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项目用水环节主要为</w:t>
            </w:r>
            <w:r>
              <w:rPr>
                <w:rFonts w:hint="eastAsia" w:ascii="Times New Roman" w:hAnsi="Times New Roman" w:cs="Times New Roman" w:eastAsiaTheme="minorEastAsia"/>
                <w:color w:val="auto"/>
                <w:lang w:val="en-US" w:eastAsia="zh-CN"/>
              </w:rPr>
              <w:t>员工</w:t>
            </w:r>
            <w:r>
              <w:rPr>
                <w:rFonts w:hint="eastAsia" w:ascii="Times New Roman" w:cs="Times New Roman" w:eastAsiaTheme="minorEastAsia"/>
                <w:color w:val="auto"/>
                <w:lang w:val="en-US" w:eastAsia="zh-CN"/>
              </w:rPr>
              <w:t>生活</w:t>
            </w:r>
            <w:r>
              <w:rPr>
                <w:rFonts w:hint="default" w:ascii="Times New Roman" w:hAnsi="Times New Roman" w:cs="Times New Roman" w:eastAsiaTheme="minorEastAsia"/>
                <w:color w:val="auto"/>
                <w:lang w:val="en-US" w:eastAsia="zh-CN"/>
              </w:rPr>
              <w:t>用水</w:t>
            </w:r>
            <w:r>
              <w:rPr>
                <w:rFonts w:hint="eastAsia" w:ascii="Times New Roman" w:cs="Times New Roman" w:eastAsiaTheme="minorEastAsia"/>
                <w:color w:val="auto"/>
                <w:lang w:val="en-US" w:eastAsia="zh-CN"/>
              </w:rPr>
              <w:t>、配料用水</w:t>
            </w:r>
            <w:r>
              <w:rPr>
                <w:rFonts w:hint="default" w:ascii="Times New Roman" w:hAnsi="Times New Roman" w:cs="Times New Roman" w:eastAsiaTheme="minorEastAsia"/>
                <w:color w:val="auto"/>
                <w:lang w:val="en-US" w:eastAsia="zh-CN"/>
              </w:rPr>
              <w:t>和</w:t>
            </w:r>
            <w:r>
              <w:rPr>
                <w:rFonts w:hint="eastAsia" w:ascii="Times New Roman" w:cs="Times New Roman" w:eastAsiaTheme="minorEastAsia"/>
                <w:color w:val="auto"/>
                <w:lang w:val="en-US" w:eastAsia="zh-CN"/>
              </w:rPr>
              <w:t>设备清洗用水</w:t>
            </w:r>
            <w:r>
              <w:rPr>
                <w:rFonts w:hint="default" w:ascii="Times New Roman" w:hAnsi="Times New Roman" w:cs="Times New Roman" w:eastAsiaTheme="minorEastAsia"/>
                <w:color w:val="auto"/>
                <w:lang w:val="en-US" w:eastAsia="zh-CN"/>
              </w:rPr>
              <w:t>。</w:t>
            </w:r>
          </w:p>
          <w:p w14:paraId="2C338D4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生活用水：本次项目增加劳动定员人数</w:t>
            </w:r>
            <w:r>
              <w:rPr>
                <w:rFonts w:hint="eastAsia"/>
                <w:color w:val="auto"/>
                <w:sz w:val="24"/>
                <w:lang w:val="en-US" w:eastAsia="zh-CN"/>
              </w:rPr>
              <w:t>2</w:t>
            </w:r>
            <w:r>
              <w:rPr>
                <w:rFonts w:hint="eastAsia"/>
                <w:color w:val="auto"/>
                <w:sz w:val="24"/>
              </w:rPr>
              <w:t>0人，用水量按</w:t>
            </w:r>
            <w:r>
              <w:rPr>
                <w:rFonts w:hint="eastAsia"/>
                <w:color w:val="auto"/>
                <w:sz w:val="24"/>
                <w:lang w:val="en-US" w:eastAsia="zh-CN"/>
              </w:rPr>
              <w:t>5</w:t>
            </w:r>
            <w:r>
              <w:rPr>
                <w:rFonts w:hint="eastAsia"/>
                <w:color w:val="auto"/>
                <w:sz w:val="24"/>
              </w:rPr>
              <w:t>0L/人·天计算，年工作300天，生活用水量为0.</w:t>
            </w:r>
            <w:r>
              <w:rPr>
                <w:rFonts w:hint="eastAsia"/>
                <w:color w:val="auto"/>
                <w:sz w:val="24"/>
                <w:lang w:val="en-US" w:eastAsia="zh-CN"/>
              </w:rPr>
              <w:t>4</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120</w:t>
            </w:r>
            <w:r>
              <w:rPr>
                <w:rFonts w:hint="eastAsia"/>
                <w:color w:val="auto"/>
                <w:sz w:val="24"/>
              </w:rPr>
              <w:t>m</w:t>
            </w:r>
            <w:r>
              <w:rPr>
                <w:rFonts w:hint="eastAsia"/>
                <w:color w:val="auto"/>
                <w:sz w:val="24"/>
                <w:vertAlign w:val="superscript"/>
              </w:rPr>
              <w:t>3</w:t>
            </w:r>
            <w:r>
              <w:rPr>
                <w:rFonts w:hint="eastAsia"/>
                <w:color w:val="auto"/>
                <w:sz w:val="24"/>
              </w:rPr>
              <w:t>/a。</w:t>
            </w:r>
          </w:p>
          <w:p w14:paraId="319E85CB">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配料用水：根据企业提供资料，</w:t>
            </w:r>
            <w:r>
              <w:rPr>
                <w:rFonts w:hint="eastAsia"/>
                <w:color w:val="auto"/>
                <w:sz w:val="24"/>
                <w:lang w:eastAsia="zh-CN"/>
              </w:rPr>
              <w:t>加工</w:t>
            </w:r>
            <w:r>
              <w:rPr>
                <w:rFonts w:hint="eastAsia"/>
                <w:color w:val="auto"/>
                <w:sz w:val="24"/>
              </w:rPr>
              <w:t>1吨</w:t>
            </w:r>
            <w:r>
              <w:rPr>
                <w:rFonts w:hint="eastAsia"/>
                <w:color w:val="auto"/>
                <w:sz w:val="24"/>
                <w:lang w:eastAsia="zh-CN"/>
              </w:rPr>
              <w:t>纸制品</w:t>
            </w:r>
            <w:r>
              <w:rPr>
                <w:rFonts w:hint="eastAsia"/>
                <w:color w:val="auto"/>
                <w:sz w:val="24"/>
              </w:rPr>
              <w:t>消耗水量约</w:t>
            </w:r>
            <w:r>
              <w:rPr>
                <w:rFonts w:hint="eastAsia"/>
                <w:color w:val="auto"/>
                <w:sz w:val="24"/>
                <w:lang w:val="en-US" w:eastAsia="zh-CN"/>
              </w:rPr>
              <w:t>0.093</w:t>
            </w:r>
            <w:r>
              <w:rPr>
                <w:rFonts w:hint="eastAsia"/>
                <w:color w:val="auto"/>
                <w:sz w:val="24"/>
              </w:rPr>
              <w:t>m</w:t>
            </w:r>
            <w:r>
              <w:rPr>
                <w:rFonts w:hint="eastAsia"/>
                <w:color w:val="auto"/>
                <w:sz w:val="24"/>
                <w:vertAlign w:val="superscript"/>
              </w:rPr>
              <w:t>3</w:t>
            </w:r>
            <w:r>
              <w:rPr>
                <w:rFonts w:hint="eastAsia"/>
                <w:color w:val="auto"/>
                <w:sz w:val="24"/>
              </w:rPr>
              <w:t>，计算出项目配料水使用量为</w:t>
            </w:r>
            <w:r>
              <w:rPr>
                <w:rFonts w:hint="eastAsia"/>
                <w:color w:val="auto"/>
                <w:sz w:val="24"/>
                <w:lang w:val="en-US" w:eastAsia="zh-CN"/>
              </w:rPr>
              <w:t>6.2</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1860</w:t>
            </w:r>
            <w:r>
              <w:rPr>
                <w:rFonts w:hint="eastAsia"/>
                <w:color w:val="auto"/>
                <w:sz w:val="24"/>
              </w:rPr>
              <w:t>m</w:t>
            </w:r>
            <w:r>
              <w:rPr>
                <w:rFonts w:hint="eastAsia"/>
                <w:color w:val="auto"/>
                <w:sz w:val="24"/>
                <w:vertAlign w:val="superscript"/>
              </w:rPr>
              <w:t>3</w:t>
            </w:r>
            <w:r>
              <w:rPr>
                <w:rFonts w:hint="eastAsia"/>
                <w:color w:val="auto"/>
                <w:sz w:val="24"/>
              </w:rPr>
              <w:t>/a。</w:t>
            </w:r>
          </w:p>
          <w:p w14:paraId="73911DD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color w:val="auto"/>
                <w:sz w:val="24"/>
              </w:rPr>
              <w:t>设备清洗用水：当</w:t>
            </w:r>
            <w:r>
              <w:rPr>
                <w:rFonts w:hint="eastAsia"/>
                <w:color w:val="auto"/>
                <w:sz w:val="24"/>
                <w:lang w:val="en-US" w:eastAsia="zh-CN"/>
              </w:rPr>
              <w:t>产品</w:t>
            </w:r>
            <w:r>
              <w:rPr>
                <w:rFonts w:hint="eastAsia"/>
                <w:color w:val="auto"/>
                <w:sz w:val="24"/>
              </w:rPr>
              <w:t>更换颜色时，需要更换显色剂，因此需要清洗配料罐、涂布机，根据企业提供资料，平均每</w:t>
            </w:r>
            <w:r>
              <w:rPr>
                <w:rFonts w:hint="eastAsia"/>
                <w:color w:val="auto"/>
                <w:sz w:val="24"/>
                <w:lang w:val="en-US" w:eastAsia="zh-CN"/>
              </w:rPr>
              <w:t>10天</w:t>
            </w:r>
            <w:r>
              <w:rPr>
                <w:rFonts w:hint="eastAsia"/>
                <w:color w:val="auto"/>
                <w:sz w:val="24"/>
              </w:rPr>
              <w:t>清洗一次，</w:t>
            </w:r>
            <w:r>
              <w:rPr>
                <w:rFonts w:hint="eastAsia"/>
                <w:color w:val="auto"/>
                <w:sz w:val="24"/>
                <w:lang w:val="en-US" w:eastAsia="zh-CN"/>
              </w:rPr>
              <w:t>每</w:t>
            </w:r>
            <w:r>
              <w:rPr>
                <w:rFonts w:hint="eastAsia"/>
                <w:color w:val="auto"/>
                <w:sz w:val="24"/>
              </w:rPr>
              <w:t>次清洗新鲜水用量约</w:t>
            </w:r>
            <w:r>
              <w:rPr>
                <w:rFonts w:hint="eastAsia"/>
                <w:color w:val="auto"/>
                <w:sz w:val="24"/>
                <w:lang w:val="en-US" w:eastAsia="zh-CN"/>
              </w:rPr>
              <w:t>3.2</w:t>
            </w:r>
            <w:r>
              <w:rPr>
                <w:rFonts w:hint="eastAsia"/>
                <w:color w:val="auto"/>
                <w:sz w:val="24"/>
              </w:rPr>
              <w:t>m</w:t>
            </w:r>
            <w:r>
              <w:rPr>
                <w:rFonts w:hint="eastAsia"/>
                <w:color w:val="auto"/>
                <w:sz w:val="24"/>
                <w:vertAlign w:val="superscript"/>
              </w:rPr>
              <w:t>3</w:t>
            </w:r>
            <w:r>
              <w:rPr>
                <w:rFonts w:hint="eastAsia"/>
                <w:color w:val="auto"/>
                <w:sz w:val="24"/>
              </w:rPr>
              <w:t>，年清洗用水量为</w:t>
            </w:r>
            <w:r>
              <w:rPr>
                <w:rFonts w:hint="eastAsia"/>
                <w:color w:val="auto"/>
                <w:sz w:val="24"/>
                <w:lang w:val="en-US" w:eastAsia="zh-CN"/>
              </w:rPr>
              <w:t>96</w:t>
            </w:r>
            <w:r>
              <w:rPr>
                <w:rFonts w:hint="eastAsia"/>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折合0.32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14:paraId="7E709030">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kern w:val="2"/>
              </w:rPr>
              <w:t>综上所述，新建</w:t>
            </w:r>
            <w:r>
              <w:rPr>
                <w:rFonts w:hint="default" w:ascii="Times New Roman" w:hAnsi="Times New Roman" w:cs="Times New Roman"/>
                <w:color w:val="auto"/>
              </w:rPr>
              <w:t>项目建成后新鲜用水总量为</w:t>
            </w:r>
            <w:r>
              <w:rPr>
                <w:rFonts w:hint="eastAsia" w:ascii="Times New Roman" w:cs="Times New Roman"/>
                <w:color w:val="auto"/>
                <w:lang w:val="en-US" w:eastAsia="zh-CN"/>
              </w:rPr>
              <w:t>2106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eastAsia" w:ascii="Times New Roman" w:cs="Times New Roman"/>
                <w:color w:val="auto"/>
                <w:sz w:val="24"/>
                <w:lang w:val="en-US" w:eastAsia="zh-CN"/>
              </w:rPr>
              <w:t>7.02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lang w:eastAsia="zh-CN"/>
              </w:rPr>
              <w:t>）</w:t>
            </w:r>
            <w:r>
              <w:rPr>
                <w:rFonts w:hint="default" w:ascii="Times New Roman" w:hAnsi="Times New Roman" w:cs="Times New Roman"/>
                <w:color w:val="auto"/>
                <w:sz w:val="24"/>
                <w:szCs w:val="32"/>
                <w:highlight w:val="none"/>
                <w:lang w:val="en-US" w:eastAsia="zh-CN"/>
              </w:rPr>
              <w:t>。</w:t>
            </w:r>
          </w:p>
          <w:p w14:paraId="4256CBF1">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32"/>
                <w:lang w:val="en-US" w:eastAsia="zh-CN"/>
              </w:rPr>
            </w:pPr>
            <w:r>
              <w:rPr>
                <w:rFonts w:hint="eastAsia" w:cs="Times New Roman"/>
                <w:color w:val="auto"/>
                <w:sz w:val="24"/>
                <w:szCs w:val="32"/>
                <w:lang w:val="en-US" w:eastAsia="zh-CN"/>
              </w:rPr>
              <w:t>5</w:t>
            </w:r>
            <w:r>
              <w:rPr>
                <w:rFonts w:hint="default" w:ascii="Times New Roman" w:hAnsi="Times New Roman" w:cs="Times New Roman"/>
                <w:color w:val="auto"/>
                <w:sz w:val="24"/>
                <w:szCs w:val="32"/>
                <w:lang w:val="en-US" w:eastAsia="zh-CN"/>
              </w:rPr>
              <w:t>.1.2排水系统</w:t>
            </w:r>
          </w:p>
          <w:p w14:paraId="789DF6E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32"/>
                <w:lang w:val="en-US" w:eastAsia="zh-CN"/>
              </w:rPr>
            </w:pPr>
            <w:r>
              <w:rPr>
                <w:rFonts w:hint="eastAsia" w:cs="Times New Roman"/>
                <w:color w:val="auto"/>
                <w:sz w:val="24"/>
                <w:szCs w:val="32"/>
                <w:lang w:val="en-US" w:eastAsia="zh-CN"/>
              </w:rPr>
              <w:t>厂区</w:t>
            </w:r>
            <w:r>
              <w:rPr>
                <w:rFonts w:hint="default" w:ascii="Times New Roman" w:hAnsi="Times New Roman" w:cs="Times New Roman"/>
                <w:color w:val="auto"/>
                <w:sz w:val="24"/>
                <w:szCs w:val="32"/>
                <w:lang w:val="en-US" w:eastAsia="zh-CN"/>
              </w:rPr>
              <w:t>采用雨污分流、清污分流。雨水经项目区内雨水管网收集后排入雨水管网。</w:t>
            </w:r>
          </w:p>
          <w:p w14:paraId="3DD47325">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s="Times New Roman"/>
                <w:color w:val="auto"/>
                <w:sz w:val="24"/>
                <w:szCs w:val="32"/>
                <w:lang w:val="en-US" w:eastAsia="zh-CN"/>
              </w:rPr>
            </w:pPr>
            <w:r>
              <w:rPr>
                <w:rFonts w:hint="eastAsia" w:cs="Times New Roman"/>
                <w:color w:val="auto"/>
                <w:sz w:val="24"/>
                <w:szCs w:val="32"/>
                <w:lang w:val="en-US" w:eastAsia="zh-CN"/>
              </w:rPr>
              <w:t>本项目涂布烘干工序为蒸汽间接加热，冷凝水通过管道回流供热单位。配料用水烘干后全部损耗。废水主要为生活污水和设备清洗废水。设备清洗废水经企业污水处理站处理后与生活污水通过市政污水管网排入泗水国祯水务有限公司深度处理。</w:t>
            </w:r>
          </w:p>
          <w:p w14:paraId="5A7304D3">
            <w:pPr>
              <w:pStyle w:val="52"/>
              <w:keepNext w:val="0"/>
              <w:keepLines w:val="0"/>
              <w:numPr>
                <w:ilvl w:val="0"/>
                <w:numId w:val="5"/>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生活污水</w:t>
            </w:r>
          </w:p>
          <w:p w14:paraId="617F6FEF">
            <w:pPr>
              <w:pStyle w:val="52"/>
              <w:keepNext w:val="0"/>
              <w:keepLines w:val="0"/>
              <w:numPr>
                <w:ilvl w:val="0"/>
                <w:numId w:val="0"/>
              </w:numPr>
              <w:suppressLineNumbers w:val="0"/>
              <w:spacing w:before="0" w:beforeAutospacing="0" w:after="0" w:afterAutospacing="0" w:line="360" w:lineRule="auto"/>
              <w:ind w:left="420" w:leftChars="200" w:right="0" w:rightChars="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生活污水按用水量的80%计算，则生活污水产生量为</w:t>
            </w:r>
            <w:r>
              <w:rPr>
                <w:rFonts w:hint="eastAsia" w:ascii="Times New Roman" w:cs="Times New Roman"/>
                <w:color w:val="auto"/>
                <w:sz w:val="24"/>
                <w:szCs w:val="24"/>
                <w:lang w:val="en-US" w:eastAsia="zh-CN"/>
              </w:rPr>
              <w:t>0.4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eastAsia" w:ascii="Times New Roman" w:cs="Times New Roman"/>
                <w:color w:val="auto"/>
                <w:sz w:val="24"/>
                <w:szCs w:val="24"/>
                <w:lang w:val="en-US" w:eastAsia="zh-CN"/>
              </w:rPr>
              <w:t>120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r>
              <w:rPr>
                <w:rFonts w:hint="default" w:ascii="Times New Roman" w:hAnsi="Times New Roman" w:cs="Times New Roman"/>
                <w:bCs/>
                <w:color w:val="auto"/>
                <w:kern w:val="0"/>
                <w:sz w:val="24"/>
                <w:szCs w:val="24"/>
              </w:rPr>
              <w:t>。</w:t>
            </w:r>
          </w:p>
          <w:p w14:paraId="38837E6E">
            <w:pPr>
              <w:pStyle w:val="52"/>
              <w:keepNext w:val="0"/>
              <w:keepLines w:val="0"/>
              <w:numPr>
                <w:ilvl w:val="0"/>
                <w:numId w:val="0"/>
              </w:numPr>
              <w:suppressLineNumbers w:val="0"/>
              <w:spacing w:before="0" w:beforeAutospacing="0" w:after="0" w:afterAutospacing="0" w:line="360" w:lineRule="auto"/>
              <w:ind w:left="420" w:leftChars="200" w:right="0" w:rightChars="0"/>
              <w:rPr>
                <w:rFonts w:hint="default" w:ascii="Times New Roman" w:hAnsi="Times New Roman" w:cs="Times New Roman"/>
                <w:color w:val="auto"/>
                <w:sz w:val="24"/>
                <w:szCs w:val="24"/>
                <w:lang w:val="en-US" w:eastAsia="zh-CN"/>
              </w:rPr>
            </w:pPr>
            <w:r>
              <w:rPr>
                <w:rFonts w:hint="eastAsia" w:asci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设备清洗废水</w:t>
            </w:r>
          </w:p>
          <w:p w14:paraId="369E5C6B">
            <w:pPr>
              <w:pStyle w:val="52"/>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考虑到蒸发损耗、设备带水，本环节产污系数按0.8计</w:t>
            </w:r>
            <w:r>
              <w:rPr>
                <w:rFonts w:hint="default" w:ascii="Times New Roman" w:hAnsi="Times New Roman" w:cs="Times New Roman"/>
                <w:color w:val="auto"/>
                <w:kern w:val="0"/>
                <w:sz w:val="24"/>
                <w:szCs w:val="24"/>
                <w:lang w:val="en-US" w:eastAsia="zh-CN" w:bidi="ar"/>
              </w:rPr>
              <w:t>，</w:t>
            </w:r>
            <w:r>
              <w:rPr>
                <w:rFonts w:hint="default" w:ascii="Times New Roman" w:hAnsi="Times New Roman" w:cs="Times New Roman"/>
                <w:color w:val="auto"/>
                <w:sz w:val="24"/>
                <w:szCs w:val="24"/>
                <w:lang w:val="en-US" w:eastAsia="zh-CN"/>
              </w:rPr>
              <w:t>则设备清洗废水产生量为</w:t>
            </w:r>
            <w:r>
              <w:rPr>
                <w:rFonts w:hint="eastAsia" w:ascii="Times New Roman" w:hAnsi="Times New Roman" w:cs="Times New Roman"/>
                <w:color w:val="auto"/>
                <w:sz w:val="24"/>
                <w:szCs w:val="24"/>
                <w:lang w:val="en-US" w:eastAsia="zh-CN"/>
              </w:rPr>
              <w:t>0.26</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76.8</w:t>
            </w:r>
            <w:r>
              <w:rPr>
                <w:rFonts w:hint="default" w:ascii="Times New Roman" w:hAnsi="Times New Roman" w:cs="Times New Roman"/>
                <w:color w:val="auto"/>
                <w:sz w:val="24"/>
                <w:szCs w:val="24"/>
                <w:lang w:val="en-US" w:eastAsia="zh-CN"/>
              </w:rPr>
              <w:t>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r>
              <w:rPr>
                <w:rFonts w:hint="default" w:ascii="Times New Roman" w:hAnsi="Times New Roman" w:cs="Times New Roman"/>
                <w:bCs/>
                <w:color w:val="auto"/>
                <w:kern w:val="0"/>
                <w:sz w:val="24"/>
                <w:szCs w:val="24"/>
              </w:rPr>
              <w:t>。</w:t>
            </w:r>
          </w:p>
          <w:p w14:paraId="3042B475">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32"/>
                <w:lang w:val="en-US" w:eastAsia="zh-CN"/>
              </w:rPr>
            </w:pPr>
            <w:r>
              <w:rPr>
                <w:rFonts w:hint="eastAsia" w:cs="Times New Roman"/>
                <w:color w:val="auto"/>
                <w:sz w:val="24"/>
                <w:szCs w:val="32"/>
                <w:lang w:val="en-US" w:eastAsia="zh-CN"/>
              </w:rPr>
              <w:t>综上所述，本项目废水产生总量为</w:t>
            </w:r>
            <w:r>
              <w:rPr>
                <w:rFonts w:hint="eastAsia" w:cs="Times New Roman"/>
                <w:color w:val="auto"/>
                <w:sz w:val="24"/>
                <w:szCs w:val="24"/>
                <w:lang w:val="en-US" w:eastAsia="zh-CN"/>
              </w:rPr>
              <w:t>0.66m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eastAsia" w:cs="Times New Roman"/>
                <w:color w:val="auto"/>
                <w:sz w:val="24"/>
                <w:szCs w:val="24"/>
                <w:lang w:val="en-US" w:eastAsia="zh-CN"/>
              </w:rPr>
              <w:t>196.8</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r>
              <w:rPr>
                <w:rFonts w:hint="eastAsia" w:cs="Times New Roman"/>
                <w:color w:val="auto"/>
                <w:sz w:val="24"/>
                <w:szCs w:val="24"/>
                <w:lang w:val="en-US" w:eastAsia="zh-CN"/>
              </w:rPr>
              <w:t>。</w:t>
            </w:r>
          </w:p>
          <w:p w14:paraId="7DB60D83">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项目废水产生情况见下表。</w:t>
            </w:r>
          </w:p>
          <w:p w14:paraId="0C00A2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506" w:firstLineChars="200"/>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color w:val="auto"/>
                <w:spacing w:val="6"/>
                <w:sz w:val="24"/>
                <w:szCs w:val="24"/>
                <w:highlight w:val="none"/>
                <w:u w:val="none" w:color="auto"/>
                <w:lang w:val="en-US" w:eastAsia="zh-CN"/>
              </w:rPr>
              <w:t>表2-</w:t>
            </w:r>
            <w:r>
              <w:rPr>
                <w:rFonts w:hint="eastAsia" w:cs="Times New Roman"/>
                <w:b/>
                <w:color w:val="auto"/>
                <w:spacing w:val="6"/>
                <w:sz w:val="24"/>
                <w:szCs w:val="24"/>
                <w:highlight w:val="none"/>
                <w:u w:val="none" w:color="auto"/>
                <w:lang w:val="en-US" w:eastAsia="zh-CN"/>
              </w:rPr>
              <w:t>6</w:t>
            </w:r>
            <w:r>
              <w:rPr>
                <w:rFonts w:hint="default" w:ascii="Times New Roman" w:hAnsi="Times New Roman" w:eastAsia="宋体" w:cs="Times New Roman"/>
                <w:b/>
                <w:color w:val="auto"/>
                <w:spacing w:val="6"/>
                <w:sz w:val="24"/>
                <w:szCs w:val="24"/>
                <w:highlight w:val="none"/>
                <w:u w:val="none" w:color="auto"/>
                <w:lang w:val="en-US" w:eastAsia="zh-CN"/>
              </w:rPr>
              <w:t xml:space="preserve"> </w:t>
            </w:r>
            <w:r>
              <w:rPr>
                <w:rFonts w:hint="eastAsia" w:ascii="Times New Roman" w:hAnsi="Times New Roman" w:cs="Times New Roman"/>
                <w:b/>
                <w:color w:val="auto"/>
                <w:spacing w:val="6"/>
                <w:sz w:val="24"/>
                <w:szCs w:val="24"/>
                <w:highlight w:val="none"/>
                <w:u w:val="none" w:color="auto"/>
                <w:lang w:val="en-US" w:eastAsia="zh-CN"/>
              </w:rPr>
              <w:t xml:space="preserve"> </w:t>
            </w:r>
            <w:r>
              <w:rPr>
                <w:rFonts w:hint="default" w:ascii="Times New Roman" w:hAnsi="Times New Roman" w:eastAsia="宋体" w:cs="Times New Roman"/>
                <w:b/>
                <w:color w:val="auto"/>
                <w:spacing w:val="6"/>
                <w:sz w:val="24"/>
                <w:szCs w:val="24"/>
                <w:highlight w:val="none"/>
                <w:u w:val="none" w:color="auto"/>
              </w:rPr>
              <w:t>项目废水产生及排放情况一览表</w:t>
            </w:r>
            <w:r>
              <w:rPr>
                <w:rFonts w:hint="default" w:ascii="Times New Roman" w:hAnsi="Times New Roman" w:eastAsia="宋体" w:cs="Times New Roman"/>
                <w:b/>
                <w:color w:val="auto"/>
                <w:spacing w:val="6"/>
                <w:sz w:val="24"/>
                <w:szCs w:val="24"/>
                <w:highlight w:val="none"/>
                <w:u w:val="none" w:color="auto"/>
                <w:lang w:val="en-US" w:eastAsia="zh-CN"/>
              </w:rPr>
              <w:t xml:space="preserve">       </w:t>
            </w:r>
            <w:r>
              <w:rPr>
                <w:rFonts w:hint="default" w:ascii="Times New Roman" w:hAnsi="Times New Roman" w:eastAsia="宋体" w:cs="Times New Roman"/>
                <w:b/>
                <w:color w:val="auto"/>
                <w:spacing w:val="6"/>
                <w:sz w:val="24"/>
                <w:szCs w:val="24"/>
                <w:highlight w:val="none"/>
                <w:u w:val="none" w:color="auto"/>
                <w:lang w:eastAsia="zh-CN"/>
              </w:rPr>
              <w:t>单位：</w:t>
            </w:r>
            <w:r>
              <w:rPr>
                <w:rFonts w:hint="default" w:ascii="Times New Roman" w:hAnsi="Times New Roman" w:eastAsia="宋体" w:cs="Times New Roman"/>
                <w:b/>
                <w:bCs/>
                <w:color w:val="auto"/>
                <w:sz w:val="22"/>
                <w:szCs w:val="22"/>
                <w:highlight w:val="none"/>
                <w:u w:val="none" w:color="auto"/>
                <w:lang w:val="en-US" w:eastAsia="zh-CN"/>
              </w:rPr>
              <w:t>m</w:t>
            </w:r>
            <w:r>
              <w:rPr>
                <w:rFonts w:hint="default" w:ascii="Times New Roman" w:hAnsi="Times New Roman" w:eastAsia="宋体" w:cs="Times New Roman"/>
                <w:b/>
                <w:bCs/>
                <w:color w:val="auto"/>
                <w:sz w:val="22"/>
                <w:szCs w:val="22"/>
                <w:highlight w:val="none"/>
                <w:u w:val="none" w:color="auto"/>
                <w:vertAlign w:val="superscript"/>
                <w:lang w:val="en-US" w:eastAsia="zh-CN"/>
              </w:rPr>
              <w:t>3</w:t>
            </w:r>
            <w:r>
              <w:rPr>
                <w:rFonts w:hint="default" w:ascii="Times New Roman" w:hAnsi="Times New Roman" w:eastAsia="宋体" w:cs="Times New Roman"/>
                <w:b/>
                <w:bCs/>
                <w:color w:val="auto"/>
                <w:sz w:val="22"/>
                <w:szCs w:val="22"/>
                <w:highlight w:val="none"/>
                <w:u w:val="none" w:color="auto"/>
                <w:lang w:val="en-US" w:eastAsia="zh-CN"/>
              </w:rPr>
              <w:t>/d</w:t>
            </w:r>
          </w:p>
          <w:tbl>
            <w:tblPr>
              <w:tblStyle w:val="34"/>
              <w:tblW w:w="47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221"/>
              <w:gridCol w:w="1208"/>
              <w:gridCol w:w="775"/>
              <w:gridCol w:w="926"/>
              <w:gridCol w:w="1013"/>
              <w:gridCol w:w="1707"/>
            </w:tblGrid>
            <w:tr w14:paraId="347EE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26" w:type="pct"/>
                  <w:tcBorders>
                    <w:tl2br w:val="nil"/>
                    <w:tr2bl w:val="nil"/>
                  </w:tcBorders>
                  <w:noWrap w:val="0"/>
                  <w:vAlign w:val="center"/>
                </w:tcPr>
                <w:p w14:paraId="39B8544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lang w:val="en-GB"/>
                    </w:rPr>
                  </w:pPr>
                  <w:r>
                    <w:rPr>
                      <w:rFonts w:hint="default" w:ascii="Times New Roman" w:hAnsi="Times New Roman" w:eastAsia="宋体" w:cs="Times New Roman"/>
                      <w:b/>
                      <w:bCs/>
                      <w:color w:val="auto"/>
                      <w:sz w:val="21"/>
                      <w:szCs w:val="21"/>
                      <w:highlight w:val="none"/>
                      <w:u w:val="none" w:color="auto"/>
                      <w:lang w:val="en-GB"/>
                    </w:rPr>
                    <w:t>序号</w:t>
                  </w:r>
                </w:p>
              </w:tc>
              <w:tc>
                <w:tcPr>
                  <w:tcW w:w="815" w:type="pct"/>
                  <w:tcBorders>
                    <w:tl2br w:val="nil"/>
                    <w:tr2bl w:val="nil"/>
                  </w:tcBorders>
                  <w:noWrap w:val="0"/>
                  <w:vAlign w:val="center"/>
                </w:tcPr>
                <w:p w14:paraId="46A8B8F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lang w:val="en-GB"/>
                    </w:rPr>
                  </w:pPr>
                  <w:r>
                    <w:rPr>
                      <w:rFonts w:hint="default" w:ascii="Times New Roman" w:hAnsi="Times New Roman" w:eastAsia="宋体" w:cs="Times New Roman"/>
                      <w:b/>
                      <w:bCs/>
                      <w:color w:val="auto"/>
                      <w:sz w:val="21"/>
                      <w:szCs w:val="21"/>
                      <w:highlight w:val="none"/>
                      <w:u w:val="none" w:color="auto"/>
                      <w:lang w:val="en-GB" w:eastAsia="zh-CN"/>
                    </w:rPr>
                    <w:t>废水种类</w:t>
                  </w:r>
                </w:p>
              </w:tc>
              <w:tc>
                <w:tcPr>
                  <w:tcW w:w="806" w:type="pct"/>
                  <w:tcBorders>
                    <w:tl2br w:val="nil"/>
                    <w:tr2bl w:val="nil"/>
                  </w:tcBorders>
                  <w:noWrap w:val="0"/>
                  <w:vAlign w:val="center"/>
                </w:tcPr>
                <w:p w14:paraId="4BAEA4C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lang w:val="en-GB" w:eastAsia="zh-CN"/>
                    </w:rPr>
                  </w:pPr>
                  <w:r>
                    <w:rPr>
                      <w:rFonts w:hint="default" w:ascii="Times New Roman" w:hAnsi="Times New Roman" w:eastAsia="宋体" w:cs="Times New Roman"/>
                      <w:b/>
                      <w:bCs/>
                      <w:color w:val="auto"/>
                      <w:sz w:val="21"/>
                      <w:szCs w:val="21"/>
                      <w:highlight w:val="none"/>
                      <w:u w:val="none" w:color="auto"/>
                      <w:lang w:val="en-GB" w:eastAsia="zh-CN"/>
                    </w:rPr>
                    <w:t>用水量</w:t>
                  </w:r>
                </w:p>
              </w:tc>
              <w:tc>
                <w:tcPr>
                  <w:tcW w:w="517" w:type="pct"/>
                  <w:tcBorders>
                    <w:tl2br w:val="nil"/>
                    <w:tr2bl w:val="nil"/>
                  </w:tcBorders>
                  <w:noWrap w:val="0"/>
                  <w:vAlign w:val="center"/>
                </w:tcPr>
                <w:p w14:paraId="38B6B2F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lang w:val="en-GB"/>
                    </w:rPr>
                  </w:pPr>
                  <w:r>
                    <w:rPr>
                      <w:rFonts w:hint="default" w:ascii="Times New Roman" w:hAnsi="Times New Roman" w:eastAsia="宋体" w:cs="Times New Roman"/>
                      <w:b/>
                      <w:bCs/>
                      <w:color w:val="auto"/>
                      <w:sz w:val="21"/>
                      <w:szCs w:val="21"/>
                      <w:highlight w:val="none"/>
                      <w:u w:val="none" w:color="auto"/>
                      <w:lang w:val="en-GB"/>
                    </w:rPr>
                    <w:t>排污</w:t>
                  </w:r>
                </w:p>
                <w:p w14:paraId="16BFE34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lang w:val="en-GB"/>
                    </w:rPr>
                  </w:pPr>
                  <w:r>
                    <w:rPr>
                      <w:rFonts w:hint="default" w:ascii="Times New Roman" w:hAnsi="Times New Roman" w:eastAsia="宋体" w:cs="Times New Roman"/>
                      <w:b/>
                      <w:bCs/>
                      <w:color w:val="auto"/>
                      <w:sz w:val="21"/>
                      <w:szCs w:val="21"/>
                      <w:highlight w:val="none"/>
                      <w:u w:val="none" w:color="auto"/>
                      <w:lang w:val="en-GB"/>
                    </w:rPr>
                    <w:t>系数</w:t>
                  </w:r>
                </w:p>
              </w:tc>
              <w:tc>
                <w:tcPr>
                  <w:tcW w:w="618" w:type="pct"/>
                  <w:tcBorders>
                    <w:tl2br w:val="nil"/>
                    <w:tr2bl w:val="nil"/>
                  </w:tcBorders>
                  <w:noWrap w:val="0"/>
                  <w:vAlign w:val="center"/>
                </w:tcPr>
                <w:p w14:paraId="4983728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lang w:val="en-GB" w:eastAsia="zh-CN"/>
                    </w:rPr>
                  </w:pPr>
                  <w:r>
                    <w:rPr>
                      <w:rFonts w:hint="default" w:ascii="Times New Roman" w:hAnsi="Times New Roman" w:eastAsia="宋体" w:cs="Times New Roman"/>
                      <w:b/>
                      <w:bCs/>
                      <w:color w:val="auto"/>
                      <w:sz w:val="21"/>
                      <w:szCs w:val="21"/>
                      <w:highlight w:val="none"/>
                      <w:u w:val="none" w:color="auto"/>
                      <w:lang w:val="en-GB" w:eastAsia="zh-CN"/>
                    </w:rPr>
                    <w:t>损耗量</w:t>
                  </w:r>
                </w:p>
              </w:tc>
              <w:tc>
                <w:tcPr>
                  <w:tcW w:w="676" w:type="pct"/>
                  <w:tcBorders>
                    <w:tl2br w:val="nil"/>
                    <w:tr2bl w:val="nil"/>
                  </w:tcBorders>
                  <w:noWrap w:val="0"/>
                  <w:vAlign w:val="center"/>
                </w:tcPr>
                <w:p w14:paraId="4570E71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lang w:val="en-GB" w:eastAsia="zh-CN"/>
                    </w:rPr>
                  </w:pPr>
                  <w:r>
                    <w:rPr>
                      <w:rFonts w:hint="default" w:ascii="Times New Roman" w:hAnsi="Times New Roman" w:eastAsia="宋体" w:cs="Times New Roman"/>
                      <w:b/>
                      <w:bCs/>
                      <w:color w:val="auto"/>
                      <w:sz w:val="21"/>
                      <w:szCs w:val="21"/>
                      <w:highlight w:val="none"/>
                      <w:u w:val="none" w:color="auto"/>
                      <w:lang w:val="en-GB" w:eastAsia="zh-CN"/>
                    </w:rPr>
                    <w:t>污水排放量</w:t>
                  </w:r>
                </w:p>
              </w:tc>
              <w:tc>
                <w:tcPr>
                  <w:tcW w:w="1139" w:type="pct"/>
                  <w:tcBorders>
                    <w:tl2br w:val="nil"/>
                    <w:tr2bl w:val="nil"/>
                  </w:tcBorders>
                  <w:noWrap w:val="0"/>
                  <w:vAlign w:val="center"/>
                </w:tcPr>
                <w:p w14:paraId="482F09D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lang w:val="en-GB" w:eastAsia="zh-CN"/>
                    </w:rPr>
                  </w:pPr>
                  <w:r>
                    <w:rPr>
                      <w:rFonts w:hint="default" w:ascii="Times New Roman" w:hAnsi="Times New Roman" w:eastAsia="宋体" w:cs="Times New Roman"/>
                      <w:b/>
                      <w:bCs/>
                      <w:color w:val="auto"/>
                      <w:sz w:val="21"/>
                      <w:szCs w:val="21"/>
                      <w:highlight w:val="none"/>
                      <w:u w:val="none" w:color="auto"/>
                      <w:lang w:val="en-GB" w:eastAsia="zh-CN"/>
                    </w:rPr>
                    <w:t>排放去向</w:t>
                  </w:r>
                </w:p>
              </w:tc>
            </w:tr>
            <w:tr w14:paraId="46197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26" w:type="pct"/>
                  <w:tcBorders>
                    <w:tl2br w:val="nil"/>
                    <w:tr2bl w:val="nil"/>
                  </w:tcBorders>
                  <w:noWrap w:val="0"/>
                  <w:vAlign w:val="center"/>
                </w:tcPr>
                <w:p w14:paraId="0E7DD9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color="auto"/>
                      <w:lang w:val="en-GB"/>
                    </w:rPr>
                  </w:pPr>
                  <w:r>
                    <w:rPr>
                      <w:rFonts w:hint="default" w:ascii="Times New Roman" w:hAnsi="Times New Roman" w:eastAsia="宋体" w:cs="Times New Roman"/>
                      <w:i w:val="0"/>
                      <w:iCs w:val="0"/>
                      <w:color w:val="auto"/>
                      <w:kern w:val="0"/>
                      <w:sz w:val="21"/>
                      <w:szCs w:val="21"/>
                      <w:u w:val="none"/>
                      <w:lang w:val="en-US" w:eastAsia="zh-CN" w:bidi="ar"/>
                    </w:rPr>
                    <w:t>1</w:t>
                  </w:r>
                </w:p>
              </w:tc>
              <w:tc>
                <w:tcPr>
                  <w:tcW w:w="815" w:type="pct"/>
                  <w:tcBorders>
                    <w:tl2br w:val="nil"/>
                    <w:tr2bl w:val="nil"/>
                  </w:tcBorders>
                  <w:noWrap w:val="0"/>
                  <w:vAlign w:val="center"/>
                </w:tcPr>
                <w:p w14:paraId="2632F6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宋体" w:hAnsi="宋体" w:eastAsia="宋体" w:cs="宋体"/>
                      <w:i w:val="0"/>
                      <w:iCs w:val="0"/>
                      <w:color w:val="auto"/>
                      <w:kern w:val="0"/>
                      <w:sz w:val="21"/>
                      <w:szCs w:val="21"/>
                      <w:u w:val="none"/>
                      <w:lang w:val="en-US" w:eastAsia="zh-CN" w:bidi="ar"/>
                    </w:rPr>
                    <w:t>生活用水</w:t>
                  </w:r>
                </w:p>
              </w:tc>
              <w:tc>
                <w:tcPr>
                  <w:tcW w:w="1208" w:type="dxa"/>
                  <w:tcBorders>
                    <w:tl2br w:val="nil"/>
                    <w:tr2bl w:val="nil"/>
                  </w:tcBorders>
                  <w:noWrap w:val="0"/>
                  <w:vAlign w:val="center"/>
                </w:tcPr>
                <w:p w14:paraId="5DE06F7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w:t>
                  </w:r>
                </w:p>
              </w:tc>
              <w:tc>
                <w:tcPr>
                  <w:tcW w:w="775" w:type="dxa"/>
                  <w:tcBorders>
                    <w:tl2br w:val="nil"/>
                    <w:tr2bl w:val="nil"/>
                  </w:tcBorders>
                  <w:noWrap w:val="0"/>
                  <w:vAlign w:val="center"/>
                </w:tcPr>
                <w:p w14:paraId="588C855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926" w:type="dxa"/>
                  <w:tcBorders>
                    <w:tl2br w:val="nil"/>
                    <w:tr2bl w:val="nil"/>
                  </w:tcBorders>
                  <w:noWrap w:val="0"/>
                  <w:vAlign w:val="center"/>
                </w:tcPr>
                <w:p w14:paraId="7BB264F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013" w:type="dxa"/>
                  <w:tcBorders>
                    <w:tl2br w:val="nil"/>
                    <w:tr2bl w:val="nil"/>
                  </w:tcBorders>
                  <w:noWrap w:val="0"/>
                  <w:vAlign w:val="center"/>
                </w:tcPr>
                <w:p w14:paraId="151D4C1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i w:val="0"/>
                      <w:iCs w:val="0"/>
                      <w:color w:val="auto"/>
                      <w:kern w:val="0"/>
                      <w:sz w:val="21"/>
                      <w:szCs w:val="21"/>
                      <w:u w:val="none"/>
                      <w:lang w:val="en-US" w:eastAsia="zh-CN" w:bidi="ar"/>
                    </w:rPr>
                    <w:t>0.4</w:t>
                  </w:r>
                </w:p>
              </w:tc>
              <w:tc>
                <w:tcPr>
                  <w:tcW w:w="1139" w:type="pct"/>
                  <w:vMerge w:val="restart"/>
                  <w:tcBorders>
                    <w:tl2br w:val="nil"/>
                    <w:tr2bl w:val="nil"/>
                  </w:tcBorders>
                  <w:noWrap w:val="0"/>
                  <w:vAlign w:val="center"/>
                </w:tcPr>
                <w:p w14:paraId="2A8B51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宋体" w:hAnsi="宋体" w:eastAsia="宋体" w:cs="宋体"/>
                      <w:i w:val="0"/>
                      <w:iCs w:val="0"/>
                      <w:color w:val="auto"/>
                      <w:kern w:val="0"/>
                      <w:sz w:val="21"/>
                      <w:szCs w:val="21"/>
                      <w:u w:val="none"/>
                      <w:lang w:val="en-US" w:eastAsia="zh-CN" w:bidi="ar"/>
                    </w:rPr>
                    <w:t>设备清洗废水经企业污水处理站处理，尾水与生活污水排入泗水国祯水务有限公司深度处理</w:t>
                  </w:r>
                </w:p>
              </w:tc>
            </w:tr>
            <w:tr w14:paraId="2FA1D0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26" w:type="pct"/>
                  <w:tcBorders>
                    <w:tl2br w:val="nil"/>
                    <w:tr2bl w:val="nil"/>
                  </w:tcBorders>
                  <w:noWrap w:val="0"/>
                  <w:vAlign w:val="center"/>
                </w:tcPr>
                <w:p w14:paraId="55B185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u w:val="none" w:color="auto"/>
                      <w:lang w:val="en-GB" w:eastAsia="zh-CN" w:bidi="ar-SA"/>
                    </w:rPr>
                  </w:pPr>
                  <w:r>
                    <w:rPr>
                      <w:rFonts w:hint="eastAsia" w:ascii="Times New Roman" w:hAnsi="Times New Roman" w:eastAsia="宋体" w:cs="Times New Roman"/>
                      <w:i w:val="0"/>
                      <w:iCs w:val="0"/>
                      <w:color w:val="auto"/>
                      <w:kern w:val="0"/>
                      <w:sz w:val="21"/>
                      <w:szCs w:val="21"/>
                      <w:u w:val="none"/>
                      <w:lang w:val="en-US" w:eastAsia="zh-CN" w:bidi="ar"/>
                    </w:rPr>
                    <w:t>2</w:t>
                  </w:r>
                </w:p>
              </w:tc>
              <w:tc>
                <w:tcPr>
                  <w:tcW w:w="815" w:type="pct"/>
                  <w:tcBorders>
                    <w:tl2br w:val="nil"/>
                    <w:tr2bl w:val="nil"/>
                  </w:tcBorders>
                  <w:noWrap w:val="0"/>
                  <w:vAlign w:val="center"/>
                </w:tcPr>
                <w:p w14:paraId="1347A1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color="auto"/>
                      <w:lang w:val="en-GB" w:eastAsia="zh-CN"/>
                    </w:rPr>
                  </w:pPr>
                  <w:r>
                    <w:rPr>
                      <w:rFonts w:hint="eastAsia" w:ascii="宋体" w:hAnsi="宋体" w:eastAsia="宋体" w:cs="宋体"/>
                      <w:i w:val="0"/>
                      <w:iCs w:val="0"/>
                      <w:color w:val="auto"/>
                      <w:kern w:val="0"/>
                      <w:sz w:val="21"/>
                      <w:szCs w:val="21"/>
                      <w:u w:val="none"/>
                      <w:lang w:val="en-US" w:eastAsia="zh-CN" w:bidi="ar"/>
                    </w:rPr>
                    <w:t>设备清洗用水</w:t>
                  </w:r>
                </w:p>
              </w:tc>
              <w:tc>
                <w:tcPr>
                  <w:tcW w:w="1208" w:type="dxa"/>
                  <w:tcBorders>
                    <w:tl2br w:val="nil"/>
                    <w:tr2bl w:val="nil"/>
                  </w:tcBorders>
                  <w:noWrap w:val="0"/>
                  <w:vAlign w:val="center"/>
                </w:tcPr>
                <w:p w14:paraId="6CD61C7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0.32</w:t>
                  </w:r>
                </w:p>
              </w:tc>
              <w:tc>
                <w:tcPr>
                  <w:tcW w:w="775" w:type="dxa"/>
                  <w:tcBorders>
                    <w:tl2br w:val="nil"/>
                    <w:tr2bl w:val="nil"/>
                  </w:tcBorders>
                  <w:noWrap w:val="0"/>
                  <w:vAlign w:val="center"/>
                </w:tcPr>
                <w:p w14:paraId="5C7B6EE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926" w:type="dxa"/>
                  <w:tcBorders>
                    <w:tl2br w:val="nil"/>
                    <w:tr2bl w:val="nil"/>
                  </w:tcBorders>
                  <w:noWrap w:val="0"/>
                  <w:vAlign w:val="center"/>
                </w:tcPr>
                <w:p w14:paraId="2526DFA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0.064</w:t>
                  </w:r>
                </w:p>
              </w:tc>
              <w:tc>
                <w:tcPr>
                  <w:tcW w:w="1013" w:type="dxa"/>
                  <w:tcBorders>
                    <w:tl2br w:val="nil"/>
                    <w:tr2bl w:val="nil"/>
                  </w:tcBorders>
                  <w:noWrap w:val="0"/>
                  <w:vAlign w:val="center"/>
                </w:tcPr>
                <w:p w14:paraId="1909545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0.26 </w:t>
                  </w:r>
                </w:p>
              </w:tc>
              <w:tc>
                <w:tcPr>
                  <w:tcW w:w="1139" w:type="pct"/>
                  <w:vMerge w:val="continue"/>
                  <w:tcBorders>
                    <w:tl2br w:val="nil"/>
                    <w:tr2bl w:val="nil"/>
                  </w:tcBorders>
                  <w:noWrap w:val="0"/>
                  <w:vAlign w:val="center"/>
                </w:tcPr>
                <w:p w14:paraId="28E55C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p>
              </w:tc>
            </w:tr>
            <w:tr w14:paraId="0DC84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26" w:type="pct"/>
                  <w:tcBorders>
                    <w:tl2br w:val="nil"/>
                    <w:tr2bl w:val="nil"/>
                  </w:tcBorders>
                  <w:noWrap w:val="0"/>
                  <w:vAlign w:val="center"/>
                </w:tcPr>
                <w:p w14:paraId="71E191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p>
              </w:tc>
              <w:tc>
                <w:tcPr>
                  <w:tcW w:w="815" w:type="pct"/>
                  <w:tcBorders>
                    <w:tl2br w:val="nil"/>
                    <w:tr2bl w:val="nil"/>
                  </w:tcBorders>
                  <w:noWrap w:val="0"/>
                  <w:vAlign w:val="center"/>
                </w:tcPr>
                <w:p w14:paraId="32D01F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配料用水</w:t>
                  </w:r>
                </w:p>
              </w:tc>
              <w:tc>
                <w:tcPr>
                  <w:tcW w:w="1208" w:type="dxa"/>
                  <w:tcBorders>
                    <w:tl2br w:val="nil"/>
                    <w:tr2bl w:val="nil"/>
                  </w:tcBorders>
                  <w:noWrap w:val="0"/>
                  <w:vAlign w:val="center"/>
                </w:tcPr>
                <w:p w14:paraId="2B8258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6.20 </w:t>
                  </w:r>
                </w:p>
              </w:tc>
              <w:tc>
                <w:tcPr>
                  <w:tcW w:w="775" w:type="dxa"/>
                  <w:tcBorders>
                    <w:tl2br w:val="nil"/>
                    <w:tr2bl w:val="nil"/>
                  </w:tcBorders>
                  <w:noWrap w:val="0"/>
                  <w:vAlign w:val="center"/>
                </w:tcPr>
                <w:p w14:paraId="3CD961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926" w:type="dxa"/>
                  <w:tcBorders>
                    <w:tl2br w:val="nil"/>
                    <w:tr2bl w:val="nil"/>
                  </w:tcBorders>
                  <w:noWrap w:val="0"/>
                  <w:vAlign w:val="center"/>
                </w:tcPr>
                <w:p w14:paraId="149E45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6.20 </w:t>
                  </w:r>
                </w:p>
              </w:tc>
              <w:tc>
                <w:tcPr>
                  <w:tcW w:w="1013" w:type="dxa"/>
                  <w:tcBorders>
                    <w:tl2br w:val="nil"/>
                    <w:tr2bl w:val="nil"/>
                  </w:tcBorders>
                  <w:noWrap w:val="0"/>
                  <w:vAlign w:val="center"/>
                </w:tcPr>
                <w:p w14:paraId="55BCA2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 </w:t>
                  </w:r>
                </w:p>
              </w:tc>
              <w:tc>
                <w:tcPr>
                  <w:tcW w:w="1139" w:type="pct"/>
                  <w:tcBorders>
                    <w:tl2br w:val="nil"/>
                    <w:tr2bl w:val="nil"/>
                  </w:tcBorders>
                  <w:noWrap w:val="0"/>
                  <w:vAlign w:val="center"/>
                </w:tcPr>
                <w:p w14:paraId="44D5C2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14:paraId="59EF6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41" w:type="pct"/>
                  <w:gridSpan w:val="2"/>
                  <w:tcBorders>
                    <w:tl2br w:val="nil"/>
                    <w:tr2bl w:val="nil"/>
                  </w:tcBorders>
                  <w:noWrap w:val="0"/>
                  <w:vAlign w:val="center"/>
                </w:tcPr>
                <w:p w14:paraId="609167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u w:val="none" w:color="auto"/>
                      <w:lang w:val="en-GB" w:eastAsia="zh-CN" w:bidi="ar-SA"/>
                    </w:rPr>
                  </w:pPr>
                  <w:r>
                    <w:rPr>
                      <w:rFonts w:hint="eastAsia" w:ascii="宋体" w:hAnsi="宋体" w:eastAsia="宋体" w:cs="宋体"/>
                      <w:i w:val="0"/>
                      <w:iCs w:val="0"/>
                      <w:color w:val="auto"/>
                      <w:kern w:val="0"/>
                      <w:sz w:val="21"/>
                      <w:szCs w:val="21"/>
                      <w:u w:val="none"/>
                      <w:lang w:val="en-US" w:eastAsia="zh-CN" w:bidi="ar"/>
                    </w:rPr>
                    <w:t>合计</w:t>
                  </w:r>
                </w:p>
              </w:tc>
              <w:tc>
                <w:tcPr>
                  <w:tcW w:w="1208" w:type="dxa"/>
                  <w:tcBorders>
                    <w:tl2br w:val="nil"/>
                    <w:tr2bl w:val="nil"/>
                  </w:tcBorders>
                  <w:noWrap w:val="0"/>
                  <w:vAlign w:val="center"/>
                </w:tcPr>
                <w:p w14:paraId="6CDADE8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7.02 </w:t>
                  </w:r>
                </w:p>
              </w:tc>
              <w:tc>
                <w:tcPr>
                  <w:tcW w:w="775" w:type="dxa"/>
                  <w:tcBorders>
                    <w:tl2br w:val="nil"/>
                    <w:tr2bl w:val="nil"/>
                  </w:tcBorders>
                  <w:noWrap w:val="0"/>
                  <w:vAlign w:val="center"/>
                </w:tcPr>
                <w:p w14:paraId="35CBB47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926" w:type="dxa"/>
                  <w:tcBorders>
                    <w:tl2br w:val="nil"/>
                    <w:tr2bl w:val="nil"/>
                  </w:tcBorders>
                  <w:noWrap w:val="0"/>
                  <w:vAlign w:val="center"/>
                </w:tcPr>
                <w:p w14:paraId="532F986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6.36 </w:t>
                  </w:r>
                </w:p>
              </w:tc>
              <w:tc>
                <w:tcPr>
                  <w:tcW w:w="1013" w:type="dxa"/>
                  <w:tcBorders>
                    <w:tl2br w:val="nil"/>
                    <w:tr2bl w:val="nil"/>
                  </w:tcBorders>
                  <w:noWrap w:val="0"/>
                  <w:vAlign w:val="center"/>
                </w:tcPr>
                <w:p w14:paraId="1314567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0.66 </w:t>
                  </w:r>
                </w:p>
              </w:tc>
              <w:tc>
                <w:tcPr>
                  <w:tcW w:w="1139" w:type="pct"/>
                  <w:tcBorders>
                    <w:tl2br w:val="nil"/>
                    <w:tr2bl w:val="nil"/>
                  </w:tcBorders>
                  <w:noWrap w:val="0"/>
                  <w:vAlign w:val="center"/>
                </w:tcPr>
                <w:p w14:paraId="2A8862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bl>
          <w:p w14:paraId="21C58B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eastAsia" w:ascii="Times New Roman" w:hAnsi="Times New Roman" w:cs="Times New Roman"/>
                <w:color w:val="auto"/>
                <w:sz w:val="24"/>
                <w:szCs w:val="32"/>
                <w:lang w:val="en-US" w:eastAsia="zh-CN"/>
              </w:rPr>
            </w:pPr>
          </w:p>
          <w:p w14:paraId="1BA6DFDC">
            <w:pPr>
              <w:pStyle w:val="33"/>
              <w:keepNext w:val="0"/>
              <w:keepLines w:val="0"/>
              <w:pageBreakBefore w:val="0"/>
              <w:widowControl w:val="0"/>
              <w:kinsoku/>
              <w:wordWrap/>
              <w:overflowPunct/>
              <w:topLinePunct w:val="0"/>
              <w:autoSpaceDE/>
              <w:autoSpaceDN/>
              <w:bidi w:val="0"/>
              <w:adjustRightInd/>
              <w:snapToGrid/>
              <w:spacing w:after="0"/>
              <w:ind w:left="0" w:leftChars="0" w:right="0" w:firstLine="0" w:firstLineChars="0"/>
              <w:jc w:val="center"/>
              <w:textAlignment w:val="auto"/>
              <w:rPr>
                <w:rFonts w:hint="eastAsia"/>
                <w:color w:val="auto"/>
                <w:sz w:val="24"/>
                <w:szCs w:val="32"/>
                <w:lang w:val="en-US" w:eastAsia="zh-CN"/>
              </w:rPr>
            </w:pPr>
            <w:r>
              <w:rPr>
                <w:rFonts w:hint="default" w:ascii="Times New Roman" w:hAnsi="Times New Roman" w:cs="Times New Roman" w:eastAsiaTheme="minorEastAsia"/>
                <w:i w:val="0"/>
                <w:iCs w:val="0"/>
                <w:color w:val="auto"/>
                <w:sz w:val="21"/>
                <w:szCs w:val="21"/>
                <w:u w:val="none"/>
              </w:rPr>
              <w:drawing>
                <wp:inline distT="0" distB="0" distL="114300" distR="114300">
                  <wp:extent cx="3982085" cy="3039110"/>
                  <wp:effectExtent l="0" t="0" r="18415" b="8890"/>
                  <wp:docPr id="148" name="F360BE8B-6686-4F3D-AEAF-501FE73E4058-1" descr="C:/Users/Administrator/AppData/Local/Temp/绘图1(10).png绘图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F360BE8B-6686-4F3D-AEAF-501FE73E4058-1" descr="C:/Users/Administrator/AppData/Local/Temp/绘图1(10).png绘图1(10)"/>
                          <pic:cNvPicPr>
                            <a:picLocks noChangeAspect="1"/>
                          </pic:cNvPicPr>
                        </pic:nvPicPr>
                        <pic:blipFill>
                          <a:blip r:embed="rId9"/>
                          <a:stretch>
                            <a:fillRect/>
                          </a:stretch>
                        </pic:blipFill>
                        <pic:spPr>
                          <a:xfrm>
                            <a:off x="0" y="0"/>
                            <a:ext cx="3982212" cy="3038856"/>
                          </a:xfrm>
                          <a:prstGeom prst="rect">
                            <a:avLst/>
                          </a:prstGeom>
                          <a:noFill/>
                          <a:ln>
                            <a:noFill/>
                          </a:ln>
                        </pic:spPr>
                      </pic:pic>
                    </a:graphicData>
                  </a:graphic>
                </wp:inline>
              </w:drawing>
            </w:r>
          </w:p>
          <w:p w14:paraId="2AE5C871">
            <w:pPr>
              <w:keepNext w:val="0"/>
              <w:keepLines w:val="0"/>
              <w:suppressLineNumbers w:val="0"/>
              <w:adjustRightInd w:val="0"/>
              <w:snapToGrid w:val="0"/>
              <w:spacing w:before="0" w:beforeAutospacing="0" w:after="0" w:afterAutospacing="0" w:line="360" w:lineRule="auto"/>
              <w:ind w:left="0" w:right="0" w:firstLine="482" w:firstLineChars="200"/>
              <w:jc w:val="center"/>
              <w:rPr>
                <w:rFonts w:hint="default" w:ascii="Times New Roman" w:hAnsi="Times New Roman" w:cs="Times New Roman"/>
                <w:color w:val="auto"/>
                <w:sz w:val="24"/>
                <w:szCs w:val="32"/>
                <w:lang w:val="en-US" w:eastAsia="zh-CN"/>
              </w:rPr>
            </w:pPr>
            <w:r>
              <w:rPr>
                <w:rFonts w:hint="default" w:ascii="Times New Roman" w:hAnsi="Times New Roman" w:cs="Times New Roman"/>
                <w:b/>
                <w:bCs/>
                <w:color w:val="auto"/>
                <w:sz w:val="24"/>
                <w:szCs w:val="20"/>
                <w:lang w:val="en-US" w:eastAsia="zh-CN"/>
              </w:rPr>
              <w:t>图</w:t>
            </w:r>
            <w:r>
              <w:rPr>
                <w:rFonts w:hint="eastAsia" w:ascii="Times New Roman" w:hAnsi="Times New Roman" w:cs="Times New Roman"/>
                <w:b/>
                <w:bCs/>
                <w:color w:val="auto"/>
                <w:sz w:val="24"/>
                <w:szCs w:val="20"/>
                <w:lang w:val="en-US" w:eastAsia="zh-CN"/>
              </w:rPr>
              <w:t>2-</w:t>
            </w:r>
            <w:r>
              <w:rPr>
                <w:rFonts w:hint="eastAsia" w:cs="Times New Roman"/>
                <w:b/>
                <w:bCs/>
                <w:color w:val="auto"/>
                <w:sz w:val="24"/>
                <w:szCs w:val="20"/>
                <w:lang w:val="en-US" w:eastAsia="zh-CN"/>
              </w:rPr>
              <w:t>1</w:t>
            </w:r>
            <w:r>
              <w:rPr>
                <w:rFonts w:hint="default" w:ascii="Times New Roman" w:hAnsi="Times New Roman" w:cs="Times New Roman"/>
                <w:b/>
                <w:bCs/>
                <w:color w:val="auto"/>
                <w:sz w:val="24"/>
                <w:szCs w:val="20"/>
                <w:lang w:val="en-US" w:eastAsia="zh-CN"/>
              </w:rPr>
              <w:t xml:space="preserve">  项目</w:t>
            </w:r>
            <w:r>
              <w:rPr>
                <w:rFonts w:hint="eastAsia" w:ascii="Times New Roman" w:hAnsi="Times New Roman" w:cs="Times New Roman"/>
                <w:b/>
                <w:bCs/>
                <w:color w:val="auto"/>
                <w:sz w:val="24"/>
                <w:szCs w:val="20"/>
                <w:lang w:val="en-US" w:eastAsia="zh-CN"/>
              </w:rPr>
              <w:t>水平衡图  单位（</w:t>
            </w:r>
            <w:r>
              <w:rPr>
                <w:rFonts w:hint="default" w:ascii="Times New Roman" w:hAnsi="Times New Roman" w:eastAsia="宋体" w:cs="Times New Roman"/>
                <w:b/>
                <w:bCs/>
                <w:color w:val="auto"/>
                <w:sz w:val="24"/>
                <w:szCs w:val="24"/>
                <w:highlight w:val="none"/>
                <w:lang w:val="en-US" w:eastAsia="zh-CN"/>
              </w:rPr>
              <w:t>m</w:t>
            </w:r>
            <w:r>
              <w:rPr>
                <w:rFonts w:hint="default" w:ascii="Times New Roman" w:hAnsi="Times New Roman" w:eastAsia="宋体" w:cs="Times New Roman"/>
                <w:b/>
                <w:bCs/>
                <w:color w:val="auto"/>
                <w:sz w:val="24"/>
                <w:szCs w:val="24"/>
                <w:highlight w:val="none"/>
                <w:vertAlign w:val="superscript"/>
                <w:lang w:val="en-US" w:eastAsia="zh-CN"/>
              </w:rPr>
              <w:t>3</w:t>
            </w: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d</w:t>
            </w:r>
            <w:r>
              <w:rPr>
                <w:rFonts w:hint="eastAsia" w:ascii="Times New Roman" w:hAnsi="Times New Roman" w:cs="Times New Roman"/>
                <w:b/>
                <w:bCs/>
                <w:color w:val="auto"/>
                <w:sz w:val="24"/>
                <w:szCs w:val="20"/>
                <w:lang w:val="en-US" w:eastAsia="zh-CN"/>
              </w:rPr>
              <w:t>）</w:t>
            </w:r>
          </w:p>
          <w:p w14:paraId="3E1A0B85">
            <w:pPr>
              <w:keepNext w:val="0"/>
              <w:keepLines w:val="0"/>
              <w:suppressLineNumbers w:val="0"/>
              <w:adjustRightInd w:val="0"/>
              <w:snapToGrid w:val="0"/>
              <w:spacing w:before="0" w:beforeAutospacing="0" w:after="0" w:afterAutospacing="0" w:line="360" w:lineRule="auto"/>
              <w:ind w:left="0" w:right="0" w:firstLine="482" w:firstLineChars="200"/>
              <w:jc w:val="both"/>
              <w:rPr>
                <w:rFonts w:hint="eastAsia" w:ascii="Times New Roman" w:hAnsi="Times New Roman" w:cs="Times New Roman"/>
                <w:color w:val="auto"/>
                <w:sz w:val="24"/>
                <w:szCs w:val="32"/>
                <w:lang w:val="en-US" w:eastAsia="zh-CN"/>
              </w:rPr>
            </w:pPr>
            <w:r>
              <w:rPr>
                <w:rFonts w:hint="eastAsia" w:cs="Times New Roman"/>
                <w:b/>
                <w:bCs/>
                <w:color w:val="auto"/>
                <w:sz w:val="24"/>
                <w:szCs w:val="32"/>
                <w:lang w:val="en-US" w:eastAsia="zh-CN"/>
              </w:rPr>
              <w:t>5</w:t>
            </w:r>
            <w:r>
              <w:rPr>
                <w:rFonts w:hint="eastAsia" w:ascii="Times New Roman" w:hAnsi="Times New Roman" w:cs="Times New Roman"/>
                <w:b/>
                <w:bCs/>
                <w:color w:val="auto"/>
                <w:sz w:val="24"/>
                <w:szCs w:val="32"/>
                <w:lang w:val="en-US" w:eastAsia="zh-CN"/>
              </w:rPr>
              <w:t>.2供电</w:t>
            </w:r>
          </w:p>
          <w:p w14:paraId="66DD51B5">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cs="Times New Roman"/>
                <w:color w:val="auto"/>
                <w:sz w:val="24"/>
                <w:szCs w:val="32"/>
                <w:lang w:val="en-US" w:eastAsia="zh-CN"/>
              </w:rPr>
            </w:pPr>
            <w:r>
              <w:rPr>
                <w:rFonts w:hint="eastAsia" w:ascii="Times New Roman" w:hAnsi="Times New Roman" w:eastAsia="宋体" w:cs="Times New Roman"/>
                <w:color w:val="auto"/>
                <w:sz w:val="24"/>
                <w:szCs w:val="24"/>
                <w:lang w:val="en-US" w:eastAsia="zh-CN"/>
              </w:rPr>
              <w:t>本项目用电由当地供电站供给，其电压及电量能够满足企业生产及生活的需要</w:t>
            </w:r>
            <w:r>
              <w:rPr>
                <w:rFonts w:hint="eastAsia" w:ascii="Times New Roman" w:hAnsi="Times New Roman" w:cs="Times New Roman"/>
                <w:color w:val="auto"/>
                <w:sz w:val="24"/>
                <w:szCs w:val="32"/>
                <w:lang w:val="en-US" w:eastAsia="zh-CN"/>
              </w:rPr>
              <w:t>。</w:t>
            </w:r>
          </w:p>
          <w:p w14:paraId="3108C373">
            <w:pPr>
              <w:keepNext w:val="0"/>
              <w:keepLines w:val="0"/>
              <w:suppressLineNumbers w:val="0"/>
              <w:adjustRightInd w:val="0"/>
              <w:snapToGrid w:val="0"/>
              <w:spacing w:before="0" w:beforeAutospacing="0" w:after="0" w:afterAutospacing="0" w:line="360" w:lineRule="auto"/>
              <w:ind w:left="0" w:right="0" w:firstLine="482" w:firstLineChars="200"/>
              <w:jc w:val="both"/>
              <w:rPr>
                <w:rFonts w:hint="eastAsia" w:ascii="Times New Roman" w:hAnsi="Times New Roman" w:cs="Times New Roman"/>
                <w:b/>
                <w:bCs/>
                <w:color w:val="auto"/>
                <w:sz w:val="24"/>
                <w:szCs w:val="32"/>
                <w:lang w:val="en-US" w:eastAsia="zh-CN"/>
              </w:rPr>
            </w:pPr>
            <w:r>
              <w:rPr>
                <w:rFonts w:hint="eastAsia" w:cs="Times New Roman"/>
                <w:b/>
                <w:bCs/>
                <w:color w:val="auto"/>
                <w:sz w:val="24"/>
                <w:szCs w:val="32"/>
                <w:lang w:val="en-US" w:eastAsia="zh-CN"/>
              </w:rPr>
              <w:t>5</w:t>
            </w:r>
            <w:r>
              <w:rPr>
                <w:rFonts w:hint="eastAsia" w:ascii="Times New Roman" w:hAnsi="Times New Roman" w:cs="Times New Roman"/>
                <w:b/>
                <w:bCs/>
                <w:color w:val="auto"/>
                <w:sz w:val="24"/>
                <w:szCs w:val="32"/>
                <w:lang w:val="en-US" w:eastAsia="zh-CN"/>
              </w:rPr>
              <w:t>.3供热</w:t>
            </w:r>
          </w:p>
          <w:p w14:paraId="458E78FF">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cs="Times New Roman"/>
                <w:color w:val="auto"/>
                <w:sz w:val="24"/>
                <w:szCs w:val="32"/>
                <w:lang w:val="en-US" w:eastAsia="zh-CN"/>
              </w:rPr>
            </w:pPr>
            <w:r>
              <w:rPr>
                <w:rFonts w:hint="eastAsia" w:ascii="Times New Roman" w:hAnsi="Times New Roman" w:cs="Times New Roman"/>
                <w:color w:val="auto"/>
                <w:sz w:val="24"/>
                <w:szCs w:val="32"/>
                <w:lang w:val="en-US" w:eastAsia="zh-CN"/>
              </w:rPr>
              <w:t>项目</w:t>
            </w:r>
            <w:r>
              <w:rPr>
                <w:rFonts w:hint="eastAsia" w:cs="Times New Roman"/>
                <w:color w:val="auto"/>
                <w:sz w:val="24"/>
                <w:szCs w:val="32"/>
                <w:lang w:val="en-US" w:eastAsia="zh-CN"/>
              </w:rPr>
              <w:t>涂布烘干</w:t>
            </w:r>
            <w:r>
              <w:rPr>
                <w:rFonts w:hint="eastAsia" w:ascii="Times New Roman" w:hAnsi="Times New Roman" w:cs="Times New Roman"/>
                <w:color w:val="auto"/>
                <w:sz w:val="24"/>
                <w:szCs w:val="32"/>
                <w:lang w:val="en-US" w:eastAsia="zh-CN"/>
              </w:rPr>
              <w:t>工序由泗水圣源热电有限公司提供蒸汽</w:t>
            </w:r>
            <w:r>
              <w:rPr>
                <w:rFonts w:hint="eastAsia" w:cs="Times New Roman"/>
                <w:color w:val="auto"/>
                <w:sz w:val="24"/>
                <w:szCs w:val="32"/>
                <w:lang w:val="en-US" w:eastAsia="zh-CN"/>
              </w:rPr>
              <w:t>，蒸汽年使用量16000t，其中烘干过程为间接加热，冷凝水通过管道回流供热单位；</w:t>
            </w:r>
            <w:r>
              <w:rPr>
                <w:rFonts w:hint="eastAsia" w:ascii="Times New Roman" w:hAnsi="Times New Roman" w:cs="Times New Roman"/>
                <w:color w:val="auto"/>
                <w:sz w:val="24"/>
                <w:szCs w:val="32"/>
                <w:lang w:val="en-US" w:eastAsia="zh-CN"/>
              </w:rPr>
              <w:t>办公室采用空调供热。</w:t>
            </w:r>
          </w:p>
          <w:p w14:paraId="4AECDB16">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baseline"/>
              <w:rPr>
                <w:rFonts w:hint="eastAsia" w:ascii="Times New Roman" w:hAnsi="Times New Roman"/>
                <w:color w:val="auto"/>
                <w:sz w:val="24"/>
                <w:szCs w:val="22"/>
                <w:lang w:val="en-US" w:eastAsia="zh-CN"/>
              </w:rPr>
            </w:pPr>
            <w:r>
              <w:rPr>
                <w:rFonts w:hint="eastAsia"/>
                <w:b/>
                <w:bCs/>
                <w:color w:val="auto"/>
                <w:sz w:val="24"/>
                <w:szCs w:val="22"/>
                <w:lang w:val="en-US" w:eastAsia="zh-CN"/>
              </w:rPr>
              <w:t>6</w:t>
            </w:r>
            <w:r>
              <w:rPr>
                <w:rFonts w:hint="eastAsia" w:ascii="Times New Roman" w:hAnsi="Times New Roman"/>
                <w:b/>
                <w:bCs/>
                <w:color w:val="auto"/>
                <w:sz w:val="24"/>
                <w:szCs w:val="22"/>
                <w:lang w:val="en-US" w:eastAsia="zh-CN"/>
              </w:rPr>
              <w:t>、劳动动员及工作制度</w:t>
            </w:r>
          </w:p>
          <w:p w14:paraId="27F0E3CE">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baseline"/>
              <w:rPr>
                <w:rFonts w:hint="eastAsia" w:ascii="Times New Roman" w:hAnsi="Times New Roman"/>
                <w:color w:val="auto"/>
                <w:sz w:val="24"/>
                <w:szCs w:val="22"/>
                <w:lang w:val="en-US" w:eastAsia="zh-CN"/>
              </w:rPr>
            </w:pPr>
            <w:r>
              <w:rPr>
                <w:rFonts w:hint="eastAsia" w:ascii="Times New Roman" w:hAnsi="Times New Roman"/>
                <w:color w:val="auto"/>
                <w:sz w:val="24"/>
                <w:szCs w:val="22"/>
                <w:lang w:val="en-US" w:eastAsia="zh-CN"/>
              </w:rPr>
              <w:t>项目劳动定员</w:t>
            </w:r>
            <w:r>
              <w:rPr>
                <w:rFonts w:hint="eastAsia"/>
                <w:color w:val="auto"/>
                <w:sz w:val="24"/>
                <w:szCs w:val="22"/>
                <w:lang w:val="en-US" w:eastAsia="zh-CN"/>
              </w:rPr>
              <w:t>20</w:t>
            </w:r>
            <w:r>
              <w:rPr>
                <w:rFonts w:hint="eastAsia" w:ascii="Times New Roman" w:hAnsi="Times New Roman"/>
                <w:color w:val="auto"/>
                <w:sz w:val="24"/>
                <w:szCs w:val="22"/>
                <w:lang w:val="en-US" w:eastAsia="zh-CN"/>
              </w:rPr>
              <w:t>人，年工作日</w:t>
            </w:r>
            <w:r>
              <w:rPr>
                <w:rFonts w:hint="eastAsia"/>
                <w:color w:val="auto"/>
                <w:sz w:val="24"/>
                <w:szCs w:val="22"/>
                <w:lang w:val="en-US" w:eastAsia="zh-CN"/>
              </w:rPr>
              <w:t>300</w:t>
            </w:r>
            <w:r>
              <w:rPr>
                <w:rFonts w:hint="eastAsia" w:ascii="Times New Roman" w:hAnsi="Times New Roman"/>
                <w:color w:val="auto"/>
                <w:sz w:val="24"/>
                <w:szCs w:val="22"/>
                <w:lang w:val="en-US" w:eastAsia="zh-CN"/>
              </w:rPr>
              <w:t>天，</w:t>
            </w:r>
            <w:r>
              <w:rPr>
                <w:rFonts w:hint="eastAsia"/>
                <w:color w:val="auto"/>
                <w:sz w:val="24"/>
                <w:szCs w:val="22"/>
                <w:lang w:val="en-US" w:eastAsia="zh-CN"/>
              </w:rPr>
              <w:t>单</w:t>
            </w:r>
            <w:r>
              <w:rPr>
                <w:rFonts w:hint="eastAsia" w:ascii="Times New Roman" w:hAnsi="Times New Roman"/>
                <w:color w:val="auto"/>
                <w:sz w:val="24"/>
                <w:szCs w:val="22"/>
                <w:lang w:val="en-US" w:eastAsia="zh-CN"/>
              </w:rPr>
              <w:t>班8小时工作制。</w:t>
            </w:r>
          </w:p>
          <w:p w14:paraId="43AE980F">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baseline"/>
              <w:rPr>
                <w:rFonts w:hint="default" w:ascii="Times New Roman" w:hAnsi="Times New Roman"/>
                <w:b/>
                <w:bCs/>
                <w:color w:val="auto"/>
                <w:sz w:val="24"/>
                <w:szCs w:val="22"/>
                <w:lang w:val="en-US" w:eastAsia="zh-CN"/>
              </w:rPr>
            </w:pPr>
            <w:r>
              <w:rPr>
                <w:rFonts w:hint="eastAsia"/>
                <w:b/>
                <w:bCs/>
                <w:color w:val="auto"/>
                <w:sz w:val="24"/>
                <w:szCs w:val="22"/>
                <w:lang w:val="en-US" w:eastAsia="zh-CN"/>
              </w:rPr>
              <w:t>7</w:t>
            </w:r>
            <w:r>
              <w:rPr>
                <w:rFonts w:hint="eastAsia" w:ascii="Times New Roman" w:hAnsi="Times New Roman"/>
                <w:b/>
                <w:bCs/>
                <w:color w:val="auto"/>
                <w:sz w:val="24"/>
                <w:szCs w:val="22"/>
                <w:lang w:val="en-US" w:eastAsia="zh-CN"/>
              </w:rPr>
              <w:t>、平面布置</w:t>
            </w:r>
          </w:p>
          <w:p w14:paraId="5CB8F0F1">
            <w:pPr>
              <w:pStyle w:val="107"/>
              <w:keepNext w:val="0"/>
              <w:keepLines w:val="0"/>
              <w:suppressLineNumbers w:val="0"/>
              <w:spacing w:before="0" w:beforeAutospacing="0" w:after="0" w:afterAutospacing="0"/>
              <w:ind w:left="0" w:right="0" w:firstLine="48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color w:val="auto"/>
                <w:sz w:val="24"/>
                <w:highlight w:val="none"/>
                <w:lang w:val="en-US" w:eastAsia="zh-CN"/>
              </w:rPr>
              <w:t>本项目位于</w:t>
            </w:r>
            <w:r>
              <w:rPr>
                <w:rFonts w:hint="default" w:ascii="Times New Roman" w:hAnsi="Times New Roman" w:cs="Times New Roman"/>
                <w:color w:val="auto"/>
                <w:sz w:val="24"/>
                <w:szCs w:val="24"/>
                <w:lang w:val="en-US" w:eastAsia="zh-CN"/>
              </w:rPr>
              <w:t>山东省济宁市</w:t>
            </w:r>
            <w:r>
              <w:rPr>
                <w:rFonts w:hint="eastAsia" w:ascii="Times New Roman" w:hAnsi="Times New Roman" w:cs="Times New Roman"/>
                <w:color w:val="auto"/>
                <w:sz w:val="24"/>
                <w:szCs w:val="24"/>
                <w:lang w:val="en-US" w:eastAsia="zh-CN"/>
              </w:rPr>
              <w:t>泗水经济开发区娃哈哈食品有限公司西侧，泉音路以南、泉福路以北、圣和路以东</w:t>
            </w:r>
            <w:r>
              <w:rPr>
                <w:rFonts w:hint="default" w:ascii="Times New Roman" w:hAnsi="Times New Roman" w:cs="Times New Roman"/>
                <w:color w:val="auto"/>
                <w:sz w:val="24"/>
                <w:szCs w:val="24"/>
                <w:lang w:val="en-US" w:eastAsia="zh-CN"/>
              </w:rPr>
              <w:t>。新建厂房，占地面积</w:t>
            </w:r>
            <w:r>
              <w:rPr>
                <w:rFonts w:hint="eastAsia" w:ascii="Times New Roman" w:hAnsi="Times New Roman" w:cs="Times New Roman"/>
                <w:color w:val="auto"/>
                <w:sz w:val="24"/>
                <w:szCs w:val="24"/>
                <w:lang w:val="en-US" w:eastAsia="zh-CN"/>
              </w:rPr>
              <w:t>19259.47</w:t>
            </w:r>
            <w:r>
              <w:rPr>
                <w:rFonts w:hint="default" w:ascii="Times New Roman" w:hAnsi="Times New Roman" w:cs="Times New Roman"/>
                <w:color w:val="auto"/>
                <w:sz w:val="24"/>
                <w:szCs w:val="24"/>
                <w:lang w:val="en-US" w:eastAsia="zh-CN"/>
              </w:rPr>
              <w:t>平方米，建筑面积11633.92平方米</w:t>
            </w:r>
            <w:r>
              <w:rPr>
                <w:rFonts w:hint="default" w:ascii="Times New Roman" w:hAnsi="Times New Roman" w:cs="Times New Roman"/>
                <w:color w:val="auto"/>
                <w:sz w:val="24"/>
                <w:highlight w:val="none"/>
                <w:lang w:val="en-US" w:eastAsia="zh-CN"/>
              </w:rPr>
              <w:t>。</w:t>
            </w:r>
          </w:p>
          <w:p w14:paraId="1A8F1A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项目平面布置按照生产工艺流程布置，功能分区明确，交通顺畅，布置紧凑；人货流动畅通，并充分考虑到工程行业特点、安全间距、卫生防护、货物运输和防火需要，各装置区之间留有足够的安全间距，避免相互影响，其平面布置基本合理。项目地理位置见附图1</w:t>
            </w:r>
            <w:r>
              <w:rPr>
                <w:rFonts w:hint="eastAsia" w:ascii="Times New Roman" w:hAnsi="Times New Roman" w:eastAsia="宋体" w:cs="Times New Roman"/>
                <w:b w:val="0"/>
                <w:bCs w:val="0"/>
                <w:color w:val="auto"/>
                <w:kern w:val="2"/>
                <w:sz w:val="24"/>
                <w:szCs w:val="24"/>
                <w:highlight w:val="none"/>
                <w:lang w:val="en-US" w:eastAsia="zh-CN" w:bidi="ar-SA"/>
              </w:rPr>
              <w:t>，平面布置图见附图2</w:t>
            </w:r>
            <w:r>
              <w:rPr>
                <w:rFonts w:hint="eastAsia" w:cs="Times New Roman"/>
                <w:b w:val="0"/>
                <w:bCs w:val="0"/>
                <w:color w:val="auto"/>
                <w:kern w:val="2"/>
                <w:sz w:val="24"/>
                <w:szCs w:val="24"/>
                <w:highlight w:val="none"/>
                <w:lang w:val="en-US" w:eastAsia="zh-CN" w:bidi="ar-SA"/>
              </w:rPr>
              <w:t>和附图3</w:t>
            </w:r>
            <w:r>
              <w:rPr>
                <w:rFonts w:hint="eastAsia" w:ascii="Times New Roman" w:hAnsi="Times New Roman" w:eastAsia="宋体" w:cs="Times New Roman"/>
                <w:color w:val="auto"/>
                <w:sz w:val="24"/>
                <w:szCs w:val="24"/>
                <w:highlight w:val="none"/>
                <w:lang w:val="en-US" w:eastAsia="zh-CN"/>
              </w:rPr>
              <w:t>。</w:t>
            </w:r>
          </w:p>
        </w:tc>
      </w:tr>
      <w:tr w14:paraId="5D0DB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0FF79D16">
            <w:pPr>
              <w:pStyle w:val="30"/>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4"/>
                <w:szCs w:val="24"/>
              </w:rPr>
              <w:t>工艺流程和产排污环节</w:t>
            </w:r>
          </w:p>
        </w:tc>
        <w:tc>
          <w:tcPr>
            <w:tcW w:w="8161" w:type="dxa"/>
            <w:noWrap w:val="0"/>
            <w:vAlign w:val="top"/>
          </w:tcPr>
          <w:p w14:paraId="518D5EF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48" w:lineRule="auto"/>
              <w:ind w:left="0" w:right="0"/>
              <w:jc w:val="left"/>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一、施工期</w:t>
            </w:r>
          </w:p>
          <w:p w14:paraId="02E938B4">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包括下列几个阶段：基础工程阶段，包括建筑物拆除（场地平整）、打桩、砌筑基础等；主体工程阶段，包括钢筋、钢木工程、砌体工程和装修等；扫尾阶段，包括回填土方、修路、清理现场等。项目施工期会产生扬尘、噪声、施工废水和建筑垃圾、生活垃圾等。</w:t>
            </w:r>
          </w:p>
          <w:p w14:paraId="0123909A">
            <w:pPr>
              <w:keepNext w:val="0"/>
              <w:keepLines w:val="0"/>
              <w:suppressLineNumbers w:val="0"/>
              <w:tabs>
                <w:tab w:val="right" w:pos="8867"/>
              </w:tabs>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8"/>
                <w:highlight w:val="none"/>
              </w:rPr>
            </w:pPr>
            <w:r>
              <w:rPr>
                <w:rFonts w:hint="default" w:ascii="Times New Roman" w:hAnsi="Times New Roman" w:eastAsia="楷体_GB2312" w:cs="Times New Roman"/>
                <w:color w:val="auto"/>
                <w:sz w:val="24"/>
                <w:highlight w:val="none"/>
                <w:lang w:val="zh-CN"/>
              </w:rPr>
              <w:pict>
                <v:shape id="对象 208" o:spid="_x0000_s2050" o:spt="75" type="#_x0000_t75" style="position:absolute;left:0pt;margin-left:39.7pt;margin-top:16.15pt;height:132.2pt;width:312.6pt;z-index:-251656192;mso-width-relative:page;mso-height-relative:page;" o:ole="t" fillcolor="#FFFFFF" filled="t" o:preferrelative="t" stroked="f" coordsize="21600,21600">
                  <v:path/>
                  <v:fill on="t" color2="#FFFFFF" focussize="0,0"/>
                  <v:stroke on="f"/>
                  <v:imagedata r:id="rId11" o:title=""/>
                  <o:lock v:ext="edit" aspectratio="t"/>
                </v:shape>
                <o:OLEObject Type="Embed" ProgID="" ShapeID="对象 208" DrawAspect="Content" ObjectID="_1468075725" r:id="rId10">
                  <o:LockedField>false</o:LockedField>
                </o:OLEObject>
              </w:pict>
            </w:r>
            <w:r>
              <w:rPr>
                <w:rFonts w:hint="default" w:ascii="Times New Roman" w:hAnsi="Times New Roman" w:eastAsia="宋体" w:cs="Times New Roman"/>
                <w:color w:val="auto"/>
                <w:sz w:val="28"/>
                <w:highlight w:val="none"/>
              </w:rPr>
              <mc:AlternateContent>
                <mc:Choice Requires="wpg">
                  <w:drawing>
                    <wp:anchor distT="0" distB="0" distL="114300" distR="114300" simplePos="0" relativeHeight="251662336" behindDoc="0" locked="0" layoutInCell="1" allowOverlap="1">
                      <wp:simplePos x="0" y="0"/>
                      <wp:positionH relativeFrom="column">
                        <wp:posOffset>13806170</wp:posOffset>
                      </wp:positionH>
                      <wp:positionV relativeFrom="paragraph">
                        <wp:posOffset>241289205</wp:posOffset>
                      </wp:positionV>
                      <wp:extent cx="2887345" cy="2250440"/>
                      <wp:effectExtent l="5080" t="0" r="22225" b="54610"/>
                      <wp:wrapNone/>
                      <wp:docPr id="41" name="组合 41"/>
                      <wp:cNvGraphicFramePr/>
                      <a:graphic xmlns:a="http://schemas.openxmlformats.org/drawingml/2006/main">
                        <a:graphicData uri="http://schemas.microsoft.com/office/word/2010/wordprocessingGroup">
                          <wpg:wgp>
                            <wpg:cNvGrpSpPr/>
                            <wpg:grpSpPr>
                              <a:xfrm>
                                <a:off x="0" y="0"/>
                                <a:ext cx="2887345" cy="2250440"/>
                                <a:chOff x="7591" y="364837"/>
                                <a:chExt cx="4547" cy="1562"/>
                              </a:xfrm>
                            </wpg:grpSpPr>
                            <wps:wsp>
                              <wps:cNvPr id="24" name="文本框 24"/>
                              <wps:cNvSpPr txBox="1"/>
                              <wps:spPr>
                                <a:xfrm>
                                  <a:off x="7591" y="366144"/>
                                  <a:ext cx="1013" cy="181"/>
                                </a:xfrm>
                                <a:prstGeom prst="rect">
                                  <a:avLst/>
                                </a:prstGeom>
                                <a:noFill/>
                                <a:ln w="9525" cap="flat" cmpd="sng">
                                  <a:solidFill>
                                    <a:srgbClr val="000000"/>
                                  </a:solidFill>
                                  <a:prstDash val="solid"/>
                                  <a:miter/>
                                  <a:headEnd type="none" w="med" len="med"/>
                                  <a:tailEnd type="none" w="med" len="med"/>
                                </a:ln>
                              </wps:spPr>
                              <wps:txbx>
                                <w:txbxContent>
                                  <w:p w14:paraId="0DBDE67F">
                                    <w:pPr>
                                      <w:autoSpaceDE w:val="0"/>
                                      <w:autoSpaceDN w:val="0"/>
                                      <w:adjustRightInd w:val="0"/>
                                      <w:jc w:val="center"/>
                                      <w:rPr>
                                        <w:rFonts w:hint="eastAsia" w:ascii="Gulim" w:hAnsi="Arial" w:eastAsia="宋体" w:cs="Times New Roman"/>
                                        <w:color w:val="000000"/>
                                        <w:sz w:val="20"/>
                                      </w:rPr>
                                    </w:pPr>
                                    <w:r>
                                      <w:rPr>
                                        <w:rFonts w:hint="eastAsia" w:ascii="Gulim" w:hAnsi="Arial" w:eastAsia="宋体" w:cs="Times New Roman"/>
                                        <w:color w:val="000000"/>
                                        <w:sz w:val="20"/>
                                      </w:rPr>
                                      <w:t>场地清理</w:t>
                                    </w:r>
                                  </w:p>
                                </w:txbxContent>
                              </wps:txbx>
                              <wps:bodyPr lIns="0" tIns="43434" rIns="0" bIns="43434" upright="1">
                                <a:spAutoFit/>
                              </wps:bodyPr>
                            </wps:wsp>
                            <wps:wsp>
                              <wps:cNvPr id="25" name="文本框 25"/>
                              <wps:cNvSpPr txBox="1"/>
                              <wps:spPr>
                                <a:xfrm>
                                  <a:off x="9036" y="366158"/>
                                  <a:ext cx="1534" cy="181"/>
                                </a:xfrm>
                                <a:prstGeom prst="rect">
                                  <a:avLst/>
                                </a:prstGeom>
                                <a:noFill/>
                                <a:ln w="9525" cap="flat" cmpd="sng">
                                  <a:solidFill>
                                    <a:srgbClr val="000000"/>
                                  </a:solidFill>
                                  <a:prstDash val="solid"/>
                                  <a:miter/>
                                  <a:headEnd type="none" w="med" len="med"/>
                                  <a:tailEnd type="none" w="med" len="med"/>
                                </a:ln>
                              </wps:spPr>
                              <wps:txbx>
                                <w:txbxContent>
                                  <w:p w14:paraId="35C85486">
                                    <w:pPr>
                                      <w:autoSpaceDE w:val="0"/>
                                      <w:autoSpaceDN w:val="0"/>
                                      <w:adjustRightInd w:val="0"/>
                                      <w:jc w:val="center"/>
                                      <w:rPr>
                                        <w:rFonts w:ascii="Gulim" w:hAnsi="Arial" w:eastAsia="宋体" w:cs="Times New Roman"/>
                                        <w:color w:val="000000"/>
                                        <w:sz w:val="20"/>
                                      </w:rPr>
                                    </w:pPr>
                                    <w:r>
                                      <w:rPr>
                                        <w:rFonts w:hint="eastAsia" w:ascii="Gulim" w:hAnsi="Arial" w:eastAsia="宋体" w:cs="Times New Roman"/>
                                        <w:color w:val="000000"/>
                                        <w:sz w:val="20"/>
                                        <w:lang w:val="zh-CN"/>
                                      </w:rPr>
                                      <w:t>设备（装备）安装</w:t>
                                    </w:r>
                                  </w:p>
                                </w:txbxContent>
                              </wps:txbx>
                              <wps:bodyPr lIns="0" tIns="43434" rIns="0" bIns="43434" upright="1">
                                <a:spAutoFit/>
                              </wps:bodyPr>
                            </wps:wsp>
                            <wps:wsp>
                              <wps:cNvPr id="33" name="文本框 33"/>
                              <wps:cNvSpPr txBox="1"/>
                              <wps:spPr>
                                <a:xfrm>
                                  <a:off x="11004" y="366195"/>
                                  <a:ext cx="1134" cy="181"/>
                                </a:xfrm>
                                <a:prstGeom prst="rect">
                                  <a:avLst/>
                                </a:prstGeom>
                                <a:noFill/>
                                <a:ln w="9525" cap="flat" cmpd="sng">
                                  <a:solidFill>
                                    <a:srgbClr val="000000"/>
                                  </a:solidFill>
                                  <a:prstDash val="solid"/>
                                  <a:miter/>
                                  <a:headEnd type="none" w="med" len="med"/>
                                  <a:tailEnd type="none" w="med" len="med"/>
                                </a:ln>
                              </wps:spPr>
                              <wps:txbx>
                                <w:txbxContent>
                                  <w:p w14:paraId="627EFB6E">
                                    <w:pPr>
                                      <w:autoSpaceDE w:val="0"/>
                                      <w:autoSpaceDN w:val="0"/>
                                      <w:adjustRightInd w:val="0"/>
                                      <w:jc w:val="center"/>
                                      <w:rPr>
                                        <w:rFonts w:ascii="Gulim" w:hAnsi="Arial" w:eastAsia="宋体" w:cs="Times New Roman"/>
                                        <w:color w:val="000000"/>
                                        <w:sz w:val="20"/>
                                        <w:lang w:val="zh-CN"/>
                                      </w:rPr>
                                    </w:pPr>
                                    <w:r>
                                      <w:rPr>
                                        <w:rFonts w:hint="eastAsia" w:ascii="Gulim" w:hAnsi="Arial" w:eastAsia="宋体" w:cs="Times New Roman"/>
                                        <w:color w:val="000000"/>
                                        <w:sz w:val="20"/>
                                        <w:lang w:val="zh-CN"/>
                                      </w:rPr>
                                      <w:t>调试运营</w:t>
                                    </w:r>
                                  </w:p>
                                </w:txbxContent>
                              </wps:txbx>
                              <wps:bodyPr lIns="86868" tIns="43434" rIns="86868" bIns="43434" upright="1">
                                <a:spAutoFit/>
                              </wps:bodyPr>
                            </wps:wsp>
                            <wps:wsp>
                              <wps:cNvPr id="34" name="右大括号 34"/>
                              <wps:cNvSpPr/>
                              <wps:spPr>
                                <a:xfrm rot="-5400000">
                                  <a:off x="9092" y="363929"/>
                                  <a:ext cx="921" cy="3039"/>
                                </a:xfrm>
                                <a:prstGeom prst="rightBrace">
                                  <a:avLst>
                                    <a:gd name="adj1" fmla="val 27497"/>
                                    <a:gd name="adj2" fmla="val 50000"/>
                                  </a:avLst>
                                </a:prstGeom>
                                <a:noFill/>
                                <a:ln w="9525" cap="flat" cmpd="sng">
                                  <a:solidFill>
                                    <a:srgbClr val="000000"/>
                                  </a:solidFill>
                                  <a:prstDash val="dash"/>
                                  <a:headEnd type="none" w="med" len="med"/>
                                  <a:tailEnd type="none" w="med" len="med"/>
                                </a:ln>
                              </wps:spPr>
                              <wps:bodyPr upright="1"/>
                            </wps:wsp>
                            <wps:wsp>
                              <wps:cNvPr id="35" name="文本框 35"/>
                              <wps:cNvSpPr txBox="1"/>
                              <wps:spPr>
                                <a:xfrm>
                                  <a:off x="8063" y="364837"/>
                                  <a:ext cx="3780" cy="174"/>
                                </a:xfrm>
                                <a:prstGeom prst="rect">
                                  <a:avLst/>
                                </a:prstGeom>
                                <a:noFill/>
                                <a:ln>
                                  <a:noFill/>
                                </a:ln>
                              </wps:spPr>
                              <wps:txbx>
                                <w:txbxContent>
                                  <w:p w14:paraId="533366F8">
                                    <w:pPr>
                                      <w:autoSpaceDE w:val="0"/>
                                      <w:autoSpaceDN w:val="0"/>
                                      <w:adjustRightInd w:val="0"/>
                                      <w:jc w:val="center"/>
                                      <w:rPr>
                                        <w:rFonts w:ascii="Gulim" w:hAnsi="Arial" w:eastAsia="宋体" w:cs="Times New Roman"/>
                                        <w:color w:val="000000"/>
                                        <w:sz w:val="20"/>
                                        <w:lang w:val="zh-CN"/>
                                      </w:rPr>
                                    </w:pPr>
                                    <w:r>
                                      <w:rPr>
                                        <w:rFonts w:hint="eastAsia" w:ascii="Gulim" w:hAnsi="Arial" w:eastAsia="宋体" w:cs="Times New Roman"/>
                                        <w:color w:val="000000"/>
                                        <w:sz w:val="20"/>
                                        <w:lang w:val="zh-CN"/>
                                      </w:rPr>
                                      <w:t>扬尘、噪声、固体废物</w:t>
                                    </w:r>
                                  </w:p>
                                </w:txbxContent>
                              </wps:txbx>
                              <wps:bodyPr lIns="86868" tIns="43434" rIns="86868" bIns="43434" upright="1">
                                <a:spAutoFit/>
                              </wps:bodyPr>
                            </wps:wsp>
                            <wps:wsp>
                              <wps:cNvPr id="39" name="直接连接符 39"/>
                              <wps:cNvCnPr/>
                              <wps:spPr>
                                <a:xfrm>
                                  <a:off x="8596" y="366374"/>
                                  <a:ext cx="450" cy="0"/>
                                </a:xfrm>
                                <a:prstGeom prst="line">
                                  <a:avLst/>
                                </a:prstGeom>
                                <a:ln w="9525" cap="flat" cmpd="sng">
                                  <a:solidFill>
                                    <a:srgbClr val="000000"/>
                                  </a:solidFill>
                                  <a:prstDash val="solid"/>
                                  <a:headEnd type="none" w="med" len="med"/>
                                  <a:tailEnd type="triangle" w="med" len="med"/>
                                </a:ln>
                              </wps:spPr>
                              <wps:bodyPr upright="1"/>
                            </wps:wsp>
                            <wps:wsp>
                              <wps:cNvPr id="40" name="直接连接符 40"/>
                              <wps:cNvCnPr/>
                              <wps:spPr>
                                <a:xfrm>
                                  <a:off x="10558" y="366399"/>
                                  <a:ext cx="450"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87.1pt;margin-top:18999.15pt;height:177.2pt;width:227.35pt;z-index:251662336;mso-width-relative:page;mso-height-relative:page;" coordorigin="7591,364837" coordsize="4547,1562" o:gfxdata="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Z+IaYuAAAAAR&#10;AQAADwAAAAAAAAABACAAAAAiAAAAZHJzL2Rvd25yZXYueG1sUEsBAhQAFAAAAAgAh07iQI0alC9O&#10;BAAA5hIAAA4AAAAAAAAAAQAgAAAALwEAAGRycy9lMm9Eb2MueG1sUEsFBgAAAAAGAAYAWQEAAO8H&#10;AAAAAA==&#10;">
                      <o:lock v:ext="edit" aspectratio="f"/>
                      <v:shape id="_x0000_s1026" o:spid="_x0000_s1026" o:spt="202" type="#_x0000_t202" style="position:absolute;left:7591;top:366144;height:181;width:1013;" filled="f" stroked="t" coordsize="21600,21600" o:gfxdata="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4+Yy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1.2065mm,0mm,1.2065mm" style="mso-fit-shape-to-text:t;">
                          <w:txbxContent>
                            <w:p w14:paraId="0DBDE67F">
                              <w:pPr>
                                <w:autoSpaceDE w:val="0"/>
                                <w:autoSpaceDN w:val="0"/>
                                <w:adjustRightInd w:val="0"/>
                                <w:jc w:val="center"/>
                                <w:rPr>
                                  <w:rFonts w:hint="eastAsia" w:ascii="Gulim" w:hAnsi="Arial" w:eastAsia="宋体" w:cs="Times New Roman"/>
                                  <w:color w:val="000000"/>
                                  <w:sz w:val="20"/>
                                </w:rPr>
                              </w:pPr>
                              <w:r>
                                <w:rPr>
                                  <w:rFonts w:hint="eastAsia" w:ascii="Gulim" w:hAnsi="Arial" w:eastAsia="宋体" w:cs="Times New Roman"/>
                                  <w:color w:val="000000"/>
                                  <w:sz w:val="20"/>
                                </w:rPr>
                                <w:t>场地清理</w:t>
                              </w:r>
                            </w:p>
                          </w:txbxContent>
                        </v:textbox>
                      </v:shape>
                      <v:shape id="_x0000_s1026" o:spid="_x0000_s1026" o:spt="202" type="#_x0000_t202" style="position:absolute;left:9036;top:366158;height:181;width:1534;" filled="f" stroked="t" coordsize="21600,21600" o:gfxdata="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0XBe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1.2065mm,0mm,1.2065mm" style="mso-fit-shape-to-text:t;">
                          <w:txbxContent>
                            <w:p w14:paraId="35C85486">
                              <w:pPr>
                                <w:autoSpaceDE w:val="0"/>
                                <w:autoSpaceDN w:val="0"/>
                                <w:adjustRightInd w:val="0"/>
                                <w:jc w:val="center"/>
                                <w:rPr>
                                  <w:rFonts w:ascii="Gulim" w:hAnsi="Arial" w:eastAsia="宋体" w:cs="Times New Roman"/>
                                  <w:color w:val="000000"/>
                                  <w:sz w:val="20"/>
                                </w:rPr>
                              </w:pPr>
                              <w:r>
                                <w:rPr>
                                  <w:rFonts w:hint="eastAsia" w:ascii="Gulim" w:hAnsi="Arial" w:eastAsia="宋体" w:cs="Times New Roman"/>
                                  <w:color w:val="000000"/>
                                  <w:sz w:val="20"/>
                                  <w:lang w:val="zh-CN"/>
                                </w:rPr>
                                <w:t>设备（装备）安装</w:t>
                              </w:r>
                            </w:p>
                          </w:txbxContent>
                        </v:textbox>
                      </v:shape>
                      <v:shape id="_x0000_s1026" o:spid="_x0000_s1026" o:spt="202" type="#_x0000_t202" style="position:absolute;left:11004;top:366195;height:181;width:1134;" filled="f" stroked="t" coordsize="21600,21600" o:gfxdata="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MUEb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2.413mm,1.2065mm,2.413mm,1.2065mm" style="mso-fit-shape-to-text:t;">
                          <w:txbxContent>
                            <w:p w14:paraId="627EFB6E">
                              <w:pPr>
                                <w:autoSpaceDE w:val="0"/>
                                <w:autoSpaceDN w:val="0"/>
                                <w:adjustRightInd w:val="0"/>
                                <w:jc w:val="center"/>
                                <w:rPr>
                                  <w:rFonts w:ascii="Gulim" w:hAnsi="Arial" w:eastAsia="宋体" w:cs="Times New Roman"/>
                                  <w:color w:val="000000"/>
                                  <w:sz w:val="20"/>
                                  <w:lang w:val="zh-CN"/>
                                </w:rPr>
                              </w:pPr>
                              <w:r>
                                <w:rPr>
                                  <w:rFonts w:hint="eastAsia" w:ascii="Gulim" w:hAnsi="Arial" w:eastAsia="宋体" w:cs="Times New Roman"/>
                                  <w:color w:val="000000"/>
                                  <w:sz w:val="20"/>
                                  <w:lang w:val="zh-CN"/>
                                </w:rPr>
                                <w:t>调试运营</w:t>
                              </w:r>
                            </w:p>
                          </w:txbxContent>
                        </v:textbox>
                      </v:shape>
                      <v:shape id="_x0000_s1026" o:spid="_x0000_s1026" o:spt="88" type="#_x0000_t88" style="position:absolute;left:9092;top:363929;height:3039;width:921;rotation:-5898240f;" filled="f" stroked="t" coordsize="21600,21600" o:gfxdata="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y4QSvQAA&#10;ANsAAAAPAAAAAAAAAAEAIAAAACIAAABkcnMvZG93bnJldi54bWxQSwECFAAUAAAACACHTuJAMy8F&#10;njsAAAA5AAAAEAAAAAAAAAABACAAAAAMAQAAZHJzL3NoYXBleG1sLnhtbFBLBQYAAAAABgAGAFsB&#10;AAC2AwAAAAA=&#10;" adj="1799,10800">
                        <v:fill on="f" focussize="0,0"/>
                        <v:stroke color="#000000" joinstyle="round" dashstyle="dash"/>
                        <v:imagedata o:title=""/>
                        <o:lock v:ext="edit" aspectratio="f"/>
                      </v:shape>
                      <v:shape id="_x0000_s1026" o:spid="_x0000_s1026" o:spt="202" type="#_x0000_t202" style="position:absolute;left:8063;top:364837;height:174;width:3780;" filled="f" stroked="f" coordsize="21600,21600" o:gfxdata="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yli74A&#10;AADbAAAADwAAAAAAAAABACAAAAAiAAAAZHJzL2Rvd25yZXYueG1sUEsBAhQAFAAAAAgAh07iQDMv&#10;BZ47AAAAOQAAABAAAAAAAAAAAQAgAAAADQEAAGRycy9zaGFwZXhtbC54bWxQSwUGAAAAAAYABgBb&#10;AQAAtwMAAAAA&#10;">
                        <v:fill on="f" focussize="0,0"/>
                        <v:stroke on="f"/>
                        <v:imagedata o:title=""/>
                        <o:lock v:ext="edit" aspectratio="f"/>
                        <v:textbox inset="2.413mm,1.2065mm,2.413mm,1.2065mm" style="mso-fit-shape-to-text:t;">
                          <w:txbxContent>
                            <w:p w14:paraId="533366F8">
                              <w:pPr>
                                <w:autoSpaceDE w:val="0"/>
                                <w:autoSpaceDN w:val="0"/>
                                <w:adjustRightInd w:val="0"/>
                                <w:jc w:val="center"/>
                                <w:rPr>
                                  <w:rFonts w:ascii="Gulim" w:hAnsi="Arial" w:eastAsia="宋体" w:cs="Times New Roman"/>
                                  <w:color w:val="000000"/>
                                  <w:sz w:val="20"/>
                                  <w:lang w:val="zh-CN"/>
                                </w:rPr>
                              </w:pPr>
                              <w:r>
                                <w:rPr>
                                  <w:rFonts w:hint="eastAsia" w:ascii="Gulim" w:hAnsi="Arial" w:eastAsia="宋体" w:cs="Times New Roman"/>
                                  <w:color w:val="000000"/>
                                  <w:sz w:val="20"/>
                                  <w:lang w:val="zh-CN"/>
                                </w:rPr>
                                <w:t>扬尘、噪声、固体废物</w:t>
                              </w:r>
                            </w:p>
                          </w:txbxContent>
                        </v:textbox>
                      </v:shape>
                      <v:line id="_x0000_s1026" o:spid="_x0000_s1026" o:spt="20" style="position:absolute;left:8596;top:366374;height:0;width:450;" filled="f" stroked="t" coordsize="21600,21600" o:gfxdata="UEsDBAoAAAAAAIdO4kAAAAAAAAAAAAAAAAAEAAAAZHJzL1BLAwQUAAAACACHTuJAsyYJVr8AAADb&#10;AAAADwAAAGRycy9kb3ducmV2LnhtbEWPT2vCQBTE7wW/w/KE3uomF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V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558;top:366399;height:0;width:450;"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w:pict>
                </mc:Fallback>
              </mc:AlternateContent>
            </w:r>
            <w:r>
              <w:rPr>
                <w:rFonts w:hint="default" w:ascii="Times New Roman" w:hAnsi="Times New Roman" w:eastAsia="宋体" w:cs="Times New Roman"/>
                <w:color w:val="auto"/>
                <w:sz w:val="28"/>
                <w:highlight w:val="none"/>
              </w:rPr>
              <mc:AlternateContent>
                <mc:Choice Requires="wpg">
                  <w:drawing>
                    <wp:anchor distT="0" distB="0" distL="114300" distR="114300" simplePos="0" relativeHeight="251661312" behindDoc="0" locked="0" layoutInCell="1" allowOverlap="1">
                      <wp:simplePos x="0" y="0"/>
                      <wp:positionH relativeFrom="column">
                        <wp:posOffset>12814300</wp:posOffset>
                      </wp:positionH>
                      <wp:positionV relativeFrom="paragraph">
                        <wp:posOffset>218176475</wp:posOffset>
                      </wp:positionV>
                      <wp:extent cx="2839085" cy="2887980"/>
                      <wp:effectExtent l="5080" t="0" r="13335" b="44450"/>
                      <wp:wrapNone/>
                      <wp:docPr id="57" name="组合 57"/>
                      <wp:cNvGraphicFramePr/>
                      <a:graphic xmlns:a="http://schemas.openxmlformats.org/drawingml/2006/main">
                        <a:graphicData uri="http://schemas.microsoft.com/office/word/2010/wordprocessingGroup">
                          <wpg:wgp>
                            <wpg:cNvGrpSpPr/>
                            <wpg:grpSpPr>
                              <a:xfrm>
                                <a:off x="0" y="0"/>
                                <a:ext cx="2839085" cy="2887980"/>
                                <a:chOff x="8503" y="467296"/>
                                <a:chExt cx="4471" cy="1946"/>
                              </a:xfrm>
                            </wpg:grpSpPr>
                            <wps:wsp>
                              <wps:cNvPr id="45" name="文本框 45"/>
                              <wps:cNvSpPr txBox="1"/>
                              <wps:spPr>
                                <a:xfrm>
                                  <a:off x="8503" y="468952"/>
                                  <a:ext cx="1374" cy="176"/>
                                </a:xfrm>
                                <a:prstGeom prst="rect">
                                  <a:avLst/>
                                </a:prstGeom>
                                <a:noFill/>
                                <a:ln w="9525" cap="flat" cmpd="sng">
                                  <a:solidFill>
                                    <a:srgbClr val="000000"/>
                                  </a:solidFill>
                                  <a:prstDash val="solid"/>
                                  <a:miter/>
                                  <a:headEnd type="none" w="med" len="med"/>
                                  <a:tailEnd type="none" w="med" len="med"/>
                                </a:ln>
                              </wps:spPr>
                              <wps:txbx>
                                <w:txbxContent>
                                  <w:p w14:paraId="1191BAEE">
                                    <w:pPr>
                                      <w:autoSpaceDE w:val="0"/>
                                      <w:autoSpaceDN w:val="0"/>
                                      <w:adjustRightInd w:val="0"/>
                                      <w:jc w:val="center"/>
                                      <w:rPr>
                                        <w:rFonts w:hint="eastAsia" w:ascii="Gulim" w:hAnsi="Arial" w:eastAsia="宋体" w:cs="Times New Roman"/>
                                        <w:color w:val="000000"/>
                                        <w:sz w:val="20"/>
                                      </w:rPr>
                                    </w:pPr>
                                    <w:r>
                                      <w:rPr>
                                        <w:rFonts w:hint="eastAsia" w:ascii="Gulim" w:hAnsi="Arial" w:eastAsia="宋体" w:cs="Times New Roman"/>
                                        <w:color w:val="000000"/>
                                        <w:sz w:val="20"/>
                                      </w:rPr>
                                      <w:t>场地清理</w:t>
                                    </w:r>
                                  </w:p>
                                </w:txbxContent>
                              </wps:txbx>
                              <wps:bodyPr lIns="0" tIns="43434" rIns="0" bIns="43434" upright="1">
                                <a:spAutoFit/>
                              </wps:bodyPr>
                            </wps:wsp>
                            <wps:wsp>
                              <wps:cNvPr id="46" name="文本框 46"/>
                              <wps:cNvSpPr txBox="1"/>
                              <wps:spPr>
                                <a:xfrm>
                                  <a:off x="10296" y="469004"/>
                                  <a:ext cx="1059" cy="176"/>
                                </a:xfrm>
                                <a:prstGeom prst="rect">
                                  <a:avLst/>
                                </a:prstGeom>
                                <a:noFill/>
                                <a:ln w="9525" cap="flat" cmpd="sng">
                                  <a:solidFill>
                                    <a:srgbClr val="000000"/>
                                  </a:solidFill>
                                  <a:prstDash val="solid"/>
                                  <a:miter/>
                                  <a:headEnd type="none" w="med" len="med"/>
                                  <a:tailEnd type="none" w="med" len="med"/>
                                </a:ln>
                              </wps:spPr>
                              <wps:txbx>
                                <w:txbxContent>
                                  <w:p w14:paraId="45034EC9">
                                    <w:pPr>
                                      <w:autoSpaceDE w:val="0"/>
                                      <w:autoSpaceDN w:val="0"/>
                                      <w:adjustRightInd w:val="0"/>
                                      <w:jc w:val="center"/>
                                      <w:rPr>
                                        <w:rFonts w:ascii="Gulim" w:hAnsi="Arial" w:eastAsia="宋体" w:cs="Times New Roman"/>
                                        <w:color w:val="000000"/>
                                        <w:sz w:val="20"/>
                                      </w:rPr>
                                    </w:pPr>
                                    <w:r>
                                      <w:rPr>
                                        <w:rFonts w:hint="eastAsia" w:ascii="Gulim" w:hAnsi="Arial" w:eastAsia="宋体" w:cs="Times New Roman"/>
                                        <w:color w:val="000000"/>
                                        <w:sz w:val="20"/>
                                        <w:lang w:val="zh-CN"/>
                                      </w:rPr>
                                      <w:t>设备安装</w:t>
                                    </w:r>
                                  </w:p>
                                </w:txbxContent>
                              </wps:txbx>
                              <wps:bodyPr lIns="0" tIns="43434" rIns="0" bIns="43434" upright="1">
                                <a:spAutoFit/>
                              </wps:bodyPr>
                            </wps:wsp>
                            <wps:wsp>
                              <wps:cNvPr id="47" name="文本框 47"/>
                              <wps:cNvSpPr txBox="1"/>
                              <wps:spPr>
                                <a:xfrm>
                                  <a:off x="11789" y="469044"/>
                                  <a:ext cx="1185" cy="176"/>
                                </a:xfrm>
                                <a:prstGeom prst="rect">
                                  <a:avLst/>
                                </a:prstGeom>
                                <a:noFill/>
                                <a:ln w="9525" cap="flat" cmpd="sng">
                                  <a:solidFill>
                                    <a:srgbClr val="000000"/>
                                  </a:solidFill>
                                  <a:prstDash val="solid"/>
                                  <a:miter/>
                                  <a:headEnd type="none" w="med" len="med"/>
                                  <a:tailEnd type="none" w="med" len="med"/>
                                </a:ln>
                              </wps:spPr>
                              <wps:txbx>
                                <w:txbxContent>
                                  <w:p w14:paraId="31C07779">
                                    <w:pPr>
                                      <w:autoSpaceDE w:val="0"/>
                                      <w:autoSpaceDN w:val="0"/>
                                      <w:adjustRightInd w:val="0"/>
                                      <w:jc w:val="center"/>
                                      <w:rPr>
                                        <w:rFonts w:ascii="Gulim" w:hAnsi="Arial" w:eastAsia="宋体" w:cs="Times New Roman"/>
                                        <w:color w:val="000000"/>
                                        <w:sz w:val="20"/>
                                        <w:lang w:val="zh-CN"/>
                                      </w:rPr>
                                    </w:pPr>
                                    <w:r>
                                      <w:rPr>
                                        <w:rFonts w:hint="eastAsia" w:ascii="Gulim" w:hAnsi="Arial" w:eastAsia="宋体" w:cs="Times New Roman"/>
                                        <w:color w:val="000000"/>
                                        <w:sz w:val="20"/>
                                        <w:lang w:val="zh-CN"/>
                                      </w:rPr>
                                      <w:t>调试运营</w:t>
                                    </w:r>
                                  </w:p>
                                </w:txbxContent>
                              </wps:txbx>
                              <wps:bodyPr lIns="86868" tIns="43434" rIns="86868" bIns="43434" upright="1">
                                <a:spAutoFit/>
                              </wps:bodyPr>
                            </wps:wsp>
                            <wps:wsp>
                              <wps:cNvPr id="49" name="右大括号 49"/>
                              <wps:cNvSpPr/>
                              <wps:spPr>
                                <a:xfrm rot="-5400000">
                                  <a:off x="9969" y="466620"/>
                                  <a:ext cx="944" cy="3039"/>
                                </a:xfrm>
                                <a:prstGeom prst="rightBrace">
                                  <a:avLst>
                                    <a:gd name="adj1" fmla="val 26827"/>
                                    <a:gd name="adj2" fmla="val 50000"/>
                                  </a:avLst>
                                </a:prstGeom>
                                <a:noFill/>
                                <a:ln w="9525" cap="flat" cmpd="sng">
                                  <a:solidFill>
                                    <a:srgbClr val="000000"/>
                                  </a:solidFill>
                                  <a:prstDash val="dash"/>
                                  <a:headEnd type="none" w="med" len="med"/>
                                  <a:tailEnd type="none" w="med" len="med"/>
                                </a:ln>
                              </wps:spPr>
                              <wps:bodyPr upright="1"/>
                            </wps:wsp>
                            <wps:wsp>
                              <wps:cNvPr id="50" name="文本框 50"/>
                              <wps:cNvSpPr txBox="1"/>
                              <wps:spPr>
                                <a:xfrm>
                                  <a:off x="8848" y="467296"/>
                                  <a:ext cx="3780" cy="169"/>
                                </a:xfrm>
                                <a:prstGeom prst="rect">
                                  <a:avLst/>
                                </a:prstGeom>
                                <a:noFill/>
                                <a:ln>
                                  <a:noFill/>
                                </a:ln>
                              </wps:spPr>
                              <wps:txbx>
                                <w:txbxContent>
                                  <w:p w14:paraId="006D0DDE">
                                    <w:pPr>
                                      <w:autoSpaceDE w:val="0"/>
                                      <w:autoSpaceDN w:val="0"/>
                                      <w:adjustRightInd w:val="0"/>
                                      <w:jc w:val="center"/>
                                      <w:rPr>
                                        <w:rFonts w:ascii="Gulim" w:hAnsi="Arial" w:eastAsia="宋体" w:cs="Times New Roman"/>
                                        <w:color w:val="000000"/>
                                        <w:sz w:val="20"/>
                                        <w:lang w:val="zh-CN"/>
                                      </w:rPr>
                                    </w:pPr>
                                    <w:r>
                                      <w:rPr>
                                        <w:rFonts w:hint="eastAsia" w:ascii="Gulim" w:hAnsi="Arial" w:eastAsia="宋体" w:cs="Times New Roman"/>
                                        <w:color w:val="000000"/>
                                        <w:sz w:val="20"/>
                                        <w:lang w:val="zh-CN"/>
                                      </w:rPr>
                                      <w:t>扬尘、施工机械尾气、噪声、固体废物</w:t>
                                    </w:r>
                                  </w:p>
                                </w:txbxContent>
                              </wps:txbx>
                              <wps:bodyPr lIns="86868" tIns="43434" rIns="86868" bIns="43434" upright="1">
                                <a:spAutoFit/>
                              </wps:bodyPr>
                            </wps:wsp>
                            <wps:wsp>
                              <wps:cNvPr id="55" name="直接连接符 55"/>
                              <wps:cNvCnPr/>
                              <wps:spPr>
                                <a:xfrm>
                                  <a:off x="9861" y="469237"/>
                                  <a:ext cx="450" cy="0"/>
                                </a:xfrm>
                                <a:prstGeom prst="line">
                                  <a:avLst/>
                                </a:prstGeom>
                                <a:ln w="9525" cap="flat" cmpd="sng">
                                  <a:solidFill>
                                    <a:srgbClr val="000000"/>
                                  </a:solidFill>
                                  <a:prstDash val="solid"/>
                                  <a:headEnd type="none" w="med" len="med"/>
                                  <a:tailEnd type="triangle" w="med" len="med"/>
                                </a:ln>
                              </wps:spPr>
                              <wps:bodyPr upright="1"/>
                            </wps:wsp>
                            <wps:wsp>
                              <wps:cNvPr id="56" name="直接连接符 56"/>
                              <wps:cNvCnPr/>
                              <wps:spPr>
                                <a:xfrm>
                                  <a:off x="11343" y="469242"/>
                                  <a:ext cx="450"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09pt;margin-top:17179.25pt;height:227.4pt;width:223.55pt;z-index:251661312;mso-width-relative:page;mso-height-relative:page;" coordorigin="8503,467296" coordsize="4471,1946" o:gfxdata="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QzBkHd8AAAARAQAA&#10;DwAAAAAAAAABACAAAAAiAAAAZHJzL2Rvd25yZXYueG1sUEsBAhQAFAAAAAgAh07iQAaLMxxMBAAA&#10;5xIAAA4AAAAAAAAAAQAgAAAALgEAAGRycy9lMm9Eb2MueG1sUEsFBgAAAAAGAAYAWQEAAOwHAAAA&#10;AA==&#10;">
                      <o:lock v:ext="edit" aspectratio="f"/>
                      <v:shape id="_x0000_s1026" o:spid="_x0000_s1026" o:spt="202" type="#_x0000_t202" style="position:absolute;left:8503;top:468952;height:176;width:1374;" filled="f" stroked="t" coordsize="21600,21600" o:gfxdata="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7m3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1.2065mm,0mm,1.2065mm" style="mso-fit-shape-to-text:t;">
                          <w:txbxContent>
                            <w:p w14:paraId="1191BAEE">
                              <w:pPr>
                                <w:autoSpaceDE w:val="0"/>
                                <w:autoSpaceDN w:val="0"/>
                                <w:adjustRightInd w:val="0"/>
                                <w:jc w:val="center"/>
                                <w:rPr>
                                  <w:rFonts w:hint="eastAsia" w:ascii="Gulim" w:hAnsi="Arial" w:eastAsia="宋体" w:cs="Times New Roman"/>
                                  <w:color w:val="000000"/>
                                  <w:sz w:val="20"/>
                                </w:rPr>
                              </w:pPr>
                              <w:r>
                                <w:rPr>
                                  <w:rFonts w:hint="eastAsia" w:ascii="Gulim" w:hAnsi="Arial" w:eastAsia="宋体" w:cs="Times New Roman"/>
                                  <w:color w:val="000000"/>
                                  <w:sz w:val="20"/>
                                </w:rPr>
                                <w:t>场地清理</w:t>
                              </w:r>
                            </w:p>
                          </w:txbxContent>
                        </v:textbox>
                      </v:shape>
                      <v:shape id="_x0000_s1026" o:spid="_x0000_s1026" o:spt="202" type="#_x0000_t202" style="position:absolute;left:10296;top:469004;height:176;width:1059;" filled="f" stroked="t" coordsize="21600,21600" o:gfxdata="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SfA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1.2065mm,0mm,1.2065mm" style="mso-fit-shape-to-text:t;">
                          <w:txbxContent>
                            <w:p w14:paraId="45034EC9">
                              <w:pPr>
                                <w:autoSpaceDE w:val="0"/>
                                <w:autoSpaceDN w:val="0"/>
                                <w:adjustRightInd w:val="0"/>
                                <w:jc w:val="center"/>
                                <w:rPr>
                                  <w:rFonts w:ascii="Gulim" w:hAnsi="Arial" w:eastAsia="宋体" w:cs="Times New Roman"/>
                                  <w:color w:val="000000"/>
                                  <w:sz w:val="20"/>
                                </w:rPr>
                              </w:pPr>
                              <w:r>
                                <w:rPr>
                                  <w:rFonts w:hint="eastAsia" w:ascii="Gulim" w:hAnsi="Arial" w:eastAsia="宋体" w:cs="Times New Roman"/>
                                  <w:color w:val="000000"/>
                                  <w:sz w:val="20"/>
                                  <w:lang w:val="zh-CN"/>
                                </w:rPr>
                                <w:t>设备安装</w:t>
                              </w:r>
                            </w:p>
                          </w:txbxContent>
                        </v:textbox>
                      </v:shape>
                      <v:shape id="_x0000_s1026" o:spid="_x0000_s1026" o:spt="202" type="#_x0000_t202" style="position:absolute;left:11789;top:469044;height:176;width:1185;" filled="f" stroked="t" coordsize="21600,21600" o:gfxdata="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OYW+/&#10;AAAA2w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2.413mm,1.2065mm,2.413mm,1.2065mm" style="mso-fit-shape-to-text:t;">
                          <w:txbxContent>
                            <w:p w14:paraId="31C07779">
                              <w:pPr>
                                <w:autoSpaceDE w:val="0"/>
                                <w:autoSpaceDN w:val="0"/>
                                <w:adjustRightInd w:val="0"/>
                                <w:jc w:val="center"/>
                                <w:rPr>
                                  <w:rFonts w:ascii="Gulim" w:hAnsi="Arial" w:eastAsia="宋体" w:cs="Times New Roman"/>
                                  <w:color w:val="000000"/>
                                  <w:sz w:val="20"/>
                                  <w:lang w:val="zh-CN"/>
                                </w:rPr>
                              </w:pPr>
                              <w:r>
                                <w:rPr>
                                  <w:rFonts w:hint="eastAsia" w:ascii="Gulim" w:hAnsi="Arial" w:eastAsia="宋体" w:cs="Times New Roman"/>
                                  <w:color w:val="000000"/>
                                  <w:sz w:val="20"/>
                                  <w:lang w:val="zh-CN"/>
                                </w:rPr>
                                <w:t>调试运营</w:t>
                              </w:r>
                            </w:p>
                          </w:txbxContent>
                        </v:textbox>
                      </v:shape>
                      <v:shape id="_x0000_s1026" o:spid="_x0000_s1026" o:spt="88" type="#_x0000_t88" style="position:absolute;left:9969;top:466620;height:3039;width:944;rotation:-5898240f;" filled="f" stroked="t" coordsize="21600,21600" o:gfxdata="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MWPG8AAAA&#10;2wAAAA8AAAAAAAAAAQAgAAAAIgAAAGRycy9kb3ducmV2LnhtbFBLAQIUABQAAAAIAIdO4kAzLwWe&#10;OwAAADkAAAAQAAAAAAAAAAEAIAAAAAsBAABkcnMvc2hhcGV4bWwueG1sUEsFBgAAAAAGAAYAWwEA&#10;ALUDAAAAAA==&#10;" adj="1799,10800">
                        <v:fill on="f" focussize="0,0"/>
                        <v:stroke color="#000000" joinstyle="round" dashstyle="dash"/>
                        <v:imagedata o:title=""/>
                        <o:lock v:ext="edit" aspectratio="f"/>
                      </v:shape>
                      <v:shape id="_x0000_s1026" o:spid="_x0000_s1026" o:spt="202" type="#_x0000_t202" style="position:absolute;left:8848;top:467296;height:169;width:3780;" filled="f" stroked="f" coordsize="21600,21600" o:gfxdata="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Tjs7sAAADb&#10;AAAADwAAAAAAAAABACAAAAAiAAAAZHJzL2Rvd25yZXYueG1sUEsBAhQAFAAAAAgAh07iQDMvBZ47&#10;AAAAOQAAABAAAAAAAAAAAQAgAAAACgEAAGRycy9zaGFwZXhtbC54bWxQSwUGAAAAAAYABgBbAQAA&#10;tAMAAAAA&#10;">
                        <v:fill on="f" focussize="0,0"/>
                        <v:stroke on="f"/>
                        <v:imagedata o:title=""/>
                        <o:lock v:ext="edit" aspectratio="f"/>
                        <v:textbox inset="2.413mm,1.2065mm,2.413mm,1.2065mm" style="mso-fit-shape-to-text:t;">
                          <w:txbxContent>
                            <w:p w14:paraId="006D0DDE">
                              <w:pPr>
                                <w:autoSpaceDE w:val="0"/>
                                <w:autoSpaceDN w:val="0"/>
                                <w:adjustRightInd w:val="0"/>
                                <w:jc w:val="center"/>
                                <w:rPr>
                                  <w:rFonts w:ascii="Gulim" w:hAnsi="Arial" w:eastAsia="宋体" w:cs="Times New Roman"/>
                                  <w:color w:val="000000"/>
                                  <w:sz w:val="20"/>
                                  <w:lang w:val="zh-CN"/>
                                </w:rPr>
                              </w:pPr>
                              <w:r>
                                <w:rPr>
                                  <w:rFonts w:hint="eastAsia" w:ascii="Gulim" w:hAnsi="Arial" w:eastAsia="宋体" w:cs="Times New Roman"/>
                                  <w:color w:val="000000"/>
                                  <w:sz w:val="20"/>
                                  <w:lang w:val="zh-CN"/>
                                </w:rPr>
                                <w:t>扬尘、施工机械尾气、噪声、固体废物</w:t>
                              </w:r>
                            </w:p>
                          </w:txbxContent>
                        </v:textbox>
                      </v:shape>
                      <v:line id="_x0000_s1026" o:spid="_x0000_s1026" o:spt="20" style="position:absolute;left:9861;top:469237;height:0;width:450;"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343;top:469242;height:0;width:450;" filled="f" stroked="t" coordsize="21600,21600" o:gfxdata="UEsDBAoAAAAAAIdO4kAAAAAAAAAAAAAAAAAEAAAAZHJzL1BLAwQUAAAACACHTuJAH2Z4hL8AAADb&#10;AAAADwAAAGRycy9kb3ducmV2LnhtbEWPT2vCQBTE74LfYXmCN92kU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me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w:rPr>
                <w:rFonts w:hint="default" w:ascii="Times New Roman" w:hAnsi="Times New Roman" w:eastAsia="宋体" w:cs="Times New Roman"/>
                <w:color w:val="auto"/>
                <w:sz w:val="24"/>
                <w:highlight w:val="none"/>
              </w:rPr>
              <w:t>施工期工程建设流程及产污环节见图</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szCs w:val="28"/>
                <w:highlight w:val="none"/>
              </w:rPr>
              <w:t>。</w:t>
            </w:r>
          </w:p>
          <w:p w14:paraId="38C01084">
            <w:pPr>
              <w:pStyle w:val="21"/>
              <w:keepNext w:val="0"/>
              <w:keepLines w:val="0"/>
              <w:suppressLineNumbers w:val="0"/>
              <w:tabs>
                <w:tab w:val="left" w:pos="360"/>
                <w:tab w:val="left" w:pos="540"/>
              </w:tabs>
              <w:spacing w:before="0" w:beforeAutospacing="0" w:after="0" w:afterAutospacing="0"/>
              <w:ind w:right="0"/>
              <w:rPr>
                <w:rFonts w:hint="default" w:ascii="Times New Roman" w:hAnsi="Times New Roman" w:cs="Times New Roman"/>
                <w:color w:val="auto"/>
                <w:highlight w:val="none"/>
              </w:rPr>
            </w:pPr>
          </w:p>
          <w:p w14:paraId="0229D82D">
            <w:pPr>
              <w:keepNext w:val="0"/>
              <w:keepLines w:val="0"/>
              <w:suppressLineNumbers w:val="0"/>
              <w:spacing w:before="0" w:beforeAutospacing="0" w:after="0" w:afterAutospacing="0" w:line="360" w:lineRule="auto"/>
              <w:ind w:left="0" w:right="0"/>
              <w:jc w:val="both"/>
              <w:rPr>
                <w:rFonts w:hint="default" w:ascii="Times New Roman" w:hAnsi="Times New Roman" w:eastAsia="宋体" w:cs="Times New Roman"/>
                <w:color w:val="auto"/>
                <w:sz w:val="24"/>
                <w:szCs w:val="24"/>
                <w:highlight w:val="none"/>
              </w:rPr>
            </w:pPr>
          </w:p>
          <w:p w14:paraId="1D8D4FA9">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eastAsia="宋体" w:cs="Times New Roman"/>
                <w:b/>
                <w:color w:val="auto"/>
                <w:sz w:val="24"/>
                <w:szCs w:val="24"/>
                <w:highlight w:val="none"/>
              </w:rPr>
            </w:pPr>
          </w:p>
          <w:p w14:paraId="08D32E08">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color w:val="auto"/>
                <w:kern w:val="2"/>
                <w:sz w:val="24"/>
                <w:szCs w:val="24"/>
                <w:highlight w:val="none"/>
                <w:lang w:val="en-US" w:eastAsia="zh-CN" w:bidi="ar-SA"/>
              </w:rPr>
            </w:pPr>
          </w:p>
          <w:p w14:paraId="4BBAE06C">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color w:val="auto"/>
                <w:kern w:val="2"/>
                <w:sz w:val="24"/>
                <w:szCs w:val="24"/>
                <w:highlight w:val="none"/>
                <w:lang w:val="en-US" w:eastAsia="zh-CN" w:bidi="ar-SA"/>
              </w:rPr>
            </w:pPr>
          </w:p>
          <w:p w14:paraId="3143E805">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eastAsia="宋体" w:cs="Times New Roman"/>
                <w:b/>
                <w:color w:val="auto"/>
                <w:sz w:val="24"/>
                <w:szCs w:val="24"/>
                <w:highlight w:val="none"/>
              </w:rPr>
            </w:pPr>
          </w:p>
          <w:p w14:paraId="44AD96DC">
            <w:pPr>
              <w:keepNext w:val="0"/>
              <w:keepLines w:val="0"/>
              <w:suppressLineNumbers w:val="0"/>
              <w:spacing w:before="0" w:beforeAutospacing="0" w:after="0" w:afterAutospacing="0" w:line="360" w:lineRule="auto"/>
              <w:ind w:left="0" w:right="0" w:firstLine="56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8"/>
                <w:highlight w:val="none"/>
              </w:rPr>
              <mc:AlternateContent>
                <mc:Choice Requires="wpg">
                  <w:drawing>
                    <wp:anchor distT="0" distB="0" distL="114300" distR="114300" simplePos="0" relativeHeight="251663360" behindDoc="0" locked="0" layoutInCell="1" allowOverlap="1">
                      <wp:simplePos x="0" y="0"/>
                      <wp:positionH relativeFrom="column">
                        <wp:posOffset>13806170</wp:posOffset>
                      </wp:positionH>
                      <wp:positionV relativeFrom="paragraph">
                        <wp:posOffset>261740650</wp:posOffset>
                      </wp:positionV>
                      <wp:extent cx="2887345" cy="2250440"/>
                      <wp:effectExtent l="5080" t="0" r="22225" b="54610"/>
                      <wp:wrapNone/>
                      <wp:docPr id="65" name="组合 65"/>
                      <wp:cNvGraphicFramePr/>
                      <a:graphic xmlns:a="http://schemas.openxmlformats.org/drawingml/2006/main">
                        <a:graphicData uri="http://schemas.microsoft.com/office/word/2010/wordprocessingGroup">
                          <wpg:wgp>
                            <wpg:cNvGrpSpPr/>
                            <wpg:grpSpPr>
                              <a:xfrm>
                                <a:off x="0" y="0"/>
                                <a:ext cx="2887345" cy="2250440"/>
                                <a:chOff x="7591" y="364837"/>
                                <a:chExt cx="4547" cy="1562"/>
                              </a:xfrm>
                            </wpg:grpSpPr>
                            <wps:wsp>
                              <wps:cNvPr id="58" name="文本框 58"/>
                              <wps:cNvSpPr txBox="1"/>
                              <wps:spPr>
                                <a:xfrm>
                                  <a:off x="7591" y="366144"/>
                                  <a:ext cx="1013" cy="181"/>
                                </a:xfrm>
                                <a:prstGeom prst="rect">
                                  <a:avLst/>
                                </a:prstGeom>
                                <a:noFill/>
                                <a:ln w="9525" cap="flat" cmpd="sng">
                                  <a:solidFill>
                                    <a:srgbClr val="000000"/>
                                  </a:solidFill>
                                  <a:prstDash val="solid"/>
                                  <a:miter/>
                                  <a:headEnd type="none" w="med" len="med"/>
                                  <a:tailEnd type="none" w="med" len="med"/>
                                </a:ln>
                              </wps:spPr>
                              <wps:txbx>
                                <w:txbxContent>
                                  <w:p w14:paraId="5FAF0A26">
                                    <w:pPr>
                                      <w:autoSpaceDE w:val="0"/>
                                      <w:autoSpaceDN w:val="0"/>
                                      <w:adjustRightInd w:val="0"/>
                                      <w:jc w:val="center"/>
                                      <w:rPr>
                                        <w:rFonts w:hint="eastAsia" w:ascii="Gulim" w:hAnsi="Arial" w:eastAsia="宋体" w:cs="Times New Roman"/>
                                        <w:color w:val="000000"/>
                                        <w:sz w:val="20"/>
                                      </w:rPr>
                                    </w:pPr>
                                    <w:r>
                                      <w:rPr>
                                        <w:rFonts w:hint="eastAsia" w:ascii="Gulim" w:hAnsi="Arial" w:eastAsia="宋体" w:cs="Times New Roman"/>
                                        <w:color w:val="000000"/>
                                        <w:sz w:val="20"/>
                                      </w:rPr>
                                      <w:t>场地清理</w:t>
                                    </w:r>
                                  </w:p>
                                </w:txbxContent>
                              </wps:txbx>
                              <wps:bodyPr lIns="0" tIns="43434" rIns="0" bIns="43434" upright="1">
                                <a:spAutoFit/>
                              </wps:bodyPr>
                            </wps:wsp>
                            <wps:wsp>
                              <wps:cNvPr id="59" name="文本框 59"/>
                              <wps:cNvSpPr txBox="1"/>
                              <wps:spPr>
                                <a:xfrm>
                                  <a:off x="9036" y="366158"/>
                                  <a:ext cx="1534" cy="181"/>
                                </a:xfrm>
                                <a:prstGeom prst="rect">
                                  <a:avLst/>
                                </a:prstGeom>
                                <a:noFill/>
                                <a:ln w="9525" cap="flat" cmpd="sng">
                                  <a:solidFill>
                                    <a:srgbClr val="000000"/>
                                  </a:solidFill>
                                  <a:prstDash val="solid"/>
                                  <a:miter/>
                                  <a:headEnd type="none" w="med" len="med"/>
                                  <a:tailEnd type="none" w="med" len="med"/>
                                </a:ln>
                              </wps:spPr>
                              <wps:txbx>
                                <w:txbxContent>
                                  <w:p w14:paraId="72219DFF">
                                    <w:pPr>
                                      <w:autoSpaceDE w:val="0"/>
                                      <w:autoSpaceDN w:val="0"/>
                                      <w:adjustRightInd w:val="0"/>
                                      <w:jc w:val="center"/>
                                      <w:rPr>
                                        <w:rFonts w:ascii="Gulim" w:hAnsi="Arial" w:eastAsia="宋体" w:cs="Times New Roman"/>
                                        <w:color w:val="000000"/>
                                        <w:sz w:val="20"/>
                                      </w:rPr>
                                    </w:pPr>
                                    <w:r>
                                      <w:rPr>
                                        <w:rFonts w:hint="eastAsia" w:ascii="Gulim" w:hAnsi="Arial" w:eastAsia="宋体" w:cs="Times New Roman"/>
                                        <w:color w:val="000000"/>
                                        <w:sz w:val="20"/>
                                        <w:lang w:val="zh-CN"/>
                                      </w:rPr>
                                      <w:t>设备（装备）安装</w:t>
                                    </w:r>
                                  </w:p>
                                </w:txbxContent>
                              </wps:txbx>
                              <wps:bodyPr lIns="0" tIns="43434" rIns="0" bIns="43434" upright="1">
                                <a:spAutoFit/>
                              </wps:bodyPr>
                            </wps:wsp>
                            <wps:wsp>
                              <wps:cNvPr id="60" name="文本框 60"/>
                              <wps:cNvSpPr txBox="1"/>
                              <wps:spPr>
                                <a:xfrm>
                                  <a:off x="11004" y="366195"/>
                                  <a:ext cx="1134" cy="181"/>
                                </a:xfrm>
                                <a:prstGeom prst="rect">
                                  <a:avLst/>
                                </a:prstGeom>
                                <a:noFill/>
                                <a:ln w="9525" cap="flat" cmpd="sng">
                                  <a:solidFill>
                                    <a:srgbClr val="000000"/>
                                  </a:solidFill>
                                  <a:prstDash val="solid"/>
                                  <a:miter/>
                                  <a:headEnd type="none" w="med" len="med"/>
                                  <a:tailEnd type="none" w="med" len="med"/>
                                </a:ln>
                              </wps:spPr>
                              <wps:txbx>
                                <w:txbxContent>
                                  <w:p w14:paraId="4D554459">
                                    <w:pPr>
                                      <w:autoSpaceDE w:val="0"/>
                                      <w:autoSpaceDN w:val="0"/>
                                      <w:adjustRightInd w:val="0"/>
                                      <w:jc w:val="center"/>
                                      <w:rPr>
                                        <w:rFonts w:ascii="Gulim" w:hAnsi="Arial" w:eastAsia="宋体" w:cs="Times New Roman"/>
                                        <w:color w:val="000000"/>
                                        <w:sz w:val="20"/>
                                        <w:lang w:val="zh-CN"/>
                                      </w:rPr>
                                    </w:pPr>
                                    <w:r>
                                      <w:rPr>
                                        <w:rFonts w:hint="eastAsia" w:ascii="Gulim" w:hAnsi="Arial" w:eastAsia="宋体" w:cs="Times New Roman"/>
                                        <w:color w:val="000000"/>
                                        <w:sz w:val="20"/>
                                        <w:lang w:val="zh-CN"/>
                                      </w:rPr>
                                      <w:t>调试运营</w:t>
                                    </w:r>
                                  </w:p>
                                </w:txbxContent>
                              </wps:txbx>
                              <wps:bodyPr lIns="86868" tIns="43434" rIns="86868" bIns="43434" upright="1">
                                <a:spAutoFit/>
                              </wps:bodyPr>
                            </wps:wsp>
                            <wps:wsp>
                              <wps:cNvPr id="61" name="右大括号 61"/>
                              <wps:cNvSpPr/>
                              <wps:spPr>
                                <a:xfrm rot="-5400000">
                                  <a:off x="9094" y="363931"/>
                                  <a:ext cx="921" cy="3039"/>
                                </a:xfrm>
                                <a:prstGeom prst="rightBrace">
                                  <a:avLst>
                                    <a:gd name="adj1" fmla="val 27497"/>
                                    <a:gd name="adj2" fmla="val 50000"/>
                                  </a:avLst>
                                </a:prstGeom>
                                <a:noFill/>
                                <a:ln w="9525" cap="flat" cmpd="sng">
                                  <a:solidFill>
                                    <a:srgbClr val="000000"/>
                                  </a:solidFill>
                                  <a:prstDash val="dash"/>
                                  <a:headEnd type="none" w="med" len="med"/>
                                  <a:tailEnd type="none" w="med" len="med"/>
                                </a:ln>
                              </wps:spPr>
                              <wps:bodyPr upright="1"/>
                            </wps:wsp>
                            <wps:wsp>
                              <wps:cNvPr id="62" name="文本框 62"/>
                              <wps:cNvSpPr txBox="1"/>
                              <wps:spPr>
                                <a:xfrm>
                                  <a:off x="8063" y="364837"/>
                                  <a:ext cx="3780" cy="174"/>
                                </a:xfrm>
                                <a:prstGeom prst="rect">
                                  <a:avLst/>
                                </a:prstGeom>
                                <a:noFill/>
                                <a:ln>
                                  <a:noFill/>
                                </a:ln>
                              </wps:spPr>
                              <wps:txbx>
                                <w:txbxContent>
                                  <w:p w14:paraId="1F1A7AFF">
                                    <w:pPr>
                                      <w:autoSpaceDE w:val="0"/>
                                      <w:autoSpaceDN w:val="0"/>
                                      <w:adjustRightInd w:val="0"/>
                                      <w:jc w:val="center"/>
                                      <w:rPr>
                                        <w:rFonts w:ascii="Gulim" w:hAnsi="Arial" w:eastAsia="宋体" w:cs="Times New Roman"/>
                                        <w:color w:val="000000"/>
                                        <w:sz w:val="20"/>
                                        <w:lang w:val="zh-CN"/>
                                      </w:rPr>
                                    </w:pPr>
                                    <w:r>
                                      <w:rPr>
                                        <w:rFonts w:hint="eastAsia" w:ascii="Gulim" w:hAnsi="Arial" w:eastAsia="宋体" w:cs="Times New Roman"/>
                                        <w:color w:val="000000"/>
                                        <w:sz w:val="20"/>
                                        <w:lang w:val="zh-CN"/>
                                      </w:rPr>
                                      <w:t>扬尘、噪声、固体废物</w:t>
                                    </w:r>
                                  </w:p>
                                </w:txbxContent>
                              </wps:txbx>
                              <wps:bodyPr lIns="86868" tIns="43434" rIns="86868" bIns="43434" upright="1">
                                <a:spAutoFit/>
                              </wps:bodyPr>
                            </wps:wsp>
                            <wps:wsp>
                              <wps:cNvPr id="63" name="直接连接符 63"/>
                              <wps:cNvCnPr/>
                              <wps:spPr>
                                <a:xfrm>
                                  <a:off x="8596" y="366374"/>
                                  <a:ext cx="450" cy="0"/>
                                </a:xfrm>
                                <a:prstGeom prst="line">
                                  <a:avLst/>
                                </a:prstGeom>
                                <a:ln w="9525" cap="flat" cmpd="sng">
                                  <a:solidFill>
                                    <a:srgbClr val="000000"/>
                                  </a:solidFill>
                                  <a:prstDash val="solid"/>
                                  <a:headEnd type="none" w="med" len="med"/>
                                  <a:tailEnd type="triangle" w="med" len="med"/>
                                </a:ln>
                              </wps:spPr>
                              <wps:bodyPr upright="1"/>
                            </wps:wsp>
                            <wps:wsp>
                              <wps:cNvPr id="64" name="直接连接符 64"/>
                              <wps:cNvCnPr/>
                              <wps:spPr>
                                <a:xfrm>
                                  <a:off x="10558" y="366399"/>
                                  <a:ext cx="450"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87.1pt;margin-top:20609.5pt;height:177.2pt;width:227.35pt;z-index:251663360;mso-width-relative:page;mso-height-relative:page;" coordorigin="7591,364837" coordsize="4547,1562" o:gfxdata="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">
                      <o:lock v:ext="edit" aspectratio="f"/>
                      <v:shape id="_x0000_s1026" o:spid="_x0000_s1026" o:spt="202" type="#_x0000_t202" style="position:absolute;left:7591;top:366144;height:181;width:1013;" filled="f" stroked="t" coordsize="21600,21600" o:gfxdata="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OA9L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1.2065mm,0mm,1.2065mm" style="mso-fit-shape-to-text:t;">
                          <w:txbxContent>
                            <w:p w14:paraId="5FAF0A26">
                              <w:pPr>
                                <w:autoSpaceDE w:val="0"/>
                                <w:autoSpaceDN w:val="0"/>
                                <w:adjustRightInd w:val="0"/>
                                <w:jc w:val="center"/>
                                <w:rPr>
                                  <w:rFonts w:hint="eastAsia" w:ascii="Gulim" w:hAnsi="Arial" w:eastAsia="宋体" w:cs="Times New Roman"/>
                                  <w:color w:val="000000"/>
                                  <w:sz w:val="20"/>
                                </w:rPr>
                              </w:pPr>
                              <w:r>
                                <w:rPr>
                                  <w:rFonts w:hint="eastAsia" w:ascii="Gulim" w:hAnsi="Arial" w:eastAsia="宋体" w:cs="Times New Roman"/>
                                  <w:color w:val="000000"/>
                                  <w:sz w:val="20"/>
                                </w:rPr>
                                <w:t>场地清理</w:t>
                              </w:r>
                            </w:p>
                          </w:txbxContent>
                        </v:textbox>
                      </v:shape>
                      <v:shape id="_x0000_s1026" o:spid="_x0000_s1026" o:spt="202" type="#_x0000_t202" style="position:absolute;left:9036;top:366158;height:181;width:1534;" filled="f" stroked="t" coordsize="21600,21600" o:gfxdata="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PyVv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1.2065mm,0mm,1.2065mm" style="mso-fit-shape-to-text:t;">
                          <w:txbxContent>
                            <w:p w14:paraId="72219DFF">
                              <w:pPr>
                                <w:autoSpaceDE w:val="0"/>
                                <w:autoSpaceDN w:val="0"/>
                                <w:adjustRightInd w:val="0"/>
                                <w:jc w:val="center"/>
                                <w:rPr>
                                  <w:rFonts w:ascii="Gulim" w:hAnsi="Arial" w:eastAsia="宋体" w:cs="Times New Roman"/>
                                  <w:color w:val="000000"/>
                                  <w:sz w:val="20"/>
                                </w:rPr>
                              </w:pPr>
                              <w:r>
                                <w:rPr>
                                  <w:rFonts w:hint="eastAsia" w:ascii="Gulim" w:hAnsi="Arial" w:eastAsia="宋体" w:cs="Times New Roman"/>
                                  <w:color w:val="000000"/>
                                  <w:sz w:val="20"/>
                                  <w:lang w:val="zh-CN"/>
                                </w:rPr>
                                <w:t>设备（装备）安装</w:t>
                              </w:r>
                            </w:p>
                          </w:txbxContent>
                        </v:textbox>
                      </v:shape>
                      <v:shape id="_x0000_s1026" o:spid="_x0000_s1026" o:spt="202" type="#_x0000_t202" style="position:absolute;left:11004;top:366195;height:181;width:1134;" filled="f" stroked="t" coordsize="21600,21600" o:gfxdata="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EqV7ugAAANs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2.413mm,1.2065mm,2.413mm,1.2065mm" style="mso-fit-shape-to-text:t;">
                          <w:txbxContent>
                            <w:p w14:paraId="4D554459">
                              <w:pPr>
                                <w:autoSpaceDE w:val="0"/>
                                <w:autoSpaceDN w:val="0"/>
                                <w:adjustRightInd w:val="0"/>
                                <w:jc w:val="center"/>
                                <w:rPr>
                                  <w:rFonts w:ascii="Gulim" w:hAnsi="Arial" w:eastAsia="宋体" w:cs="Times New Roman"/>
                                  <w:color w:val="000000"/>
                                  <w:sz w:val="20"/>
                                  <w:lang w:val="zh-CN"/>
                                </w:rPr>
                              </w:pPr>
                              <w:r>
                                <w:rPr>
                                  <w:rFonts w:hint="eastAsia" w:ascii="Gulim" w:hAnsi="Arial" w:eastAsia="宋体" w:cs="Times New Roman"/>
                                  <w:color w:val="000000"/>
                                  <w:sz w:val="20"/>
                                  <w:lang w:val="zh-CN"/>
                                </w:rPr>
                                <w:t>调试运营</w:t>
                              </w:r>
                            </w:p>
                          </w:txbxContent>
                        </v:textbox>
                      </v:shape>
                      <v:shape id="_x0000_s1026" o:spid="_x0000_s1026" o:spt="88" type="#_x0000_t88" style="position:absolute;left:9094;top:363931;height:3039;width:921;rotation:-5898240f;" filled="f" stroked="t" coordsize="21600,21600" o:gfxdata="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8Il7sAAADb&#10;AAAADwAAAAAAAAABACAAAAAiAAAAZHJzL2Rvd25yZXYueG1sUEsBAhQAFAAAAAgAh07iQDMvBZ47&#10;AAAAOQAAABAAAAAAAAAAAQAgAAAACgEAAGRycy9zaGFwZXhtbC54bWxQSwUGAAAAAAYABgBbAQAA&#10;tAMAAAAA&#10;" adj="1799,10800">
                        <v:fill on="f" focussize="0,0"/>
                        <v:stroke color="#000000" joinstyle="round" dashstyle="dash"/>
                        <v:imagedata o:title=""/>
                        <o:lock v:ext="edit" aspectratio="f"/>
                      </v:shape>
                      <v:shape id="_x0000_s1026" o:spid="_x0000_s1026" o:spt="202" type="#_x0000_t202" style="position:absolute;left:8063;top:364837;height:174;width:3780;" filled="f" stroked="f" coordsize="21600,21600" o:gfxdata="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dhLivQAA&#10;ANsAAAAPAAAAAAAAAAEAIAAAACIAAABkcnMvZG93bnJldi54bWxQSwECFAAUAAAACACHTuJAMy8F&#10;njsAAAA5AAAAEAAAAAAAAAABACAAAAAMAQAAZHJzL3NoYXBleG1sLnhtbFBLBQYAAAAABgAGAFsB&#10;AAC2AwAAAAA=&#10;">
                        <v:fill on="f" focussize="0,0"/>
                        <v:stroke on="f"/>
                        <v:imagedata o:title=""/>
                        <o:lock v:ext="edit" aspectratio="f"/>
                        <v:textbox inset="2.413mm,1.2065mm,2.413mm,1.2065mm" style="mso-fit-shape-to-text:t;">
                          <w:txbxContent>
                            <w:p w14:paraId="1F1A7AFF">
                              <w:pPr>
                                <w:autoSpaceDE w:val="0"/>
                                <w:autoSpaceDN w:val="0"/>
                                <w:adjustRightInd w:val="0"/>
                                <w:jc w:val="center"/>
                                <w:rPr>
                                  <w:rFonts w:ascii="Gulim" w:hAnsi="Arial" w:eastAsia="宋体" w:cs="Times New Roman"/>
                                  <w:color w:val="000000"/>
                                  <w:sz w:val="20"/>
                                  <w:lang w:val="zh-CN"/>
                                </w:rPr>
                              </w:pPr>
                              <w:r>
                                <w:rPr>
                                  <w:rFonts w:hint="eastAsia" w:ascii="Gulim" w:hAnsi="Arial" w:eastAsia="宋体" w:cs="Times New Roman"/>
                                  <w:color w:val="000000"/>
                                  <w:sz w:val="20"/>
                                  <w:lang w:val="zh-CN"/>
                                </w:rPr>
                                <w:t>扬尘、噪声、固体废物</w:t>
                              </w:r>
                            </w:p>
                          </w:txbxContent>
                        </v:textbox>
                      </v:shape>
                      <v:line id="_x0000_s1026" o:spid="_x0000_s1026" o:spt="20" style="position:absolute;left:8596;top:366374;height:0;width:450;" filled="f" stroked="t" coordsize="21600,21600" o:gfxdata="UEsDBAoAAAAAAIdO4kAAAAAAAAAAAAAAAAAEAAAAZHJzL1BLAwQUAAAACACHTuJAwX0Rob8AAADb&#10;AAAADwAAAGRycy9kb3ducmV2LnhtbEWPT2vCQBTE74LfYXmCN92kBQ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9Ea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558;top:366399;height:0;width:450;" filled="f" stroked="t" coordsize="21600,21600" o:gfxdata="UEsDBAoAAAAAAIdO4kAAAAAAAAAAAAAAAAAEAAAAZHJzL1BLAwQUAAAACACHTuJATpSJ1b8AAADb&#10;AAAADwAAAGRycy9kb3ducmV2LnhtbEWPT2vCQBTE74LfYXmCN92kF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i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w:rPr>
                <w:rFonts w:hint="default" w:ascii="Times New Roman" w:hAnsi="Times New Roman" w:eastAsia="宋体" w:cs="Times New Roman"/>
                <w:b/>
                <w:color w:val="auto"/>
                <w:sz w:val="24"/>
                <w:szCs w:val="24"/>
                <w:highlight w:val="none"/>
              </w:rPr>
              <w:t>图</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w:t>
            </w:r>
            <w:r>
              <w:rPr>
                <w:rFonts w:hint="eastAsia"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 xml:space="preserve">  施工期工艺流程及产污环节图</w:t>
            </w:r>
          </w:p>
          <w:p w14:paraId="7CEE6660">
            <w:pPr>
              <w:keepNext w:val="0"/>
              <w:keepLines w:val="0"/>
              <w:pageBreakBefore w:val="0"/>
              <w:widowControl w:val="0"/>
              <w:suppressLineNumbers w:val="0"/>
              <w:tabs>
                <w:tab w:val="left" w:pos="0"/>
                <w:tab w:val="left" w:pos="1830"/>
              </w:tabs>
              <w:kinsoku/>
              <w:wordWrap/>
              <w:overflowPunct/>
              <w:topLinePunct w:val="0"/>
              <w:bidi w:val="0"/>
              <w:snapToGrid/>
              <w:spacing w:before="0" w:beforeAutospacing="0" w:after="0" w:afterAutospacing="0" w:line="348" w:lineRule="auto"/>
              <w:ind w:left="0" w:right="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二、营运期</w:t>
            </w:r>
          </w:p>
          <w:p w14:paraId="2A7B85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szCs w:val="24"/>
                <w:lang w:val="en-US" w:eastAsia="zh-CN"/>
              </w:rPr>
            </w:pPr>
            <w:r>
              <w:rPr>
                <w:rFonts w:hint="eastAsia"/>
                <w:color w:val="auto"/>
                <w:sz w:val="24"/>
                <w:szCs w:val="24"/>
                <w:lang w:val="en-US" w:eastAsia="zh-CN"/>
              </w:rPr>
              <w:t>本项目生产工艺流程及产污环节见下图2-3。</w:t>
            </w:r>
          </w:p>
          <w:p w14:paraId="1767AED5">
            <w:pPr>
              <w:pStyle w:val="56"/>
              <w:keepNext w:val="0"/>
              <w:keepLines w:val="0"/>
              <w:suppressLineNumbers w:val="0"/>
              <w:spacing w:before="0" w:beforeAutospacing="0" w:after="0" w:afterAutospacing="0" w:line="240" w:lineRule="auto"/>
              <w:ind w:left="0" w:leftChars="0" w:right="0" w:firstLine="0" w:firstLineChars="0"/>
              <w:jc w:val="center"/>
              <w:rPr>
                <w:rFonts w:hint="eastAsia"/>
                <w:b/>
                <w:color w:val="auto"/>
                <w:sz w:val="24"/>
              </w:rPr>
            </w:pPr>
            <w:r>
              <w:rPr>
                <w:rFonts w:hint="default" w:ascii="Times New Roman" w:hAnsi="Times New Roman" w:cs="Times New Roman" w:eastAsiaTheme="minorEastAsia"/>
                <w:i w:val="0"/>
                <w:iCs w:val="0"/>
                <w:color w:val="auto"/>
                <w:sz w:val="21"/>
                <w:szCs w:val="21"/>
                <w:u w:val="none"/>
              </w:rPr>
              <w:drawing>
                <wp:inline distT="0" distB="0" distL="114300" distR="114300">
                  <wp:extent cx="1800860" cy="4531995"/>
                  <wp:effectExtent l="0" t="0" r="8890" b="1905"/>
                  <wp:docPr id="76" name="F360BE8B-6686-4F3D-AEAF-501FE73E4058-2" descr="C:/Users/Administrator/AppData/Local/Temp/绘图1(7).png绘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360BE8B-6686-4F3D-AEAF-501FE73E4058-2" descr="C:/Users/Administrator/AppData/Local/Temp/绘图1(7).png绘图1(7)"/>
                          <pic:cNvPicPr>
                            <a:picLocks noChangeAspect="1"/>
                          </pic:cNvPicPr>
                        </pic:nvPicPr>
                        <pic:blipFill>
                          <a:blip r:embed="rId12"/>
                          <a:stretch>
                            <a:fillRect/>
                          </a:stretch>
                        </pic:blipFill>
                        <pic:spPr>
                          <a:xfrm>
                            <a:off x="0" y="0"/>
                            <a:ext cx="1800860" cy="4531995"/>
                          </a:xfrm>
                          <a:prstGeom prst="rect">
                            <a:avLst/>
                          </a:prstGeom>
                          <a:noFill/>
                          <a:ln>
                            <a:noFill/>
                          </a:ln>
                        </pic:spPr>
                      </pic:pic>
                    </a:graphicData>
                  </a:graphic>
                </wp:inline>
              </w:drawing>
            </w:r>
          </w:p>
          <w:p w14:paraId="2C94A5CA">
            <w:pPr>
              <w:pStyle w:val="56"/>
              <w:keepNext w:val="0"/>
              <w:keepLines w:val="0"/>
              <w:suppressLineNumbers w:val="0"/>
              <w:spacing w:before="0" w:beforeAutospacing="0" w:after="0" w:afterAutospacing="0" w:line="240" w:lineRule="auto"/>
              <w:ind w:left="0" w:leftChars="0" w:right="0" w:firstLine="0" w:firstLineChars="0"/>
              <w:jc w:val="center"/>
              <w:rPr>
                <w:rFonts w:hint="default"/>
                <w:color w:val="auto"/>
                <w:lang w:val="en-US" w:eastAsia="zh-CN"/>
              </w:rPr>
            </w:pPr>
            <w:r>
              <w:rPr>
                <w:rFonts w:hint="eastAsia"/>
                <w:b/>
                <w:color w:val="auto"/>
                <w:sz w:val="24"/>
                <w:highlight w:val="none"/>
              </w:rPr>
              <w:t>图</w:t>
            </w:r>
            <w:r>
              <w:rPr>
                <w:rFonts w:hint="eastAsia"/>
                <w:b/>
                <w:color w:val="auto"/>
                <w:sz w:val="24"/>
                <w:highlight w:val="none"/>
                <w:lang w:val="en-US" w:eastAsia="zh-CN"/>
              </w:rPr>
              <w:t>2-3</w:t>
            </w:r>
            <w:r>
              <w:rPr>
                <w:rFonts w:hint="default"/>
                <w:b/>
                <w:color w:val="auto"/>
                <w:sz w:val="24"/>
                <w:highlight w:val="none"/>
              </w:rPr>
              <w:t xml:space="preserve"> </w:t>
            </w:r>
            <w:r>
              <w:rPr>
                <w:rFonts w:hint="eastAsia"/>
                <w:b/>
                <w:color w:val="auto"/>
                <w:sz w:val="24"/>
                <w:highlight w:val="none"/>
                <w:lang w:val="en-US" w:eastAsia="zh-CN"/>
              </w:rPr>
              <w:t xml:space="preserve"> 心电图医疗记录纸</w:t>
            </w:r>
            <w:r>
              <w:rPr>
                <w:rFonts w:hint="eastAsia" w:ascii="宋体" w:hAnsi="宋体"/>
                <w:b/>
                <w:color w:val="auto"/>
                <w:sz w:val="24"/>
                <w:highlight w:val="none"/>
              </w:rPr>
              <w:t>生产工艺</w:t>
            </w:r>
            <w:r>
              <w:rPr>
                <w:rFonts w:hint="eastAsia" w:ascii="宋体" w:hAnsi="宋体"/>
                <w:b/>
                <w:color w:val="auto"/>
                <w:sz w:val="24"/>
                <w:highlight w:val="none"/>
                <w:lang w:val="en-US" w:eastAsia="zh-CN"/>
              </w:rPr>
              <w:t>流程</w:t>
            </w:r>
            <w:r>
              <w:rPr>
                <w:rFonts w:hint="eastAsia"/>
                <w:b/>
                <w:color w:val="auto"/>
                <w:sz w:val="24"/>
                <w:highlight w:val="none"/>
              </w:rPr>
              <w:t>和产污环节图</w:t>
            </w:r>
          </w:p>
          <w:p w14:paraId="220982D6">
            <w:pPr>
              <w:pStyle w:val="56"/>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szCs w:val="16"/>
                <w:lang w:val="en-US" w:eastAsia="zh-CN"/>
              </w:rPr>
            </w:pPr>
          </w:p>
          <w:p w14:paraId="120738FA">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baseline"/>
              <w:rPr>
                <w:rFonts w:hint="default"/>
                <w:b/>
                <w:bCs/>
                <w:color w:val="auto"/>
                <w:sz w:val="24"/>
                <w:szCs w:val="24"/>
                <w:lang w:val="en-US" w:eastAsia="zh-CN"/>
              </w:rPr>
            </w:pPr>
            <w:r>
              <w:rPr>
                <w:rFonts w:hint="default"/>
                <w:b/>
                <w:bCs/>
                <w:color w:val="auto"/>
                <w:sz w:val="24"/>
                <w:szCs w:val="24"/>
                <w:lang w:val="en-US" w:eastAsia="zh-CN"/>
              </w:rPr>
              <w:t>工艺流程简述：</w:t>
            </w:r>
          </w:p>
          <w:p w14:paraId="016E8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bCs/>
                <w:color w:val="auto"/>
                <w:sz w:val="24"/>
                <w:szCs w:val="21"/>
              </w:rPr>
            </w:pPr>
            <w:r>
              <w:rPr>
                <w:rFonts w:hint="eastAsia"/>
                <w:bCs/>
                <w:color w:val="auto"/>
                <w:sz w:val="24"/>
                <w:szCs w:val="21"/>
              </w:rPr>
              <w:t>（1）配料</w:t>
            </w:r>
          </w:p>
          <w:p w14:paraId="46B46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eastAsia="宋体"/>
                <w:bCs/>
                <w:color w:val="auto"/>
                <w:sz w:val="24"/>
                <w:szCs w:val="21"/>
                <w:lang w:val="en-US" w:eastAsia="zh-CN"/>
              </w:rPr>
            </w:pPr>
            <w:r>
              <w:rPr>
                <w:rFonts w:hint="eastAsia"/>
                <w:bCs/>
                <w:color w:val="auto"/>
                <w:sz w:val="24"/>
                <w:szCs w:val="21"/>
              </w:rPr>
              <w:t>配料罐中依次加入水，分散剂、抗水剂、胶乳、高岭土等原料搅拌至工艺规定时间，最后加入ODB染料搅拌均匀。</w:t>
            </w:r>
            <w:r>
              <w:rPr>
                <w:rFonts w:hint="eastAsia"/>
                <w:bCs/>
                <w:color w:val="auto"/>
                <w:sz w:val="24"/>
                <w:szCs w:val="21"/>
                <w:lang w:val="en-US" w:eastAsia="zh-CN"/>
              </w:rPr>
              <w:t>布袋除尘器收尘重新返回</w:t>
            </w:r>
          </w:p>
          <w:p w14:paraId="26B57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bCs/>
                <w:color w:val="auto"/>
                <w:sz w:val="24"/>
                <w:szCs w:val="21"/>
              </w:rPr>
            </w:pPr>
            <w:r>
              <w:rPr>
                <w:rFonts w:hint="eastAsia"/>
                <w:bCs/>
                <w:color w:val="auto"/>
                <w:sz w:val="24"/>
                <w:szCs w:val="21"/>
              </w:rPr>
              <w:t>（2）涂布</w:t>
            </w:r>
          </w:p>
          <w:p w14:paraId="594E7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bCs/>
                <w:color w:val="auto"/>
                <w:sz w:val="24"/>
                <w:szCs w:val="21"/>
              </w:rPr>
            </w:pPr>
            <w:r>
              <w:rPr>
                <w:rFonts w:hint="eastAsia"/>
                <w:bCs/>
                <w:color w:val="auto"/>
                <w:sz w:val="24"/>
                <w:szCs w:val="21"/>
              </w:rPr>
              <w:t>涂料在配料罐中由供料泵送至涂布头料槽，经气枪喷在原纸表面，在带料辊和上料辊的带动下均匀地涂抹在原纸上。涂布过程中未附着在原纸上的液体料通过原纸两侧的料槽收集后进行回收利用。</w:t>
            </w:r>
          </w:p>
          <w:p w14:paraId="3771FA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bCs/>
                <w:color w:val="auto"/>
                <w:sz w:val="24"/>
                <w:szCs w:val="21"/>
              </w:rPr>
            </w:pPr>
            <w:r>
              <w:rPr>
                <w:rFonts w:hint="eastAsia"/>
                <w:bCs/>
                <w:color w:val="auto"/>
                <w:sz w:val="24"/>
                <w:szCs w:val="21"/>
              </w:rPr>
              <w:t>（3）烘干</w:t>
            </w:r>
          </w:p>
          <w:p w14:paraId="19CB698A">
            <w:pPr>
              <w:keepNext w:val="0"/>
              <w:keepLines w:val="0"/>
              <w:suppressLineNumbers w:val="0"/>
              <w:spacing w:before="0" w:beforeAutospacing="0" w:after="0" w:afterAutospacing="0" w:line="360" w:lineRule="auto"/>
              <w:ind w:left="0" w:right="0" w:firstLine="480" w:firstLineChars="200"/>
              <w:jc w:val="left"/>
              <w:rPr>
                <w:rFonts w:hint="eastAsia"/>
                <w:bCs/>
                <w:color w:val="auto"/>
                <w:sz w:val="24"/>
                <w:szCs w:val="21"/>
              </w:rPr>
            </w:pPr>
            <w:r>
              <w:rPr>
                <w:rFonts w:hint="eastAsia"/>
                <w:bCs/>
                <w:color w:val="auto"/>
                <w:sz w:val="24"/>
                <w:szCs w:val="21"/>
              </w:rPr>
              <w:t>原纸经涂布后进入涂布机自带烘箱，采用蒸汽间接烘干，烘干温度为110</w:t>
            </w:r>
            <w:r>
              <w:rPr>
                <w:rFonts w:hint="default" w:ascii="Times New Roman" w:hAnsi="Times New Roman" w:cs="Times New Roman"/>
                <w:bCs/>
                <w:color w:val="auto"/>
                <w:sz w:val="24"/>
                <w:szCs w:val="21"/>
              </w:rPr>
              <w:t>℃，</w:t>
            </w:r>
            <w:r>
              <w:rPr>
                <w:rFonts w:hint="eastAsia"/>
                <w:bCs/>
                <w:color w:val="auto"/>
                <w:sz w:val="24"/>
                <w:szCs w:val="21"/>
              </w:rPr>
              <w:t>烘箱热源来自泗水圣源热电有限公司蒸汽。将表面的水分蒸发烘干</w:t>
            </w:r>
            <w:r>
              <w:rPr>
                <w:rFonts w:hint="eastAsia"/>
                <w:bCs/>
                <w:color w:val="auto"/>
                <w:sz w:val="24"/>
                <w:szCs w:val="21"/>
                <w:lang w:eastAsia="zh-CN"/>
              </w:rPr>
              <w:t>，再经过烘缸时进一步调节纸的水分并调节纸的翘曲使纸平整。</w:t>
            </w:r>
            <w:r>
              <w:rPr>
                <w:rFonts w:hint="eastAsia"/>
                <w:bCs/>
                <w:color w:val="auto"/>
                <w:sz w:val="24"/>
                <w:szCs w:val="21"/>
              </w:rPr>
              <w:t>原纸的一面</w:t>
            </w:r>
            <w:r>
              <w:rPr>
                <w:rFonts w:hint="eastAsia"/>
                <w:bCs/>
                <w:color w:val="auto"/>
                <w:sz w:val="24"/>
                <w:szCs w:val="21"/>
                <w:lang w:eastAsia="zh-CN"/>
              </w:rPr>
              <w:t>涂布、</w:t>
            </w:r>
            <w:r>
              <w:rPr>
                <w:rFonts w:hint="eastAsia"/>
                <w:bCs/>
                <w:color w:val="auto"/>
                <w:sz w:val="24"/>
                <w:szCs w:val="21"/>
              </w:rPr>
              <w:t>烘干后，再进行另一面的</w:t>
            </w:r>
            <w:r>
              <w:rPr>
                <w:rFonts w:hint="eastAsia"/>
                <w:bCs/>
                <w:color w:val="auto"/>
                <w:sz w:val="24"/>
                <w:szCs w:val="21"/>
                <w:lang w:eastAsia="zh-CN"/>
              </w:rPr>
              <w:t>涂布、</w:t>
            </w:r>
            <w:r>
              <w:rPr>
                <w:rFonts w:hint="eastAsia"/>
                <w:bCs/>
                <w:color w:val="auto"/>
                <w:sz w:val="24"/>
                <w:szCs w:val="21"/>
              </w:rPr>
              <w:t>烘干工序。</w:t>
            </w:r>
          </w:p>
          <w:p w14:paraId="43435046">
            <w:pPr>
              <w:keepNext w:val="0"/>
              <w:keepLines w:val="0"/>
              <w:suppressLineNumbers w:val="0"/>
              <w:spacing w:before="0" w:beforeAutospacing="0" w:after="0" w:afterAutospacing="0" w:line="360" w:lineRule="auto"/>
              <w:ind w:left="0" w:right="0" w:firstLine="480" w:firstLineChars="200"/>
              <w:jc w:val="left"/>
              <w:rPr>
                <w:rFonts w:hint="eastAsia"/>
                <w:bCs/>
                <w:color w:val="auto"/>
                <w:sz w:val="24"/>
                <w:szCs w:val="21"/>
              </w:rPr>
            </w:pPr>
            <w:r>
              <w:rPr>
                <w:rFonts w:hint="eastAsia"/>
                <w:bCs/>
                <w:color w:val="auto"/>
                <w:sz w:val="24"/>
                <w:szCs w:val="21"/>
              </w:rPr>
              <w:t>（4）压光</w:t>
            </w:r>
          </w:p>
          <w:p w14:paraId="687187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bCs/>
                <w:color w:val="auto"/>
                <w:sz w:val="24"/>
                <w:szCs w:val="21"/>
              </w:rPr>
            </w:pPr>
            <w:r>
              <w:rPr>
                <w:rFonts w:hint="eastAsia"/>
                <w:bCs/>
                <w:color w:val="auto"/>
                <w:sz w:val="24"/>
                <w:szCs w:val="21"/>
              </w:rPr>
              <w:t>两面烘干后纸进入压光机压光处理，纸从烘干机输出至两加压辊之间的压光带下，在压力的作用下，涂层贴附与压光带表面被压光，压光后的涂层平均分布于纸正面、背面。</w:t>
            </w:r>
          </w:p>
          <w:p w14:paraId="1A21AB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bCs/>
                <w:color w:val="auto"/>
                <w:sz w:val="24"/>
                <w:szCs w:val="21"/>
              </w:rPr>
            </w:pPr>
            <w:r>
              <w:rPr>
                <w:rFonts w:hint="eastAsia"/>
                <w:bCs/>
                <w:color w:val="auto"/>
                <w:sz w:val="24"/>
                <w:szCs w:val="21"/>
              </w:rPr>
              <w:t>（5）收卷</w:t>
            </w:r>
          </w:p>
          <w:p w14:paraId="763B72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bCs/>
                <w:color w:val="auto"/>
                <w:sz w:val="24"/>
                <w:szCs w:val="21"/>
              </w:rPr>
            </w:pPr>
            <w:r>
              <w:rPr>
                <w:rFonts w:hint="eastAsia"/>
                <w:bCs/>
                <w:color w:val="auto"/>
                <w:sz w:val="24"/>
                <w:szCs w:val="21"/>
              </w:rPr>
              <w:t>经过压光后的纸通过卷纸台复卷成半成品。</w:t>
            </w:r>
          </w:p>
          <w:p w14:paraId="37CC360D">
            <w:pPr>
              <w:keepNext w:val="0"/>
              <w:keepLines w:val="0"/>
              <w:suppressLineNumbers w:val="0"/>
              <w:spacing w:before="0" w:beforeAutospacing="0" w:after="0" w:afterAutospacing="0" w:line="360" w:lineRule="auto"/>
              <w:ind w:left="0" w:right="0" w:firstLine="480" w:firstLineChars="200"/>
              <w:jc w:val="left"/>
              <w:rPr>
                <w:rFonts w:hint="eastAsia" w:eastAsia="宋体"/>
                <w:bCs/>
                <w:color w:val="auto"/>
                <w:sz w:val="24"/>
                <w:szCs w:val="21"/>
                <w:lang w:eastAsia="zh-CN"/>
              </w:rPr>
            </w:pPr>
            <w:r>
              <w:rPr>
                <w:rFonts w:hint="eastAsia"/>
                <w:bCs/>
                <w:color w:val="auto"/>
                <w:sz w:val="24"/>
                <w:szCs w:val="21"/>
              </w:rPr>
              <w:t>（6）分切</w:t>
            </w:r>
          </w:p>
          <w:p w14:paraId="6E58FD19">
            <w:pPr>
              <w:keepNext w:val="0"/>
              <w:keepLines w:val="0"/>
              <w:suppressLineNumbers w:val="0"/>
              <w:spacing w:before="0" w:beforeAutospacing="0" w:after="0" w:afterAutospacing="0" w:line="360" w:lineRule="auto"/>
              <w:ind w:left="0" w:right="0" w:firstLine="480" w:firstLineChars="200"/>
              <w:jc w:val="left"/>
              <w:rPr>
                <w:rFonts w:hint="eastAsia" w:hAnsi="宋体"/>
                <w:color w:val="auto"/>
                <w:sz w:val="24"/>
                <w:lang w:eastAsia="zh-CN"/>
              </w:rPr>
            </w:pPr>
            <w:r>
              <w:rPr>
                <w:rFonts w:hint="default" w:hAnsi="宋体"/>
                <w:color w:val="auto"/>
                <w:sz w:val="24"/>
              </w:rPr>
              <w:t>根据需要调节切纸机的圆刀和长刀把半成品分切成规定规格的平板</w:t>
            </w:r>
            <w:r>
              <w:rPr>
                <w:rFonts w:hint="eastAsia" w:hAnsi="宋体"/>
                <w:color w:val="auto"/>
                <w:sz w:val="24"/>
              </w:rPr>
              <w:t>纸</w:t>
            </w:r>
            <w:r>
              <w:rPr>
                <w:rFonts w:hint="eastAsia" w:hAnsi="宋体"/>
                <w:color w:val="auto"/>
                <w:sz w:val="24"/>
                <w:lang w:eastAsia="zh-CN"/>
              </w:rPr>
              <w:t>。</w:t>
            </w:r>
          </w:p>
          <w:p w14:paraId="77FB7361">
            <w:pPr>
              <w:keepNext w:val="0"/>
              <w:keepLines w:val="0"/>
              <w:suppressLineNumbers w:val="0"/>
              <w:spacing w:before="0" w:beforeAutospacing="0" w:after="0" w:afterAutospacing="0" w:line="360" w:lineRule="auto"/>
              <w:ind w:left="0" w:right="0" w:firstLine="480" w:firstLineChars="200"/>
              <w:jc w:val="left"/>
              <w:rPr>
                <w:rFonts w:hint="eastAsia" w:hAnsi="宋体" w:eastAsia="宋体"/>
                <w:color w:val="auto"/>
                <w:sz w:val="24"/>
                <w:lang w:eastAsia="zh-CN"/>
              </w:rPr>
            </w:pPr>
            <w:r>
              <w:rPr>
                <w:rFonts w:hint="eastAsia"/>
                <w:bCs/>
                <w:color w:val="auto"/>
                <w:sz w:val="24"/>
                <w:szCs w:val="21"/>
              </w:rPr>
              <w:t>（</w:t>
            </w:r>
            <w:r>
              <w:rPr>
                <w:rFonts w:hint="eastAsia"/>
                <w:bCs/>
                <w:color w:val="auto"/>
                <w:sz w:val="24"/>
                <w:szCs w:val="21"/>
                <w:lang w:val="en-US" w:eastAsia="zh-CN"/>
              </w:rPr>
              <w:t>7</w:t>
            </w:r>
            <w:r>
              <w:rPr>
                <w:rFonts w:hint="eastAsia"/>
                <w:bCs/>
                <w:color w:val="auto"/>
                <w:sz w:val="24"/>
                <w:szCs w:val="21"/>
              </w:rPr>
              <w:t>）</w:t>
            </w:r>
            <w:r>
              <w:rPr>
                <w:rFonts w:hint="eastAsia"/>
                <w:bCs/>
                <w:color w:val="auto"/>
                <w:sz w:val="24"/>
                <w:szCs w:val="21"/>
                <w:lang w:eastAsia="zh-CN"/>
              </w:rPr>
              <w:t>复卷、包装</w:t>
            </w:r>
          </w:p>
          <w:p w14:paraId="5C57FF95">
            <w:pPr>
              <w:keepNext w:val="0"/>
              <w:keepLines w:val="0"/>
              <w:suppressLineNumbers w:val="0"/>
              <w:spacing w:before="0" w:beforeAutospacing="0" w:after="0" w:afterAutospacing="0" w:line="360" w:lineRule="auto"/>
              <w:ind w:left="0" w:right="0" w:firstLine="480" w:firstLineChars="200"/>
              <w:jc w:val="left"/>
              <w:rPr>
                <w:rFonts w:hint="default"/>
                <w:color w:val="auto"/>
                <w:sz w:val="24"/>
              </w:rPr>
            </w:pPr>
            <w:r>
              <w:rPr>
                <w:rFonts w:hint="default" w:hAnsi="宋体"/>
                <w:color w:val="auto"/>
                <w:sz w:val="24"/>
              </w:rPr>
              <w:t>调节复卷机中分刀的距离</w:t>
            </w:r>
            <w:r>
              <w:rPr>
                <w:rFonts w:hint="eastAsia" w:hAnsi="宋体"/>
                <w:color w:val="auto"/>
                <w:sz w:val="24"/>
                <w:lang w:eastAsia="zh-CN"/>
              </w:rPr>
              <w:t>将半成品分切成规定</w:t>
            </w:r>
            <w:r>
              <w:rPr>
                <w:rFonts w:hint="default" w:hAnsi="宋体"/>
                <w:color w:val="auto"/>
                <w:sz w:val="24"/>
              </w:rPr>
              <w:t>幅宽</w:t>
            </w:r>
            <w:r>
              <w:rPr>
                <w:rFonts w:hint="eastAsia" w:hAnsi="宋体"/>
                <w:color w:val="auto"/>
                <w:sz w:val="24"/>
                <w:lang w:eastAsia="zh-CN"/>
              </w:rPr>
              <w:t>的</w:t>
            </w:r>
            <w:r>
              <w:rPr>
                <w:rFonts w:hint="default" w:hAnsi="宋体"/>
                <w:color w:val="auto"/>
                <w:sz w:val="24"/>
              </w:rPr>
              <w:t>卷筒纸</w:t>
            </w:r>
            <w:r>
              <w:rPr>
                <w:rFonts w:hint="eastAsia" w:hAnsi="宋体"/>
                <w:color w:val="auto"/>
                <w:sz w:val="24"/>
                <w:lang w:eastAsia="zh-CN"/>
              </w:rPr>
              <w:t>，使用复卷机复卷，然后</w:t>
            </w:r>
            <w:r>
              <w:rPr>
                <w:rFonts w:hint="default" w:hAnsi="宋体"/>
                <w:color w:val="auto"/>
                <w:sz w:val="24"/>
              </w:rPr>
              <w:t>包装成规定的卷筒</w:t>
            </w:r>
            <w:r>
              <w:rPr>
                <w:rFonts w:hint="eastAsia" w:hAnsi="宋体"/>
                <w:color w:val="auto"/>
                <w:sz w:val="24"/>
              </w:rPr>
              <w:t>。</w:t>
            </w:r>
          </w:p>
          <w:p w14:paraId="4A7CCAD2">
            <w:pPr>
              <w:pStyle w:val="56"/>
              <w:keepNext w:val="0"/>
              <w:keepLines w:val="0"/>
              <w:suppressLineNumbers w:val="0"/>
              <w:spacing w:before="0" w:beforeAutospacing="0" w:after="0" w:afterAutospacing="0" w:line="240" w:lineRule="auto"/>
              <w:ind w:left="0" w:leftChars="0" w:right="0" w:firstLine="0" w:firstLineChars="0"/>
              <w:jc w:val="center"/>
              <w:rPr>
                <w:rFonts w:hint="eastAsia"/>
                <w:b/>
                <w:color w:val="auto"/>
                <w:sz w:val="24"/>
              </w:rPr>
            </w:pPr>
            <w:r>
              <w:rPr>
                <w:rFonts w:hint="default" w:ascii="Times New Roman" w:hAnsi="Times New Roman" w:cs="Times New Roman" w:eastAsiaTheme="minorEastAsia"/>
                <w:i w:val="0"/>
                <w:iCs w:val="0"/>
                <w:color w:val="auto"/>
                <w:sz w:val="21"/>
                <w:szCs w:val="21"/>
                <w:u w:val="none"/>
              </w:rPr>
              <w:drawing>
                <wp:inline distT="0" distB="0" distL="114300" distR="114300">
                  <wp:extent cx="2028190" cy="2953385"/>
                  <wp:effectExtent l="0" t="0" r="10160" b="18415"/>
                  <wp:docPr id="3" name="F360BE8B-6686-4F3D-AEAF-501FE73E4058-3" descr="C:/Users/Administrator/AppData/Local/Temp/绘图1(9).png绘图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3" descr="C:/Users/Administrator/AppData/Local/Temp/绘图1(9).png绘图1(9)"/>
                          <pic:cNvPicPr>
                            <a:picLocks noChangeAspect="1"/>
                          </pic:cNvPicPr>
                        </pic:nvPicPr>
                        <pic:blipFill>
                          <a:blip r:embed="rId13"/>
                          <a:stretch>
                            <a:fillRect/>
                          </a:stretch>
                        </pic:blipFill>
                        <pic:spPr>
                          <a:xfrm>
                            <a:off x="0" y="0"/>
                            <a:ext cx="2028190" cy="2953385"/>
                          </a:xfrm>
                          <a:prstGeom prst="rect">
                            <a:avLst/>
                          </a:prstGeom>
                          <a:noFill/>
                          <a:ln>
                            <a:noFill/>
                          </a:ln>
                        </pic:spPr>
                      </pic:pic>
                    </a:graphicData>
                  </a:graphic>
                </wp:inline>
              </w:drawing>
            </w:r>
          </w:p>
          <w:p w14:paraId="21F72240">
            <w:pPr>
              <w:pStyle w:val="56"/>
              <w:keepNext w:val="0"/>
              <w:keepLines w:val="0"/>
              <w:suppressLineNumbers w:val="0"/>
              <w:spacing w:before="0" w:beforeAutospacing="0" w:after="0" w:afterAutospacing="0" w:line="240" w:lineRule="auto"/>
              <w:ind w:left="0" w:leftChars="0" w:right="0" w:firstLine="0" w:firstLineChars="0"/>
              <w:jc w:val="center"/>
              <w:rPr>
                <w:rFonts w:hint="default"/>
                <w:color w:val="auto"/>
                <w:lang w:val="en-US" w:eastAsia="zh-CN"/>
              </w:rPr>
            </w:pPr>
            <w:r>
              <w:rPr>
                <w:rFonts w:hint="eastAsia"/>
                <w:b/>
                <w:color w:val="auto"/>
                <w:sz w:val="24"/>
                <w:highlight w:val="none"/>
              </w:rPr>
              <w:t>图</w:t>
            </w:r>
            <w:r>
              <w:rPr>
                <w:rFonts w:hint="eastAsia"/>
                <w:b/>
                <w:color w:val="auto"/>
                <w:sz w:val="24"/>
                <w:highlight w:val="none"/>
                <w:lang w:val="en-US" w:eastAsia="zh-CN"/>
              </w:rPr>
              <w:t>2-4</w:t>
            </w:r>
            <w:r>
              <w:rPr>
                <w:rFonts w:hint="default"/>
                <w:b/>
                <w:color w:val="auto"/>
                <w:sz w:val="24"/>
                <w:highlight w:val="none"/>
              </w:rPr>
              <w:t xml:space="preserve"> </w:t>
            </w:r>
            <w:r>
              <w:rPr>
                <w:rFonts w:hint="eastAsia"/>
                <w:b/>
                <w:color w:val="auto"/>
                <w:sz w:val="24"/>
                <w:highlight w:val="none"/>
                <w:lang w:val="en-US" w:eastAsia="zh-CN"/>
              </w:rPr>
              <w:t xml:space="preserve"> 印刷胶钉</w:t>
            </w:r>
            <w:r>
              <w:rPr>
                <w:rFonts w:hint="eastAsia" w:ascii="宋体" w:hAnsi="宋体"/>
                <w:b/>
                <w:color w:val="auto"/>
                <w:sz w:val="24"/>
                <w:highlight w:val="none"/>
              </w:rPr>
              <w:t>生产工艺</w:t>
            </w:r>
            <w:r>
              <w:rPr>
                <w:rFonts w:hint="eastAsia" w:ascii="宋体" w:hAnsi="宋体"/>
                <w:b/>
                <w:color w:val="auto"/>
                <w:sz w:val="24"/>
                <w:highlight w:val="none"/>
                <w:lang w:val="en-US" w:eastAsia="zh-CN"/>
              </w:rPr>
              <w:t>流程</w:t>
            </w:r>
            <w:r>
              <w:rPr>
                <w:rFonts w:hint="eastAsia"/>
                <w:b/>
                <w:color w:val="auto"/>
                <w:sz w:val="24"/>
                <w:highlight w:val="none"/>
              </w:rPr>
              <w:t>和产污环节图</w:t>
            </w:r>
          </w:p>
          <w:p w14:paraId="06A18FFD">
            <w:pPr>
              <w:pStyle w:val="56"/>
              <w:keepNext w:val="0"/>
              <w:keepLines w:val="0"/>
              <w:suppressLineNumbers w:val="0"/>
              <w:spacing w:before="0" w:beforeAutospacing="0" w:after="0" w:afterAutospacing="0" w:line="240" w:lineRule="auto"/>
              <w:ind w:left="0" w:leftChars="0" w:right="0" w:firstLine="0" w:firstLineChars="0"/>
              <w:jc w:val="center"/>
              <w:rPr>
                <w:rFonts w:hint="default"/>
                <w:b/>
                <w:bCs/>
                <w:color w:val="auto"/>
                <w:sz w:val="21"/>
                <w:szCs w:val="16"/>
                <w:lang w:val="en-US" w:eastAsia="zh-CN"/>
              </w:rPr>
            </w:pPr>
          </w:p>
          <w:p w14:paraId="3EF8E3D9">
            <w:pPr>
              <w:pStyle w:val="5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baseline"/>
              <w:rPr>
                <w:rFonts w:hint="default"/>
                <w:b/>
                <w:bCs/>
                <w:color w:val="auto"/>
                <w:sz w:val="24"/>
                <w:szCs w:val="24"/>
                <w:lang w:val="en-US" w:eastAsia="zh-CN"/>
              </w:rPr>
            </w:pPr>
            <w:r>
              <w:rPr>
                <w:rFonts w:hint="default"/>
                <w:b/>
                <w:bCs/>
                <w:color w:val="auto"/>
                <w:sz w:val="24"/>
                <w:szCs w:val="24"/>
                <w:lang w:val="en-US" w:eastAsia="zh-CN"/>
              </w:rPr>
              <w:t>工艺流程简述：</w:t>
            </w:r>
          </w:p>
          <w:p w14:paraId="64160F8A">
            <w:pPr>
              <w:pStyle w:val="114"/>
              <w:keepNext w:val="0"/>
              <w:keepLines w:val="0"/>
              <w:suppressLineNumbers w:val="0"/>
              <w:spacing w:before="0" w:beforeAutospacing="0" w:after="0" w:afterAutospacing="0" w:line="360" w:lineRule="auto"/>
              <w:ind w:left="0" w:right="0" w:firstLine="480"/>
              <w:rPr>
                <w:rFonts w:hint="eastAsia"/>
                <w:bCs/>
                <w:color w:val="auto"/>
                <w:sz w:val="24"/>
                <w:szCs w:val="21"/>
              </w:rPr>
            </w:pPr>
            <w:r>
              <w:rPr>
                <w:rFonts w:hint="eastAsia"/>
                <w:bCs/>
                <w:color w:val="auto"/>
                <w:sz w:val="24"/>
                <w:szCs w:val="21"/>
              </w:rPr>
              <w:t>（</w:t>
            </w:r>
            <w:r>
              <w:rPr>
                <w:rFonts w:hint="eastAsia"/>
                <w:bCs/>
                <w:color w:val="auto"/>
                <w:sz w:val="24"/>
                <w:szCs w:val="21"/>
                <w:lang w:val="en-US" w:eastAsia="zh-CN"/>
              </w:rPr>
              <w:t>1</w:t>
            </w:r>
            <w:r>
              <w:rPr>
                <w:rFonts w:hint="eastAsia"/>
                <w:bCs/>
                <w:color w:val="auto"/>
                <w:sz w:val="24"/>
                <w:szCs w:val="21"/>
              </w:rPr>
              <w:t>）印刷</w:t>
            </w:r>
          </w:p>
          <w:p w14:paraId="4113D519">
            <w:pPr>
              <w:pStyle w:val="114"/>
              <w:keepNext w:val="0"/>
              <w:keepLines w:val="0"/>
              <w:suppressLineNumbers w:val="0"/>
              <w:spacing w:before="0" w:beforeAutospacing="0" w:after="0" w:afterAutospacing="0" w:line="360" w:lineRule="auto"/>
              <w:ind w:left="0" w:right="0" w:firstLine="480"/>
              <w:rPr>
                <w:rFonts w:hint="default"/>
                <w:bCs/>
                <w:color w:val="auto"/>
                <w:sz w:val="24"/>
                <w:szCs w:val="21"/>
              </w:rPr>
            </w:pPr>
            <w:r>
              <w:rPr>
                <w:rFonts w:hint="eastAsia"/>
                <w:bCs/>
                <w:color w:val="auto"/>
                <w:sz w:val="24"/>
                <w:szCs w:val="21"/>
              </w:rPr>
              <w:t>根据客户要求，部分</w:t>
            </w:r>
            <w:r>
              <w:rPr>
                <w:rFonts w:hint="eastAsia"/>
                <w:bCs/>
                <w:color w:val="auto"/>
                <w:sz w:val="24"/>
                <w:szCs w:val="21"/>
                <w:lang w:eastAsia="zh-CN"/>
              </w:rPr>
              <w:t>成品</w:t>
            </w:r>
            <w:r>
              <w:rPr>
                <w:rFonts w:hint="eastAsia"/>
                <w:bCs/>
                <w:color w:val="auto"/>
                <w:sz w:val="24"/>
                <w:szCs w:val="21"/>
              </w:rPr>
              <w:t>纸需印刷上特定文字、图案，将成卷纸放至印刷机的上料辊进行印刷作业，印刷过程使用水性油墨。</w:t>
            </w:r>
          </w:p>
          <w:p w14:paraId="427E0279">
            <w:pPr>
              <w:keepNext w:val="0"/>
              <w:keepLines w:val="0"/>
              <w:suppressLineNumbers w:val="0"/>
              <w:spacing w:before="0" w:beforeAutospacing="0" w:after="0" w:afterAutospacing="0" w:line="360" w:lineRule="auto"/>
              <w:ind w:left="420" w:leftChars="200" w:right="0"/>
              <w:jc w:val="left"/>
              <w:rPr>
                <w:rFonts w:hint="eastAsia"/>
                <w:bCs/>
                <w:color w:val="auto"/>
                <w:sz w:val="24"/>
                <w:szCs w:val="21"/>
              </w:rPr>
            </w:pPr>
            <w:r>
              <w:rPr>
                <w:rFonts w:hint="eastAsia"/>
                <w:bCs/>
                <w:color w:val="auto"/>
                <w:sz w:val="24"/>
                <w:szCs w:val="21"/>
              </w:rPr>
              <w:t>（</w:t>
            </w:r>
            <w:r>
              <w:rPr>
                <w:rFonts w:hint="eastAsia"/>
                <w:bCs/>
                <w:color w:val="auto"/>
                <w:sz w:val="24"/>
                <w:szCs w:val="21"/>
                <w:lang w:val="en-US" w:eastAsia="zh-CN"/>
              </w:rPr>
              <w:t>2</w:t>
            </w:r>
            <w:r>
              <w:rPr>
                <w:rFonts w:hint="eastAsia"/>
                <w:bCs/>
                <w:color w:val="auto"/>
                <w:sz w:val="24"/>
                <w:szCs w:val="21"/>
              </w:rPr>
              <w:t>）切纸</w:t>
            </w:r>
          </w:p>
          <w:p w14:paraId="27AB1E01">
            <w:pPr>
              <w:pStyle w:val="114"/>
              <w:keepNext w:val="0"/>
              <w:keepLines w:val="0"/>
              <w:suppressLineNumbers w:val="0"/>
              <w:spacing w:before="0" w:beforeAutospacing="0" w:after="0" w:afterAutospacing="0" w:line="360" w:lineRule="auto"/>
              <w:ind w:left="0" w:right="0" w:firstLine="480"/>
              <w:rPr>
                <w:rFonts w:hint="eastAsia"/>
                <w:bCs/>
                <w:color w:val="auto"/>
                <w:sz w:val="24"/>
                <w:szCs w:val="21"/>
              </w:rPr>
            </w:pPr>
            <w:r>
              <w:rPr>
                <w:rFonts w:hint="eastAsia"/>
                <w:bCs/>
                <w:color w:val="auto"/>
                <w:sz w:val="24"/>
                <w:szCs w:val="21"/>
              </w:rPr>
              <w:t>印刷后</w:t>
            </w:r>
            <w:r>
              <w:rPr>
                <w:rFonts w:hint="eastAsia"/>
                <w:bCs/>
                <w:color w:val="auto"/>
                <w:sz w:val="24"/>
                <w:szCs w:val="21"/>
                <w:lang w:eastAsia="zh-CN"/>
              </w:rPr>
              <w:t>平板</w:t>
            </w:r>
            <w:r>
              <w:rPr>
                <w:rFonts w:hint="eastAsia"/>
                <w:bCs/>
                <w:color w:val="auto"/>
                <w:sz w:val="24"/>
                <w:szCs w:val="21"/>
              </w:rPr>
              <w:t>纸放至切纸机工作台，根据需要调节切纸机的圆刀和长刀将纸板分切成所需规格大小。</w:t>
            </w:r>
          </w:p>
          <w:p w14:paraId="6348DC1F">
            <w:pPr>
              <w:pStyle w:val="114"/>
              <w:keepNext w:val="0"/>
              <w:keepLines w:val="0"/>
              <w:suppressLineNumbers w:val="0"/>
              <w:spacing w:before="0" w:beforeAutospacing="0" w:after="0" w:afterAutospacing="0" w:line="360" w:lineRule="auto"/>
              <w:ind w:left="420" w:leftChars="200" w:right="0" w:firstLine="0" w:firstLineChars="0"/>
              <w:rPr>
                <w:rFonts w:hint="default" w:eastAsia="宋体"/>
                <w:bCs/>
                <w:color w:val="auto"/>
                <w:sz w:val="24"/>
                <w:szCs w:val="21"/>
                <w:lang w:val="en-US" w:eastAsia="zh-CN"/>
              </w:rPr>
            </w:pPr>
            <w:r>
              <w:rPr>
                <w:rFonts w:hint="eastAsia"/>
                <w:bCs/>
                <w:color w:val="auto"/>
                <w:sz w:val="24"/>
                <w:szCs w:val="21"/>
              </w:rPr>
              <w:t>（</w:t>
            </w:r>
            <w:r>
              <w:rPr>
                <w:rFonts w:hint="eastAsia"/>
                <w:bCs/>
                <w:color w:val="auto"/>
                <w:sz w:val="24"/>
                <w:szCs w:val="21"/>
                <w:lang w:val="en-US" w:eastAsia="zh-CN"/>
              </w:rPr>
              <w:t>3</w:t>
            </w:r>
            <w:r>
              <w:rPr>
                <w:rFonts w:hint="eastAsia"/>
                <w:bCs/>
                <w:color w:val="auto"/>
                <w:sz w:val="24"/>
                <w:szCs w:val="21"/>
              </w:rPr>
              <w:t>）胶钉</w:t>
            </w:r>
            <w:r>
              <w:rPr>
                <w:rFonts w:hint="eastAsia"/>
                <w:bCs/>
                <w:color w:val="auto"/>
                <w:sz w:val="24"/>
                <w:szCs w:val="21"/>
                <w:lang w:eastAsia="zh-CN"/>
              </w:rPr>
              <w:t>、</w:t>
            </w:r>
            <w:r>
              <w:rPr>
                <w:rFonts w:hint="eastAsia"/>
                <w:bCs/>
                <w:color w:val="auto"/>
                <w:sz w:val="24"/>
                <w:szCs w:val="21"/>
                <w:lang w:val="en-US" w:eastAsia="zh-CN"/>
              </w:rPr>
              <w:t>打孔</w:t>
            </w:r>
          </w:p>
          <w:p w14:paraId="0DDA402B">
            <w:pPr>
              <w:keepNext w:val="0"/>
              <w:keepLines w:val="0"/>
              <w:suppressLineNumbers w:val="0"/>
              <w:spacing w:before="0" w:beforeAutospacing="0" w:after="0" w:afterAutospacing="0" w:line="360" w:lineRule="auto"/>
              <w:ind w:left="0" w:right="0" w:firstLine="480"/>
              <w:rPr>
                <w:rFonts w:hint="eastAsia" w:cs="Times New Roman"/>
                <w:color w:val="auto"/>
                <w:sz w:val="24"/>
                <w:lang w:val="en-US" w:eastAsia="zh-CN"/>
              </w:rPr>
            </w:pPr>
            <w:r>
              <w:rPr>
                <w:rFonts w:hint="eastAsia" w:ascii="Times New Roman" w:hAnsi="Times New Roman" w:eastAsia="宋体" w:cs="Times New Roman"/>
                <w:bCs/>
                <w:color w:val="auto"/>
                <w:sz w:val="24"/>
                <w:szCs w:val="21"/>
              </w:rPr>
              <w:t>根据要求使用胶订机将同规格纸板装订成本，胶订过程使用热熔胶</w:t>
            </w:r>
            <w:r>
              <w:rPr>
                <w:rFonts w:hint="eastAsia" w:ascii="Times New Roman" w:hAnsi="Times New Roman" w:eastAsia="宋体" w:cs="Times New Roman"/>
                <w:bCs/>
                <w:color w:val="auto"/>
                <w:sz w:val="24"/>
                <w:szCs w:val="21"/>
                <w:lang w:eastAsia="zh-CN"/>
              </w:rPr>
              <w:t>，采用电加热，</w:t>
            </w:r>
            <w:r>
              <w:rPr>
                <w:rFonts w:hint="eastAsia" w:ascii="Times New Roman" w:hAnsi="Times New Roman" w:eastAsia="宋体" w:cs="Times New Roman"/>
                <w:bCs/>
                <w:color w:val="auto"/>
                <w:sz w:val="24"/>
                <w:szCs w:val="21"/>
              </w:rPr>
              <w:t>胶钉完成后成品纸</w:t>
            </w:r>
            <w:r>
              <w:rPr>
                <w:rFonts w:hint="eastAsia" w:cs="Times New Roman"/>
                <w:bCs/>
                <w:color w:val="auto"/>
                <w:sz w:val="24"/>
                <w:szCs w:val="21"/>
                <w:lang w:val="en-US" w:eastAsia="zh-CN"/>
              </w:rPr>
              <w:t>打孔</w:t>
            </w:r>
            <w:r>
              <w:rPr>
                <w:rFonts w:hint="eastAsia" w:ascii="Times New Roman" w:hAnsi="Times New Roman" w:eastAsia="宋体" w:cs="Times New Roman"/>
                <w:bCs/>
                <w:color w:val="auto"/>
                <w:sz w:val="24"/>
                <w:szCs w:val="21"/>
              </w:rPr>
              <w:t>处理，作为产品运至成品区待售。</w:t>
            </w:r>
          </w:p>
          <w:p w14:paraId="03159214">
            <w:pPr>
              <w:keepNext w:val="0"/>
              <w:keepLines w:val="0"/>
              <w:suppressLineNumbers w:val="0"/>
              <w:tabs>
                <w:tab w:val="left" w:pos="942"/>
              </w:tabs>
              <w:spacing w:before="0" w:beforeAutospacing="0" w:after="0" w:afterAutospacing="0" w:line="360" w:lineRule="auto"/>
              <w:ind w:left="105" w:leftChars="50" w:right="105" w:rightChars="5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本项目运营过程产污环节见下表。</w:t>
            </w:r>
          </w:p>
          <w:p w14:paraId="1BCC30D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表2-</w:t>
            </w:r>
            <w:r>
              <w:rPr>
                <w:rFonts w:hint="eastAsia" w:cs="Times New Roman"/>
                <w:b/>
                <w:snapToGrid w:val="0"/>
                <w:color w:val="auto"/>
                <w:kern w:val="0"/>
                <w:sz w:val="24"/>
                <w:lang w:val="en-US" w:eastAsia="zh-CN"/>
              </w:rPr>
              <w:t>7</w:t>
            </w:r>
            <w:r>
              <w:rPr>
                <w:rFonts w:hint="default" w:ascii="Times New Roman" w:hAnsi="Times New Roman" w:cs="Times New Roman"/>
                <w:b/>
                <w:snapToGrid w:val="0"/>
                <w:color w:val="auto"/>
                <w:kern w:val="0"/>
                <w:sz w:val="24"/>
              </w:rPr>
              <w:t xml:space="preserve"> </w:t>
            </w:r>
            <w:r>
              <w:rPr>
                <w:rFonts w:hint="eastAsia" w:cs="Times New Roman"/>
                <w:b/>
                <w:snapToGrid w:val="0"/>
                <w:color w:val="auto"/>
                <w:kern w:val="0"/>
                <w:sz w:val="24"/>
                <w:lang w:val="en-US" w:eastAsia="zh-CN"/>
              </w:rPr>
              <w:t xml:space="preserve"> </w:t>
            </w:r>
            <w:r>
              <w:rPr>
                <w:rFonts w:hint="default" w:ascii="Times New Roman" w:hAnsi="Times New Roman" w:cs="Times New Roman"/>
                <w:b/>
                <w:snapToGrid w:val="0"/>
                <w:color w:val="auto"/>
                <w:kern w:val="0"/>
                <w:sz w:val="24"/>
              </w:rPr>
              <w:t>项目污染</w:t>
            </w:r>
            <w:r>
              <w:rPr>
                <w:rFonts w:hint="eastAsia" w:ascii="Times New Roman" w:hAnsi="Times New Roman" w:cs="Times New Roman"/>
                <w:b/>
                <w:snapToGrid w:val="0"/>
                <w:color w:val="auto"/>
                <w:kern w:val="0"/>
                <w:sz w:val="24"/>
                <w:lang w:val="en-US" w:eastAsia="zh-CN"/>
              </w:rPr>
              <w:t>物</w:t>
            </w:r>
            <w:r>
              <w:rPr>
                <w:rFonts w:hint="default" w:ascii="Times New Roman" w:hAnsi="Times New Roman" w:cs="Times New Roman"/>
                <w:b/>
                <w:snapToGrid w:val="0"/>
                <w:color w:val="auto"/>
                <w:kern w:val="0"/>
                <w:sz w:val="24"/>
              </w:rPr>
              <w:t>产生环节一览表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631"/>
              <w:gridCol w:w="2722"/>
              <w:gridCol w:w="2681"/>
            </w:tblGrid>
            <w:tr w14:paraId="5DB28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6" w:type="pct"/>
                  <w:tcBorders>
                    <w:tl2br w:val="nil"/>
                    <w:tr2bl w:val="nil"/>
                  </w:tcBorders>
                  <w:noWrap w:val="0"/>
                  <w:vAlign w:val="center"/>
                </w:tcPr>
                <w:p w14:paraId="0EEB63E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snapToGrid w:val="0"/>
                      <w:color w:val="auto"/>
                      <w:kern w:val="0"/>
                      <w:szCs w:val="21"/>
                    </w:rPr>
                  </w:pPr>
                  <w:r>
                    <w:rPr>
                      <w:rFonts w:hint="default" w:ascii="Times New Roman" w:hAnsi="Times New Roman" w:cs="Times New Roman"/>
                      <w:b/>
                      <w:snapToGrid w:val="0"/>
                      <w:color w:val="auto"/>
                      <w:kern w:val="0"/>
                      <w:szCs w:val="21"/>
                    </w:rPr>
                    <w:t>污染类型</w:t>
                  </w:r>
                </w:p>
              </w:tc>
              <w:tc>
                <w:tcPr>
                  <w:tcW w:w="1030" w:type="pct"/>
                  <w:tcBorders>
                    <w:tl2br w:val="nil"/>
                    <w:tr2bl w:val="nil"/>
                  </w:tcBorders>
                  <w:noWrap w:val="0"/>
                  <w:vAlign w:val="center"/>
                </w:tcPr>
                <w:p w14:paraId="7B0FE23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snapToGrid w:val="0"/>
                      <w:color w:val="auto"/>
                      <w:kern w:val="0"/>
                      <w:szCs w:val="21"/>
                      <w:lang w:val="en-US" w:eastAsia="zh-CN"/>
                    </w:rPr>
                  </w:pPr>
                  <w:r>
                    <w:rPr>
                      <w:rFonts w:hint="eastAsia" w:ascii="Times New Roman" w:hAnsi="Times New Roman" w:cs="Times New Roman"/>
                      <w:b/>
                      <w:snapToGrid w:val="0"/>
                      <w:color w:val="auto"/>
                      <w:kern w:val="0"/>
                      <w:szCs w:val="21"/>
                      <w:lang w:val="en-US" w:eastAsia="zh-CN"/>
                    </w:rPr>
                    <w:t>名称</w:t>
                  </w:r>
                </w:p>
              </w:tc>
              <w:tc>
                <w:tcPr>
                  <w:tcW w:w="1719" w:type="pct"/>
                  <w:tcBorders>
                    <w:tl2br w:val="nil"/>
                    <w:tr2bl w:val="nil"/>
                  </w:tcBorders>
                  <w:noWrap w:val="0"/>
                  <w:vAlign w:val="center"/>
                </w:tcPr>
                <w:p w14:paraId="6DBBFD2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snapToGrid w:val="0"/>
                      <w:color w:val="auto"/>
                      <w:kern w:val="0"/>
                      <w:szCs w:val="21"/>
                      <w:lang w:eastAsia="zh-CN"/>
                    </w:rPr>
                  </w:pPr>
                  <w:r>
                    <w:rPr>
                      <w:rFonts w:hint="default" w:ascii="Times New Roman" w:hAnsi="Times New Roman" w:cs="Times New Roman"/>
                      <w:b/>
                      <w:snapToGrid w:val="0"/>
                      <w:color w:val="auto"/>
                      <w:kern w:val="0"/>
                      <w:szCs w:val="21"/>
                    </w:rPr>
                    <w:t>产生</w:t>
                  </w:r>
                  <w:r>
                    <w:rPr>
                      <w:rFonts w:hint="eastAsia" w:ascii="Times New Roman" w:hAnsi="Times New Roman" w:cs="Times New Roman"/>
                      <w:b/>
                      <w:snapToGrid w:val="0"/>
                      <w:color w:val="auto"/>
                      <w:kern w:val="0"/>
                      <w:szCs w:val="21"/>
                      <w:lang w:val="en-US" w:eastAsia="zh-CN"/>
                    </w:rPr>
                    <w:t>环节</w:t>
                  </w:r>
                </w:p>
              </w:tc>
              <w:tc>
                <w:tcPr>
                  <w:tcW w:w="1693" w:type="pct"/>
                  <w:tcBorders>
                    <w:tl2br w:val="nil"/>
                    <w:tr2bl w:val="nil"/>
                  </w:tcBorders>
                  <w:noWrap w:val="0"/>
                  <w:vAlign w:val="center"/>
                </w:tcPr>
                <w:p w14:paraId="18C7067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snapToGrid w:val="0"/>
                      <w:color w:val="auto"/>
                      <w:kern w:val="0"/>
                      <w:szCs w:val="21"/>
                      <w:lang w:eastAsia="zh-CN"/>
                    </w:rPr>
                  </w:pPr>
                  <w:r>
                    <w:rPr>
                      <w:rFonts w:hint="default" w:ascii="Times New Roman" w:hAnsi="Times New Roman" w:cs="Times New Roman"/>
                      <w:b/>
                      <w:snapToGrid w:val="0"/>
                      <w:color w:val="auto"/>
                      <w:kern w:val="0"/>
                      <w:szCs w:val="21"/>
                    </w:rPr>
                    <w:t>污染</w:t>
                  </w:r>
                  <w:r>
                    <w:rPr>
                      <w:rFonts w:hint="eastAsia" w:ascii="Times New Roman" w:hAnsi="Times New Roman" w:cs="Times New Roman"/>
                      <w:b/>
                      <w:snapToGrid w:val="0"/>
                      <w:color w:val="auto"/>
                      <w:kern w:val="0"/>
                      <w:szCs w:val="21"/>
                      <w:lang w:val="en-US" w:eastAsia="zh-CN"/>
                    </w:rPr>
                    <w:t>因子</w:t>
                  </w:r>
                </w:p>
              </w:tc>
            </w:tr>
            <w:tr w14:paraId="6AB46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56" w:type="pct"/>
                  <w:vMerge w:val="restart"/>
                  <w:tcBorders>
                    <w:tl2br w:val="nil"/>
                    <w:tr2bl w:val="nil"/>
                  </w:tcBorders>
                  <w:noWrap w:val="0"/>
                  <w:vAlign w:val="center"/>
                </w:tcPr>
                <w:p w14:paraId="29AF164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废气</w:t>
                  </w:r>
                </w:p>
              </w:tc>
              <w:tc>
                <w:tcPr>
                  <w:tcW w:w="1030" w:type="pct"/>
                  <w:tcBorders>
                    <w:tl2br w:val="nil"/>
                    <w:tr2bl w:val="nil"/>
                  </w:tcBorders>
                  <w:noWrap w:val="0"/>
                  <w:vAlign w:val="center"/>
                </w:tcPr>
                <w:p w14:paraId="792AC2D4">
                  <w:pPr>
                    <w:keepNext w:val="0"/>
                    <w:keepLines w:val="0"/>
                    <w:suppressLineNumbers w:val="0"/>
                    <w:spacing w:before="0" w:beforeAutospacing="0" w:after="0" w:afterAutospacing="0"/>
                    <w:ind w:left="0" w:right="0"/>
                    <w:jc w:val="center"/>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投料、搅拌粉尘</w:t>
                  </w:r>
                </w:p>
              </w:tc>
              <w:tc>
                <w:tcPr>
                  <w:tcW w:w="1719" w:type="pct"/>
                  <w:tcBorders>
                    <w:tl2br w:val="nil"/>
                    <w:tr2bl w:val="nil"/>
                  </w:tcBorders>
                  <w:noWrap w:val="0"/>
                  <w:vAlign w:val="center"/>
                </w:tcPr>
                <w:p w14:paraId="5D129D89">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配料工序</w:t>
                  </w:r>
                </w:p>
              </w:tc>
              <w:tc>
                <w:tcPr>
                  <w:tcW w:w="1693" w:type="pct"/>
                  <w:tcBorders>
                    <w:tl2br w:val="nil"/>
                    <w:tr2bl w:val="nil"/>
                  </w:tcBorders>
                  <w:noWrap w:val="0"/>
                  <w:vAlign w:val="center"/>
                </w:tcPr>
                <w:p w14:paraId="50D29C7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颗粒物</w:t>
                  </w:r>
                </w:p>
              </w:tc>
            </w:tr>
            <w:tr w14:paraId="33AE3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56" w:type="pct"/>
                  <w:vMerge w:val="continue"/>
                  <w:tcBorders>
                    <w:tl2br w:val="nil"/>
                    <w:tr2bl w:val="nil"/>
                  </w:tcBorders>
                  <w:noWrap w:val="0"/>
                  <w:vAlign w:val="center"/>
                </w:tcPr>
                <w:p w14:paraId="109F773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p>
              </w:tc>
              <w:tc>
                <w:tcPr>
                  <w:tcW w:w="1030" w:type="pct"/>
                  <w:tcBorders>
                    <w:tl2br w:val="nil"/>
                    <w:tr2bl w:val="nil"/>
                  </w:tcBorders>
                  <w:noWrap w:val="0"/>
                  <w:vAlign w:val="center"/>
                </w:tcPr>
                <w:p w14:paraId="26BAAB5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烘干废气</w:t>
                  </w:r>
                </w:p>
              </w:tc>
              <w:tc>
                <w:tcPr>
                  <w:tcW w:w="1719" w:type="pct"/>
                  <w:tcBorders>
                    <w:tl2br w:val="nil"/>
                    <w:tr2bl w:val="nil"/>
                  </w:tcBorders>
                  <w:noWrap w:val="0"/>
                  <w:vAlign w:val="center"/>
                </w:tcPr>
                <w:p w14:paraId="6589CC7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eastAsia" w:cs="Times New Roman"/>
                      <w:color w:val="auto"/>
                      <w:lang w:val="en-US" w:eastAsia="zh-CN"/>
                    </w:rPr>
                    <w:t>涂布烘干工序</w:t>
                  </w:r>
                </w:p>
              </w:tc>
              <w:tc>
                <w:tcPr>
                  <w:tcW w:w="1693" w:type="pct"/>
                  <w:tcBorders>
                    <w:tl2br w:val="nil"/>
                    <w:tr2bl w:val="nil"/>
                  </w:tcBorders>
                  <w:noWrap w:val="0"/>
                  <w:vAlign w:val="center"/>
                </w:tcPr>
                <w:p w14:paraId="50AFA71A">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VOCs</w:t>
                  </w:r>
                </w:p>
              </w:tc>
            </w:tr>
            <w:tr w14:paraId="11E246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56" w:type="pct"/>
                  <w:vMerge w:val="continue"/>
                  <w:tcBorders>
                    <w:tl2br w:val="nil"/>
                    <w:tr2bl w:val="nil"/>
                  </w:tcBorders>
                  <w:noWrap w:val="0"/>
                  <w:vAlign w:val="center"/>
                </w:tcPr>
                <w:p w14:paraId="05D4F9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p>
              </w:tc>
              <w:tc>
                <w:tcPr>
                  <w:tcW w:w="1030" w:type="pct"/>
                  <w:tcBorders>
                    <w:tl2br w:val="nil"/>
                    <w:tr2bl w:val="nil"/>
                  </w:tcBorders>
                  <w:noWrap w:val="0"/>
                  <w:vAlign w:val="center"/>
                </w:tcPr>
                <w:p w14:paraId="244F16C2">
                  <w:pPr>
                    <w:keepNext w:val="0"/>
                    <w:keepLines w:val="0"/>
                    <w:suppressLineNumbers w:val="0"/>
                    <w:spacing w:before="0" w:beforeAutospacing="0" w:after="0" w:afterAutospacing="0"/>
                    <w:ind w:left="0" w:right="0"/>
                    <w:jc w:val="center"/>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印刷废气</w:t>
                  </w:r>
                </w:p>
              </w:tc>
              <w:tc>
                <w:tcPr>
                  <w:tcW w:w="1719" w:type="pct"/>
                  <w:tcBorders>
                    <w:tl2br w:val="nil"/>
                    <w:tr2bl w:val="nil"/>
                  </w:tcBorders>
                  <w:noWrap w:val="0"/>
                  <w:vAlign w:val="center"/>
                </w:tcPr>
                <w:p w14:paraId="1DA98D72">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印刷工序</w:t>
                  </w:r>
                </w:p>
              </w:tc>
              <w:tc>
                <w:tcPr>
                  <w:tcW w:w="1693" w:type="pct"/>
                  <w:tcBorders>
                    <w:tl2br w:val="nil"/>
                    <w:tr2bl w:val="nil"/>
                  </w:tcBorders>
                  <w:noWrap w:val="0"/>
                  <w:vAlign w:val="center"/>
                </w:tcPr>
                <w:p w14:paraId="6E3DA1EA">
                  <w:pPr>
                    <w:keepNext w:val="0"/>
                    <w:keepLines w:val="0"/>
                    <w:suppressLineNumbers w:val="0"/>
                    <w:spacing w:before="0" w:beforeAutospacing="0" w:after="0" w:afterAutospacing="0"/>
                    <w:ind w:left="0" w:right="0"/>
                    <w:jc w:val="center"/>
                    <w:rPr>
                      <w:rFonts w:hint="eastAsia" w:cs="Times New Roman"/>
                      <w:snapToGrid w:val="0"/>
                      <w:color w:val="auto"/>
                      <w:kern w:val="0"/>
                      <w:szCs w:val="21"/>
                      <w:lang w:val="en-US" w:eastAsia="zh-CN"/>
                    </w:rPr>
                  </w:pPr>
                  <w:r>
                    <w:rPr>
                      <w:rFonts w:hint="eastAsia" w:cs="Times New Roman"/>
                      <w:snapToGrid w:val="0"/>
                      <w:color w:val="auto"/>
                      <w:kern w:val="0"/>
                      <w:szCs w:val="21"/>
                      <w:lang w:val="en-US" w:eastAsia="zh-CN"/>
                    </w:rPr>
                    <w:t>VOCs</w:t>
                  </w:r>
                </w:p>
              </w:tc>
            </w:tr>
            <w:tr w14:paraId="72213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56" w:type="pct"/>
                  <w:vMerge w:val="continue"/>
                  <w:tcBorders>
                    <w:tl2br w:val="nil"/>
                    <w:tr2bl w:val="nil"/>
                  </w:tcBorders>
                  <w:noWrap w:val="0"/>
                  <w:vAlign w:val="center"/>
                </w:tcPr>
                <w:p w14:paraId="626F37A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p>
              </w:tc>
              <w:tc>
                <w:tcPr>
                  <w:tcW w:w="1030" w:type="pct"/>
                  <w:tcBorders>
                    <w:tl2br w:val="nil"/>
                    <w:tr2bl w:val="nil"/>
                  </w:tcBorders>
                  <w:noWrap w:val="0"/>
                  <w:vAlign w:val="center"/>
                </w:tcPr>
                <w:p w14:paraId="0D21AF78">
                  <w:pPr>
                    <w:keepNext w:val="0"/>
                    <w:keepLines w:val="0"/>
                    <w:suppressLineNumbers w:val="0"/>
                    <w:spacing w:before="0" w:beforeAutospacing="0" w:after="0" w:afterAutospacing="0"/>
                    <w:ind w:left="0" w:right="0"/>
                    <w:jc w:val="center"/>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胶钉废气</w:t>
                  </w:r>
                </w:p>
              </w:tc>
              <w:tc>
                <w:tcPr>
                  <w:tcW w:w="1719" w:type="pct"/>
                  <w:tcBorders>
                    <w:tl2br w:val="nil"/>
                    <w:tr2bl w:val="nil"/>
                  </w:tcBorders>
                  <w:noWrap w:val="0"/>
                  <w:vAlign w:val="center"/>
                </w:tcPr>
                <w:p w14:paraId="0A8CA529">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胶钉工序</w:t>
                  </w:r>
                </w:p>
              </w:tc>
              <w:tc>
                <w:tcPr>
                  <w:tcW w:w="1693" w:type="pct"/>
                  <w:tcBorders>
                    <w:tl2br w:val="nil"/>
                    <w:tr2bl w:val="nil"/>
                  </w:tcBorders>
                  <w:noWrap w:val="0"/>
                  <w:vAlign w:val="center"/>
                </w:tcPr>
                <w:p w14:paraId="694A4E72">
                  <w:pPr>
                    <w:keepNext w:val="0"/>
                    <w:keepLines w:val="0"/>
                    <w:suppressLineNumbers w:val="0"/>
                    <w:spacing w:before="0" w:beforeAutospacing="0" w:after="0" w:afterAutospacing="0"/>
                    <w:ind w:left="0" w:right="0"/>
                    <w:jc w:val="center"/>
                    <w:rPr>
                      <w:rFonts w:hint="eastAsia" w:cs="Times New Roman"/>
                      <w:snapToGrid w:val="0"/>
                      <w:color w:val="auto"/>
                      <w:kern w:val="0"/>
                      <w:szCs w:val="21"/>
                      <w:lang w:val="en-US" w:eastAsia="zh-CN"/>
                    </w:rPr>
                  </w:pPr>
                  <w:r>
                    <w:rPr>
                      <w:rFonts w:hint="eastAsia" w:cs="Times New Roman"/>
                      <w:snapToGrid w:val="0"/>
                      <w:color w:val="auto"/>
                      <w:kern w:val="0"/>
                      <w:szCs w:val="21"/>
                      <w:lang w:val="en-US" w:eastAsia="zh-CN"/>
                    </w:rPr>
                    <w:t>VOCs</w:t>
                  </w:r>
                </w:p>
              </w:tc>
            </w:tr>
            <w:tr w14:paraId="27457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6" w:type="pct"/>
                  <w:vMerge w:val="continue"/>
                  <w:tcBorders>
                    <w:tl2br w:val="nil"/>
                    <w:tr2bl w:val="nil"/>
                  </w:tcBorders>
                  <w:noWrap w:val="0"/>
                  <w:vAlign w:val="center"/>
                </w:tcPr>
                <w:p w14:paraId="5ACA66A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p>
              </w:tc>
              <w:tc>
                <w:tcPr>
                  <w:tcW w:w="1030" w:type="pct"/>
                  <w:tcBorders>
                    <w:tl2br w:val="nil"/>
                    <w:tr2bl w:val="nil"/>
                  </w:tcBorders>
                  <w:noWrap w:val="0"/>
                  <w:vAlign w:val="center"/>
                </w:tcPr>
                <w:p w14:paraId="3554FD8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污水处理站</w:t>
                  </w:r>
                </w:p>
                <w:p w14:paraId="07FD2A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ascii="Times New Roman" w:hAnsi="Times New Roman" w:eastAsia="宋体" w:cs="Times New Roman"/>
                      <w:snapToGrid w:val="0"/>
                      <w:color w:val="auto"/>
                      <w:kern w:val="0"/>
                      <w:sz w:val="21"/>
                      <w:szCs w:val="21"/>
                      <w:lang w:val="en-US" w:eastAsia="zh-CN" w:bidi="ar-SA"/>
                    </w:rPr>
                    <w:t>恶臭</w:t>
                  </w:r>
                </w:p>
              </w:tc>
              <w:tc>
                <w:tcPr>
                  <w:tcW w:w="1719" w:type="pct"/>
                  <w:tcBorders>
                    <w:tl2br w:val="nil"/>
                    <w:tr2bl w:val="nil"/>
                  </w:tcBorders>
                  <w:noWrap w:val="0"/>
                  <w:vAlign w:val="center"/>
                </w:tcPr>
                <w:p w14:paraId="10F725D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污水处理</w:t>
                  </w:r>
                </w:p>
              </w:tc>
              <w:tc>
                <w:tcPr>
                  <w:tcW w:w="1693" w:type="pct"/>
                  <w:tcBorders>
                    <w:tl2br w:val="nil"/>
                    <w:tr2bl w:val="nil"/>
                  </w:tcBorders>
                  <w:noWrap w:val="0"/>
                  <w:vAlign w:val="center"/>
                </w:tcPr>
                <w:p w14:paraId="5A736ED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氨气</w:t>
                  </w:r>
                  <w:r>
                    <w:rPr>
                      <w:rFonts w:hint="eastAsia" w:ascii="Times New Roman" w:hAnsi="Times New Roman" w:eastAsia="宋体" w:cs="Times New Roman"/>
                      <w:snapToGrid w:val="0"/>
                      <w:color w:val="auto"/>
                      <w:kern w:val="0"/>
                      <w:szCs w:val="21"/>
                      <w:lang w:val="en-US" w:eastAsia="zh-CN"/>
                    </w:rPr>
                    <w:t>、硫化氢、臭气浓度</w:t>
                  </w:r>
                </w:p>
              </w:tc>
            </w:tr>
            <w:tr w14:paraId="13EDF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6" w:type="pct"/>
                  <w:vMerge w:val="restart"/>
                  <w:tcBorders>
                    <w:tl2br w:val="nil"/>
                    <w:tr2bl w:val="nil"/>
                  </w:tcBorders>
                  <w:noWrap w:val="0"/>
                  <w:vAlign w:val="center"/>
                </w:tcPr>
                <w:p w14:paraId="3EB61C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废水</w:t>
                  </w:r>
                </w:p>
              </w:tc>
              <w:tc>
                <w:tcPr>
                  <w:tcW w:w="1030" w:type="pct"/>
                  <w:tcBorders>
                    <w:tl2br w:val="nil"/>
                    <w:tr2bl w:val="nil"/>
                  </w:tcBorders>
                  <w:noWrap w:val="0"/>
                  <w:vAlign w:val="center"/>
                </w:tcPr>
                <w:p w14:paraId="4EFBB1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员工生活污水</w:t>
                  </w:r>
                </w:p>
              </w:tc>
              <w:tc>
                <w:tcPr>
                  <w:tcW w:w="1719" w:type="pct"/>
                  <w:tcBorders>
                    <w:tl2br w:val="nil"/>
                    <w:tr2bl w:val="nil"/>
                  </w:tcBorders>
                  <w:noWrap w:val="0"/>
                  <w:vAlign w:val="center"/>
                </w:tcPr>
                <w:p w14:paraId="4262B7C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职工生活</w:t>
                  </w:r>
                </w:p>
              </w:tc>
              <w:tc>
                <w:tcPr>
                  <w:tcW w:w="1693" w:type="pct"/>
                  <w:tcBorders>
                    <w:tl2br w:val="nil"/>
                    <w:tr2bl w:val="nil"/>
                  </w:tcBorders>
                  <w:noWrap w:val="0"/>
                  <w:vAlign w:val="center"/>
                </w:tcPr>
                <w:p w14:paraId="1B9772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Cs w:val="21"/>
                      <w:lang w:val="en-US" w:eastAsia="zh-CN"/>
                    </w:rPr>
                  </w:pPr>
                  <w:r>
                    <w:rPr>
                      <w:rFonts w:hint="eastAsia" w:ascii="Times New Roman" w:hAnsi="Times New Roman" w:cs="Times New Roman"/>
                      <w:snapToGrid w:val="0"/>
                      <w:color w:val="auto"/>
                      <w:kern w:val="0"/>
                      <w:szCs w:val="21"/>
                      <w:lang w:val="en-US" w:eastAsia="zh-CN"/>
                    </w:rPr>
                    <w:t>COD</w:t>
                  </w:r>
                  <w:r>
                    <w:rPr>
                      <w:rFonts w:hint="eastAsia" w:ascii="Times New Roman" w:hAnsi="Times New Roman" w:cs="Times New Roman"/>
                      <w:color w:val="auto"/>
                      <w:lang w:val="en-US" w:eastAsia="zh-CN"/>
                    </w:rPr>
                    <w:t>cr</w:t>
                  </w:r>
                  <w:r>
                    <w:rPr>
                      <w:rFonts w:hint="eastAsia" w:ascii="Times New Roman" w:hAnsi="Times New Roman" w:cs="Times New Roman"/>
                      <w:snapToGrid w:val="0"/>
                      <w:color w:val="auto"/>
                      <w:kern w:val="0"/>
                      <w:szCs w:val="21"/>
                      <w:lang w:val="en-US" w:eastAsia="zh-CN"/>
                    </w:rPr>
                    <w:t>、BOD</w:t>
                  </w:r>
                  <w:r>
                    <w:rPr>
                      <w:rFonts w:hint="eastAsia" w:ascii="Times New Roman" w:hAnsi="Times New Roman" w:cs="Times New Roman"/>
                      <w:snapToGrid w:val="0"/>
                      <w:color w:val="auto"/>
                      <w:kern w:val="0"/>
                      <w:szCs w:val="21"/>
                      <w:vertAlign w:val="subscript"/>
                      <w:lang w:val="en-US" w:eastAsia="zh-CN"/>
                    </w:rPr>
                    <w:t>5</w:t>
                  </w:r>
                  <w:r>
                    <w:rPr>
                      <w:rFonts w:hint="eastAsia" w:ascii="Times New Roman" w:hAnsi="Times New Roman" w:cs="Times New Roman"/>
                      <w:snapToGrid w:val="0"/>
                      <w:color w:val="auto"/>
                      <w:kern w:val="0"/>
                      <w:szCs w:val="21"/>
                      <w:lang w:val="en-US" w:eastAsia="zh-CN"/>
                    </w:rPr>
                    <w:t>、NH</w:t>
                  </w:r>
                  <w:r>
                    <w:rPr>
                      <w:rFonts w:hint="eastAsia" w:ascii="Times New Roman" w:hAnsi="Times New Roman" w:cs="Times New Roman"/>
                      <w:snapToGrid w:val="0"/>
                      <w:color w:val="auto"/>
                      <w:kern w:val="0"/>
                      <w:szCs w:val="21"/>
                      <w:vertAlign w:val="subscript"/>
                      <w:lang w:val="en-US" w:eastAsia="zh-CN"/>
                    </w:rPr>
                    <w:t>3</w:t>
                  </w:r>
                  <w:r>
                    <w:rPr>
                      <w:rFonts w:hint="eastAsia" w:ascii="Times New Roman" w:hAnsi="Times New Roman" w:cs="Times New Roman"/>
                      <w:snapToGrid w:val="0"/>
                      <w:color w:val="auto"/>
                      <w:kern w:val="0"/>
                      <w:szCs w:val="21"/>
                      <w:lang w:val="en-US" w:eastAsia="zh-CN"/>
                    </w:rPr>
                    <w:t>-N、SS</w:t>
                  </w:r>
                </w:p>
              </w:tc>
            </w:tr>
            <w:tr w14:paraId="6BE63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6" w:type="pct"/>
                  <w:vMerge w:val="continue"/>
                  <w:tcBorders>
                    <w:tl2br w:val="nil"/>
                    <w:tr2bl w:val="nil"/>
                  </w:tcBorders>
                  <w:noWrap w:val="0"/>
                  <w:vAlign w:val="center"/>
                </w:tcPr>
                <w:p w14:paraId="33EDFC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p>
              </w:tc>
              <w:tc>
                <w:tcPr>
                  <w:tcW w:w="1030" w:type="pct"/>
                  <w:tcBorders>
                    <w:tl2br w:val="nil"/>
                    <w:tr2bl w:val="nil"/>
                  </w:tcBorders>
                  <w:noWrap w:val="0"/>
                  <w:vAlign w:val="center"/>
                </w:tcPr>
                <w:p w14:paraId="1260B8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lang w:val="en-US" w:eastAsia="zh-CN"/>
                    </w:rPr>
                  </w:pPr>
                  <w:r>
                    <w:rPr>
                      <w:rFonts w:hint="eastAsia" w:cs="Times New Roman"/>
                      <w:snapToGrid w:val="0"/>
                      <w:color w:val="auto"/>
                      <w:kern w:val="0"/>
                      <w:szCs w:val="21"/>
                      <w:lang w:val="en-US" w:eastAsia="zh-CN"/>
                    </w:rPr>
                    <w:t>设备清洗废水</w:t>
                  </w:r>
                </w:p>
              </w:tc>
              <w:tc>
                <w:tcPr>
                  <w:tcW w:w="1719" w:type="pct"/>
                  <w:tcBorders>
                    <w:tl2br w:val="nil"/>
                    <w:tr2bl w:val="nil"/>
                  </w:tcBorders>
                  <w:noWrap w:val="0"/>
                  <w:vAlign w:val="center"/>
                </w:tcPr>
                <w:p w14:paraId="4E114AB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lang w:val="en-US" w:eastAsia="zh-CN"/>
                    </w:rPr>
                  </w:pPr>
                  <w:r>
                    <w:rPr>
                      <w:rFonts w:hint="eastAsia" w:cs="Times New Roman"/>
                      <w:snapToGrid w:val="0"/>
                      <w:color w:val="auto"/>
                      <w:kern w:val="0"/>
                      <w:szCs w:val="21"/>
                      <w:lang w:val="en-US" w:eastAsia="zh-CN"/>
                    </w:rPr>
                    <w:t>设备清洗</w:t>
                  </w:r>
                </w:p>
              </w:tc>
              <w:tc>
                <w:tcPr>
                  <w:tcW w:w="1693" w:type="pct"/>
                  <w:tcBorders>
                    <w:tl2br w:val="nil"/>
                    <w:tr2bl w:val="nil"/>
                  </w:tcBorders>
                  <w:noWrap w:val="0"/>
                  <w:vAlign w:val="center"/>
                </w:tcPr>
                <w:p w14:paraId="32AB09C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lang w:val="en-US" w:eastAsia="zh-CN"/>
                    </w:rPr>
                  </w:pPr>
                  <w:r>
                    <w:rPr>
                      <w:rFonts w:hint="eastAsia" w:ascii="Times New Roman" w:hAnsi="Times New Roman" w:cs="Times New Roman"/>
                      <w:snapToGrid w:val="0"/>
                      <w:color w:val="auto"/>
                      <w:kern w:val="0"/>
                      <w:szCs w:val="21"/>
                      <w:lang w:val="en-US" w:eastAsia="zh-CN"/>
                    </w:rPr>
                    <w:t>COD</w:t>
                  </w:r>
                  <w:r>
                    <w:rPr>
                      <w:rFonts w:hint="eastAsia" w:ascii="Times New Roman" w:hAnsi="Times New Roman" w:cs="Times New Roman"/>
                      <w:color w:val="auto"/>
                      <w:lang w:val="en-US" w:eastAsia="zh-CN"/>
                    </w:rPr>
                    <w:t>cr</w:t>
                  </w:r>
                  <w:r>
                    <w:rPr>
                      <w:rFonts w:hint="eastAsia" w:ascii="Times New Roman" w:hAnsi="Times New Roman" w:cs="Times New Roman"/>
                      <w:snapToGrid w:val="0"/>
                      <w:color w:val="auto"/>
                      <w:kern w:val="0"/>
                      <w:szCs w:val="21"/>
                      <w:lang w:val="en-US" w:eastAsia="zh-CN"/>
                    </w:rPr>
                    <w:t>、BOD</w:t>
                  </w:r>
                  <w:r>
                    <w:rPr>
                      <w:rFonts w:hint="eastAsia" w:ascii="Times New Roman" w:hAnsi="Times New Roman" w:cs="Times New Roman"/>
                      <w:snapToGrid w:val="0"/>
                      <w:color w:val="auto"/>
                      <w:kern w:val="0"/>
                      <w:szCs w:val="21"/>
                      <w:vertAlign w:val="subscript"/>
                      <w:lang w:val="en-US" w:eastAsia="zh-CN"/>
                    </w:rPr>
                    <w:t>5</w:t>
                  </w:r>
                  <w:r>
                    <w:rPr>
                      <w:rFonts w:hint="eastAsia" w:ascii="Times New Roman" w:hAnsi="Times New Roman" w:cs="Times New Roman"/>
                      <w:snapToGrid w:val="0"/>
                      <w:color w:val="auto"/>
                      <w:kern w:val="0"/>
                      <w:szCs w:val="21"/>
                      <w:lang w:val="en-US" w:eastAsia="zh-CN"/>
                    </w:rPr>
                    <w:t>、NH</w:t>
                  </w:r>
                  <w:r>
                    <w:rPr>
                      <w:rFonts w:hint="eastAsia" w:ascii="Times New Roman" w:hAnsi="Times New Roman" w:cs="Times New Roman"/>
                      <w:snapToGrid w:val="0"/>
                      <w:color w:val="auto"/>
                      <w:kern w:val="0"/>
                      <w:szCs w:val="21"/>
                      <w:vertAlign w:val="subscript"/>
                      <w:lang w:val="en-US" w:eastAsia="zh-CN"/>
                    </w:rPr>
                    <w:t>3</w:t>
                  </w:r>
                  <w:r>
                    <w:rPr>
                      <w:rFonts w:hint="eastAsia" w:ascii="Times New Roman" w:hAnsi="Times New Roman" w:cs="Times New Roman"/>
                      <w:snapToGrid w:val="0"/>
                      <w:color w:val="auto"/>
                      <w:kern w:val="0"/>
                      <w:szCs w:val="21"/>
                      <w:lang w:val="en-US" w:eastAsia="zh-CN"/>
                    </w:rPr>
                    <w:t>-N、SS、</w:t>
                  </w:r>
                  <w:r>
                    <w:rPr>
                      <w:rFonts w:hint="eastAsia" w:cs="Times New Roman"/>
                      <w:snapToGrid w:val="0"/>
                      <w:color w:val="auto"/>
                      <w:kern w:val="0"/>
                      <w:szCs w:val="21"/>
                      <w:lang w:val="en-US" w:eastAsia="zh-CN"/>
                    </w:rPr>
                    <w:t>石油类</w:t>
                  </w:r>
                </w:p>
              </w:tc>
            </w:tr>
            <w:tr w14:paraId="5F3D6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6" w:type="pct"/>
                  <w:vMerge w:val="restart"/>
                  <w:tcBorders>
                    <w:tl2br w:val="nil"/>
                    <w:tr2bl w:val="nil"/>
                  </w:tcBorders>
                  <w:noWrap w:val="0"/>
                  <w:vAlign w:val="center"/>
                </w:tcPr>
                <w:p w14:paraId="702204E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固废</w:t>
                  </w:r>
                </w:p>
              </w:tc>
              <w:tc>
                <w:tcPr>
                  <w:tcW w:w="1030" w:type="pct"/>
                  <w:tcBorders>
                    <w:tl2br w:val="nil"/>
                    <w:tr2bl w:val="nil"/>
                  </w:tcBorders>
                  <w:noWrap w:val="0"/>
                  <w:vAlign w:val="center"/>
                </w:tcPr>
                <w:p w14:paraId="3C898320">
                  <w:pPr>
                    <w:pStyle w:val="59"/>
                    <w:keepNext w:val="0"/>
                    <w:keepLines w:val="0"/>
                    <w:suppressLineNumbers w:val="0"/>
                    <w:spacing w:before="24" w:beforeAutospacing="0" w:after="24" w:afterAutospacing="0"/>
                    <w:ind w:left="0" w:right="0"/>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生活垃圾</w:t>
                  </w:r>
                </w:p>
              </w:tc>
              <w:tc>
                <w:tcPr>
                  <w:tcW w:w="1719" w:type="pct"/>
                  <w:tcBorders>
                    <w:tl2br w:val="nil"/>
                    <w:tr2bl w:val="nil"/>
                  </w:tcBorders>
                  <w:noWrap w:val="0"/>
                  <w:vAlign w:val="center"/>
                </w:tcPr>
                <w:p w14:paraId="4D02C9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lang w:val="en-US" w:eastAsia="zh-CN"/>
                    </w:rPr>
                    <w:t>办公生活</w:t>
                  </w:r>
                </w:p>
              </w:tc>
              <w:tc>
                <w:tcPr>
                  <w:tcW w:w="1693" w:type="pct"/>
                  <w:tcBorders>
                    <w:tl2br w:val="nil"/>
                    <w:tr2bl w:val="nil"/>
                  </w:tcBorders>
                  <w:noWrap w:val="0"/>
                  <w:vAlign w:val="center"/>
                </w:tcPr>
                <w:p w14:paraId="7D315AFA">
                  <w:pPr>
                    <w:pStyle w:val="59"/>
                    <w:keepNext w:val="0"/>
                    <w:keepLines w:val="0"/>
                    <w:suppressLineNumbers w:val="0"/>
                    <w:spacing w:before="24" w:beforeAutospacing="0" w:after="24" w:afterAutospacing="0"/>
                    <w:ind w:left="0" w:right="0"/>
                    <w:rPr>
                      <w:rFonts w:hint="default" w:ascii="Times New Roman" w:hAnsi="Times New Roman" w:cs="Times New Roman"/>
                      <w:color w:val="auto"/>
                      <w:kern w:val="2"/>
                      <w:szCs w:val="21"/>
                      <w:lang w:val="en-US" w:eastAsia="zh-CN"/>
                    </w:rPr>
                  </w:pPr>
                  <w:r>
                    <w:rPr>
                      <w:rFonts w:hint="eastAsia" w:ascii="Times New Roman" w:hAnsi="Times New Roman" w:cs="Times New Roman"/>
                      <w:color w:val="auto"/>
                      <w:kern w:val="2"/>
                      <w:szCs w:val="21"/>
                      <w:lang w:val="en-US" w:eastAsia="zh-CN"/>
                    </w:rPr>
                    <w:t>废纸张、塑料等</w:t>
                  </w:r>
                </w:p>
              </w:tc>
            </w:tr>
            <w:tr w14:paraId="7866A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6" w:type="pct"/>
                  <w:vMerge w:val="continue"/>
                  <w:tcBorders>
                    <w:tl2br w:val="nil"/>
                    <w:tr2bl w:val="nil"/>
                  </w:tcBorders>
                  <w:noWrap w:val="0"/>
                  <w:vAlign w:val="center"/>
                </w:tcPr>
                <w:p w14:paraId="600EBFF8">
                  <w:pPr>
                    <w:keepNext w:val="0"/>
                    <w:keepLines w:val="0"/>
                    <w:widowControl/>
                    <w:suppressLineNumbers w:val="0"/>
                    <w:spacing w:before="0" w:beforeAutospacing="0" w:after="0" w:afterAutospacing="0"/>
                    <w:ind w:left="0" w:right="0"/>
                    <w:jc w:val="left"/>
                    <w:rPr>
                      <w:rFonts w:hint="default" w:ascii="Times New Roman" w:hAnsi="Times New Roman" w:cs="Times New Roman"/>
                      <w:snapToGrid w:val="0"/>
                      <w:color w:val="auto"/>
                      <w:kern w:val="0"/>
                      <w:szCs w:val="21"/>
                    </w:rPr>
                  </w:pPr>
                </w:p>
              </w:tc>
              <w:tc>
                <w:tcPr>
                  <w:tcW w:w="1030" w:type="pct"/>
                  <w:tcBorders>
                    <w:tl2br w:val="nil"/>
                    <w:tr2bl w:val="nil"/>
                  </w:tcBorders>
                  <w:noWrap w:val="0"/>
                  <w:vAlign w:val="center"/>
                </w:tcPr>
                <w:p w14:paraId="4850714F">
                  <w:pPr>
                    <w:pStyle w:val="59"/>
                    <w:keepNext w:val="0"/>
                    <w:keepLines w:val="0"/>
                    <w:suppressLineNumbers w:val="0"/>
                    <w:spacing w:before="24" w:beforeAutospacing="0" w:after="24" w:afterAutospacing="0"/>
                    <w:ind w:left="0" w:right="0"/>
                    <w:rPr>
                      <w:rFonts w:hint="default" w:ascii="Times New Roman" w:hAnsi="Times New Roman" w:cs="Times New Roman"/>
                      <w:color w:val="auto"/>
                      <w:kern w:val="2"/>
                      <w:sz w:val="21"/>
                      <w:szCs w:val="21"/>
                      <w:lang w:val="en-US" w:eastAsia="zh-CN" w:bidi="ar-SA"/>
                    </w:rPr>
                  </w:pPr>
                  <w:r>
                    <w:rPr>
                      <w:rFonts w:hint="eastAsia" w:ascii="Times New Roman" w:cs="Times New Roman"/>
                      <w:color w:val="auto"/>
                      <w:kern w:val="2"/>
                      <w:sz w:val="21"/>
                      <w:szCs w:val="21"/>
                      <w:lang w:val="en-US" w:eastAsia="zh-CN" w:bidi="ar-SA"/>
                    </w:rPr>
                    <w:t>边角料</w:t>
                  </w:r>
                </w:p>
              </w:tc>
              <w:tc>
                <w:tcPr>
                  <w:tcW w:w="1719" w:type="pct"/>
                  <w:tcBorders>
                    <w:tl2br w:val="nil"/>
                    <w:tr2bl w:val="nil"/>
                  </w:tcBorders>
                  <w:noWrap w:val="0"/>
                  <w:vAlign w:val="center"/>
                </w:tcPr>
                <w:p w14:paraId="37EDA7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highlight w:val="none"/>
                      <w:lang w:val="en-US" w:eastAsia="zh-CN"/>
                    </w:rPr>
                    <w:t>切边、打孔工序</w:t>
                  </w:r>
                </w:p>
              </w:tc>
              <w:tc>
                <w:tcPr>
                  <w:tcW w:w="1693" w:type="pct"/>
                  <w:tcBorders>
                    <w:tl2br w:val="nil"/>
                    <w:tr2bl w:val="nil"/>
                  </w:tcBorders>
                  <w:noWrap w:val="0"/>
                  <w:vAlign w:val="center"/>
                </w:tcPr>
                <w:p w14:paraId="3A694BC5">
                  <w:pPr>
                    <w:pStyle w:val="59"/>
                    <w:keepNext w:val="0"/>
                    <w:keepLines w:val="0"/>
                    <w:suppressLineNumbers w:val="0"/>
                    <w:spacing w:before="24" w:beforeAutospacing="0" w:after="24" w:afterAutospacing="0"/>
                    <w:ind w:left="0" w:right="0"/>
                    <w:rPr>
                      <w:rFonts w:hint="default" w:ascii="Times New Roman" w:hAnsi="Times New Roman" w:cs="Times New Roman"/>
                      <w:color w:val="auto"/>
                      <w:kern w:val="2"/>
                      <w:szCs w:val="21"/>
                      <w:highlight w:val="yellow"/>
                      <w:lang w:val="en-US" w:eastAsia="zh-CN"/>
                    </w:rPr>
                  </w:pPr>
                  <w:r>
                    <w:rPr>
                      <w:rFonts w:hint="eastAsia" w:ascii="Times New Roman" w:cs="Times New Roman"/>
                      <w:color w:val="auto"/>
                      <w:kern w:val="2"/>
                      <w:szCs w:val="21"/>
                      <w:highlight w:val="none"/>
                      <w:lang w:val="en-US" w:eastAsia="zh-CN"/>
                    </w:rPr>
                    <w:t>废纸张</w:t>
                  </w:r>
                </w:p>
              </w:tc>
            </w:tr>
            <w:tr w14:paraId="280607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6" w:type="pct"/>
                  <w:vMerge w:val="continue"/>
                  <w:tcBorders>
                    <w:tl2br w:val="nil"/>
                    <w:tr2bl w:val="nil"/>
                  </w:tcBorders>
                  <w:noWrap w:val="0"/>
                  <w:vAlign w:val="center"/>
                </w:tcPr>
                <w:p w14:paraId="7748BE89">
                  <w:pPr>
                    <w:keepNext w:val="0"/>
                    <w:keepLines w:val="0"/>
                    <w:widowControl/>
                    <w:suppressLineNumbers w:val="0"/>
                    <w:spacing w:before="0" w:beforeAutospacing="0" w:after="0" w:afterAutospacing="0"/>
                    <w:ind w:left="0" w:right="0"/>
                    <w:jc w:val="left"/>
                    <w:rPr>
                      <w:rFonts w:hint="default" w:ascii="Times New Roman" w:hAnsi="Times New Roman" w:cs="Times New Roman"/>
                      <w:snapToGrid w:val="0"/>
                      <w:color w:val="auto"/>
                      <w:kern w:val="0"/>
                      <w:szCs w:val="21"/>
                    </w:rPr>
                  </w:pPr>
                </w:p>
              </w:tc>
              <w:tc>
                <w:tcPr>
                  <w:tcW w:w="1030" w:type="pct"/>
                  <w:tcBorders>
                    <w:tl2br w:val="nil"/>
                    <w:tr2bl w:val="nil"/>
                  </w:tcBorders>
                  <w:noWrap w:val="0"/>
                  <w:vAlign w:val="center"/>
                </w:tcPr>
                <w:p w14:paraId="44861DFD">
                  <w:pPr>
                    <w:pStyle w:val="59"/>
                    <w:keepNext w:val="0"/>
                    <w:keepLines w:val="0"/>
                    <w:suppressLineNumbers w:val="0"/>
                    <w:spacing w:before="24" w:beforeAutospacing="0" w:after="24" w:afterAutospacing="0"/>
                    <w:ind w:left="0" w:right="0"/>
                    <w:rPr>
                      <w:rFonts w:hint="default" w:ascii="Times New Roman" w:hAnsi="Times New Roman" w:cs="Times New Roman"/>
                      <w:color w:val="auto"/>
                      <w:kern w:val="2"/>
                      <w:sz w:val="21"/>
                      <w:szCs w:val="21"/>
                      <w:lang w:val="en-US" w:eastAsia="zh-CN" w:bidi="ar-SA"/>
                    </w:rPr>
                  </w:pPr>
                  <w:r>
                    <w:rPr>
                      <w:rFonts w:hint="eastAsia" w:ascii="Times New Roman" w:cs="Times New Roman"/>
                      <w:color w:val="auto"/>
                      <w:kern w:val="2"/>
                      <w:sz w:val="21"/>
                      <w:szCs w:val="21"/>
                      <w:lang w:val="en-US" w:eastAsia="zh-CN" w:bidi="ar-SA"/>
                    </w:rPr>
                    <w:t>废包装材料</w:t>
                  </w:r>
                </w:p>
              </w:tc>
              <w:tc>
                <w:tcPr>
                  <w:tcW w:w="1719" w:type="pct"/>
                  <w:tcBorders>
                    <w:tl2br w:val="nil"/>
                    <w:tr2bl w:val="nil"/>
                  </w:tcBorders>
                  <w:noWrap w:val="0"/>
                  <w:vAlign w:val="center"/>
                </w:tcPr>
                <w:p w14:paraId="5FE44D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包装、原纸开包</w:t>
                  </w:r>
                </w:p>
              </w:tc>
              <w:tc>
                <w:tcPr>
                  <w:tcW w:w="1693" w:type="pct"/>
                  <w:tcBorders>
                    <w:tl2br w:val="nil"/>
                    <w:tr2bl w:val="nil"/>
                  </w:tcBorders>
                  <w:noWrap w:val="0"/>
                  <w:vAlign w:val="center"/>
                </w:tcPr>
                <w:p w14:paraId="78711C0B">
                  <w:pPr>
                    <w:pStyle w:val="59"/>
                    <w:keepNext w:val="0"/>
                    <w:keepLines w:val="0"/>
                    <w:suppressLineNumbers w:val="0"/>
                    <w:spacing w:before="24" w:beforeAutospacing="0" w:after="24" w:afterAutospacing="0"/>
                    <w:ind w:left="0" w:right="0"/>
                    <w:rPr>
                      <w:rFonts w:hint="default" w:ascii="Times New Roman" w:hAnsi="Times New Roman" w:cs="Times New Roman"/>
                      <w:color w:val="auto"/>
                      <w:kern w:val="2"/>
                      <w:sz w:val="21"/>
                      <w:szCs w:val="21"/>
                      <w:highlight w:val="yellow"/>
                      <w:lang w:val="en-US" w:eastAsia="zh-CN" w:bidi="ar-SA"/>
                    </w:rPr>
                  </w:pPr>
                  <w:r>
                    <w:rPr>
                      <w:rFonts w:hint="eastAsia" w:ascii="Times New Roman" w:cs="Times New Roman"/>
                      <w:color w:val="auto"/>
                      <w:kern w:val="2"/>
                      <w:sz w:val="21"/>
                      <w:szCs w:val="21"/>
                      <w:highlight w:val="none"/>
                      <w:lang w:val="en-US" w:eastAsia="zh-CN" w:bidi="ar-SA"/>
                    </w:rPr>
                    <w:t>废纸张</w:t>
                  </w:r>
                </w:p>
              </w:tc>
            </w:tr>
            <w:tr w14:paraId="1A39B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6" w:type="pct"/>
                  <w:vMerge w:val="continue"/>
                  <w:tcBorders>
                    <w:tl2br w:val="nil"/>
                    <w:tr2bl w:val="nil"/>
                  </w:tcBorders>
                  <w:noWrap w:val="0"/>
                  <w:vAlign w:val="center"/>
                </w:tcPr>
                <w:p w14:paraId="09421798">
                  <w:pPr>
                    <w:keepNext w:val="0"/>
                    <w:keepLines w:val="0"/>
                    <w:widowControl/>
                    <w:suppressLineNumbers w:val="0"/>
                    <w:spacing w:before="0" w:beforeAutospacing="0" w:after="0" w:afterAutospacing="0"/>
                    <w:ind w:left="0" w:right="0"/>
                    <w:jc w:val="left"/>
                    <w:rPr>
                      <w:rFonts w:hint="default" w:ascii="Times New Roman" w:hAnsi="Times New Roman" w:cs="Times New Roman"/>
                      <w:snapToGrid w:val="0"/>
                      <w:color w:val="auto"/>
                      <w:kern w:val="0"/>
                      <w:szCs w:val="21"/>
                    </w:rPr>
                  </w:pPr>
                </w:p>
              </w:tc>
              <w:tc>
                <w:tcPr>
                  <w:tcW w:w="1030" w:type="pct"/>
                  <w:tcBorders>
                    <w:tl2br w:val="nil"/>
                    <w:tr2bl w:val="nil"/>
                  </w:tcBorders>
                  <w:noWrap w:val="0"/>
                  <w:vAlign w:val="center"/>
                </w:tcPr>
                <w:p w14:paraId="170BB905">
                  <w:pPr>
                    <w:pStyle w:val="59"/>
                    <w:keepNext w:val="0"/>
                    <w:keepLines w:val="0"/>
                    <w:suppressLineNumbers w:val="0"/>
                    <w:spacing w:before="24" w:beforeAutospacing="0" w:after="24" w:afterAutospacing="0"/>
                    <w:ind w:left="0" w:right="0"/>
                    <w:rPr>
                      <w:rFonts w:hint="default" w:ascii="Times New Roman" w:hAnsi="Times New Roman" w:cs="Times New Roman"/>
                      <w:color w:val="auto"/>
                      <w:kern w:val="2"/>
                      <w:sz w:val="21"/>
                      <w:szCs w:val="21"/>
                      <w:lang w:val="en-US" w:eastAsia="zh-CN" w:bidi="ar-SA"/>
                    </w:rPr>
                  </w:pPr>
                  <w:r>
                    <w:rPr>
                      <w:rFonts w:hint="eastAsia" w:ascii="Times New Roman" w:cs="Times New Roman"/>
                      <w:color w:val="auto"/>
                      <w:kern w:val="2"/>
                      <w:sz w:val="21"/>
                      <w:szCs w:val="21"/>
                      <w:lang w:val="en-US" w:eastAsia="zh-CN" w:bidi="ar-SA"/>
                    </w:rPr>
                    <w:t>污泥</w:t>
                  </w:r>
                </w:p>
              </w:tc>
              <w:tc>
                <w:tcPr>
                  <w:tcW w:w="1719" w:type="pct"/>
                  <w:tcBorders>
                    <w:tl2br w:val="nil"/>
                    <w:tr2bl w:val="nil"/>
                  </w:tcBorders>
                  <w:noWrap w:val="0"/>
                  <w:vAlign w:val="center"/>
                </w:tcPr>
                <w:p w14:paraId="3169265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cs="Times New Roman"/>
                      <w:color w:val="auto"/>
                      <w:highlight w:val="none"/>
                      <w:lang w:val="en-US" w:eastAsia="zh-CN"/>
                    </w:rPr>
                    <w:t>污水处理</w:t>
                  </w:r>
                </w:p>
              </w:tc>
              <w:tc>
                <w:tcPr>
                  <w:tcW w:w="1693" w:type="pct"/>
                  <w:tcBorders>
                    <w:tl2br w:val="nil"/>
                    <w:tr2bl w:val="nil"/>
                  </w:tcBorders>
                  <w:noWrap w:val="0"/>
                  <w:vAlign w:val="center"/>
                </w:tcPr>
                <w:p w14:paraId="36D91D61">
                  <w:pPr>
                    <w:pStyle w:val="59"/>
                    <w:keepNext w:val="0"/>
                    <w:keepLines w:val="0"/>
                    <w:suppressLineNumbers w:val="0"/>
                    <w:spacing w:before="24" w:beforeAutospacing="0" w:after="24" w:afterAutospacing="0"/>
                    <w:ind w:left="0" w:right="0"/>
                    <w:rPr>
                      <w:rFonts w:hint="default" w:ascii="Times New Roman" w:hAnsi="Times New Roman" w:cs="Times New Roman"/>
                      <w:color w:val="auto"/>
                      <w:kern w:val="2"/>
                      <w:szCs w:val="21"/>
                      <w:lang w:val="en-US" w:eastAsia="zh-CN"/>
                    </w:rPr>
                  </w:pPr>
                  <w:r>
                    <w:rPr>
                      <w:rFonts w:hint="eastAsia" w:ascii="Times New Roman" w:cs="Times New Roman"/>
                      <w:color w:val="auto"/>
                      <w:kern w:val="2"/>
                      <w:szCs w:val="21"/>
                      <w:lang w:val="en-US" w:eastAsia="zh-CN"/>
                    </w:rPr>
                    <w:t>污水处理污泥</w:t>
                  </w:r>
                </w:p>
              </w:tc>
            </w:tr>
            <w:tr w14:paraId="16AA2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6" w:type="pct"/>
                  <w:vMerge w:val="continue"/>
                  <w:tcBorders>
                    <w:tl2br w:val="nil"/>
                    <w:tr2bl w:val="nil"/>
                  </w:tcBorders>
                  <w:noWrap w:val="0"/>
                  <w:vAlign w:val="center"/>
                </w:tcPr>
                <w:p w14:paraId="531257F2">
                  <w:pPr>
                    <w:keepNext w:val="0"/>
                    <w:keepLines w:val="0"/>
                    <w:widowControl/>
                    <w:suppressLineNumbers w:val="0"/>
                    <w:spacing w:before="0" w:beforeAutospacing="0" w:after="0" w:afterAutospacing="0"/>
                    <w:ind w:left="0" w:right="0"/>
                    <w:jc w:val="left"/>
                    <w:rPr>
                      <w:rFonts w:hint="default" w:ascii="Times New Roman" w:hAnsi="Times New Roman" w:cs="Times New Roman"/>
                      <w:snapToGrid w:val="0"/>
                      <w:color w:val="auto"/>
                      <w:kern w:val="0"/>
                      <w:szCs w:val="21"/>
                    </w:rPr>
                  </w:pPr>
                </w:p>
              </w:tc>
              <w:tc>
                <w:tcPr>
                  <w:tcW w:w="1030" w:type="pct"/>
                  <w:tcBorders>
                    <w:tl2br w:val="nil"/>
                    <w:tr2bl w:val="nil"/>
                  </w:tcBorders>
                  <w:noWrap w:val="0"/>
                  <w:vAlign w:val="center"/>
                </w:tcPr>
                <w:p w14:paraId="078B9987">
                  <w:pPr>
                    <w:pStyle w:val="59"/>
                    <w:keepNext w:val="0"/>
                    <w:keepLines w:val="0"/>
                    <w:suppressLineNumbers w:val="0"/>
                    <w:spacing w:before="24" w:beforeAutospacing="0" w:after="24" w:afterAutospacing="0"/>
                    <w:ind w:left="0" w:right="0"/>
                    <w:rPr>
                      <w:rFonts w:hint="default" w:ascii="Times New Roman" w:cs="Times New Roman"/>
                      <w:color w:val="auto"/>
                      <w:kern w:val="2"/>
                      <w:sz w:val="21"/>
                      <w:szCs w:val="21"/>
                      <w:lang w:val="en-US" w:eastAsia="zh-CN" w:bidi="ar-SA"/>
                    </w:rPr>
                  </w:pPr>
                  <w:r>
                    <w:rPr>
                      <w:rFonts w:hint="eastAsia" w:ascii="Times New Roman" w:cs="Times New Roman"/>
                      <w:color w:val="auto"/>
                      <w:kern w:val="2"/>
                      <w:sz w:val="21"/>
                      <w:szCs w:val="21"/>
                      <w:lang w:val="en-US" w:eastAsia="zh-CN" w:bidi="ar-SA"/>
                    </w:rPr>
                    <w:t>废水墨桶</w:t>
                  </w:r>
                </w:p>
              </w:tc>
              <w:tc>
                <w:tcPr>
                  <w:tcW w:w="1719" w:type="pct"/>
                  <w:tcBorders>
                    <w:tl2br w:val="nil"/>
                    <w:tr2bl w:val="nil"/>
                  </w:tcBorders>
                  <w:noWrap w:val="0"/>
                  <w:vAlign w:val="center"/>
                </w:tcPr>
                <w:p w14:paraId="44B42C11">
                  <w:pPr>
                    <w:keepNext w:val="0"/>
                    <w:keepLines w:val="0"/>
                    <w:suppressLineNumbers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油墨包装</w:t>
                  </w:r>
                </w:p>
              </w:tc>
              <w:tc>
                <w:tcPr>
                  <w:tcW w:w="1693" w:type="pct"/>
                  <w:tcBorders>
                    <w:tl2br w:val="nil"/>
                    <w:tr2bl w:val="nil"/>
                  </w:tcBorders>
                  <w:noWrap w:val="0"/>
                  <w:vAlign w:val="center"/>
                </w:tcPr>
                <w:p w14:paraId="7E11AFAA">
                  <w:pPr>
                    <w:pStyle w:val="59"/>
                    <w:keepNext w:val="0"/>
                    <w:keepLines w:val="0"/>
                    <w:suppressLineNumbers w:val="0"/>
                    <w:spacing w:before="24" w:beforeAutospacing="0" w:after="24" w:afterAutospacing="0"/>
                    <w:ind w:left="0" w:right="0"/>
                    <w:rPr>
                      <w:rFonts w:hint="default" w:ascii="Times New Roman" w:cs="Times New Roman"/>
                      <w:color w:val="auto"/>
                      <w:kern w:val="2"/>
                      <w:szCs w:val="21"/>
                      <w:lang w:val="en-US" w:eastAsia="zh-CN"/>
                    </w:rPr>
                  </w:pPr>
                  <w:r>
                    <w:rPr>
                      <w:rFonts w:hint="eastAsia" w:ascii="Times New Roman" w:cs="Times New Roman"/>
                      <w:color w:val="auto"/>
                      <w:kern w:val="2"/>
                      <w:szCs w:val="21"/>
                      <w:lang w:val="en-US" w:eastAsia="zh-CN"/>
                    </w:rPr>
                    <w:t>水性油墨、包装桶</w:t>
                  </w:r>
                </w:p>
              </w:tc>
            </w:tr>
            <w:tr w14:paraId="19464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6" w:type="pct"/>
                  <w:vMerge w:val="continue"/>
                  <w:tcBorders>
                    <w:tl2br w:val="nil"/>
                    <w:tr2bl w:val="nil"/>
                  </w:tcBorders>
                  <w:noWrap w:val="0"/>
                  <w:vAlign w:val="center"/>
                </w:tcPr>
                <w:p w14:paraId="2C5779AF">
                  <w:pPr>
                    <w:keepNext w:val="0"/>
                    <w:keepLines w:val="0"/>
                    <w:widowControl/>
                    <w:suppressLineNumbers w:val="0"/>
                    <w:spacing w:before="0" w:beforeAutospacing="0" w:after="0" w:afterAutospacing="0"/>
                    <w:ind w:left="0" w:right="0"/>
                    <w:jc w:val="left"/>
                    <w:rPr>
                      <w:rFonts w:hint="default" w:ascii="Times New Roman" w:hAnsi="Times New Roman" w:cs="Times New Roman"/>
                      <w:snapToGrid w:val="0"/>
                      <w:color w:val="auto"/>
                      <w:kern w:val="0"/>
                      <w:szCs w:val="21"/>
                    </w:rPr>
                  </w:pPr>
                </w:p>
              </w:tc>
              <w:tc>
                <w:tcPr>
                  <w:tcW w:w="1030" w:type="pct"/>
                  <w:tcBorders>
                    <w:tl2br w:val="nil"/>
                    <w:tr2bl w:val="nil"/>
                  </w:tcBorders>
                  <w:noWrap w:val="0"/>
                  <w:vAlign w:val="center"/>
                </w:tcPr>
                <w:p w14:paraId="59CBD678">
                  <w:pPr>
                    <w:pStyle w:val="59"/>
                    <w:keepNext w:val="0"/>
                    <w:keepLines w:val="0"/>
                    <w:suppressLineNumbers w:val="0"/>
                    <w:spacing w:before="24" w:beforeAutospacing="0" w:after="24" w:afterAutospacing="0"/>
                    <w:ind w:left="0" w:right="0"/>
                    <w:rPr>
                      <w:rFonts w:hint="eastAsia" w:ascii="Times New Roman" w:cs="Times New Roman"/>
                      <w:color w:val="auto"/>
                      <w:kern w:val="2"/>
                      <w:sz w:val="21"/>
                      <w:szCs w:val="21"/>
                      <w:lang w:val="en-US" w:eastAsia="zh-CN" w:bidi="ar-SA"/>
                    </w:rPr>
                  </w:pPr>
                  <w:r>
                    <w:rPr>
                      <w:rFonts w:hint="eastAsia" w:ascii="Times New Roman" w:cs="Times New Roman"/>
                      <w:color w:val="auto"/>
                      <w:kern w:val="2"/>
                      <w:sz w:val="21"/>
                      <w:szCs w:val="21"/>
                      <w:lang w:val="en-US" w:eastAsia="zh-CN" w:bidi="ar-SA"/>
                    </w:rPr>
                    <w:t>废活性炭</w:t>
                  </w:r>
                </w:p>
              </w:tc>
              <w:tc>
                <w:tcPr>
                  <w:tcW w:w="1719" w:type="pct"/>
                  <w:tcBorders>
                    <w:tl2br w:val="nil"/>
                    <w:tr2bl w:val="nil"/>
                  </w:tcBorders>
                  <w:noWrap w:val="0"/>
                  <w:vAlign w:val="center"/>
                </w:tcPr>
                <w:p w14:paraId="797F5F6C">
                  <w:pPr>
                    <w:keepNext w:val="0"/>
                    <w:keepLines w:val="0"/>
                    <w:suppressLineNumbers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废气治理</w:t>
                  </w:r>
                </w:p>
              </w:tc>
              <w:tc>
                <w:tcPr>
                  <w:tcW w:w="1693" w:type="pct"/>
                  <w:tcBorders>
                    <w:tl2br w:val="nil"/>
                    <w:tr2bl w:val="nil"/>
                  </w:tcBorders>
                  <w:noWrap w:val="0"/>
                  <w:vAlign w:val="center"/>
                </w:tcPr>
                <w:p w14:paraId="7D0B0DDC">
                  <w:pPr>
                    <w:pStyle w:val="59"/>
                    <w:keepNext w:val="0"/>
                    <w:keepLines w:val="0"/>
                    <w:suppressLineNumbers w:val="0"/>
                    <w:spacing w:before="24" w:beforeAutospacing="0" w:after="24" w:afterAutospacing="0"/>
                    <w:ind w:left="0" w:right="0"/>
                    <w:rPr>
                      <w:rFonts w:hint="default" w:ascii="Times New Roman" w:cs="Times New Roman"/>
                      <w:color w:val="auto"/>
                      <w:kern w:val="2"/>
                      <w:szCs w:val="21"/>
                      <w:lang w:val="en-US" w:eastAsia="zh-CN"/>
                    </w:rPr>
                  </w:pPr>
                  <w:r>
                    <w:rPr>
                      <w:rFonts w:hint="eastAsia" w:ascii="Times New Roman" w:cs="Times New Roman"/>
                      <w:color w:val="auto"/>
                      <w:kern w:val="2"/>
                      <w:szCs w:val="21"/>
                      <w:lang w:val="en-US" w:eastAsia="zh-CN"/>
                    </w:rPr>
                    <w:t>活性炭、VOCs</w:t>
                  </w:r>
                </w:p>
              </w:tc>
            </w:tr>
            <w:tr w14:paraId="09500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6" w:type="pct"/>
                  <w:vMerge w:val="continue"/>
                  <w:tcBorders>
                    <w:tl2br w:val="nil"/>
                    <w:tr2bl w:val="nil"/>
                  </w:tcBorders>
                  <w:noWrap w:val="0"/>
                  <w:vAlign w:val="center"/>
                </w:tcPr>
                <w:p w14:paraId="200D3CDE">
                  <w:pPr>
                    <w:keepNext w:val="0"/>
                    <w:keepLines w:val="0"/>
                    <w:widowControl/>
                    <w:suppressLineNumbers w:val="0"/>
                    <w:spacing w:before="0" w:beforeAutospacing="0" w:after="0" w:afterAutospacing="0"/>
                    <w:ind w:left="0" w:right="0"/>
                    <w:jc w:val="left"/>
                    <w:rPr>
                      <w:rFonts w:hint="default" w:ascii="Times New Roman" w:hAnsi="Times New Roman" w:cs="Times New Roman"/>
                      <w:snapToGrid w:val="0"/>
                      <w:color w:val="auto"/>
                      <w:kern w:val="0"/>
                      <w:szCs w:val="21"/>
                    </w:rPr>
                  </w:pPr>
                </w:p>
              </w:tc>
              <w:tc>
                <w:tcPr>
                  <w:tcW w:w="1030" w:type="pct"/>
                  <w:tcBorders>
                    <w:tl2br w:val="nil"/>
                    <w:tr2bl w:val="nil"/>
                  </w:tcBorders>
                  <w:noWrap w:val="0"/>
                  <w:vAlign w:val="center"/>
                </w:tcPr>
                <w:p w14:paraId="51EC53B0">
                  <w:pPr>
                    <w:pStyle w:val="59"/>
                    <w:keepNext w:val="0"/>
                    <w:keepLines w:val="0"/>
                    <w:suppressLineNumbers w:val="0"/>
                    <w:spacing w:before="24" w:beforeAutospacing="0" w:after="24" w:afterAutospacing="0"/>
                    <w:ind w:left="0" w:right="0"/>
                    <w:rPr>
                      <w:rFonts w:hint="eastAsia" w:ascii="Times New Roman" w:cs="Times New Roman"/>
                      <w:color w:val="auto"/>
                      <w:kern w:val="2"/>
                      <w:sz w:val="21"/>
                      <w:szCs w:val="21"/>
                      <w:lang w:val="en-US" w:eastAsia="zh-CN" w:bidi="ar-SA"/>
                    </w:rPr>
                  </w:pPr>
                  <w:r>
                    <w:rPr>
                      <w:rFonts w:hint="eastAsia" w:ascii="Times New Roman" w:cs="Times New Roman"/>
                      <w:color w:val="auto"/>
                      <w:kern w:val="2"/>
                      <w:sz w:val="21"/>
                      <w:szCs w:val="21"/>
                      <w:lang w:val="en-US" w:eastAsia="zh-CN" w:bidi="ar-SA"/>
                    </w:rPr>
                    <w:t>废机油</w:t>
                  </w:r>
                </w:p>
              </w:tc>
              <w:tc>
                <w:tcPr>
                  <w:tcW w:w="1719" w:type="pct"/>
                  <w:tcBorders>
                    <w:tl2br w:val="nil"/>
                    <w:tr2bl w:val="nil"/>
                  </w:tcBorders>
                  <w:noWrap w:val="0"/>
                  <w:vAlign w:val="center"/>
                </w:tcPr>
                <w:p w14:paraId="2AC7DEBB">
                  <w:pPr>
                    <w:keepNext w:val="0"/>
                    <w:keepLines w:val="0"/>
                    <w:suppressLineNumbers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设备维保</w:t>
                  </w:r>
                </w:p>
              </w:tc>
              <w:tc>
                <w:tcPr>
                  <w:tcW w:w="1693" w:type="pct"/>
                  <w:tcBorders>
                    <w:tl2br w:val="nil"/>
                    <w:tr2bl w:val="nil"/>
                  </w:tcBorders>
                  <w:noWrap w:val="0"/>
                  <w:vAlign w:val="center"/>
                </w:tcPr>
                <w:p w14:paraId="271C8F9D">
                  <w:pPr>
                    <w:pStyle w:val="59"/>
                    <w:keepNext w:val="0"/>
                    <w:keepLines w:val="0"/>
                    <w:suppressLineNumbers w:val="0"/>
                    <w:spacing w:before="24" w:beforeAutospacing="0" w:after="24" w:afterAutospacing="0"/>
                    <w:ind w:left="0" w:right="0"/>
                    <w:rPr>
                      <w:rFonts w:hint="default" w:ascii="Times New Roman" w:cs="Times New Roman"/>
                      <w:color w:val="auto"/>
                      <w:kern w:val="2"/>
                      <w:szCs w:val="21"/>
                      <w:lang w:val="en-US" w:eastAsia="zh-CN"/>
                    </w:rPr>
                  </w:pPr>
                  <w:r>
                    <w:rPr>
                      <w:rFonts w:hint="eastAsia" w:ascii="Times New Roman" w:cs="Times New Roman"/>
                      <w:color w:val="auto"/>
                      <w:kern w:val="2"/>
                      <w:szCs w:val="21"/>
                      <w:lang w:val="en-US" w:eastAsia="zh-CN"/>
                    </w:rPr>
                    <w:t>废矿物油</w:t>
                  </w:r>
                </w:p>
              </w:tc>
            </w:tr>
            <w:tr w14:paraId="2C256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6" w:type="pct"/>
                  <w:vMerge w:val="continue"/>
                  <w:tcBorders>
                    <w:tl2br w:val="nil"/>
                    <w:tr2bl w:val="nil"/>
                  </w:tcBorders>
                  <w:noWrap w:val="0"/>
                  <w:vAlign w:val="center"/>
                </w:tcPr>
                <w:p w14:paraId="2316341E">
                  <w:pPr>
                    <w:keepNext w:val="0"/>
                    <w:keepLines w:val="0"/>
                    <w:widowControl/>
                    <w:suppressLineNumbers w:val="0"/>
                    <w:spacing w:before="0" w:beforeAutospacing="0" w:after="0" w:afterAutospacing="0"/>
                    <w:ind w:left="0" w:right="0"/>
                    <w:jc w:val="left"/>
                    <w:rPr>
                      <w:rFonts w:hint="default" w:ascii="Times New Roman" w:hAnsi="Times New Roman" w:cs="Times New Roman"/>
                      <w:snapToGrid w:val="0"/>
                      <w:color w:val="auto"/>
                      <w:kern w:val="0"/>
                      <w:szCs w:val="21"/>
                    </w:rPr>
                  </w:pPr>
                </w:p>
              </w:tc>
              <w:tc>
                <w:tcPr>
                  <w:tcW w:w="1030" w:type="pct"/>
                  <w:tcBorders>
                    <w:tl2br w:val="nil"/>
                    <w:tr2bl w:val="nil"/>
                  </w:tcBorders>
                  <w:noWrap w:val="0"/>
                  <w:vAlign w:val="center"/>
                </w:tcPr>
                <w:p w14:paraId="0F61E79F">
                  <w:pPr>
                    <w:pStyle w:val="59"/>
                    <w:keepNext w:val="0"/>
                    <w:keepLines w:val="0"/>
                    <w:suppressLineNumbers w:val="0"/>
                    <w:spacing w:before="24" w:beforeAutospacing="0" w:after="24" w:afterAutospacing="0"/>
                    <w:ind w:left="0" w:right="0"/>
                    <w:rPr>
                      <w:rFonts w:hint="eastAsia" w:ascii="Times New Roman" w:cs="Times New Roman"/>
                      <w:color w:val="auto"/>
                      <w:kern w:val="2"/>
                      <w:sz w:val="21"/>
                      <w:szCs w:val="21"/>
                      <w:lang w:val="en-US" w:eastAsia="zh-CN" w:bidi="ar-SA"/>
                    </w:rPr>
                  </w:pPr>
                  <w:r>
                    <w:rPr>
                      <w:rFonts w:hint="eastAsia" w:ascii="Times New Roman" w:cs="Times New Roman"/>
                      <w:color w:val="auto"/>
                      <w:kern w:val="2"/>
                      <w:sz w:val="21"/>
                      <w:szCs w:val="21"/>
                      <w:lang w:val="en-US" w:eastAsia="zh-CN" w:bidi="ar-SA"/>
                    </w:rPr>
                    <w:t>废机油桶</w:t>
                  </w:r>
                </w:p>
              </w:tc>
              <w:tc>
                <w:tcPr>
                  <w:tcW w:w="1719" w:type="pct"/>
                  <w:tcBorders>
                    <w:tl2br w:val="nil"/>
                    <w:tr2bl w:val="nil"/>
                  </w:tcBorders>
                  <w:noWrap w:val="0"/>
                  <w:vAlign w:val="center"/>
                </w:tcPr>
                <w:p w14:paraId="1E85BC4E">
                  <w:pPr>
                    <w:keepNext w:val="0"/>
                    <w:keepLines w:val="0"/>
                    <w:suppressLineNumbers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机油包装</w:t>
                  </w:r>
                </w:p>
              </w:tc>
              <w:tc>
                <w:tcPr>
                  <w:tcW w:w="1693" w:type="pct"/>
                  <w:tcBorders>
                    <w:tl2br w:val="nil"/>
                    <w:tr2bl w:val="nil"/>
                  </w:tcBorders>
                  <w:shd w:val="clear" w:color="auto" w:fill="auto"/>
                  <w:noWrap w:val="0"/>
                  <w:vAlign w:val="center"/>
                </w:tcPr>
                <w:p w14:paraId="0E3A68E7">
                  <w:pPr>
                    <w:pStyle w:val="59"/>
                    <w:keepNext w:val="0"/>
                    <w:keepLines w:val="0"/>
                    <w:suppressLineNumbers w:val="0"/>
                    <w:spacing w:before="24" w:beforeAutospacing="0" w:after="24"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color w:val="auto"/>
                      <w:kern w:val="2"/>
                      <w:szCs w:val="21"/>
                      <w:lang w:val="en-US" w:eastAsia="zh-CN"/>
                    </w:rPr>
                    <w:t>废矿物油、包装桶</w:t>
                  </w:r>
                </w:p>
              </w:tc>
            </w:tr>
            <w:tr w14:paraId="72ED1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56" w:type="pct"/>
                  <w:tcBorders>
                    <w:tl2br w:val="nil"/>
                    <w:tr2bl w:val="nil"/>
                  </w:tcBorders>
                  <w:noWrap w:val="0"/>
                  <w:vAlign w:val="center"/>
                </w:tcPr>
                <w:p w14:paraId="4D9015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噪声</w:t>
                  </w:r>
                </w:p>
              </w:tc>
              <w:tc>
                <w:tcPr>
                  <w:tcW w:w="1030" w:type="pct"/>
                  <w:tcBorders>
                    <w:tl2br w:val="nil"/>
                    <w:tr2bl w:val="nil"/>
                  </w:tcBorders>
                  <w:noWrap w:val="0"/>
                  <w:vAlign w:val="center"/>
                </w:tcPr>
                <w:p w14:paraId="26A28A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lang w:val="en-US" w:eastAsia="zh-CN"/>
                    </w:rPr>
                  </w:pPr>
                  <w:r>
                    <w:rPr>
                      <w:rFonts w:hint="eastAsia" w:cs="Times New Roman"/>
                      <w:color w:val="auto"/>
                      <w:szCs w:val="21"/>
                      <w:highlight w:val="none"/>
                      <w:lang w:val="en-US" w:eastAsia="zh-CN"/>
                    </w:rPr>
                    <w:t>设备</w:t>
                  </w:r>
                  <w:r>
                    <w:rPr>
                      <w:rFonts w:hint="eastAsia" w:ascii="Times New Roman" w:hAnsi="Times New Roman" w:eastAsia="宋体" w:cs="Times New Roman"/>
                      <w:color w:val="auto"/>
                      <w:szCs w:val="21"/>
                      <w:highlight w:val="none"/>
                      <w:lang w:val="en-US" w:eastAsia="zh-CN"/>
                    </w:rPr>
                    <w:t>噪声</w:t>
                  </w:r>
                </w:p>
              </w:tc>
              <w:tc>
                <w:tcPr>
                  <w:tcW w:w="1719" w:type="pct"/>
                  <w:tcBorders>
                    <w:tl2br w:val="nil"/>
                    <w:tr2bl w:val="nil"/>
                  </w:tcBorders>
                  <w:noWrap w:val="0"/>
                  <w:vAlign w:val="center"/>
                </w:tcPr>
                <w:p w14:paraId="1FDAB4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lang w:val="en-US" w:eastAsia="zh-CN"/>
                    </w:rPr>
                  </w:pPr>
                  <w:r>
                    <w:rPr>
                      <w:rFonts w:hint="eastAsia" w:cs="Times New Roman"/>
                      <w:color w:val="auto"/>
                      <w:szCs w:val="21"/>
                      <w:lang w:val="en-US" w:eastAsia="zh-CN"/>
                    </w:rPr>
                    <w:t>烘干</w:t>
                  </w:r>
                  <w:r>
                    <w:rPr>
                      <w:rFonts w:hint="eastAsia" w:ascii="Times New Roman" w:hAnsi="Times New Roman" w:cs="Times New Roman"/>
                      <w:color w:val="auto"/>
                      <w:szCs w:val="21"/>
                      <w:lang w:val="en-US" w:eastAsia="zh-CN"/>
                    </w:rPr>
                    <w:t>、</w:t>
                  </w:r>
                  <w:r>
                    <w:rPr>
                      <w:rFonts w:hint="eastAsia" w:cs="Times New Roman"/>
                      <w:color w:val="auto"/>
                      <w:szCs w:val="21"/>
                      <w:lang w:val="en-US" w:eastAsia="zh-CN"/>
                    </w:rPr>
                    <w:t>污水处理</w:t>
                  </w:r>
                </w:p>
              </w:tc>
              <w:tc>
                <w:tcPr>
                  <w:tcW w:w="1693" w:type="pct"/>
                  <w:tcBorders>
                    <w:tl2br w:val="nil"/>
                    <w:tr2bl w:val="nil"/>
                  </w:tcBorders>
                  <w:noWrap w:val="0"/>
                  <w:vAlign w:val="center"/>
                </w:tcPr>
                <w:p w14:paraId="239B16F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Leq</w:t>
                  </w:r>
                  <w:r>
                    <w:rPr>
                      <w:rFonts w:hint="eastAsia" w:cs="Times New Roman"/>
                      <w:color w:val="auto"/>
                      <w:szCs w:val="21"/>
                      <w:lang w:eastAsia="zh-CN"/>
                    </w:rPr>
                    <w:t>(</w:t>
                  </w:r>
                  <w:r>
                    <w:rPr>
                      <w:rFonts w:hint="default" w:ascii="Times New Roman" w:hAnsi="Times New Roman" w:cs="Times New Roman"/>
                      <w:color w:val="auto"/>
                      <w:szCs w:val="21"/>
                    </w:rPr>
                    <w:t>A</w:t>
                  </w:r>
                  <w:r>
                    <w:rPr>
                      <w:rFonts w:hint="eastAsia" w:cs="Times New Roman"/>
                      <w:color w:val="auto"/>
                      <w:szCs w:val="21"/>
                      <w:lang w:eastAsia="zh-CN"/>
                    </w:rPr>
                    <w:t>)</w:t>
                  </w:r>
                </w:p>
              </w:tc>
            </w:tr>
          </w:tbl>
          <w:p w14:paraId="754003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Calibri"/>
                <w:color w:val="auto"/>
                <w:kern w:val="0"/>
                <w:sz w:val="21"/>
                <w:szCs w:val="21"/>
                <w:lang w:val="en-US" w:eastAsia="zh-CN" w:bidi="ar-SA"/>
              </w:rPr>
            </w:pPr>
          </w:p>
        </w:tc>
      </w:tr>
      <w:tr w14:paraId="7749F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4" w:hRule="atLeast"/>
          <w:jc w:val="center"/>
        </w:trPr>
        <w:tc>
          <w:tcPr>
            <w:tcW w:w="823" w:type="dxa"/>
            <w:noWrap w:val="0"/>
            <w:vAlign w:val="center"/>
          </w:tcPr>
          <w:p w14:paraId="4BB27756">
            <w:pPr>
              <w:pStyle w:val="30"/>
              <w:keepNext w:val="0"/>
              <w:keepLines w:val="0"/>
              <w:suppressLineNumbers w:val="0"/>
              <w:adjustRightInd w:val="0"/>
              <w:snapToGrid w:val="0"/>
              <w:spacing w:before="0" w:beforeAutospacing="0" w:after="0" w:afterAutospacing="0"/>
              <w:ind w:left="0" w:right="0"/>
              <w:jc w:val="center"/>
              <w:rPr>
                <w:rFonts w:hint="default" w:cs="Times New Roman"/>
                <w:color w:val="auto"/>
              </w:rPr>
            </w:pPr>
            <w:r>
              <w:rPr>
                <w:rFonts w:hint="eastAsia" w:cs="Times New Roman"/>
                <w:color w:val="auto"/>
                <w:highlight w:val="none"/>
              </w:rPr>
              <w:t>与项目有关的原有环境污染问题</w:t>
            </w:r>
          </w:p>
        </w:tc>
        <w:tc>
          <w:tcPr>
            <w:tcW w:w="8161" w:type="dxa"/>
            <w:noWrap w:val="0"/>
            <w:vAlign w:val="top"/>
          </w:tcPr>
          <w:p w14:paraId="5C5C8FE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Cs/>
                <w:color w:val="auto"/>
                <w:kern w:val="2"/>
                <w:sz w:val="24"/>
                <w:szCs w:val="24"/>
                <w:lang w:val="en-US" w:eastAsia="zh-CN"/>
              </w:rPr>
              <w:t>本项目为新建项目，不存在</w:t>
            </w:r>
            <w:r>
              <w:rPr>
                <w:rFonts w:hint="default" w:ascii="Times New Roman" w:hAnsi="Times New Roman" w:eastAsia="宋体" w:cs="Times New Roman"/>
                <w:bCs/>
                <w:color w:val="auto"/>
                <w:kern w:val="2"/>
                <w:sz w:val="24"/>
                <w:szCs w:val="24"/>
              </w:rPr>
              <w:t>与项目有关的原有环境污染问题</w:t>
            </w:r>
            <w:r>
              <w:rPr>
                <w:rFonts w:hint="eastAsia" w:ascii="Times New Roman" w:hAnsi="Times New Roman" w:eastAsia="宋体" w:cs="Times New Roman"/>
                <w:bCs/>
                <w:color w:val="auto"/>
                <w:kern w:val="2"/>
                <w:sz w:val="24"/>
                <w:szCs w:val="24"/>
                <w:lang w:val="en-US" w:eastAsia="zh-CN"/>
              </w:rPr>
              <w:t>。</w:t>
            </w:r>
          </w:p>
          <w:p w14:paraId="7B87D5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p>
          <w:p w14:paraId="3E7582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p>
          <w:p w14:paraId="274F53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p>
          <w:p w14:paraId="58AE6F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p>
          <w:p w14:paraId="163BB6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p>
          <w:p w14:paraId="12B3F0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lang w:val="en-US" w:eastAsia="zh-CN"/>
              </w:rPr>
            </w:pPr>
          </w:p>
          <w:p w14:paraId="46BDF2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宋体" w:hAnsi="宋体" w:eastAsia="宋体" w:cs="Times New Roman"/>
                <w:bCs/>
                <w:color w:val="auto"/>
                <w:szCs w:val="21"/>
                <w:lang w:val="en-US" w:eastAsia="zh-CN"/>
              </w:rPr>
            </w:pPr>
            <w:r>
              <w:rPr>
                <w:rFonts w:hint="eastAsia" w:ascii="Times New Roman" w:hAnsi="Times New Roman" w:eastAsia="宋体" w:cs="Times New Roman"/>
                <w:color w:val="auto"/>
                <w:sz w:val="24"/>
                <w:szCs w:val="24"/>
                <w:lang w:val="en-US" w:eastAsia="zh-CN"/>
              </w:rPr>
              <w:t xml:space="preserve"> </w:t>
            </w:r>
          </w:p>
        </w:tc>
      </w:tr>
    </w:tbl>
    <w:p w14:paraId="6100B906">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0D8828C">
      <w:pPr>
        <w:pStyle w:val="30"/>
        <w:adjustRightInd w:val="0"/>
        <w:snapToGrid w:val="0"/>
        <w:spacing w:before="0" w:beforeAutospacing="0" w:after="0" w:afterAutospacing="0" w:line="14" w:lineRule="auto"/>
        <w:jc w:val="center"/>
        <w:outlineLvl w:val="9"/>
        <w:rPr>
          <w:rFonts w:hint="eastAsia" w:ascii="黑体" w:hAnsi="黑体" w:eastAsia="黑体"/>
          <w:snapToGrid w:val="0"/>
          <w:color w:val="auto"/>
          <w:sz w:val="30"/>
          <w:szCs w:val="30"/>
        </w:rPr>
      </w:pPr>
    </w:p>
    <w:p w14:paraId="1A721F4B">
      <w:pPr>
        <w:pStyle w:val="3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8560"/>
      </w:tblGrid>
      <w:tr w14:paraId="08555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2" w:hRule="atLeast"/>
          <w:jc w:val="center"/>
        </w:trPr>
        <w:tc>
          <w:tcPr>
            <w:tcW w:w="800" w:type="dxa"/>
            <w:noWrap w:val="0"/>
            <w:vAlign w:val="center"/>
          </w:tcPr>
          <w:p w14:paraId="4DDFB64B">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4"/>
                <w:szCs w:val="24"/>
              </w:rPr>
            </w:pPr>
            <w:r>
              <w:rPr>
                <w:rFonts w:hint="eastAsia" w:ascii="宋体" w:hAnsi="宋体" w:cs="宋体"/>
                <w:color w:val="auto"/>
                <w:kern w:val="0"/>
                <w:sz w:val="24"/>
                <w:szCs w:val="24"/>
              </w:rPr>
              <w:t>区域</w:t>
            </w:r>
          </w:p>
          <w:p w14:paraId="4F2B6F53">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4"/>
                <w:szCs w:val="24"/>
              </w:rPr>
            </w:pPr>
            <w:r>
              <w:rPr>
                <w:rFonts w:hint="eastAsia" w:ascii="宋体" w:hAnsi="宋体" w:cs="宋体"/>
                <w:color w:val="auto"/>
                <w:kern w:val="0"/>
                <w:sz w:val="24"/>
                <w:szCs w:val="24"/>
              </w:rPr>
              <w:t>环境</w:t>
            </w:r>
          </w:p>
          <w:p w14:paraId="30211614">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4"/>
                <w:szCs w:val="24"/>
              </w:rPr>
            </w:pPr>
            <w:r>
              <w:rPr>
                <w:rFonts w:hint="eastAsia" w:ascii="宋体" w:hAnsi="宋体" w:cs="宋体"/>
                <w:color w:val="auto"/>
                <w:kern w:val="0"/>
                <w:sz w:val="24"/>
                <w:szCs w:val="24"/>
              </w:rPr>
              <w:t>质量</w:t>
            </w:r>
          </w:p>
          <w:p w14:paraId="501E144B">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 w:val="24"/>
                <w:szCs w:val="24"/>
              </w:rPr>
              <w:t>现状</w:t>
            </w:r>
          </w:p>
        </w:tc>
        <w:tc>
          <w:tcPr>
            <w:tcW w:w="8190" w:type="dxa"/>
            <w:noWrap w:val="0"/>
            <w:vAlign w:val="center"/>
          </w:tcPr>
          <w:p w14:paraId="4D44FE11">
            <w:pPr>
              <w:keepNext w:val="0"/>
              <w:keepLines w:val="0"/>
              <w:widowControl w:val="0"/>
              <w:suppressLineNumbers w:val="0"/>
              <w:autoSpaceDE w:val="0"/>
              <w:autoSpaceDN/>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color w:val="auto"/>
                <w:kern w:val="2"/>
                <w:sz w:val="24"/>
                <w:szCs w:val="24"/>
              </w:rPr>
            </w:pPr>
            <w:r>
              <w:rPr>
                <w:rFonts w:hint="eastAsia" w:ascii="宋体" w:hAnsi="宋体" w:eastAsia="宋体" w:cs="宋体"/>
                <w:b/>
                <w:color w:val="auto"/>
                <w:kern w:val="2"/>
                <w:sz w:val="24"/>
                <w:szCs w:val="24"/>
                <w:lang w:val="en-US" w:eastAsia="zh-CN" w:bidi="ar"/>
              </w:rPr>
              <w:t>一、环境空气</w:t>
            </w:r>
          </w:p>
          <w:p w14:paraId="48054CC8">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参照《环境空气质量功能区划分原则与技术方法》（</w:t>
            </w:r>
            <w:r>
              <w:rPr>
                <w:rFonts w:hint="default" w:ascii="Times New Roman" w:hAnsi="Times New Roman" w:eastAsia="宋体" w:cs="Times New Roman"/>
                <w:kern w:val="2"/>
                <w:sz w:val="24"/>
                <w:szCs w:val="24"/>
                <w:lang w:val="en-US" w:eastAsia="zh-CN" w:bidi="ar"/>
              </w:rPr>
              <w:t>HJ14-1996</w:t>
            </w:r>
            <w:r>
              <w:rPr>
                <w:rFonts w:hint="eastAsia" w:ascii="宋体" w:hAnsi="宋体" w:eastAsia="宋体" w:cs="宋体"/>
                <w:kern w:val="2"/>
                <w:sz w:val="24"/>
                <w:szCs w:val="24"/>
                <w:lang w:val="en-US" w:eastAsia="zh-CN" w:bidi="ar"/>
              </w:rPr>
              <w:t>），项目所在地环境空气质量功能区属二类区，执行《环境空气质量标准》（</w:t>
            </w:r>
            <w:r>
              <w:rPr>
                <w:rFonts w:hint="default" w:ascii="Times New Roman" w:hAnsi="Times New Roman" w:eastAsia="宋体" w:cs="Times New Roman"/>
                <w:kern w:val="2"/>
                <w:sz w:val="24"/>
                <w:szCs w:val="24"/>
                <w:lang w:val="en-US" w:eastAsia="zh-CN" w:bidi="ar"/>
              </w:rPr>
              <w:t>GB3095-2012</w:t>
            </w:r>
            <w:r>
              <w:rPr>
                <w:rFonts w:hint="eastAsia" w:ascii="宋体" w:hAnsi="宋体" w:eastAsia="宋体" w:cs="宋体"/>
                <w:kern w:val="2"/>
                <w:sz w:val="24"/>
                <w:szCs w:val="24"/>
                <w:lang w:val="en-US" w:eastAsia="zh-CN" w:bidi="ar"/>
              </w:rPr>
              <w:t>）二级标准。</w:t>
            </w:r>
          </w:p>
          <w:p w14:paraId="5D4C6C91">
            <w:pPr>
              <w:keepNext w:val="0"/>
              <w:keepLines w:val="0"/>
              <w:widowControl w:val="0"/>
              <w:suppressLineNumbers w:val="0"/>
              <w:autoSpaceDE w:val="0"/>
              <w:autoSpaceDN/>
              <w:snapToGrid w:val="0"/>
              <w:spacing w:before="0" w:beforeAutospacing="0" w:after="0" w:afterAutospacing="0" w:line="360" w:lineRule="auto"/>
              <w:ind w:left="0" w:right="0" w:firstLine="482" w:firstLineChars="200"/>
              <w:jc w:val="both"/>
              <w:rPr>
                <w:rFonts w:hint="default" w:ascii="宋体" w:hAnsi="宋体" w:eastAsia="宋体" w:cs="宋体"/>
                <w:b/>
                <w:color w:val="auto"/>
                <w:kern w:val="2"/>
                <w:sz w:val="24"/>
                <w:szCs w:val="24"/>
                <w:lang w:val="en-US" w:eastAsia="zh-CN" w:bidi="ar"/>
              </w:rPr>
            </w:pPr>
            <w:r>
              <w:rPr>
                <w:rFonts w:hint="default" w:ascii="宋体" w:hAnsi="宋体" w:eastAsia="宋体" w:cs="宋体"/>
                <w:b/>
                <w:color w:val="auto"/>
                <w:kern w:val="2"/>
                <w:sz w:val="24"/>
                <w:szCs w:val="24"/>
                <w:lang w:val="en-US" w:eastAsia="zh-CN" w:bidi="ar"/>
              </w:rPr>
              <w:t>1</w:t>
            </w:r>
            <w:r>
              <w:rPr>
                <w:rFonts w:hint="eastAsia" w:ascii="宋体" w:hAnsi="宋体" w:eastAsia="宋体" w:cs="宋体"/>
                <w:b/>
                <w:color w:val="auto"/>
                <w:kern w:val="2"/>
                <w:sz w:val="24"/>
                <w:szCs w:val="24"/>
                <w:lang w:val="en-US" w:eastAsia="zh-CN" w:bidi="ar"/>
              </w:rPr>
              <w:t>、区域环境空气质量达标情况</w:t>
            </w:r>
          </w:p>
          <w:p w14:paraId="64C4477C">
            <w:pPr>
              <w:keepNext w:val="0"/>
              <w:keepLines w:val="0"/>
              <w:widowControl w:val="0"/>
              <w:suppressLineNumbers w:val="0"/>
              <w:autoSpaceDE w:val="0"/>
              <w:autoSpaceDN/>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highlight w:val="none"/>
                <w:lang w:val="en-US" w:eastAsia="zh-CN" w:bidi="ar"/>
              </w:rPr>
            </w:pPr>
            <w:r>
              <w:rPr>
                <w:rFonts w:hint="default" w:ascii="Times New Roman" w:hAnsi="Times New Roman" w:eastAsia="宋体" w:cs="Times New Roman"/>
                <w:b w:val="0"/>
                <w:bCs/>
                <w:color w:val="auto"/>
                <w:kern w:val="2"/>
                <w:sz w:val="24"/>
                <w:szCs w:val="24"/>
                <w:highlight w:val="none"/>
                <w:lang w:val="en-US" w:eastAsia="zh-CN" w:bidi="ar"/>
              </w:rPr>
              <w:t>根据《环境影响评价技术导则大气环境》（HJ2.2-2018）的要求，项目所在区域达标判定，优先采用国家或地方生态环境主管部门公开发布的评价基准年环境质量公告或环境质量报告中的数据或结论。</w:t>
            </w:r>
            <w:r>
              <w:rPr>
                <w:rFonts w:hint="default" w:ascii="Times New Roman" w:hAnsi="Times New Roman" w:cs="Times New Roman"/>
                <w:color w:val="auto"/>
                <w:sz w:val="24"/>
                <w:szCs w:val="24"/>
                <w:highlight w:val="none"/>
              </w:rPr>
              <w:t>根据山东</w:t>
            </w:r>
            <w:r>
              <w:rPr>
                <w:rFonts w:hint="eastAsia" w:cs="Times New Roman"/>
                <w:color w:val="auto"/>
                <w:sz w:val="24"/>
                <w:szCs w:val="24"/>
                <w:highlight w:val="none"/>
                <w:lang w:eastAsia="zh-CN"/>
              </w:rPr>
              <w:t>省生态环境厅</w:t>
            </w:r>
            <w:r>
              <w:rPr>
                <w:rFonts w:hint="default" w:ascii="Times New Roman" w:hAnsi="Times New Roman" w:cs="Times New Roman"/>
                <w:color w:val="auto"/>
                <w:sz w:val="24"/>
                <w:szCs w:val="24"/>
                <w:highlight w:val="none"/>
              </w:rPr>
              <w:t>网站发布的《2024年全省城市环境空气质量》</w:t>
            </w:r>
            <w:r>
              <w:rPr>
                <w:rFonts w:hint="eastAsia" w:ascii="Times New Roman" w:hAnsi="Times New Roman" w:cs="Times New Roman"/>
                <w:color w:val="auto"/>
                <w:sz w:val="24"/>
                <w:szCs w:val="24"/>
                <w:highlight w:val="none"/>
                <w:lang w:eastAsia="zh-CN"/>
              </w:rPr>
              <w:t>（网址：http://fb.sdem.org.cn:8801/AirDeploy.Web/AirQuality/History.aspx）</w:t>
            </w:r>
            <w:r>
              <w:rPr>
                <w:rFonts w:hint="default" w:ascii="Times New Roman" w:hAnsi="Times New Roman" w:cs="Times New Roman"/>
                <w:color w:val="auto"/>
                <w:sz w:val="24"/>
                <w:szCs w:val="24"/>
                <w:highlight w:val="none"/>
              </w:rPr>
              <w:t>，2024年度济宁市区空气质量状况见下表</w:t>
            </w:r>
            <w:r>
              <w:rPr>
                <w:rFonts w:hint="default" w:ascii="Times New Roman" w:hAnsi="Times New Roman" w:eastAsia="宋体" w:cs="Times New Roman"/>
                <w:b w:val="0"/>
                <w:bCs/>
                <w:color w:val="auto"/>
                <w:kern w:val="2"/>
                <w:sz w:val="24"/>
                <w:szCs w:val="24"/>
                <w:highlight w:val="none"/>
                <w:lang w:val="en-US" w:eastAsia="zh-CN" w:bidi="ar"/>
              </w:rPr>
              <w:t>。</w:t>
            </w:r>
          </w:p>
          <w:p w14:paraId="554840F8">
            <w:pPr>
              <w:keepNext w:val="0"/>
              <w:keepLines w:val="0"/>
              <w:widowControl w:val="0"/>
              <w:suppressLineNumbers w:val="0"/>
              <w:spacing w:before="0" w:beforeAutospacing="0" w:after="0" w:afterAutospacing="0" w:line="240" w:lineRule="auto"/>
              <w:ind w:left="0" w:right="0" w:firstLine="482" w:firstLineChars="200"/>
              <w:jc w:val="center"/>
              <w:rPr>
                <w:rFonts w:hint="default" w:ascii="Times New Roman" w:hAnsi="Times New Roman" w:cs="Times New Roman" w:eastAsiaTheme="minorEastAsia"/>
                <w:b/>
                <w:bCs w:val="0"/>
                <w:color w:val="auto"/>
                <w:kern w:val="2"/>
                <w:sz w:val="24"/>
                <w:szCs w:val="24"/>
                <w:highlight w:val="none"/>
              </w:rPr>
            </w:pPr>
            <w:r>
              <w:rPr>
                <w:rStyle w:val="109"/>
                <w:rFonts w:hint="default" w:ascii="Times New Roman" w:hAnsi="Times New Roman" w:cs="Times New Roman" w:eastAsiaTheme="minorEastAsia"/>
                <w:b/>
                <w:bCs w:val="0"/>
                <w:color w:val="auto"/>
                <w:kern w:val="2"/>
                <w:sz w:val="24"/>
                <w:szCs w:val="24"/>
                <w:highlight w:val="none"/>
                <w:lang w:val="en-US" w:eastAsia="zh-CN" w:bidi="ar"/>
              </w:rPr>
              <w:t>表3-1  202</w:t>
            </w:r>
            <w:r>
              <w:rPr>
                <w:rStyle w:val="109"/>
                <w:rFonts w:hint="eastAsia" w:cs="Times New Roman" w:eastAsiaTheme="minorEastAsia"/>
                <w:b/>
                <w:bCs w:val="0"/>
                <w:color w:val="auto"/>
                <w:kern w:val="2"/>
                <w:sz w:val="24"/>
                <w:szCs w:val="24"/>
                <w:highlight w:val="none"/>
                <w:lang w:val="en-US" w:eastAsia="zh-CN" w:bidi="ar"/>
              </w:rPr>
              <w:t>4</w:t>
            </w:r>
            <w:r>
              <w:rPr>
                <w:rStyle w:val="109"/>
                <w:rFonts w:hint="default" w:ascii="Times New Roman" w:hAnsi="Times New Roman" w:cs="Times New Roman" w:eastAsiaTheme="minorEastAsia"/>
                <w:b/>
                <w:bCs w:val="0"/>
                <w:color w:val="auto"/>
                <w:kern w:val="2"/>
                <w:sz w:val="24"/>
                <w:szCs w:val="24"/>
                <w:highlight w:val="none"/>
                <w:lang w:val="en-US" w:eastAsia="zh-CN" w:bidi="ar"/>
              </w:rPr>
              <w:t>年济宁市空气质量现状评价表</w:t>
            </w:r>
            <w:r>
              <w:rPr>
                <w:rFonts w:hint="default" w:ascii="Times New Roman" w:hAnsi="Times New Roman" w:cs="Times New Roman" w:eastAsiaTheme="minorEastAsia"/>
                <w:b/>
                <w:bCs w:val="0"/>
                <w:color w:val="auto"/>
                <w:kern w:val="2"/>
                <w:sz w:val="24"/>
                <w:szCs w:val="24"/>
                <w:highlight w:val="none"/>
                <w:lang w:val="en-US" w:eastAsia="zh-CN" w:bidi="ar"/>
              </w:rPr>
              <w:t xml:space="preserve"> </w:t>
            </w:r>
          </w:p>
          <w:tbl>
            <w:tblPr>
              <w:tblStyle w:val="9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62"/>
              <w:gridCol w:w="1952"/>
              <w:gridCol w:w="1670"/>
              <w:gridCol w:w="1456"/>
              <w:gridCol w:w="1168"/>
              <w:gridCol w:w="1106"/>
            </w:tblGrid>
            <w:tr w14:paraId="5B6F07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578" w:type="pct"/>
                  <w:tcBorders>
                    <w:tl2br w:val="nil"/>
                    <w:tr2bl w:val="nil"/>
                  </w:tcBorders>
                  <w:noWrap w:val="0"/>
                  <w:vAlign w:val="center"/>
                </w:tcPr>
                <w:p w14:paraId="6E40FA07">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eastAsiaTheme="minorEastAsia"/>
                      <w:b/>
                      <w:bCs/>
                      <w:snapToGrid w:val="0"/>
                      <w:color w:val="auto"/>
                      <w:kern w:val="0"/>
                      <w:sz w:val="21"/>
                      <w:szCs w:val="21"/>
                      <w:highlight w:val="none"/>
                      <w:lang w:val="en-US" w:eastAsia="en-US" w:bidi="ar-SA"/>
                    </w:rPr>
                  </w:pPr>
                  <w:r>
                    <w:rPr>
                      <w:rFonts w:hint="default" w:ascii="Times New Roman" w:hAnsi="Times New Roman" w:cs="Times New Roman" w:eastAsiaTheme="minorEastAsia"/>
                      <w:b/>
                      <w:bCs/>
                      <w:snapToGrid w:val="0"/>
                      <w:color w:val="auto"/>
                      <w:spacing w:val="6"/>
                      <w:kern w:val="0"/>
                      <w:sz w:val="21"/>
                      <w:szCs w:val="21"/>
                      <w:highlight w:val="none"/>
                      <w:lang w:val="en-US" w:eastAsia="en-US" w:bidi="ar-SA"/>
                    </w:rPr>
                    <w:t>污染物</w:t>
                  </w:r>
                </w:p>
              </w:tc>
              <w:tc>
                <w:tcPr>
                  <w:tcW w:w="1173" w:type="pct"/>
                  <w:tcBorders>
                    <w:tl2br w:val="nil"/>
                    <w:tr2bl w:val="nil"/>
                  </w:tcBorders>
                  <w:noWrap w:val="0"/>
                  <w:vAlign w:val="center"/>
                </w:tcPr>
                <w:p w14:paraId="7384BA1D">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eastAsiaTheme="minorEastAsia"/>
                      <w:b/>
                      <w:bCs/>
                      <w:snapToGrid w:val="0"/>
                      <w:color w:val="auto"/>
                      <w:kern w:val="0"/>
                      <w:sz w:val="21"/>
                      <w:szCs w:val="21"/>
                      <w:highlight w:val="none"/>
                      <w:lang w:val="en-US" w:eastAsia="en-US" w:bidi="ar-SA"/>
                    </w:rPr>
                  </w:pPr>
                  <w:r>
                    <w:rPr>
                      <w:rFonts w:hint="default" w:ascii="Times New Roman" w:hAnsi="Times New Roman" w:cs="Times New Roman" w:eastAsiaTheme="minorEastAsia"/>
                      <w:b/>
                      <w:bCs/>
                      <w:snapToGrid w:val="0"/>
                      <w:color w:val="auto"/>
                      <w:spacing w:val="7"/>
                      <w:kern w:val="0"/>
                      <w:sz w:val="21"/>
                      <w:szCs w:val="21"/>
                      <w:highlight w:val="none"/>
                      <w:lang w:val="en-US" w:eastAsia="en-US" w:bidi="ar-SA"/>
                    </w:rPr>
                    <w:t>年评价指标</w:t>
                  </w:r>
                </w:p>
              </w:tc>
              <w:tc>
                <w:tcPr>
                  <w:tcW w:w="1004" w:type="pct"/>
                  <w:tcBorders>
                    <w:tl2br w:val="nil"/>
                    <w:tr2bl w:val="nil"/>
                  </w:tcBorders>
                  <w:noWrap w:val="0"/>
                  <w:vAlign w:val="center"/>
                </w:tcPr>
                <w:p w14:paraId="75286EDB">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eastAsiaTheme="minorEastAsia"/>
                      <w:b/>
                      <w:bCs/>
                      <w:snapToGrid w:val="0"/>
                      <w:color w:val="auto"/>
                      <w:kern w:val="0"/>
                      <w:sz w:val="21"/>
                      <w:szCs w:val="21"/>
                      <w:highlight w:val="none"/>
                      <w:lang w:val="en-US" w:eastAsia="en-US" w:bidi="ar-SA"/>
                    </w:rPr>
                  </w:pPr>
                  <w:r>
                    <w:rPr>
                      <w:rFonts w:hint="default" w:ascii="Times New Roman" w:hAnsi="Times New Roman" w:cs="Times New Roman" w:eastAsiaTheme="minorEastAsia"/>
                      <w:b/>
                      <w:bCs/>
                      <w:snapToGrid w:val="0"/>
                      <w:color w:val="auto"/>
                      <w:spacing w:val="9"/>
                      <w:kern w:val="0"/>
                      <w:sz w:val="21"/>
                      <w:szCs w:val="21"/>
                      <w:highlight w:val="none"/>
                      <w:lang w:val="en-US" w:eastAsia="en-US" w:bidi="ar-SA"/>
                    </w:rPr>
                    <w:t>现状浓度(μg/m</w:t>
                  </w:r>
                  <w:r>
                    <w:rPr>
                      <w:rFonts w:hint="default" w:ascii="Times New Roman" w:hAnsi="Times New Roman" w:cs="Times New Roman" w:eastAsiaTheme="minorEastAsia"/>
                      <w:b/>
                      <w:bCs/>
                      <w:snapToGrid w:val="0"/>
                      <w:color w:val="auto"/>
                      <w:spacing w:val="9"/>
                      <w:kern w:val="0"/>
                      <w:sz w:val="21"/>
                      <w:szCs w:val="21"/>
                      <w:highlight w:val="none"/>
                      <w:vertAlign w:val="superscript"/>
                      <w:lang w:val="en-US" w:eastAsia="zh-CN" w:bidi="ar-SA"/>
                    </w:rPr>
                    <w:t>3</w:t>
                  </w:r>
                  <w:r>
                    <w:rPr>
                      <w:rFonts w:hint="default" w:ascii="Times New Roman" w:hAnsi="Times New Roman" w:cs="Times New Roman" w:eastAsiaTheme="minorEastAsia"/>
                      <w:b/>
                      <w:bCs/>
                      <w:snapToGrid w:val="0"/>
                      <w:color w:val="auto"/>
                      <w:spacing w:val="9"/>
                      <w:kern w:val="0"/>
                      <w:sz w:val="21"/>
                      <w:szCs w:val="21"/>
                      <w:highlight w:val="none"/>
                      <w:lang w:val="en-US" w:eastAsia="en-US" w:bidi="ar-SA"/>
                    </w:rPr>
                    <w:t>）</w:t>
                  </w:r>
                </w:p>
              </w:tc>
              <w:tc>
                <w:tcPr>
                  <w:tcW w:w="875" w:type="pct"/>
                  <w:tcBorders>
                    <w:tl2br w:val="nil"/>
                    <w:tr2bl w:val="nil"/>
                  </w:tcBorders>
                  <w:noWrap w:val="0"/>
                  <w:vAlign w:val="center"/>
                </w:tcPr>
                <w:p w14:paraId="6332903A">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eastAsiaTheme="minorEastAsia"/>
                      <w:b/>
                      <w:bCs/>
                      <w:snapToGrid w:val="0"/>
                      <w:color w:val="auto"/>
                      <w:kern w:val="0"/>
                      <w:sz w:val="21"/>
                      <w:szCs w:val="21"/>
                      <w:highlight w:val="none"/>
                      <w:lang w:val="en-US" w:eastAsia="en-US" w:bidi="ar-SA"/>
                    </w:rPr>
                  </w:pPr>
                  <w:r>
                    <w:rPr>
                      <w:rFonts w:hint="default" w:ascii="Times New Roman" w:hAnsi="Times New Roman" w:cs="Times New Roman" w:eastAsiaTheme="minorEastAsia"/>
                      <w:b/>
                      <w:bCs/>
                      <w:snapToGrid w:val="0"/>
                      <w:color w:val="auto"/>
                      <w:spacing w:val="7"/>
                      <w:kern w:val="0"/>
                      <w:sz w:val="21"/>
                      <w:szCs w:val="21"/>
                      <w:highlight w:val="none"/>
                      <w:lang w:val="en-US" w:eastAsia="en-US" w:bidi="ar-SA"/>
                    </w:rPr>
                    <w:t>标准值(μg/m</w:t>
                  </w:r>
                  <w:r>
                    <w:rPr>
                      <w:rFonts w:hint="default" w:ascii="Times New Roman" w:hAnsi="Times New Roman" w:cs="Times New Roman" w:eastAsiaTheme="minorEastAsia"/>
                      <w:b/>
                      <w:bCs/>
                      <w:snapToGrid w:val="0"/>
                      <w:color w:val="auto"/>
                      <w:spacing w:val="7"/>
                      <w:kern w:val="0"/>
                      <w:sz w:val="21"/>
                      <w:szCs w:val="21"/>
                      <w:highlight w:val="none"/>
                      <w:vertAlign w:val="superscript"/>
                      <w:lang w:val="en-US" w:eastAsia="zh-CN" w:bidi="ar-SA"/>
                    </w:rPr>
                    <w:t>3</w:t>
                  </w:r>
                  <w:r>
                    <w:rPr>
                      <w:rFonts w:hint="default" w:ascii="Times New Roman" w:hAnsi="Times New Roman" w:cs="Times New Roman" w:eastAsiaTheme="minorEastAsia"/>
                      <w:b/>
                      <w:bCs/>
                      <w:snapToGrid w:val="0"/>
                      <w:color w:val="auto"/>
                      <w:spacing w:val="7"/>
                      <w:kern w:val="0"/>
                      <w:sz w:val="21"/>
                      <w:szCs w:val="21"/>
                      <w:highlight w:val="none"/>
                      <w:lang w:val="en-US" w:eastAsia="en-US" w:bidi="ar-SA"/>
                    </w:rPr>
                    <w:t>）</w:t>
                  </w:r>
                </w:p>
              </w:tc>
              <w:tc>
                <w:tcPr>
                  <w:tcW w:w="702" w:type="pct"/>
                  <w:tcBorders>
                    <w:tl2br w:val="nil"/>
                    <w:tr2bl w:val="nil"/>
                  </w:tcBorders>
                  <w:noWrap w:val="0"/>
                  <w:vAlign w:val="center"/>
                </w:tcPr>
                <w:p w14:paraId="7F0344F1">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eastAsiaTheme="minorEastAsia"/>
                      <w:b/>
                      <w:bCs/>
                      <w:snapToGrid w:val="0"/>
                      <w:color w:val="auto"/>
                      <w:kern w:val="0"/>
                      <w:sz w:val="21"/>
                      <w:szCs w:val="21"/>
                      <w:highlight w:val="none"/>
                      <w:lang w:val="en-US" w:eastAsia="en-US" w:bidi="ar-SA"/>
                    </w:rPr>
                  </w:pPr>
                  <w:r>
                    <w:rPr>
                      <w:rFonts w:hint="default" w:ascii="Times New Roman" w:hAnsi="Times New Roman" w:cs="Times New Roman" w:eastAsiaTheme="minorEastAsia"/>
                      <w:b/>
                      <w:bCs/>
                      <w:snapToGrid w:val="0"/>
                      <w:color w:val="auto"/>
                      <w:spacing w:val="-10"/>
                      <w:kern w:val="0"/>
                      <w:sz w:val="21"/>
                      <w:szCs w:val="21"/>
                      <w:highlight w:val="none"/>
                      <w:lang w:val="en-US" w:eastAsia="en-US" w:bidi="ar-SA"/>
                    </w:rPr>
                    <w:t>占标率（%）</w:t>
                  </w:r>
                </w:p>
              </w:tc>
              <w:tc>
                <w:tcPr>
                  <w:tcW w:w="665" w:type="pct"/>
                  <w:tcBorders>
                    <w:tl2br w:val="nil"/>
                    <w:tr2bl w:val="nil"/>
                  </w:tcBorders>
                  <w:noWrap w:val="0"/>
                  <w:vAlign w:val="center"/>
                </w:tcPr>
                <w:p w14:paraId="25DD20F7">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eastAsiaTheme="minorEastAsia"/>
                      <w:b/>
                      <w:bCs/>
                      <w:snapToGrid w:val="0"/>
                      <w:color w:val="auto"/>
                      <w:kern w:val="0"/>
                      <w:sz w:val="21"/>
                      <w:szCs w:val="21"/>
                      <w:highlight w:val="none"/>
                      <w:lang w:val="en-US" w:eastAsia="en-US" w:bidi="ar-SA"/>
                    </w:rPr>
                  </w:pPr>
                  <w:r>
                    <w:rPr>
                      <w:rFonts w:hint="default" w:ascii="Times New Roman" w:hAnsi="Times New Roman" w:cs="Times New Roman" w:eastAsiaTheme="minorEastAsia"/>
                      <w:b/>
                      <w:bCs/>
                      <w:snapToGrid w:val="0"/>
                      <w:color w:val="auto"/>
                      <w:spacing w:val="7"/>
                      <w:kern w:val="0"/>
                      <w:sz w:val="21"/>
                      <w:szCs w:val="21"/>
                      <w:highlight w:val="none"/>
                      <w:lang w:val="en-US" w:eastAsia="en-US" w:bidi="ar-SA"/>
                    </w:rPr>
                    <w:t>达标情况</w:t>
                  </w:r>
                </w:p>
              </w:tc>
            </w:tr>
            <w:tr w14:paraId="2B463B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578" w:type="pct"/>
                  <w:tcBorders>
                    <w:tl2br w:val="nil"/>
                    <w:tr2bl w:val="nil"/>
                  </w:tcBorders>
                  <w:noWrap w:val="0"/>
                  <w:vAlign w:val="center"/>
                </w:tcPr>
                <w:p w14:paraId="2798C0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lang w:val="en-US" w:eastAsia="zh-CN" w:bidi="ar-SA"/>
                    </w:rPr>
                  </w:pP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rPr>
                    <w:t>SO</w:t>
                  </w: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vertAlign w:val="subscript"/>
                    </w:rPr>
                    <w:t>2</w:t>
                  </w:r>
                </w:p>
              </w:tc>
              <w:tc>
                <w:tcPr>
                  <w:tcW w:w="1173" w:type="pct"/>
                  <w:tcBorders>
                    <w:tl2br w:val="nil"/>
                    <w:tr2bl w:val="nil"/>
                  </w:tcBorders>
                  <w:noWrap w:val="0"/>
                  <w:vAlign w:val="center"/>
                </w:tcPr>
                <w:p w14:paraId="2CDD3E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lang w:val="en-US" w:eastAsia="en-US" w:bidi="ar-SA"/>
                    </w:rPr>
                  </w:pP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rPr>
                    <w:t>年平均质量浓度</w:t>
                  </w:r>
                </w:p>
              </w:tc>
              <w:tc>
                <w:tcPr>
                  <w:tcW w:w="1004" w:type="pct"/>
                  <w:tcBorders>
                    <w:tl2br w:val="nil"/>
                    <w:tr2bl w:val="nil"/>
                  </w:tcBorders>
                  <w:noWrap w:val="0"/>
                  <w:vAlign w:val="center"/>
                </w:tcPr>
                <w:p w14:paraId="75C2BF6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9</w:t>
                  </w:r>
                </w:p>
              </w:tc>
              <w:tc>
                <w:tcPr>
                  <w:tcW w:w="875" w:type="pct"/>
                  <w:tcBorders>
                    <w:tl2br w:val="nil"/>
                    <w:tr2bl w:val="nil"/>
                  </w:tcBorders>
                  <w:noWrap w:val="0"/>
                  <w:vAlign w:val="center"/>
                </w:tcPr>
                <w:p w14:paraId="0BF83A4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60</w:t>
                  </w:r>
                </w:p>
              </w:tc>
              <w:tc>
                <w:tcPr>
                  <w:tcW w:w="702" w:type="pct"/>
                  <w:tcBorders>
                    <w:tl2br w:val="nil"/>
                    <w:tr2bl w:val="nil"/>
                  </w:tcBorders>
                  <w:noWrap w:val="0"/>
                  <w:vAlign w:val="center"/>
                </w:tcPr>
                <w:p w14:paraId="2886EF0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15</w:t>
                  </w:r>
                </w:p>
              </w:tc>
              <w:tc>
                <w:tcPr>
                  <w:tcW w:w="665" w:type="pct"/>
                  <w:tcBorders>
                    <w:tl2br w:val="nil"/>
                    <w:tr2bl w:val="nil"/>
                  </w:tcBorders>
                  <w:noWrap w:val="0"/>
                  <w:vAlign w:val="center"/>
                </w:tcPr>
                <w:p w14:paraId="2066FE52">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eastAsiaTheme="minorEastAsia"/>
                      <w:snapToGrid w:val="0"/>
                      <w:color w:val="auto"/>
                      <w:kern w:val="0"/>
                      <w:sz w:val="21"/>
                      <w:szCs w:val="21"/>
                      <w:highlight w:val="none"/>
                      <w:lang w:val="en-US" w:eastAsia="en-US" w:bidi="ar-SA"/>
                    </w:rPr>
                  </w:pPr>
                  <w:r>
                    <w:rPr>
                      <w:rFonts w:hint="default" w:ascii="Times New Roman" w:hAnsi="Times New Roman" w:cs="Times New Roman" w:eastAsiaTheme="minorEastAsia"/>
                      <w:snapToGrid w:val="0"/>
                      <w:color w:val="auto"/>
                      <w:spacing w:val="5"/>
                      <w:kern w:val="0"/>
                      <w:sz w:val="21"/>
                      <w:szCs w:val="21"/>
                      <w:highlight w:val="none"/>
                      <w:lang w:val="en-US" w:eastAsia="en-US" w:bidi="ar-SA"/>
                    </w:rPr>
                    <w:t>达标</w:t>
                  </w:r>
                </w:p>
              </w:tc>
            </w:tr>
            <w:tr w14:paraId="0B6407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578" w:type="pct"/>
                  <w:tcBorders>
                    <w:tl2br w:val="nil"/>
                    <w:tr2bl w:val="nil"/>
                  </w:tcBorders>
                  <w:noWrap w:val="0"/>
                  <w:vAlign w:val="center"/>
                </w:tcPr>
                <w:p w14:paraId="0D50F3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lang w:val="en-US" w:eastAsia="zh-CN" w:bidi="ar-SA"/>
                    </w:rPr>
                  </w:pP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rPr>
                    <w:t>NO</w:t>
                  </w: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vertAlign w:val="subscript"/>
                    </w:rPr>
                    <w:t>2</w:t>
                  </w:r>
                </w:p>
              </w:tc>
              <w:tc>
                <w:tcPr>
                  <w:tcW w:w="1173" w:type="pct"/>
                  <w:tcBorders>
                    <w:tl2br w:val="nil"/>
                    <w:tr2bl w:val="nil"/>
                  </w:tcBorders>
                  <w:noWrap w:val="0"/>
                  <w:vAlign w:val="center"/>
                </w:tcPr>
                <w:p w14:paraId="63D97A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lang w:val="en-US" w:eastAsia="en-US" w:bidi="ar-SA"/>
                    </w:rPr>
                  </w:pP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rPr>
                    <w:t>年平均质量浓度</w:t>
                  </w:r>
                </w:p>
              </w:tc>
              <w:tc>
                <w:tcPr>
                  <w:tcW w:w="1004" w:type="pct"/>
                  <w:tcBorders>
                    <w:tl2br w:val="nil"/>
                    <w:tr2bl w:val="nil"/>
                  </w:tcBorders>
                  <w:noWrap w:val="0"/>
                  <w:vAlign w:val="center"/>
                </w:tcPr>
                <w:p w14:paraId="376C6D6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24</w:t>
                  </w:r>
                </w:p>
              </w:tc>
              <w:tc>
                <w:tcPr>
                  <w:tcW w:w="875" w:type="pct"/>
                  <w:tcBorders>
                    <w:tl2br w:val="nil"/>
                    <w:tr2bl w:val="nil"/>
                  </w:tcBorders>
                  <w:noWrap w:val="0"/>
                  <w:vAlign w:val="center"/>
                </w:tcPr>
                <w:p w14:paraId="38AB235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40</w:t>
                  </w:r>
                </w:p>
              </w:tc>
              <w:tc>
                <w:tcPr>
                  <w:tcW w:w="702" w:type="pct"/>
                  <w:tcBorders>
                    <w:tl2br w:val="nil"/>
                    <w:tr2bl w:val="nil"/>
                  </w:tcBorders>
                  <w:noWrap w:val="0"/>
                  <w:vAlign w:val="center"/>
                </w:tcPr>
                <w:p w14:paraId="733CC02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60</w:t>
                  </w:r>
                </w:p>
              </w:tc>
              <w:tc>
                <w:tcPr>
                  <w:tcW w:w="665" w:type="pct"/>
                  <w:tcBorders>
                    <w:tl2br w:val="nil"/>
                    <w:tr2bl w:val="nil"/>
                  </w:tcBorders>
                  <w:noWrap w:val="0"/>
                  <w:vAlign w:val="center"/>
                </w:tcPr>
                <w:p w14:paraId="006E4607">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eastAsiaTheme="minorEastAsia"/>
                      <w:snapToGrid w:val="0"/>
                      <w:color w:val="auto"/>
                      <w:kern w:val="0"/>
                      <w:sz w:val="21"/>
                      <w:szCs w:val="21"/>
                      <w:highlight w:val="none"/>
                      <w:lang w:val="en-US" w:eastAsia="en-US" w:bidi="ar-SA"/>
                    </w:rPr>
                  </w:pPr>
                  <w:r>
                    <w:rPr>
                      <w:rFonts w:hint="default" w:ascii="Times New Roman" w:hAnsi="Times New Roman" w:cs="Times New Roman" w:eastAsiaTheme="minorEastAsia"/>
                      <w:snapToGrid w:val="0"/>
                      <w:color w:val="auto"/>
                      <w:spacing w:val="5"/>
                      <w:kern w:val="0"/>
                      <w:sz w:val="21"/>
                      <w:szCs w:val="21"/>
                      <w:highlight w:val="none"/>
                      <w:lang w:val="en-US" w:eastAsia="en-US" w:bidi="ar-SA"/>
                    </w:rPr>
                    <w:t>达标</w:t>
                  </w:r>
                </w:p>
              </w:tc>
            </w:tr>
            <w:tr w14:paraId="3FCC4A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578" w:type="pct"/>
                  <w:tcBorders>
                    <w:tl2br w:val="nil"/>
                    <w:tr2bl w:val="nil"/>
                  </w:tcBorders>
                  <w:noWrap w:val="0"/>
                  <w:vAlign w:val="center"/>
                </w:tcPr>
                <w:p w14:paraId="16DD72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lang w:val="en-US" w:eastAsia="zh-CN" w:bidi="ar-SA"/>
                    </w:rPr>
                  </w:pP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rPr>
                    <w:t>PM</w:t>
                  </w: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vertAlign w:val="subscript"/>
                    </w:rPr>
                    <w:t>10</w:t>
                  </w:r>
                </w:p>
              </w:tc>
              <w:tc>
                <w:tcPr>
                  <w:tcW w:w="1173" w:type="pct"/>
                  <w:tcBorders>
                    <w:tl2br w:val="nil"/>
                    <w:tr2bl w:val="nil"/>
                  </w:tcBorders>
                  <w:noWrap w:val="0"/>
                  <w:vAlign w:val="center"/>
                </w:tcPr>
                <w:p w14:paraId="57F357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lang w:val="en-US" w:eastAsia="en-US" w:bidi="ar-SA"/>
                    </w:rPr>
                  </w:pP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rPr>
                    <w:t>年平均质量浓度</w:t>
                  </w:r>
                </w:p>
              </w:tc>
              <w:tc>
                <w:tcPr>
                  <w:tcW w:w="1004" w:type="pct"/>
                  <w:tcBorders>
                    <w:tl2br w:val="nil"/>
                    <w:tr2bl w:val="nil"/>
                  </w:tcBorders>
                  <w:noWrap w:val="0"/>
                  <w:vAlign w:val="center"/>
                </w:tcPr>
                <w:p w14:paraId="10399E6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71</w:t>
                  </w:r>
                </w:p>
              </w:tc>
              <w:tc>
                <w:tcPr>
                  <w:tcW w:w="875" w:type="pct"/>
                  <w:tcBorders>
                    <w:tl2br w:val="nil"/>
                    <w:tr2bl w:val="nil"/>
                  </w:tcBorders>
                  <w:noWrap w:val="0"/>
                  <w:vAlign w:val="center"/>
                </w:tcPr>
                <w:p w14:paraId="122A187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70</w:t>
                  </w:r>
                </w:p>
              </w:tc>
              <w:tc>
                <w:tcPr>
                  <w:tcW w:w="702" w:type="pct"/>
                  <w:tcBorders>
                    <w:tl2br w:val="nil"/>
                    <w:tr2bl w:val="nil"/>
                  </w:tcBorders>
                  <w:noWrap w:val="0"/>
                  <w:vAlign w:val="center"/>
                </w:tcPr>
                <w:p w14:paraId="3F7DFE7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101</w:t>
                  </w:r>
                </w:p>
              </w:tc>
              <w:tc>
                <w:tcPr>
                  <w:tcW w:w="665" w:type="pct"/>
                  <w:tcBorders>
                    <w:tl2br w:val="nil"/>
                    <w:tr2bl w:val="nil"/>
                  </w:tcBorders>
                  <w:noWrap w:val="0"/>
                  <w:vAlign w:val="center"/>
                </w:tcPr>
                <w:p w14:paraId="37BDC4A2">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eastAsiaTheme="minorEastAsia"/>
                      <w:snapToGrid w:val="0"/>
                      <w:color w:val="auto"/>
                      <w:kern w:val="0"/>
                      <w:sz w:val="21"/>
                      <w:szCs w:val="21"/>
                      <w:highlight w:val="none"/>
                      <w:lang w:val="en-US" w:eastAsia="en-US" w:bidi="ar-SA"/>
                    </w:rPr>
                  </w:pPr>
                  <w:r>
                    <w:rPr>
                      <w:rFonts w:hint="default" w:ascii="Times New Roman" w:hAnsi="Times New Roman" w:cs="Times New Roman" w:eastAsiaTheme="minorEastAsia"/>
                      <w:snapToGrid w:val="0"/>
                      <w:color w:val="auto"/>
                      <w:spacing w:val="5"/>
                      <w:kern w:val="0"/>
                      <w:sz w:val="21"/>
                      <w:szCs w:val="21"/>
                      <w:highlight w:val="none"/>
                      <w:lang w:val="en-US" w:eastAsia="en-US" w:bidi="ar-SA"/>
                    </w:rPr>
                    <w:t>不达标</w:t>
                  </w:r>
                </w:p>
              </w:tc>
            </w:tr>
            <w:tr w14:paraId="44494D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578" w:type="pct"/>
                  <w:tcBorders>
                    <w:tl2br w:val="nil"/>
                    <w:tr2bl w:val="nil"/>
                  </w:tcBorders>
                  <w:noWrap w:val="0"/>
                  <w:vAlign w:val="center"/>
                </w:tcPr>
                <w:p w14:paraId="6204F97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lang w:val="en-US" w:eastAsia="zh-CN" w:bidi="ar-SA"/>
                    </w:rPr>
                  </w:pP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rPr>
                    <w:t>PM</w:t>
                  </w: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vertAlign w:val="subscript"/>
                    </w:rPr>
                    <w:t>2.5</w:t>
                  </w:r>
                </w:p>
              </w:tc>
              <w:tc>
                <w:tcPr>
                  <w:tcW w:w="1173" w:type="pct"/>
                  <w:tcBorders>
                    <w:tl2br w:val="nil"/>
                    <w:tr2bl w:val="nil"/>
                  </w:tcBorders>
                  <w:noWrap w:val="0"/>
                  <w:vAlign w:val="center"/>
                </w:tcPr>
                <w:p w14:paraId="3104D6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lang w:val="en-US" w:eastAsia="en-US" w:bidi="ar-SA"/>
                    </w:rPr>
                  </w:pP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rPr>
                    <w:t>年平均质量浓度</w:t>
                  </w:r>
                </w:p>
              </w:tc>
              <w:tc>
                <w:tcPr>
                  <w:tcW w:w="1004" w:type="pct"/>
                  <w:tcBorders>
                    <w:tl2br w:val="nil"/>
                    <w:tr2bl w:val="nil"/>
                  </w:tcBorders>
                  <w:noWrap w:val="0"/>
                  <w:vAlign w:val="center"/>
                </w:tcPr>
                <w:p w14:paraId="31C9D25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39</w:t>
                  </w:r>
                </w:p>
              </w:tc>
              <w:tc>
                <w:tcPr>
                  <w:tcW w:w="875" w:type="pct"/>
                  <w:tcBorders>
                    <w:tl2br w:val="nil"/>
                    <w:tr2bl w:val="nil"/>
                  </w:tcBorders>
                  <w:noWrap w:val="0"/>
                  <w:vAlign w:val="center"/>
                </w:tcPr>
                <w:p w14:paraId="09FC987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35</w:t>
                  </w:r>
                </w:p>
              </w:tc>
              <w:tc>
                <w:tcPr>
                  <w:tcW w:w="702" w:type="pct"/>
                  <w:tcBorders>
                    <w:tl2br w:val="nil"/>
                    <w:tr2bl w:val="nil"/>
                  </w:tcBorders>
                  <w:noWrap w:val="0"/>
                  <w:vAlign w:val="center"/>
                </w:tcPr>
                <w:p w14:paraId="413DD0D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111</w:t>
                  </w:r>
                </w:p>
              </w:tc>
              <w:tc>
                <w:tcPr>
                  <w:tcW w:w="665" w:type="pct"/>
                  <w:tcBorders>
                    <w:tl2br w:val="nil"/>
                    <w:tr2bl w:val="nil"/>
                  </w:tcBorders>
                  <w:noWrap w:val="0"/>
                  <w:vAlign w:val="center"/>
                </w:tcPr>
                <w:p w14:paraId="0C5FAF36">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eastAsiaTheme="minorEastAsia"/>
                      <w:snapToGrid w:val="0"/>
                      <w:color w:val="auto"/>
                      <w:kern w:val="0"/>
                      <w:sz w:val="21"/>
                      <w:szCs w:val="21"/>
                      <w:highlight w:val="none"/>
                      <w:lang w:val="en-US" w:eastAsia="en-US" w:bidi="ar-SA"/>
                    </w:rPr>
                  </w:pPr>
                  <w:r>
                    <w:rPr>
                      <w:rFonts w:hint="default" w:ascii="Times New Roman" w:hAnsi="Times New Roman" w:cs="Times New Roman" w:eastAsiaTheme="minorEastAsia"/>
                      <w:snapToGrid w:val="0"/>
                      <w:color w:val="auto"/>
                      <w:spacing w:val="5"/>
                      <w:kern w:val="0"/>
                      <w:sz w:val="21"/>
                      <w:szCs w:val="21"/>
                      <w:highlight w:val="none"/>
                      <w:lang w:val="en-US" w:eastAsia="en-US" w:bidi="ar-SA"/>
                    </w:rPr>
                    <w:t>不达标</w:t>
                  </w:r>
                </w:p>
              </w:tc>
            </w:tr>
            <w:tr w14:paraId="764659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578" w:type="pct"/>
                  <w:tcBorders>
                    <w:tl2br w:val="nil"/>
                    <w:tr2bl w:val="nil"/>
                  </w:tcBorders>
                  <w:noWrap w:val="0"/>
                  <w:vAlign w:val="center"/>
                </w:tcPr>
                <w:p w14:paraId="0CDD07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lang w:val="en-US" w:eastAsia="zh-CN" w:bidi="ar-SA"/>
                    </w:rPr>
                  </w:pP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rPr>
                    <w:t>CO</w:t>
                  </w:r>
                </w:p>
              </w:tc>
              <w:tc>
                <w:tcPr>
                  <w:tcW w:w="1173" w:type="pct"/>
                  <w:tcBorders>
                    <w:tl2br w:val="nil"/>
                    <w:tr2bl w:val="nil"/>
                  </w:tcBorders>
                  <w:noWrap w:val="0"/>
                  <w:vAlign w:val="center"/>
                </w:tcPr>
                <w:p w14:paraId="17FE88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lang w:val="en-US" w:eastAsia="en-US" w:bidi="ar-SA"/>
                    </w:rPr>
                  </w:pP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rPr>
                    <w:t>日均值第 95 百分位浓度值</w:t>
                  </w:r>
                </w:p>
              </w:tc>
              <w:tc>
                <w:tcPr>
                  <w:tcW w:w="1004" w:type="pct"/>
                  <w:tcBorders>
                    <w:tl2br w:val="nil"/>
                    <w:tr2bl w:val="nil"/>
                  </w:tcBorders>
                  <w:noWrap w:val="0"/>
                  <w:vAlign w:val="center"/>
                </w:tcPr>
                <w:p w14:paraId="0B83E08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1200</w:t>
                  </w:r>
                </w:p>
              </w:tc>
              <w:tc>
                <w:tcPr>
                  <w:tcW w:w="875" w:type="pct"/>
                  <w:tcBorders>
                    <w:tl2br w:val="nil"/>
                    <w:tr2bl w:val="nil"/>
                  </w:tcBorders>
                  <w:noWrap w:val="0"/>
                  <w:vAlign w:val="center"/>
                </w:tcPr>
                <w:p w14:paraId="4066541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4000</w:t>
                  </w:r>
                </w:p>
              </w:tc>
              <w:tc>
                <w:tcPr>
                  <w:tcW w:w="702" w:type="pct"/>
                  <w:tcBorders>
                    <w:tl2br w:val="nil"/>
                    <w:tr2bl w:val="nil"/>
                  </w:tcBorders>
                  <w:noWrap w:val="0"/>
                  <w:vAlign w:val="center"/>
                </w:tcPr>
                <w:p w14:paraId="5ED618B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30</w:t>
                  </w:r>
                </w:p>
              </w:tc>
              <w:tc>
                <w:tcPr>
                  <w:tcW w:w="665" w:type="pct"/>
                  <w:tcBorders>
                    <w:tl2br w:val="nil"/>
                    <w:tr2bl w:val="nil"/>
                  </w:tcBorders>
                  <w:noWrap w:val="0"/>
                  <w:vAlign w:val="center"/>
                </w:tcPr>
                <w:p w14:paraId="3E6E6AB0">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eastAsiaTheme="minorEastAsia"/>
                      <w:snapToGrid w:val="0"/>
                      <w:color w:val="auto"/>
                      <w:kern w:val="0"/>
                      <w:sz w:val="21"/>
                      <w:szCs w:val="21"/>
                      <w:highlight w:val="none"/>
                      <w:lang w:val="en-US" w:eastAsia="en-US" w:bidi="ar-SA"/>
                    </w:rPr>
                  </w:pPr>
                  <w:r>
                    <w:rPr>
                      <w:rFonts w:hint="default" w:ascii="Times New Roman" w:hAnsi="Times New Roman" w:cs="Times New Roman" w:eastAsiaTheme="minorEastAsia"/>
                      <w:snapToGrid w:val="0"/>
                      <w:color w:val="auto"/>
                      <w:spacing w:val="5"/>
                      <w:kern w:val="0"/>
                      <w:sz w:val="21"/>
                      <w:szCs w:val="21"/>
                      <w:highlight w:val="none"/>
                      <w:lang w:val="en-US" w:eastAsia="en-US" w:bidi="ar-SA"/>
                    </w:rPr>
                    <w:t>达标</w:t>
                  </w:r>
                </w:p>
              </w:tc>
            </w:tr>
            <w:tr w14:paraId="203905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578" w:type="pct"/>
                  <w:tcBorders>
                    <w:tl2br w:val="nil"/>
                    <w:tr2bl w:val="nil"/>
                  </w:tcBorders>
                  <w:noWrap w:val="0"/>
                  <w:vAlign w:val="center"/>
                </w:tcPr>
                <w:p w14:paraId="7D2E5B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lang w:val="en-US" w:eastAsia="zh-CN" w:bidi="ar-SA"/>
                    </w:rPr>
                  </w:pP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rPr>
                    <w:t>O</w:t>
                  </w: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vertAlign w:val="subscript"/>
                    </w:rPr>
                    <w:t>3</w:t>
                  </w:r>
                </w:p>
              </w:tc>
              <w:tc>
                <w:tcPr>
                  <w:tcW w:w="1173" w:type="pct"/>
                  <w:tcBorders>
                    <w:tl2br w:val="nil"/>
                    <w:tr2bl w:val="nil"/>
                  </w:tcBorders>
                  <w:noWrap w:val="0"/>
                  <w:vAlign w:val="center"/>
                </w:tcPr>
                <w:p w14:paraId="3A8B81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lang w:val="en-US" w:eastAsia="en-US" w:bidi="ar-SA"/>
                    </w:rPr>
                  </w:pPr>
                  <w:r>
                    <w:rPr>
                      <w:rFonts w:hint="default" w:ascii="Times New Roman" w:hAnsi="Times New Roman" w:cs="Times New Roman" w:eastAsiaTheme="minorEastAsia"/>
                      <w:caps w:val="0"/>
                      <w:smallCaps w:val="0"/>
                      <w:snapToGrid w:val="0"/>
                      <w:color w:val="auto"/>
                      <w:spacing w:val="0"/>
                      <w:w w:val="100"/>
                      <w:kern w:val="0"/>
                      <w:position w:val="0"/>
                      <w:sz w:val="21"/>
                      <w:szCs w:val="21"/>
                      <w:highlight w:val="none"/>
                    </w:rPr>
                    <w:t>日最大8小时均值的第90百分位浓度值</w:t>
                  </w:r>
                </w:p>
              </w:tc>
              <w:tc>
                <w:tcPr>
                  <w:tcW w:w="1004" w:type="pct"/>
                  <w:tcBorders>
                    <w:tl2br w:val="nil"/>
                    <w:tr2bl w:val="nil"/>
                  </w:tcBorders>
                  <w:noWrap w:val="0"/>
                  <w:vAlign w:val="center"/>
                </w:tcPr>
                <w:p w14:paraId="76D0ACA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174</w:t>
                  </w:r>
                </w:p>
              </w:tc>
              <w:tc>
                <w:tcPr>
                  <w:tcW w:w="875" w:type="pct"/>
                  <w:tcBorders>
                    <w:tl2br w:val="nil"/>
                    <w:tr2bl w:val="nil"/>
                  </w:tcBorders>
                  <w:noWrap w:val="0"/>
                  <w:vAlign w:val="center"/>
                </w:tcPr>
                <w:p w14:paraId="793876B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160</w:t>
                  </w:r>
                </w:p>
              </w:tc>
              <w:tc>
                <w:tcPr>
                  <w:tcW w:w="702" w:type="pct"/>
                  <w:tcBorders>
                    <w:tl2br w:val="nil"/>
                    <w:tr2bl w:val="nil"/>
                  </w:tcBorders>
                  <w:noWrap w:val="0"/>
                  <w:vAlign w:val="center"/>
                </w:tcPr>
                <w:p w14:paraId="1DEBFC1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eastAsiaTheme="minorEastAsia"/>
                      <w:color w:val="auto"/>
                      <w:spacing w:val="-6"/>
                      <w:sz w:val="21"/>
                      <w:szCs w:val="21"/>
                      <w:highlight w:val="none"/>
                      <w:lang w:val="en-US" w:eastAsia="zh-CN"/>
                    </w:rPr>
                  </w:pPr>
                  <w:r>
                    <w:rPr>
                      <w:rFonts w:hint="default" w:ascii="Times New Roman" w:hAnsi="Times New Roman" w:cs="Times New Roman" w:eastAsiaTheme="minorEastAsia"/>
                      <w:color w:val="auto"/>
                      <w:spacing w:val="-6"/>
                      <w:sz w:val="21"/>
                      <w:szCs w:val="21"/>
                      <w:highlight w:val="none"/>
                      <w:lang w:val="en-US" w:eastAsia="zh-CN"/>
                    </w:rPr>
                    <w:t>109</w:t>
                  </w:r>
                </w:p>
              </w:tc>
              <w:tc>
                <w:tcPr>
                  <w:tcW w:w="665" w:type="pct"/>
                  <w:tcBorders>
                    <w:tl2br w:val="nil"/>
                    <w:tr2bl w:val="nil"/>
                  </w:tcBorders>
                  <w:noWrap w:val="0"/>
                  <w:vAlign w:val="center"/>
                </w:tcPr>
                <w:p w14:paraId="03EA45E4">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eastAsiaTheme="minorEastAsia"/>
                      <w:snapToGrid w:val="0"/>
                      <w:color w:val="auto"/>
                      <w:kern w:val="0"/>
                      <w:sz w:val="21"/>
                      <w:szCs w:val="21"/>
                      <w:highlight w:val="none"/>
                      <w:lang w:val="en-US" w:eastAsia="en-US" w:bidi="ar-SA"/>
                    </w:rPr>
                  </w:pPr>
                  <w:r>
                    <w:rPr>
                      <w:rFonts w:hint="default" w:ascii="Times New Roman" w:hAnsi="Times New Roman" w:cs="Times New Roman" w:eastAsiaTheme="minorEastAsia"/>
                      <w:snapToGrid w:val="0"/>
                      <w:color w:val="auto"/>
                      <w:spacing w:val="5"/>
                      <w:kern w:val="0"/>
                      <w:sz w:val="21"/>
                      <w:szCs w:val="21"/>
                      <w:highlight w:val="none"/>
                      <w:lang w:val="en-US" w:eastAsia="en-US" w:bidi="ar-SA"/>
                    </w:rPr>
                    <w:t>不达标</w:t>
                  </w:r>
                </w:p>
              </w:tc>
            </w:tr>
          </w:tbl>
          <w:p w14:paraId="20B67688">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6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新宋体" w:cs="Times New Roman"/>
                <w:snapToGrid w:val="0"/>
                <w:color w:val="auto"/>
                <w:spacing w:val="-5"/>
                <w:kern w:val="0"/>
                <w:sz w:val="24"/>
                <w:szCs w:val="24"/>
                <w:highlight w:val="none"/>
                <w:lang w:eastAsia="en-US"/>
              </w:rPr>
              <w:t>由上表可知，济宁市</w:t>
            </w:r>
            <w:r>
              <w:rPr>
                <w:rFonts w:hint="default" w:ascii="Times New Roman" w:hAnsi="Times New Roman" w:eastAsia="Times New Roman" w:cs="Times New Roman"/>
                <w:snapToGrid w:val="0"/>
                <w:color w:val="auto"/>
                <w:spacing w:val="-5"/>
                <w:kern w:val="0"/>
                <w:sz w:val="24"/>
                <w:szCs w:val="24"/>
                <w:highlight w:val="none"/>
                <w:lang w:eastAsia="en-US"/>
              </w:rPr>
              <w:t>20</w:t>
            </w:r>
            <w:r>
              <w:rPr>
                <w:rFonts w:hint="eastAsia" w:ascii="Times New Roman" w:hAnsi="Times New Roman" w:eastAsia="宋体" w:cs="Times New Roman"/>
                <w:snapToGrid w:val="0"/>
                <w:color w:val="auto"/>
                <w:spacing w:val="-5"/>
                <w:kern w:val="0"/>
                <w:sz w:val="24"/>
                <w:szCs w:val="24"/>
                <w:highlight w:val="none"/>
                <w:lang w:val="en-US" w:eastAsia="zh-CN"/>
              </w:rPr>
              <w:t>24</w:t>
            </w:r>
            <w:r>
              <w:rPr>
                <w:rFonts w:hint="default" w:ascii="Times New Roman" w:hAnsi="Times New Roman" w:eastAsia="新宋体" w:cs="Times New Roman"/>
                <w:snapToGrid w:val="0"/>
                <w:color w:val="auto"/>
                <w:spacing w:val="-5"/>
                <w:kern w:val="0"/>
                <w:sz w:val="24"/>
                <w:szCs w:val="24"/>
                <w:highlight w:val="none"/>
                <w:lang w:eastAsia="en-US"/>
              </w:rPr>
              <w:t>年</w:t>
            </w:r>
            <w:r>
              <w:rPr>
                <w:rFonts w:hint="default" w:ascii="Times New Roman" w:hAnsi="Times New Roman" w:eastAsia="Times New Roman" w:cs="Times New Roman"/>
                <w:snapToGrid w:val="0"/>
                <w:color w:val="auto"/>
                <w:spacing w:val="-5"/>
                <w:kern w:val="0"/>
                <w:sz w:val="24"/>
                <w:szCs w:val="24"/>
                <w:highlight w:val="none"/>
                <w:lang w:eastAsia="en-US"/>
              </w:rPr>
              <w:t>SO</w:t>
            </w:r>
            <w:r>
              <w:rPr>
                <w:rFonts w:hint="default" w:ascii="Times New Roman" w:hAnsi="Times New Roman" w:eastAsia="Times New Roman" w:cs="Times New Roman"/>
                <w:snapToGrid w:val="0"/>
                <w:color w:val="auto"/>
                <w:spacing w:val="-5"/>
                <w:kern w:val="0"/>
                <w:position w:val="-1"/>
                <w:sz w:val="15"/>
                <w:szCs w:val="15"/>
                <w:highlight w:val="none"/>
                <w:lang w:eastAsia="en-US"/>
              </w:rPr>
              <w:t>2</w:t>
            </w:r>
            <w:r>
              <w:rPr>
                <w:rFonts w:hint="default" w:ascii="Times New Roman" w:hAnsi="Times New Roman" w:eastAsia="新宋体" w:cs="Times New Roman"/>
                <w:snapToGrid w:val="0"/>
                <w:color w:val="auto"/>
                <w:spacing w:val="-5"/>
                <w:kern w:val="0"/>
                <w:sz w:val="24"/>
                <w:szCs w:val="24"/>
                <w:highlight w:val="none"/>
                <w:lang w:eastAsia="en-US"/>
              </w:rPr>
              <w:t>、</w:t>
            </w:r>
            <w:r>
              <w:rPr>
                <w:rFonts w:hint="default" w:ascii="Times New Roman" w:hAnsi="Times New Roman" w:eastAsia="Times New Roman" w:cs="Times New Roman"/>
                <w:snapToGrid w:val="0"/>
                <w:color w:val="auto"/>
                <w:spacing w:val="-5"/>
                <w:kern w:val="0"/>
                <w:sz w:val="24"/>
                <w:szCs w:val="24"/>
                <w:highlight w:val="none"/>
                <w:lang w:eastAsia="en-US"/>
              </w:rPr>
              <w:t>NO</w:t>
            </w:r>
            <w:r>
              <w:rPr>
                <w:rFonts w:hint="default" w:ascii="Times New Roman" w:hAnsi="Times New Roman" w:eastAsia="Times New Roman" w:cs="Times New Roman"/>
                <w:snapToGrid w:val="0"/>
                <w:color w:val="auto"/>
                <w:spacing w:val="-5"/>
                <w:kern w:val="0"/>
                <w:position w:val="-1"/>
                <w:sz w:val="15"/>
                <w:szCs w:val="15"/>
                <w:highlight w:val="none"/>
                <w:lang w:eastAsia="en-US"/>
              </w:rPr>
              <w:t>2</w:t>
            </w:r>
            <w:r>
              <w:rPr>
                <w:rFonts w:hint="default" w:ascii="Times New Roman" w:hAnsi="Times New Roman" w:eastAsia="宋体" w:cs="Times New Roman"/>
                <w:color w:val="auto"/>
                <w:highlight w:val="none"/>
                <w:lang w:val="en-US" w:eastAsia="zh-CN"/>
              </w:rPr>
              <w:t>年均浓度、</w:t>
            </w:r>
            <w:r>
              <w:rPr>
                <w:rFonts w:hint="default" w:ascii="Times New Roman" w:hAnsi="Times New Roman" w:eastAsia="Times New Roman" w:cs="Times New Roman"/>
                <w:snapToGrid w:val="0"/>
                <w:color w:val="auto"/>
                <w:spacing w:val="-5"/>
                <w:kern w:val="0"/>
                <w:sz w:val="24"/>
                <w:szCs w:val="24"/>
                <w:highlight w:val="none"/>
                <w:lang w:eastAsia="en-US"/>
              </w:rPr>
              <w:t>CO</w:t>
            </w:r>
            <w:r>
              <w:rPr>
                <w:rFonts w:hint="default" w:ascii="Times New Roman" w:hAnsi="Times New Roman" w:eastAsia="新宋体" w:cs="Times New Roman"/>
                <w:snapToGrid w:val="0"/>
                <w:color w:val="auto"/>
                <w:spacing w:val="-5"/>
                <w:kern w:val="0"/>
                <w:sz w:val="24"/>
                <w:szCs w:val="24"/>
                <w:highlight w:val="none"/>
                <w:lang w:eastAsia="en-US"/>
              </w:rPr>
              <w:t>日平均第</w:t>
            </w:r>
            <w:r>
              <w:rPr>
                <w:rFonts w:hint="default" w:ascii="Times New Roman" w:hAnsi="Times New Roman" w:eastAsia="Times New Roman" w:cs="Times New Roman"/>
                <w:snapToGrid w:val="0"/>
                <w:color w:val="auto"/>
                <w:spacing w:val="-5"/>
                <w:kern w:val="0"/>
                <w:sz w:val="24"/>
                <w:szCs w:val="24"/>
                <w:highlight w:val="none"/>
                <w:lang w:eastAsia="en-US"/>
              </w:rPr>
              <w:t>95</w:t>
            </w:r>
            <w:r>
              <w:rPr>
                <w:rFonts w:hint="default" w:ascii="Times New Roman" w:hAnsi="Times New Roman" w:eastAsia="新宋体" w:cs="Times New Roman"/>
                <w:snapToGrid w:val="0"/>
                <w:color w:val="auto"/>
                <w:spacing w:val="-5"/>
                <w:kern w:val="0"/>
                <w:sz w:val="24"/>
                <w:szCs w:val="24"/>
                <w:highlight w:val="none"/>
                <w:lang w:eastAsia="en-US"/>
              </w:rPr>
              <w:t>百分位数监</w:t>
            </w:r>
            <w:r>
              <w:rPr>
                <w:rFonts w:hint="default" w:ascii="Times New Roman" w:hAnsi="Times New Roman" w:eastAsia="新宋体" w:cs="Times New Roman"/>
                <w:snapToGrid w:val="0"/>
                <w:color w:val="auto"/>
                <w:spacing w:val="-6"/>
                <w:kern w:val="0"/>
                <w:sz w:val="24"/>
                <w:szCs w:val="24"/>
                <w:highlight w:val="none"/>
                <w:lang w:eastAsia="en-US"/>
              </w:rPr>
              <w:t>测浓度值均满</w:t>
            </w:r>
            <w:r>
              <w:rPr>
                <w:rFonts w:hint="default" w:ascii="Times New Roman" w:hAnsi="Times New Roman" w:eastAsia="新宋体" w:cs="Times New Roman"/>
                <w:snapToGrid w:val="0"/>
                <w:color w:val="auto"/>
                <w:spacing w:val="-1"/>
                <w:kern w:val="0"/>
                <w:sz w:val="24"/>
                <w:szCs w:val="24"/>
                <w:highlight w:val="none"/>
                <w:lang w:eastAsia="en-US"/>
              </w:rPr>
              <w:t>足《环境空气质量标准》（</w:t>
            </w:r>
            <w:r>
              <w:rPr>
                <w:rFonts w:hint="default" w:ascii="Times New Roman" w:hAnsi="Times New Roman" w:eastAsia="Times New Roman" w:cs="Times New Roman"/>
                <w:snapToGrid w:val="0"/>
                <w:color w:val="auto"/>
                <w:spacing w:val="-1"/>
                <w:kern w:val="0"/>
                <w:sz w:val="24"/>
                <w:szCs w:val="24"/>
                <w:highlight w:val="none"/>
                <w:lang w:eastAsia="en-US"/>
              </w:rPr>
              <w:t>GB3095-2012</w:t>
            </w:r>
            <w:r>
              <w:rPr>
                <w:rFonts w:hint="default" w:ascii="Times New Roman" w:hAnsi="Times New Roman" w:eastAsia="新宋体" w:cs="Times New Roman"/>
                <w:snapToGrid w:val="0"/>
                <w:color w:val="auto"/>
                <w:spacing w:val="-1"/>
                <w:kern w:val="0"/>
                <w:sz w:val="24"/>
                <w:szCs w:val="24"/>
                <w:highlight w:val="none"/>
                <w:lang w:eastAsia="en-US"/>
              </w:rPr>
              <w:t>）及其修改单中</w:t>
            </w:r>
            <w:r>
              <w:rPr>
                <w:rFonts w:hint="default" w:ascii="Times New Roman" w:hAnsi="Times New Roman" w:eastAsia="新宋体" w:cs="Times New Roman"/>
                <w:snapToGrid w:val="0"/>
                <w:color w:val="auto"/>
                <w:spacing w:val="-2"/>
                <w:kern w:val="0"/>
                <w:sz w:val="24"/>
                <w:szCs w:val="24"/>
                <w:highlight w:val="none"/>
                <w:lang w:eastAsia="en-US"/>
              </w:rPr>
              <w:t>二级标准要求；</w:t>
            </w:r>
            <w:r>
              <w:rPr>
                <w:rFonts w:hint="default" w:ascii="Times New Roman" w:hAnsi="Times New Roman" w:eastAsia="Times New Roman" w:cs="Times New Roman"/>
                <w:snapToGrid w:val="0"/>
                <w:color w:val="auto"/>
                <w:spacing w:val="-2"/>
                <w:kern w:val="0"/>
                <w:sz w:val="24"/>
                <w:szCs w:val="24"/>
                <w:highlight w:val="none"/>
                <w:lang w:eastAsia="en-US"/>
              </w:rPr>
              <w:t>PM</w:t>
            </w:r>
            <w:r>
              <w:rPr>
                <w:rFonts w:hint="default" w:ascii="Times New Roman" w:hAnsi="Times New Roman" w:eastAsia="Times New Roman" w:cs="Times New Roman"/>
                <w:snapToGrid w:val="0"/>
                <w:color w:val="auto"/>
                <w:spacing w:val="-2"/>
                <w:kern w:val="0"/>
                <w:position w:val="-1"/>
                <w:sz w:val="15"/>
                <w:szCs w:val="15"/>
                <w:highlight w:val="none"/>
                <w:lang w:eastAsia="en-US"/>
              </w:rPr>
              <w:t>10</w:t>
            </w:r>
            <w:r>
              <w:rPr>
                <w:rFonts w:hint="default" w:ascii="Times New Roman" w:hAnsi="Times New Roman" w:eastAsia="新宋体" w:cs="Times New Roman"/>
                <w:snapToGrid w:val="0"/>
                <w:color w:val="auto"/>
                <w:spacing w:val="-2"/>
                <w:kern w:val="0"/>
                <w:sz w:val="24"/>
                <w:szCs w:val="24"/>
                <w:highlight w:val="none"/>
                <w:lang w:eastAsia="en-US"/>
              </w:rPr>
              <w:t>、</w:t>
            </w:r>
            <w:r>
              <w:rPr>
                <w:rFonts w:hint="default" w:ascii="Times New Roman" w:hAnsi="Times New Roman" w:eastAsia="Times New Roman" w:cs="Times New Roman"/>
                <w:snapToGrid w:val="0"/>
                <w:color w:val="auto"/>
                <w:spacing w:val="-2"/>
                <w:kern w:val="0"/>
                <w:sz w:val="24"/>
                <w:szCs w:val="24"/>
                <w:highlight w:val="none"/>
                <w:lang w:eastAsia="en-US"/>
              </w:rPr>
              <w:t>PM</w:t>
            </w:r>
            <w:r>
              <w:rPr>
                <w:rFonts w:hint="default" w:ascii="Times New Roman" w:hAnsi="Times New Roman" w:eastAsia="Times New Roman" w:cs="Times New Roman"/>
                <w:snapToGrid w:val="0"/>
                <w:color w:val="auto"/>
                <w:spacing w:val="-2"/>
                <w:kern w:val="0"/>
                <w:position w:val="-1"/>
                <w:sz w:val="15"/>
                <w:szCs w:val="15"/>
                <w:highlight w:val="none"/>
                <w:lang w:eastAsia="en-US"/>
              </w:rPr>
              <w:t>2.5</w:t>
            </w:r>
            <w:r>
              <w:rPr>
                <w:rFonts w:hint="default" w:ascii="Times New Roman" w:hAnsi="Times New Roman" w:eastAsia="宋体" w:cs="Times New Roman"/>
                <w:color w:val="auto"/>
                <w:sz w:val="24"/>
                <w:szCs w:val="32"/>
                <w:highlight w:val="none"/>
                <w:lang w:val="en-US" w:eastAsia="zh-CN"/>
              </w:rPr>
              <w:t>年均浓度</w:t>
            </w:r>
            <w:r>
              <w:rPr>
                <w:rFonts w:hint="default" w:ascii="Times New Roman" w:hAnsi="Times New Roman" w:eastAsia="宋体" w:cs="Times New Roman"/>
                <w:color w:val="auto"/>
                <w:highlight w:val="none"/>
                <w:lang w:val="en-US" w:eastAsia="zh-CN"/>
              </w:rPr>
              <w:t>、</w:t>
            </w:r>
            <w:r>
              <w:rPr>
                <w:rFonts w:hint="default" w:ascii="Times New Roman" w:hAnsi="Times New Roman" w:eastAsia="新宋体" w:cs="Times New Roman"/>
                <w:snapToGrid w:val="0"/>
                <w:color w:val="auto"/>
                <w:spacing w:val="-2"/>
                <w:kern w:val="0"/>
                <w:sz w:val="24"/>
                <w:szCs w:val="24"/>
                <w:highlight w:val="none"/>
                <w:lang w:eastAsia="en-US"/>
              </w:rPr>
              <w:t>臭氧（</w:t>
            </w:r>
            <w:r>
              <w:rPr>
                <w:rFonts w:hint="default" w:ascii="Times New Roman" w:hAnsi="Times New Roman" w:eastAsia="Times New Roman" w:cs="Times New Roman"/>
                <w:snapToGrid w:val="0"/>
                <w:color w:val="auto"/>
                <w:spacing w:val="-2"/>
                <w:kern w:val="0"/>
                <w:sz w:val="24"/>
                <w:szCs w:val="24"/>
                <w:highlight w:val="none"/>
                <w:lang w:eastAsia="en-US"/>
              </w:rPr>
              <w:t>O</w:t>
            </w:r>
            <w:r>
              <w:rPr>
                <w:rFonts w:hint="default" w:ascii="Times New Roman" w:hAnsi="Times New Roman" w:eastAsia="Times New Roman" w:cs="Times New Roman"/>
                <w:snapToGrid w:val="0"/>
                <w:color w:val="auto"/>
                <w:spacing w:val="-2"/>
                <w:kern w:val="0"/>
                <w:position w:val="-1"/>
                <w:sz w:val="15"/>
                <w:szCs w:val="15"/>
                <w:highlight w:val="none"/>
                <w:lang w:eastAsia="en-US"/>
              </w:rPr>
              <w:t>3</w:t>
            </w:r>
            <w:r>
              <w:rPr>
                <w:rFonts w:hint="default" w:ascii="Times New Roman" w:hAnsi="Times New Roman" w:eastAsia="新宋体" w:cs="Times New Roman"/>
                <w:snapToGrid w:val="0"/>
                <w:color w:val="auto"/>
                <w:spacing w:val="-2"/>
                <w:kern w:val="0"/>
                <w:sz w:val="24"/>
                <w:szCs w:val="24"/>
                <w:highlight w:val="none"/>
                <w:lang w:eastAsia="en-US"/>
              </w:rPr>
              <w:t>）</w:t>
            </w:r>
            <w:r>
              <w:rPr>
                <w:rFonts w:hint="default" w:ascii="Times New Roman" w:hAnsi="Times New Roman" w:eastAsia="Times New Roman" w:cs="Times New Roman"/>
                <w:snapToGrid w:val="0"/>
                <w:color w:val="auto"/>
                <w:spacing w:val="-2"/>
                <w:kern w:val="0"/>
                <w:sz w:val="24"/>
                <w:szCs w:val="24"/>
                <w:highlight w:val="none"/>
                <w:lang w:eastAsia="en-US"/>
              </w:rPr>
              <w:t>8</w:t>
            </w:r>
            <w:r>
              <w:rPr>
                <w:rFonts w:hint="default" w:ascii="Times New Roman" w:hAnsi="Times New Roman" w:eastAsia="新宋体" w:cs="Times New Roman"/>
                <w:snapToGrid w:val="0"/>
                <w:color w:val="auto"/>
                <w:spacing w:val="-2"/>
                <w:kern w:val="0"/>
                <w:sz w:val="24"/>
                <w:szCs w:val="24"/>
                <w:highlight w:val="none"/>
                <w:lang w:eastAsia="en-US"/>
              </w:rPr>
              <w:t>小时平均第</w:t>
            </w:r>
            <w:r>
              <w:rPr>
                <w:rFonts w:hint="default" w:ascii="Times New Roman" w:hAnsi="Times New Roman" w:eastAsia="Times New Roman" w:cs="Times New Roman"/>
                <w:snapToGrid w:val="0"/>
                <w:color w:val="auto"/>
                <w:spacing w:val="-2"/>
                <w:kern w:val="0"/>
                <w:sz w:val="24"/>
                <w:szCs w:val="24"/>
                <w:highlight w:val="none"/>
                <w:lang w:eastAsia="en-US"/>
              </w:rPr>
              <w:t>90</w:t>
            </w:r>
            <w:r>
              <w:rPr>
                <w:rFonts w:hint="default" w:ascii="Times New Roman" w:hAnsi="Times New Roman" w:eastAsia="新宋体" w:cs="Times New Roman"/>
                <w:snapToGrid w:val="0"/>
                <w:color w:val="auto"/>
                <w:spacing w:val="-2"/>
                <w:kern w:val="0"/>
                <w:sz w:val="24"/>
                <w:szCs w:val="24"/>
                <w:highlight w:val="none"/>
                <w:lang w:eastAsia="en-US"/>
              </w:rPr>
              <w:t>百分位数监测浓度值超标，</w:t>
            </w:r>
            <w:r>
              <w:rPr>
                <w:rFonts w:hint="default" w:ascii="Times New Roman" w:hAnsi="Times New Roman" w:eastAsia="新宋体" w:cs="Times New Roman"/>
                <w:snapToGrid w:val="0"/>
                <w:color w:val="auto"/>
                <w:spacing w:val="-3"/>
                <w:kern w:val="0"/>
                <w:sz w:val="24"/>
                <w:szCs w:val="24"/>
                <w:highlight w:val="none"/>
                <w:lang w:eastAsia="en-US"/>
              </w:rPr>
              <w:t>因此济宁市属于不达标区</w:t>
            </w:r>
            <w:r>
              <w:rPr>
                <w:rFonts w:hint="default" w:ascii="Times New Roman" w:hAnsi="Times New Roman"/>
                <w:kern w:val="0"/>
                <w:highlight w:val="none"/>
              </w:rPr>
              <w:t>。</w:t>
            </w:r>
          </w:p>
          <w:p w14:paraId="26B9392B">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lang w:val="en-US" w:eastAsia="zh-CN" w:bidi="ar"/>
              </w:rPr>
            </w:pPr>
            <w:r>
              <w:rPr>
                <w:rFonts w:hint="default" w:ascii="Times New Roman" w:hAnsi="Times New Roman" w:eastAsia="宋体" w:cs="Times New Roman"/>
                <w:b/>
                <w:bCs/>
                <w:kern w:val="2"/>
                <w:sz w:val="24"/>
                <w:szCs w:val="24"/>
                <w:lang w:val="en-US" w:eastAsia="zh-CN" w:bidi="ar"/>
              </w:rPr>
              <w:t>2、泗水县基本污染物环境质量现状</w:t>
            </w:r>
          </w:p>
          <w:p w14:paraId="5DD9159E">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为了解项目所在地区的环境空气质量现状，本评价收集了202</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年泗水县环境空气质量监测数据资料，对项目所在地区环境空气质量现状进行说明，具体数值见</w:t>
            </w:r>
            <w:r>
              <w:rPr>
                <w:rFonts w:hint="default" w:ascii="Times New Roman" w:hAnsi="Times New Roman" w:cs="Times New Roman"/>
                <w:color w:val="auto"/>
                <w:sz w:val="24"/>
                <w:highlight w:val="none"/>
                <w:lang w:val="en-US" w:eastAsia="zh-CN"/>
              </w:rPr>
              <w:t>下</w:t>
            </w:r>
            <w:r>
              <w:rPr>
                <w:rFonts w:hint="default" w:ascii="Times New Roman" w:hAnsi="Times New Roman" w:cs="Times New Roman"/>
                <w:color w:val="auto"/>
                <w:sz w:val="24"/>
                <w:highlight w:val="none"/>
              </w:rPr>
              <w:t>表。</w:t>
            </w:r>
          </w:p>
          <w:p w14:paraId="58386B70">
            <w:pPr>
              <w:pStyle w:val="106"/>
              <w:bidi w:val="0"/>
              <w:rPr>
                <w:rFonts w:hint="default" w:ascii="Times New Roman" w:hAnsi="Times New Roman" w:eastAsia="宋体" w:cs="Times New Roman"/>
                <w:b/>
                <w:bCs w:val="0"/>
                <w:color w:val="auto"/>
                <w:kern w:val="2"/>
                <w:szCs w:val="24"/>
                <w:highlight w:val="none"/>
              </w:rPr>
            </w:pPr>
            <w:r>
              <w:rPr>
                <w:rFonts w:hint="default" w:ascii="Times New Roman" w:hAnsi="Times New Roman" w:eastAsia="宋体" w:cs="Times New Roman"/>
                <w:b/>
                <w:bCs w:val="0"/>
                <w:color w:val="auto"/>
                <w:highlight w:val="none"/>
              </w:rPr>
              <w:t>表3-</w:t>
            </w:r>
            <w:r>
              <w:rPr>
                <w:rFonts w:hint="default" w:ascii="Times New Roman" w:hAnsi="Times New Roman" w:eastAsia="宋体" w:cs="Times New Roman"/>
                <w:b/>
                <w:bCs w:val="0"/>
                <w:color w:val="auto"/>
                <w:highlight w:val="none"/>
                <w:lang w:val="en-US" w:eastAsia="zh-CN"/>
              </w:rPr>
              <w:t>2</w:t>
            </w:r>
            <w:r>
              <w:rPr>
                <w:rFonts w:hint="eastAsia" w:ascii="Times New Roman" w:hAnsi="Times New Roman" w:eastAsia="宋体" w:cs="Times New Roman"/>
                <w:b/>
                <w:bCs w:val="0"/>
                <w:color w:val="auto"/>
                <w:highlight w:val="none"/>
                <w:lang w:val="en-US" w:eastAsia="zh-CN"/>
              </w:rPr>
              <w:t xml:space="preserve"> </w:t>
            </w:r>
            <w:r>
              <w:rPr>
                <w:rFonts w:hint="default" w:ascii="Times New Roman" w:hAnsi="Times New Roman" w:eastAsia="宋体" w:cs="Times New Roman"/>
                <w:b/>
                <w:bCs w:val="0"/>
                <w:color w:val="auto"/>
                <w:highlight w:val="none"/>
              </w:rPr>
              <w:t xml:space="preserve"> 202</w:t>
            </w:r>
            <w:r>
              <w:rPr>
                <w:rFonts w:hint="eastAsia" w:ascii="Times New Roman" w:hAnsi="Times New Roman" w:eastAsia="宋体" w:cs="Times New Roman"/>
                <w:b/>
                <w:bCs w:val="0"/>
                <w:color w:val="auto"/>
                <w:highlight w:val="none"/>
                <w:lang w:val="en-US" w:eastAsia="zh-CN"/>
              </w:rPr>
              <w:t>4</w:t>
            </w:r>
            <w:r>
              <w:rPr>
                <w:rFonts w:hint="default" w:ascii="Times New Roman" w:hAnsi="Times New Roman" w:eastAsia="宋体" w:cs="Times New Roman"/>
                <w:b/>
                <w:bCs w:val="0"/>
                <w:color w:val="auto"/>
                <w:highlight w:val="none"/>
              </w:rPr>
              <w:t>年泗水县基本污染物监测数据（单位：μg/m</w:t>
            </w:r>
            <w:r>
              <w:rPr>
                <w:rFonts w:hint="default" w:ascii="Times New Roman" w:hAnsi="Times New Roman" w:eastAsia="宋体" w:cs="Times New Roman"/>
                <w:b/>
                <w:bCs w:val="0"/>
                <w:color w:val="auto"/>
                <w:highlight w:val="none"/>
                <w:vertAlign w:val="superscript"/>
              </w:rPr>
              <w:t>3</w:t>
            </w:r>
            <w:r>
              <w:rPr>
                <w:rFonts w:hint="default" w:ascii="Times New Roman" w:hAnsi="Times New Roman" w:eastAsia="宋体" w:cs="Times New Roman"/>
                <w:b/>
                <w:bCs w:val="0"/>
                <w:color w:val="auto"/>
                <w:highlight w:val="none"/>
              </w:rPr>
              <w:t>）</w:t>
            </w:r>
          </w:p>
          <w:tbl>
            <w:tblPr>
              <w:tblStyle w:val="34"/>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25"/>
              <w:gridCol w:w="976"/>
              <w:gridCol w:w="1031"/>
              <w:gridCol w:w="1086"/>
              <w:gridCol w:w="1099"/>
              <w:gridCol w:w="1817"/>
              <w:gridCol w:w="1575"/>
            </w:tblGrid>
            <w:tr w14:paraId="247E92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436" w:type="pct"/>
                  <w:tcBorders>
                    <w:tl2br w:val="nil"/>
                    <w:tr2bl w:val="nil"/>
                  </w:tcBorders>
                  <w:noWrap w:val="0"/>
                  <w:vAlign w:val="center"/>
                </w:tcPr>
                <w:p w14:paraId="16D7B513">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年份</w:t>
                  </w:r>
                </w:p>
              </w:tc>
              <w:tc>
                <w:tcPr>
                  <w:tcW w:w="587" w:type="pct"/>
                  <w:tcBorders>
                    <w:tl2br w:val="nil"/>
                    <w:tr2bl w:val="nil"/>
                  </w:tcBorders>
                  <w:noWrap w:val="0"/>
                  <w:vAlign w:val="center"/>
                </w:tcPr>
                <w:p w14:paraId="545C4F05">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r>
                    <w:rPr>
                      <w:rFonts w:hint="default" w:ascii="Times New Roman" w:hAnsi="Times New Roman" w:eastAsia="宋体" w:cs="Times New Roman"/>
                      <w:b/>
                      <w:bCs/>
                      <w:color w:val="auto"/>
                      <w:sz w:val="21"/>
                      <w:szCs w:val="21"/>
                      <w:highlight w:val="none"/>
                    </w:rPr>
                    <w:t>年均</w:t>
                  </w:r>
                </w:p>
                <w:p w14:paraId="660DC1B5">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tc>
              <w:tc>
                <w:tcPr>
                  <w:tcW w:w="620" w:type="pct"/>
                  <w:tcBorders>
                    <w:tl2br w:val="nil"/>
                    <w:tr2bl w:val="nil"/>
                  </w:tcBorders>
                  <w:noWrap w:val="0"/>
                  <w:vAlign w:val="center"/>
                </w:tcPr>
                <w:p w14:paraId="71FA6499">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2</w:t>
                  </w:r>
                  <w:r>
                    <w:rPr>
                      <w:rFonts w:hint="default" w:ascii="Times New Roman" w:hAnsi="Times New Roman" w:eastAsia="宋体" w:cs="Times New Roman"/>
                      <w:b/>
                      <w:bCs/>
                      <w:color w:val="auto"/>
                      <w:sz w:val="21"/>
                      <w:szCs w:val="21"/>
                      <w:highlight w:val="none"/>
                    </w:rPr>
                    <w:t>年均</w:t>
                  </w:r>
                </w:p>
                <w:p w14:paraId="5B7D7B83">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tc>
              <w:tc>
                <w:tcPr>
                  <w:tcW w:w="653" w:type="pct"/>
                  <w:tcBorders>
                    <w:tl2br w:val="nil"/>
                    <w:tr2bl w:val="nil"/>
                  </w:tcBorders>
                  <w:noWrap w:val="0"/>
                  <w:vAlign w:val="center"/>
                </w:tcPr>
                <w:p w14:paraId="19AEBAAB">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10</w:t>
                  </w:r>
                  <w:r>
                    <w:rPr>
                      <w:rFonts w:hint="default" w:ascii="Times New Roman" w:hAnsi="Times New Roman" w:eastAsia="宋体" w:cs="Times New Roman"/>
                      <w:b/>
                      <w:bCs/>
                      <w:color w:val="auto"/>
                      <w:sz w:val="21"/>
                      <w:szCs w:val="21"/>
                      <w:highlight w:val="none"/>
                    </w:rPr>
                    <w:t>年均</w:t>
                  </w:r>
                </w:p>
                <w:p w14:paraId="2F266EE8">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tc>
              <w:tc>
                <w:tcPr>
                  <w:tcW w:w="661" w:type="pct"/>
                  <w:tcBorders>
                    <w:tl2br w:val="nil"/>
                    <w:tr2bl w:val="nil"/>
                  </w:tcBorders>
                  <w:noWrap w:val="0"/>
                  <w:vAlign w:val="center"/>
                </w:tcPr>
                <w:p w14:paraId="3815A29F">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2.5</w:t>
                  </w:r>
                  <w:r>
                    <w:rPr>
                      <w:rFonts w:hint="default" w:ascii="Times New Roman" w:hAnsi="Times New Roman" w:eastAsia="宋体" w:cs="Times New Roman"/>
                      <w:b/>
                      <w:bCs/>
                      <w:color w:val="auto"/>
                      <w:sz w:val="21"/>
                      <w:szCs w:val="21"/>
                      <w:highlight w:val="none"/>
                    </w:rPr>
                    <w:t>年均</w:t>
                  </w:r>
                </w:p>
                <w:p w14:paraId="5CC5D319">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tc>
              <w:tc>
                <w:tcPr>
                  <w:tcW w:w="1093" w:type="pct"/>
                  <w:tcBorders>
                    <w:tl2br w:val="nil"/>
                    <w:tr2bl w:val="nil"/>
                  </w:tcBorders>
                  <w:noWrap w:val="0"/>
                  <w:vAlign w:val="center"/>
                </w:tcPr>
                <w:p w14:paraId="21009B17">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O</w:t>
                  </w:r>
                  <w:r>
                    <w:rPr>
                      <w:rFonts w:hint="default" w:ascii="Times New Roman" w:hAnsi="Times New Roman" w:eastAsia="宋体" w:cs="Times New Roman"/>
                      <w:b/>
                      <w:bCs/>
                      <w:color w:val="auto"/>
                      <w:sz w:val="21"/>
                      <w:szCs w:val="21"/>
                      <w:highlight w:val="none"/>
                      <w:vertAlign w:val="subscript"/>
                      <w:lang w:eastAsia="zh-CN"/>
                    </w:rPr>
                    <w:t>3</w:t>
                  </w:r>
                  <w:r>
                    <w:rPr>
                      <w:rFonts w:hint="default" w:ascii="Times New Roman" w:hAnsi="Times New Roman" w:eastAsia="宋体" w:cs="Times New Roman"/>
                      <w:b/>
                      <w:bCs/>
                      <w:color w:val="auto"/>
                      <w:sz w:val="21"/>
                      <w:szCs w:val="21"/>
                      <w:highlight w:val="none"/>
                      <w:lang w:eastAsia="zh-CN"/>
                    </w:rPr>
                    <w:t>日最大8小时均值第90百分位数</w:t>
                  </w:r>
                </w:p>
              </w:tc>
              <w:tc>
                <w:tcPr>
                  <w:tcW w:w="947" w:type="pct"/>
                  <w:tcBorders>
                    <w:tl2br w:val="nil"/>
                    <w:tr2bl w:val="nil"/>
                  </w:tcBorders>
                  <w:noWrap w:val="0"/>
                  <w:vAlign w:val="center"/>
                </w:tcPr>
                <w:p w14:paraId="69A5285C">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CO24小时平均浓度第95百分位数</w:t>
                  </w:r>
                </w:p>
              </w:tc>
            </w:tr>
            <w:tr w14:paraId="2EEB96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6" w:type="pct"/>
                  <w:tcBorders>
                    <w:tl2br w:val="nil"/>
                    <w:tr2bl w:val="nil"/>
                  </w:tcBorders>
                  <w:noWrap w:val="0"/>
                  <w:vAlign w:val="center"/>
                </w:tcPr>
                <w:p w14:paraId="32CC3835">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w:t>
                  </w:r>
                  <w:r>
                    <w:rPr>
                      <w:rFonts w:hint="eastAsia"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年</w:t>
                  </w:r>
                </w:p>
              </w:tc>
              <w:tc>
                <w:tcPr>
                  <w:tcW w:w="587" w:type="pct"/>
                  <w:tcBorders>
                    <w:tl2br w:val="nil"/>
                    <w:tr2bl w:val="nil"/>
                  </w:tcBorders>
                  <w:noWrap w:val="0"/>
                  <w:vAlign w:val="center"/>
                </w:tcPr>
                <w:p w14:paraId="40A168B7">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0</w:t>
                  </w:r>
                </w:p>
              </w:tc>
              <w:tc>
                <w:tcPr>
                  <w:tcW w:w="620" w:type="pct"/>
                  <w:tcBorders>
                    <w:tl2br w:val="nil"/>
                    <w:tr2bl w:val="nil"/>
                  </w:tcBorders>
                  <w:noWrap w:val="0"/>
                  <w:vAlign w:val="center"/>
                </w:tcPr>
                <w:p w14:paraId="69DE4544">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w:t>
                  </w:r>
                </w:p>
              </w:tc>
              <w:tc>
                <w:tcPr>
                  <w:tcW w:w="653" w:type="pct"/>
                  <w:tcBorders>
                    <w:tl2br w:val="nil"/>
                    <w:tr2bl w:val="nil"/>
                  </w:tcBorders>
                  <w:noWrap w:val="0"/>
                  <w:vAlign w:val="center"/>
                </w:tcPr>
                <w:p w14:paraId="25743EA8">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69</w:t>
                  </w:r>
                </w:p>
              </w:tc>
              <w:tc>
                <w:tcPr>
                  <w:tcW w:w="661" w:type="pct"/>
                  <w:tcBorders>
                    <w:tl2br w:val="nil"/>
                    <w:tr2bl w:val="nil"/>
                  </w:tcBorders>
                  <w:noWrap w:val="0"/>
                  <w:vAlign w:val="center"/>
                </w:tcPr>
                <w:p w14:paraId="271166F3">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1093" w:type="pct"/>
                  <w:tcBorders>
                    <w:tl2br w:val="nil"/>
                    <w:tr2bl w:val="nil"/>
                  </w:tcBorders>
                  <w:noWrap w:val="0"/>
                  <w:vAlign w:val="center"/>
                </w:tcPr>
                <w:p w14:paraId="66651140">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143</w:t>
                  </w:r>
                </w:p>
              </w:tc>
              <w:tc>
                <w:tcPr>
                  <w:tcW w:w="947" w:type="pct"/>
                  <w:tcBorders>
                    <w:tl2br w:val="nil"/>
                    <w:tr2bl w:val="nil"/>
                  </w:tcBorders>
                  <w:noWrap w:val="0"/>
                  <w:vAlign w:val="center"/>
                </w:tcPr>
                <w:p w14:paraId="2CC8B0AA">
                  <w:pPr>
                    <w:pStyle w:val="93"/>
                    <w:keepNext w:val="0"/>
                    <w:keepLines w:val="0"/>
                    <w:pageBreakBefore w:val="0"/>
                    <w:widowControl w:val="0"/>
                    <w:kinsoku/>
                    <w:wordWrap/>
                    <w:overflowPunct/>
                    <w:topLinePunct w:val="0"/>
                    <w:autoSpaceDE/>
                    <w:autoSpaceDN/>
                    <w:bidi w:val="0"/>
                    <w:adjustRightInd w:val="0"/>
                    <w:snapToGrid w:val="0"/>
                    <w:ind w:firstLine="0" w:firstLineChars="0"/>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1083</w:t>
                  </w:r>
                </w:p>
              </w:tc>
            </w:tr>
          </w:tbl>
          <w:p w14:paraId="350DF502">
            <w:pPr>
              <w:pStyle w:val="30"/>
              <w:keepNext w:val="0"/>
              <w:keepLines w:val="0"/>
              <w:suppressLineNumbers w:val="0"/>
              <w:tabs>
                <w:tab w:val="left" w:pos="5154"/>
              </w:tabs>
              <w:adjustRightInd w:val="0"/>
              <w:snapToGrid w:val="0"/>
              <w:spacing w:before="0" w:beforeAutospacing="0" w:after="0" w:afterAutospacing="0" w:line="360" w:lineRule="auto"/>
              <w:ind w:left="0" w:right="0" w:firstLine="480" w:firstLineChars="200"/>
              <w:rPr>
                <w:rFonts w:hint="default" w:ascii="Times New Roman" w:hAnsi="Times New Roman"/>
                <w:color w:val="auto"/>
                <w:szCs w:val="24"/>
                <w:highlight w:val="none"/>
              </w:rPr>
            </w:pPr>
            <w:r>
              <w:rPr>
                <w:rFonts w:hint="default" w:ascii="Times New Roman" w:hAnsi="Times New Roman"/>
                <w:color w:val="auto"/>
                <w:szCs w:val="24"/>
                <w:highlight w:val="none"/>
              </w:rPr>
              <w:t>泗水县202</w:t>
            </w:r>
            <w:r>
              <w:rPr>
                <w:rFonts w:hint="eastAsia" w:ascii="Times New Roman" w:hAnsi="Times New Roman"/>
                <w:color w:val="auto"/>
                <w:szCs w:val="24"/>
                <w:highlight w:val="none"/>
                <w:lang w:val="en-US" w:eastAsia="zh-CN"/>
              </w:rPr>
              <w:t>4</w:t>
            </w:r>
            <w:r>
              <w:rPr>
                <w:rFonts w:hint="default" w:ascii="Times New Roman" w:hAnsi="Times New Roman"/>
                <w:color w:val="auto"/>
                <w:szCs w:val="24"/>
                <w:highlight w:val="none"/>
              </w:rPr>
              <w:t>年大气环境质量现状评价见</w:t>
            </w:r>
            <w:r>
              <w:rPr>
                <w:rFonts w:hint="eastAsia" w:ascii="Times New Roman" w:hAnsi="Times New Roman"/>
                <w:color w:val="auto"/>
                <w:szCs w:val="24"/>
                <w:highlight w:val="none"/>
              </w:rPr>
              <w:t>下</w:t>
            </w:r>
            <w:r>
              <w:rPr>
                <w:rFonts w:hint="default" w:ascii="Times New Roman" w:hAnsi="Times New Roman"/>
                <w:color w:val="auto"/>
                <w:szCs w:val="24"/>
                <w:highlight w:val="none"/>
              </w:rPr>
              <w:t>表。</w:t>
            </w:r>
          </w:p>
          <w:p w14:paraId="3EEA3844">
            <w:pPr>
              <w:pStyle w:val="106"/>
              <w:bidi w:val="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表3-</w:t>
            </w:r>
            <w:r>
              <w:rPr>
                <w:rFonts w:hint="eastAsia" w:ascii="Times New Roman" w:hAnsi="Times New Roman" w:eastAsia="宋体" w:cs="Times New Roman"/>
                <w:b/>
                <w:bCs w:val="0"/>
                <w:color w:val="auto"/>
                <w:highlight w:val="none"/>
                <w:lang w:val="en-US" w:eastAsia="zh-CN"/>
              </w:rPr>
              <w:t>3</w:t>
            </w:r>
            <w:r>
              <w:rPr>
                <w:rFonts w:hint="default" w:ascii="Times New Roman" w:hAnsi="Times New Roman" w:eastAsia="宋体" w:cs="Times New Roman"/>
                <w:b/>
                <w:bCs w:val="0"/>
                <w:color w:val="auto"/>
                <w:highlight w:val="none"/>
              </w:rPr>
              <w:t xml:space="preserve"> </w:t>
            </w:r>
            <w:r>
              <w:rPr>
                <w:rFonts w:hint="eastAsia" w:ascii="Times New Roman" w:hAnsi="Times New Roman" w:eastAsia="宋体" w:cs="Times New Roman"/>
                <w:b/>
                <w:bCs w:val="0"/>
                <w:color w:val="auto"/>
                <w:highlight w:val="none"/>
                <w:lang w:val="en-US" w:eastAsia="zh-CN"/>
              </w:rPr>
              <w:t xml:space="preserve"> </w:t>
            </w:r>
            <w:r>
              <w:rPr>
                <w:rFonts w:hint="default" w:ascii="Times New Roman" w:hAnsi="Times New Roman" w:eastAsia="宋体" w:cs="Times New Roman"/>
                <w:b/>
                <w:bCs w:val="0"/>
                <w:color w:val="auto"/>
                <w:highlight w:val="none"/>
              </w:rPr>
              <w:t>泗水县大气环境质量现状评价表</w:t>
            </w:r>
          </w:p>
          <w:tbl>
            <w:tblPr>
              <w:tblStyle w:val="34"/>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42"/>
              <w:gridCol w:w="643"/>
              <w:gridCol w:w="3055"/>
              <w:gridCol w:w="1379"/>
              <w:gridCol w:w="1168"/>
              <w:gridCol w:w="763"/>
              <w:gridCol w:w="864"/>
            </w:tblGrid>
            <w:tr w14:paraId="2AEA3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282" w:type="pct"/>
                  <w:tcBorders>
                    <w:tl2br w:val="nil"/>
                    <w:tr2bl w:val="nil"/>
                  </w:tcBorders>
                  <w:noWrap/>
                  <w:vAlign w:val="center"/>
                </w:tcPr>
                <w:p w14:paraId="4008E8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21"/>
                      <w:sz w:val="21"/>
                      <w:szCs w:val="21"/>
                      <w:highlight w:val="none"/>
                    </w:rPr>
                  </w:pPr>
                  <w:r>
                    <w:rPr>
                      <w:rFonts w:hint="default" w:ascii="Times New Roman" w:hAnsi="Times New Roman" w:cs="Times New Roman"/>
                      <w:b/>
                      <w:bCs/>
                      <w:color w:val="auto"/>
                      <w:kern w:val="21"/>
                      <w:sz w:val="21"/>
                      <w:szCs w:val="21"/>
                      <w:highlight w:val="none"/>
                    </w:rPr>
                    <w:t>序号</w:t>
                  </w:r>
                </w:p>
              </w:tc>
              <w:tc>
                <w:tcPr>
                  <w:tcW w:w="518" w:type="pct"/>
                  <w:tcBorders>
                    <w:tl2br w:val="nil"/>
                    <w:tr2bl w:val="nil"/>
                  </w:tcBorders>
                  <w:noWrap/>
                  <w:vAlign w:val="center"/>
                </w:tcPr>
                <w:p w14:paraId="2DA142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21"/>
                      <w:sz w:val="21"/>
                      <w:szCs w:val="21"/>
                      <w:highlight w:val="none"/>
                    </w:rPr>
                  </w:pPr>
                  <w:r>
                    <w:rPr>
                      <w:rFonts w:hint="default" w:ascii="Times New Roman" w:hAnsi="Times New Roman" w:cs="Times New Roman"/>
                      <w:b/>
                      <w:bCs/>
                      <w:color w:val="auto"/>
                      <w:kern w:val="21"/>
                      <w:sz w:val="21"/>
                      <w:szCs w:val="21"/>
                      <w:highlight w:val="none"/>
                    </w:rPr>
                    <w:t>污染物</w:t>
                  </w:r>
                </w:p>
              </w:tc>
              <w:tc>
                <w:tcPr>
                  <w:tcW w:w="1173" w:type="pct"/>
                  <w:tcBorders>
                    <w:tl2br w:val="nil"/>
                    <w:tr2bl w:val="nil"/>
                  </w:tcBorders>
                  <w:noWrap/>
                  <w:vAlign w:val="center"/>
                </w:tcPr>
                <w:p w14:paraId="23671C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21"/>
                      <w:sz w:val="21"/>
                      <w:szCs w:val="21"/>
                      <w:highlight w:val="none"/>
                    </w:rPr>
                  </w:pPr>
                  <w:r>
                    <w:rPr>
                      <w:rFonts w:hint="default" w:ascii="Times New Roman" w:hAnsi="Times New Roman" w:cs="Times New Roman"/>
                      <w:b/>
                      <w:bCs/>
                      <w:color w:val="auto"/>
                      <w:kern w:val="21"/>
                      <w:sz w:val="21"/>
                      <w:szCs w:val="21"/>
                      <w:highlight w:val="none"/>
                    </w:rPr>
                    <w:t>年评价指标</w:t>
                  </w:r>
                </w:p>
              </w:tc>
              <w:tc>
                <w:tcPr>
                  <w:tcW w:w="955" w:type="pct"/>
                  <w:tcBorders>
                    <w:tl2br w:val="nil"/>
                    <w:tr2bl w:val="nil"/>
                  </w:tcBorders>
                  <w:noWrap/>
                  <w:vAlign w:val="center"/>
                </w:tcPr>
                <w:p w14:paraId="0076AB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21"/>
                      <w:sz w:val="21"/>
                      <w:szCs w:val="21"/>
                      <w:highlight w:val="none"/>
                    </w:rPr>
                  </w:pPr>
                  <w:r>
                    <w:rPr>
                      <w:rFonts w:hint="default" w:ascii="Times New Roman" w:hAnsi="Times New Roman" w:cs="Times New Roman"/>
                      <w:b/>
                      <w:bCs/>
                      <w:color w:val="auto"/>
                      <w:kern w:val="21"/>
                      <w:sz w:val="21"/>
                      <w:szCs w:val="21"/>
                      <w:highlight w:val="none"/>
                    </w:rPr>
                    <w:t>现状浓度μg/m</w:t>
                  </w:r>
                  <w:r>
                    <w:rPr>
                      <w:rFonts w:hint="default" w:ascii="Times New Roman" w:hAnsi="Times New Roman" w:cs="Times New Roman"/>
                      <w:b/>
                      <w:bCs/>
                      <w:color w:val="auto"/>
                      <w:kern w:val="21"/>
                      <w:sz w:val="21"/>
                      <w:szCs w:val="21"/>
                      <w:highlight w:val="none"/>
                      <w:vertAlign w:val="superscript"/>
                    </w:rPr>
                    <w:t>3</w:t>
                  </w:r>
                </w:p>
              </w:tc>
              <w:tc>
                <w:tcPr>
                  <w:tcW w:w="836" w:type="pct"/>
                  <w:tcBorders>
                    <w:tl2br w:val="nil"/>
                    <w:tr2bl w:val="nil"/>
                  </w:tcBorders>
                  <w:noWrap/>
                  <w:vAlign w:val="center"/>
                </w:tcPr>
                <w:p w14:paraId="55FE4D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21"/>
                      <w:sz w:val="21"/>
                      <w:szCs w:val="21"/>
                      <w:highlight w:val="none"/>
                    </w:rPr>
                  </w:pPr>
                  <w:r>
                    <w:rPr>
                      <w:rFonts w:hint="default" w:ascii="Times New Roman" w:hAnsi="Times New Roman" w:cs="Times New Roman"/>
                      <w:b/>
                      <w:bCs/>
                      <w:color w:val="auto"/>
                      <w:kern w:val="21"/>
                      <w:sz w:val="21"/>
                      <w:szCs w:val="21"/>
                      <w:highlight w:val="none"/>
                    </w:rPr>
                    <w:t>标准值μg/m</w:t>
                  </w:r>
                  <w:r>
                    <w:rPr>
                      <w:rFonts w:hint="default" w:ascii="Times New Roman" w:hAnsi="Times New Roman" w:cs="Times New Roman"/>
                      <w:b/>
                      <w:bCs/>
                      <w:color w:val="auto"/>
                      <w:kern w:val="21"/>
                      <w:sz w:val="21"/>
                      <w:szCs w:val="21"/>
                      <w:highlight w:val="none"/>
                      <w:vertAlign w:val="superscript"/>
                    </w:rPr>
                    <w:t>3</w:t>
                  </w:r>
                </w:p>
              </w:tc>
              <w:tc>
                <w:tcPr>
                  <w:tcW w:w="676" w:type="pct"/>
                  <w:tcBorders>
                    <w:tl2br w:val="nil"/>
                    <w:tr2bl w:val="nil"/>
                  </w:tcBorders>
                  <w:noWrap/>
                  <w:vAlign w:val="center"/>
                </w:tcPr>
                <w:p w14:paraId="35C15D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21"/>
                      <w:sz w:val="21"/>
                      <w:szCs w:val="21"/>
                      <w:highlight w:val="none"/>
                    </w:rPr>
                  </w:pPr>
                  <w:r>
                    <w:rPr>
                      <w:rFonts w:hint="default" w:ascii="Times New Roman" w:hAnsi="Times New Roman" w:cs="Times New Roman"/>
                      <w:b/>
                      <w:bCs/>
                      <w:color w:val="auto"/>
                      <w:kern w:val="21"/>
                      <w:sz w:val="21"/>
                      <w:szCs w:val="21"/>
                      <w:highlight w:val="none"/>
                    </w:rPr>
                    <w:t>占标率</w:t>
                  </w:r>
                </w:p>
              </w:tc>
              <w:tc>
                <w:tcPr>
                  <w:tcW w:w="557" w:type="pct"/>
                  <w:tcBorders>
                    <w:tl2br w:val="nil"/>
                    <w:tr2bl w:val="nil"/>
                  </w:tcBorders>
                  <w:noWrap/>
                  <w:vAlign w:val="center"/>
                </w:tcPr>
                <w:p w14:paraId="114F6C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kern w:val="21"/>
                      <w:sz w:val="21"/>
                      <w:szCs w:val="21"/>
                      <w:highlight w:val="none"/>
                    </w:rPr>
                  </w:pPr>
                  <w:r>
                    <w:rPr>
                      <w:rFonts w:hint="default" w:ascii="Times New Roman" w:hAnsi="Times New Roman" w:cs="Times New Roman"/>
                      <w:b/>
                      <w:bCs/>
                      <w:color w:val="auto"/>
                      <w:kern w:val="21"/>
                      <w:sz w:val="21"/>
                      <w:szCs w:val="21"/>
                      <w:highlight w:val="none"/>
                    </w:rPr>
                    <w:t>达标情况</w:t>
                  </w:r>
                </w:p>
              </w:tc>
            </w:tr>
            <w:tr w14:paraId="19C23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82" w:type="pct"/>
                  <w:tcBorders>
                    <w:tl2br w:val="nil"/>
                    <w:tr2bl w:val="nil"/>
                  </w:tcBorders>
                  <w:noWrap/>
                  <w:vAlign w:val="center"/>
                </w:tcPr>
                <w:p w14:paraId="2EB728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1</w:t>
                  </w:r>
                </w:p>
              </w:tc>
              <w:tc>
                <w:tcPr>
                  <w:tcW w:w="518" w:type="pct"/>
                  <w:tcBorders>
                    <w:tl2br w:val="nil"/>
                    <w:tr2bl w:val="nil"/>
                  </w:tcBorders>
                  <w:noWrap/>
                  <w:vAlign w:val="center"/>
                </w:tcPr>
                <w:p w14:paraId="2DC4C0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SO</w:t>
                  </w:r>
                  <w:r>
                    <w:rPr>
                      <w:rFonts w:hint="default" w:ascii="Times New Roman" w:hAnsi="Times New Roman" w:cs="Times New Roman"/>
                      <w:color w:val="auto"/>
                      <w:kern w:val="21"/>
                      <w:sz w:val="21"/>
                      <w:szCs w:val="21"/>
                      <w:highlight w:val="none"/>
                      <w:vertAlign w:val="subscript"/>
                    </w:rPr>
                    <w:t>2</w:t>
                  </w:r>
                </w:p>
              </w:tc>
              <w:tc>
                <w:tcPr>
                  <w:tcW w:w="1173" w:type="pct"/>
                  <w:tcBorders>
                    <w:tl2br w:val="nil"/>
                    <w:tr2bl w:val="nil"/>
                  </w:tcBorders>
                  <w:noWrap/>
                  <w:vAlign w:val="center"/>
                </w:tcPr>
                <w:p w14:paraId="644041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年平均质量浓度</w:t>
                  </w:r>
                </w:p>
              </w:tc>
              <w:tc>
                <w:tcPr>
                  <w:tcW w:w="955" w:type="pct"/>
                  <w:tcBorders>
                    <w:tl2br w:val="nil"/>
                    <w:tr2bl w:val="nil"/>
                  </w:tcBorders>
                  <w:noWrap/>
                  <w:vAlign w:val="center"/>
                </w:tcPr>
                <w:p w14:paraId="21B0E3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1"/>
                      <w:sz w:val="21"/>
                      <w:szCs w:val="21"/>
                      <w:highlight w:val="none"/>
                      <w:lang w:eastAsia="zh-CN"/>
                    </w:rPr>
                  </w:pPr>
                  <w:r>
                    <w:rPr>
                      <w:rFonts w:hint="default" w:ascii="Times New Roman" w:hAnsi="Times New Roman" w:cs="Times New Roman"/>
                      <w:color w:val="auto"/>
                      <w:kern w:val="21"/>
                      <w:sz w:val="21"/>
                      <w:szCs w:val="21"/>
                      <w:highlight w:val="none"/>
                      <w:lang w:bidi="ar"/>
                    </w:rPr>
                    <w:t>1</w:t>
                  </w:r>
                  <w:r>
                    <w:rPr>
                      <w:rFonts w:hint="eastAsia" w:ascii="Times New Roman" w:hAnsi="Times New Roman" w:cs="Times New Roman"/>
                      <w:color w:val="auto"/>
                      <w:kern w:val="21"/>
                      <w:sz w:val="21"/>
                      <w:szCs w:val="21"/>
                      <w:highlight w:val="none"/>
                      <w:lang w:val="en-US" w:eastAsia="zh-CN" w:bidi="ar"/>
                    </w:rPr>
                    <w:t>0</w:t>
                  </w:r>
                </w:p>
              </w:tc>
              <w:tc>
                <w:tcPr>
                  <w:tcW w:w="836" w:type="pct"/>
                  <w:tcBorders>
                    <w:tl2br w:val="nil"/>
                    <w:tr2bl w:val="nil"/>
                  </w:tcBorders>
                  <w:noWrap/>
                  <w:vAlign w:val="center"/>
                </w:tcPr>
                <w:p w14:paraId="1BDBEC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60</w:t>
                  </w:r>
                </w:p>
              </w:tc>
              <w:tc>
                <w:tcPr>
                  <w:tcW w:w="676" w:type="pct"/>
                  <w:tcBorders>
                    <w:tl2br w:val="nil"/>
                    <w:tr2bl w:val="nil"/>
                  </w:tcBorders>
                  <w:noWrap/>
                  <w:vAlign w:val="center"/>
                </w:tcPr>
                <w:p w14:paraId="69D713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sz w:val="21"/>
                      <w:szCs w:val="21"/>
                      <w:highlight w:val="none"/>
                      <w:lang w:bidi="ar"/>
                    </w:rPr>
                    <w:t>1</w:t>
                  </w:r>
                  <w:r>
                    <w:rPr>
                      <w:rFonts w:hint="eastAsia" w:ascii="Times New Roman" w:hAnsi="Times New Roman" w:cs="Times New Roman"/>
                      <w:color w:val="auto"/>
                      <w:sz w:val="21"/>
                      <w:szCs w:val="21"/>
                      <w:highlight w:val="none"/>
                      <w:lang w:val="en-US" w:eastAsia="zh-CN" w:bidi="ar"/>
                    </w:rPr>
                    <w:t>6.67</w:t>
                  </w:r>
                  <w:r>
                    <w:rPr>
                      <w:rFonts w:hint="default" w:ascii="Times New Roman" w:hAnsi="Times New Roman" w:cs="Times New Roman"/>
                      <w:color w:val="auto"/>
                      <w:sz w:val="21"/>
                      <w:szCs w:val="21"/>
                      <w:highlight w:val="none"/>
                      <w:lang w:bidi="ar"/>
                    </w:rPr>
                    <w:t>%</w:t>
                  </w:r>
                </w:p>
              </w:tc>
              <w:tc>
                <w:tcPr>
                  <w:tcW w:w="557" w:type="pct"/>
                  <w:tcBorders>
                    <w:tl2br w:val="nil"/>
                    <w:tr2bl w:val="nil"/>
                  </w:tcBorders>
                  <w:noWrap/>
                  <w:vAlign w:val="center"/>
                </w:tcPr>
                <w:p w14:paraId="691DB1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达标</w:t>
                  </w:r>
                </w:p>
              </w:tc>
            </w:tr>
            <w:tr w14:paraId="46283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82" w:type="pct"/>
                  <w:tcBorders>
                    <w:tl2br w:val="nil"/>
                    <w:tr2bl w:val="nil"/>
                  </w:tcBorders>
                  <w:noWrap/>
                  <w:vAlign w:val="center"/>
                </w:tcPr>
                <w:p w14:paraId="483982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2</w:t>
                  </w:r>
                </w:p>
              </w:tc>
              <w:tc>
                <w:tcPr>
                  <w:tcW w:w="518" w:type="pct"/>
                  <w:tcBorders>
                    <w:tl2br w:val="nil"/>
                    <w:tr2bl w:val="nil"/>
                  </w:tcBorders>
                  <w:noWrap/>
                  <w:vAlign w:val="center"/>
                </w:tcPr>
                <w:p w14:paraId="23BE6C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NO</w:t>
                  </w:r>
                  <w:r>
                    <w:rPr>
                      <w:rFonts w:hint="default" w:ascii="Times New Roman" w:hAnsi="Times New Roman" w:cs="Times New Roman"/>
                      <w:color w:val="auto"/>
                      <w:kern w:val="21"/>
                      <w:sz w:val="21"/>
                      <w:szCs w:val="21"/>
                      <w:highlight w:val="none"/>
                      <w:vertAlign w:val="subscript"/>
                    </w:rPr>
                    <w:t>2</w:t>
                  </w:r>
                </w:p>
              </w:tc>
              <w:tc>
                <w:tcPr>
                  <w:tcW w:w="1173" w:type="pct"/>
                  <w:tcBorders>
                    <w:tl2br w:val="nil"/>
                    <w:tr2bl w:val="nil"/>
                  </w:tcBorders>
                  <w:noWrap/>
                  <w:vAlign w:val="center"/>
                </w:tcPr>
                <w:p w14:paraId="24107D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年平均质量浓度</w:t>
                  </w:r>
                </w:p>
              </w:tc>
              <w:tc>
                <w:tcPr>
                  <w:tcW w:w="955" w:type="pct"/>
                  <w:tcBorders>
                    <w:tl2br w:val="nil"/>
                    <w:tr2bl w:val="nil"/>
                  </w:tcBorders>
                  <w:noWrap/>
                  <w:vAlign w:val="center"/>
                </w:tcPr>
                <w:p w14:paraId="553062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29</w:t>
                  </w:r>
                </w:p>
              </w:tc>
              <w:tc>
                <w:tcPr>
                  <w:tcW w:w="836" w:type="pct"/>
                  <w:tcBorders>
                    <w:tl2br w:val="nil"/>
                    <w:tr2bl w:val="nil"/>
                  </w:tcBorders>
                  <w:noWrap/>
                  <w:vAlign w:val="center"/>
                </w:tcPr>
                <w:p w14:paraId="34B715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40</w:t>
                  </w:r>
                </w:p>
              </w:tc>
              <w:tc>
                <w:tcPr>
                  <w:tcW w:w="676" w:type="pct"/>
                  <w:tcBorders>
                    <w:tl2br w:val="nil"/>
                    <w:tr2bl w:val="nil"/>
                  </w:tcBorders>
                  <w:noWrap/>
                  <w:vAlign w:val="center"/>
                </w:tcPr>
                <w:p w14:paraId="3A94C1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21"/>
                      <w:sz w:val="21"/>
                      <w:szCs w:val="21"/>
                      <w:highlight w:val="none"/>
                    </w:rPr>
                  </w:pPr>
                  <w:r>
                    <w:rPr>
                      <w:rFonts w:hint="eastAsia" w:ascii="Times New Roman" w:hAnsi="Times New Roman" w:cs="Times New Roman"/>
                      <w:color w:val="auto"/>
                      <w:sz w:val="21"/>
                      <w:szCs w:val="21"/>
                      <w:highlight w:val="none"/>
                      <w:lang w:val="en-US" w:eastAsia="zh-CN" w:bidi="ar"/>
                    </w:rPr>
                    <w:t>72.50</w:t>
                  </w:r>
                  <w:r>
                    <w:rPr>
                      <w:rFonts w:hint="default" w:ascii="Times New Roman" w:hAnsi="Times New Roman" w:cs="Times New Roman"/>
                      <w:color w:val="auto"/>
                      <w:sz w:val="21"/>
                      <w:szCs w:val="21"/>
                      <w:highlight w:val="none"/>
                      <w:lang w:bidi="ar"/>
                    </w:rPr>
                    <w:t>%</w:t>
                  </w:r>
                </w:p>
              </w:tc>
              <w:tc>
                <w:tcPr>
                  <w:tcW w:w="557" w:type="pct"/>
                  <w:tcBorders>
                    <w:tl2br w:val="nil"/>
                    <w:tr2bl w:val="nil"/>
                  </w:tcBorders>
                  <w:noWrap/>
                  <w:vAlign w:val="center"/>
                </w:tcPr>
                <w:p w14:paraId="3E6D8B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达标</w:t>
                  </w:r>
                </w:p>
              </w:tc>
            </w:tr>
            <w:tr w14:paraId="369B2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82" w:type="pct"/>
                  <w:tcBorders>
                    <w:tl2br w:val="nil"/>
                    <w:tr2bl w:val="nil"/>
                  </w:tcBorders>
                  <w:noWrap/>
                  <w:vAlign w:val="center"/>
                </w:tcPr>
                <w:p w14:paraId="152DD8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3</w:t>
                  </w:r>
                </w:p>
              </w:tc>
              <w:tc>
                <w:tcPr>
                  <w:tcW w:w="518" w:type="pct"/>
                  <w:tcBorders>
                    <w:tl2br w:val="nil"/>
                    <w:tr2bl w:val="nil"/>
                  </w:tcBorders>
                  <w:noWrap/>
                  <w:vAlign w:val="center"/>
                </w:tcPr>
                <w:p w14:paraId="1946B2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PM</w:t>
                  </w:r>
                  <w:r>
                    <w:rPr>
                      <w:rFonts w:hint="default" w:ascii="Times New Roman" w:hAnsi="Times New Roman" w:cs="Times New Roman"/>
                      <w:color w:val="auto"/>
                      <w:kern w:val="21"/>
                      <w:sz w:val="21"/>
                      <w:szCs w:val="21"/>
                      <w:highlight w:val="none"/>
                      <w:vertAlign w:val="subscript"/>
                    </w:rPr>
                    <w:t>10</w:t>
                  </w:r>
                </w:p>
              </w:tc>
              <w:tc>
                <w:tcPr>
                  <w:tcW w:w="1173" w:type="pct"/>
                  <w:tcBorders>
                    <w:tl2br w:val="nil"/>
                    <w:tr2bl w:val="nil"/>
                  </w:tcBorders>
                  <w:noWrap/>
                  <w:vAlign w:val="center"/>
                </w:tcPr>
                <w:p w14:paraId="5D005A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年平均质量浓度</w:t>
                  </w:r>
                </w:p>
              </w:tc>
              <w:tc>
                <w:tcPr>
                  <w:tcW w:w="955" w:type="pct"/>
                  <w:tcBorders>
                    <w:tl2br w:val="nil"/>
                    <w:tr2bl w:val="nil"/>
                  </w:tcBorders>
                  <w:noWrap/>
                  <w:vAlign w:val="center"/>
                </w:tcPr>
                <w:p w14:paraId="4440D8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cs="Times New Roman"/>
                      <w:color w:val="auto"/>
                      <w:kern w:val="21"/>
                      <w:sz w:val="21"/>
                      <w:szCs w:val="21"/>
                      <w:highlight w:val="none"/>
                      <w:lang w:val="en-US" w:eastAsia="zh-CN"/>
                    </w:rPr>
                    <w:t>69</w:t>
                  </w:r>
                </w:p>
              </w:tc>
              <w:tc>
                <w:tcPr>
                  <w:tcW w:w="836" w:type="pct"/>
                  <w:tcBorders>
                    <w:tl2br w:val="nil"/>
                    <w:tr2bl w:val="nil"/>
                  </w:tcBorders>
                  <w:noWrap/>
                  <w:vAlign w:val="center"/>
                </w:tcPr>
                <w:p w14:paraId="34DFD6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70</w:t>
                  </w:r>
                </w:p>
              </w:tc>
              <w:tc>
                <w:tcPr>
                  <w:tcW w:w="676" w:type="pct"/>
                  <w:tcBorders>
                    <w:tl2br w:val="nil"/>
                    <w:tr2bl w:val="nil"/>
                  </w:tcBorders>
                  <w:noWrap/>
                  <w:vAlign w:val="center"/>
                </w:tcPr>
                <w:p w14:paraId="19DC26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21"/>
                      <w:sz w:val="21"/>
                      <w:szCs w:val="21"/>
                      <w:highlight w:val="none"/>
                    </w:rPr>
                  </w:pPr>
                  <w:r>
                    <w:rPr>
                      <w:rFonts w:hint="eastAsia" w:ascii="Times New Roman" w:hAnsi="Times New Roman" w:cs="Times New Roman"/>
                      <w:color w:val="auto"/>
                      <w:sz w:val="21"/>
                      <w:szCs w:val="21"/>
                      <w:highlight w:val="none"/>
                      <w:lang w:val="en-US" w:eastAsia="zh-CN" w:bidi="ar"/>
                    </w:rPr>
                    <w:t>98.57</w:t>
                  </w:r>
                  <w:r>
                    <w:rPr>
                      <w:rFonts w:hint="default" w:ascii="Times New Roman" w:hAnsi="Times New Roman" w:cs="Times New Roman"/>
                      <w:color w:val="auto"/>
                      <w:sz w:val="21"/>
                      <w:szCs w:val="21"/>
                      <w:highlight w:val="none"/>
                      <w:lang w:bidi="ar"/>
                    </w:rPr>
                    <w:t>%</w:t>
                  </w:r>
                </w:p>
              </w:tc>
              <w:tc>
                <w:tcPr>
                  <w:tcW w:w="557" w:type="pct"/>
                  <w:tcBorders>
                    <w:tl2br w:val="nil"/>
                    <w:tr2bl w:val="nil"/>
                  </w:tcBorders>
                  <w:noWrap/>
                  <w:vAlign w:val="center"/>
                </w:tcPr>
                <w:p w14:paraId="40A05E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达标</w:t>
                  </w:r>
                </w:p>
              </w:tc>
            </w:tr>
            <w:tr w14:paraId="6161F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82" w:type="pct"/>
                  <w:tcBorders>
                    <w:tl2br w:val="nil"/>
                    <w:tr2bl w:val="nil"/>
                  </w:tcBorders>
                  <w:noWrap/>
                  <w:vAlign w:val="center"/>
                </w:tcPr>
                <w:p w14:paraId="1DD9B4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4</w:t>
                  </w:r>
                </w:p>
              </w:tc>
              <w:tc>
                <w:tcPr>
                  <w:tcW w:w="518" w:type="pct"/>
                  <w:tcBorders>
                    <w:tl2br w:val="nil"/>
                    <w:tr2bl w:val="nil"/>
                  </w:tcBorders>
                  <w:noWrap/>
                  <w:vAlign w:val="center"/>
                </w:tcPr>
                <w:p w14:paraId="048117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PM</w:t>
                  </w:r>
                  <w:r>
                    <w:rPr>
                      <w:rFonts w:hint="default" w:ascii="Times New Roman" w:hAnsi="Times New Roman" w:cs="Times New Roman"/>
                      <w:color w:val="auto"/>
                      <w:kern w:val="21"/>
                      <w:sz w:val="21"/>
                      <w:szCs w:val="21"/>
                      <w:highlight w:val="none"/>
                      <w:vertAlign w:val="subscript"/>
                    </w:rPr>
                    <w:t>2.5</w:t>
                  </w:r>
                </w:p>
              </w:tc>
              <w:tc>
                <w:tcPr>
                  <w:tcW w:w="1173" w:type="pct"/>
                  <w:tcBorders>
                    <w:tl2br w:val="nil"/>
                    <w:tr2bl w:val="nil"/>
                  </w:tcBorders>
                  <w:noWrap/>
                  <w:vAlign w:val="center"/>
                </w:tcPr>
                <w:p w14:paraId="0B38C4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年平均质量浓度</w:t>
                  </w:r>
                </w:p>
              </w:tc>
              <w:tc>
                <w:tcPr>
                  <w:tcW w:w="955" w:type="pct"/>
                  <w:tcBorders>
                    <w:tl2br w:val="nil"/>
                    <w:tr2bl w:val="nil"/>
                  </w:tcBorders>
                  <w:noWrap/>
                  <w:vAlign w:val="center"/>
                </w:tcPr>
                <w:p w14:paraId="471ED2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color w:val="auto"/>
                      <w:kern w:val="21"/>
                      <w:sz w:val="21"/>
                      <w:szCs w:val="21"/>
                      <w:highlight w:val="none"/>
                      <w:lang w:bidi="ar"/>
                    </w:rPr>
                    <w:t>4</w:t>
                  </w:r>
                  <w:r>
                    <w:rPr>
                      <w:rFonts w:hint="eastAsia" w:ascii="Times New Roman" w:hAnsi="Times New Roman" w:cs="Times New Roman"/>
                      <w:color w:val="auto"/>
                      <w:kern w:val="21"/>
                      <w:sz w:val="21"/>
                      <w:szCs w:val="21"/>
                      <w:highlight w:val="none"/>
                      <w:lang w:val="en-US" w:eastAsia="zh-CN" w:bidi="ar"/>
                    </w:rPr>
                    <w:t>2</w:t>
                  </w:r>
                </w:p>
              </w:tc>
              <w:tc>
                <w:tcPr>
                  <w:tcW w:w="836" w:type="pct"/>
                  <w:tcBorders>
                    <w:tl2br w:val="nil"/>
                    <w:tr2bl w:val="nil"/>
                  </w:tcBorders>
                  <w:noWrap/>
                  <w:vAlign w:val="center"/>
                </w:tcPr>
                <w:p w14:paraId="6812A9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35</w:t>
                  </w:r>
                </w:p>
              </w:tc>
              <w:tc>
                <w:tcPr>
                  <w:tcW w:w="676" w:type="pct"/>
                  <w:tcBorders>
                    <w:tl2br w:val="nil"/>
                    <w:tr2bl w:val="nil"/>
                  </w:tcBorders>
                  <w:noWrap/>
                  <w:vAlign w:val="center"/>
                </w:tcPr>
                <w:p w14:paraId="27C585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sz w:val="21"/>
                      <w:szCs w:val="21"/>
                      <w:highlight w:val="none"/>
                      <w:lang w:bidi="ar"/>
                    </w:rPr>
                    <w:t>12</w:t>
                  </w:r>
                  <w:r>
                    <w:rPr>
                      <w:rFonts w:hint="eastAsia" w:ascii="Times New Roman" w:hAnsi="Times New Roman" w:cs="Times New Roman"/>
                      <w:color w:val="auto"/>
                      <w:sz w:val="21"/>
                      <w:szCs w:val="21"/>
                      <w:highlight w:val="none"/>
                      <w:lang w:val="en-US" w:eastAsia="zh-CN" w:bidi="ar"/>
                    </w:rPr>
                    <w:t>0.00</w:t>
                  </w:r>
                  <w:r>
                    <w:rPr>
                      <w:rFonts w:hint="default" w:ascii="Times New Roman" w:hAnsi="Times New Roman" w:cs="Times New Roman"/>
                      <w:color w:val="auto"/>
                      <w:sz w:val="21"/>
                      <w:szCs w:val="21"/>
                      <w:highlight w:val="none"/>
                      <w:lang w:bidi="ar"/>
                    </w:rPr>
                    <w:t>%</w:t>
                  </w:r>
                </w:p>
              </w:tc>
              <w:tc>
                <w:tcPr>
                  <w:tcW w:w="557" w:type="pct"/>
                  <w:tcBorders>
                    <w:tl2br w:val="nil"/>
                    <w:tr2bl w:val="nil"/>
                  </w:tcBorders>
                  <w:noWrap/>
                  <w:vAlign w:val="center"/>
                </w:tcPr>
                <w:p w14:paraId="4A8D81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不达标</w:t>
                  </w:r>
                </w:p>
              </w:tc>
            </w:tr>
            <w:tr w14:paraId="76CE6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82" w:type="pct"/>
                  <w:tcBorders>
                    <w:tl2br w:val="nil"/>
                    <w:tr2bl w:val="nil"/>
                  </w:tcBorders>
                  <w:noWrap/>
                  <w:vAlign w:val="center"/>
                </w:tcPr>
                <w:p w14:paraId="15E894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5</w:t>
                  </w:r>
                </w:p>
              </w:tc>
              <w:tc>
                <w:tcPr>
                  <w:tcW w:w="518" w:type="pct"/>
                  <w:tcBorders>
                    <w:tl2br w:val="nil"/>
                    <w:tr2bl w:val="nil"/>
                  </w:tcBorders>
                  <w:noWrap/>
                  <w:vAlign w:val="center"/>
                </w:tcPr>
                <w:p w14:paraId="277C9A09">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O</w:t>
                  </w:r>
                  <w:r>
                    <w:rPr>
                      <w:rFonts w:hint="default" w:ascii="Times New Roman" w:hAnsi="Times New Roman" w:cs="Times New Roman"/>
                      <w:color w:val="auto"/>
                      <w:kern w:val="21"/>
                      <w:sz w:val="21"/>
                      <w:szCs w:val="21"/>
                      <w:highlight w:val="none"/>
                      <w:vertAlign w:val="subscript"/>
                    </w:rPr>
                    <w:t>3</w:t>
                  </w:r>
                </w:p>
              </w:tc>
              <w:tc>
                <w:tcPr>
                  <w:tcW w:w="1173" w:type="pct"/>
                  <w:tcBorders>
                    <w:tl2br w:val="nil"/>
                    <w:tr2bl w:val="nil"/>
                  </w:tcBorders>
                  <w:noWrap/>
                  <w:vAlign w:val="center"/>
                </w:tcPr>
                <w:p w14:paraId="24CB68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kern w:val="21"/>
                      <w:sz w:val="21"/>
                      <w:szCs w:val="21"/>
                      <w:highlight w:val="none"/>
                    </w:rPr>
                  </w:pPr>
                  <w:r>
                    <w:rPr>
                      <w:rFonts w:hint="default" w:ascii="Times New Roman" w:hAnsi="Times New Roman" w:cs="Times New Roman"/>
                      <w:bCs/>
                      <w:color w:val="auto"/>
                      <w:kern w:val="21"/>
                      <w:sz w:val="21"/>
                      <w:szCs w:val="21"/>
                      <w:highlight w:val="none"/>
                    </w:rPr>
                    <w:t>日最大8小时均值第90百分位数</w:t>
                  </w:r>
                </w:p>
              </w:tc>
              <w:tc>
                <w:tcPr>
                  <w:tcW w:w="955" w:type="pct"/>
                  <w:tcBorders>
                    <w:tl2br w:val="nil"/>
                    <w:tr2bl w:val="nil"/>
                  </w:tcBorders>
                  <w:noWrap/>
                  <w:vAlign w:val="center"/>
                </w:tcPr>
                <w:p w14:paraId="76773F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cs="Times New Roman"/>
                      <w:bCs/>
                      <w:color w:val="auto"/>
                      <w:kern w:val="21"/>
                      <w:sz w:val="21"/>
                      <w:szCs w:val="21"/>
                      <w:highlight w:val="none"/>
                      <w:lang w:bidi="ar"/>
                    </w:rPr>
                    <w:t>1</w:t>
                  </w:r>
                  <w:r>
                    <w:rPr>
                      <w:rFonts w:hint="eastAsia" w:ascii="Times New Roman" w:hAnsi="Times New Roman" w:cs="Times New Roman"/>
                      <w:bCs/>
                      <w:color w:val="auto"/>
                      <w:kern w:val="21"/>
                      <w:sz w:val="21"/>
                      <w:szCs w:val="21"/>
                      <w:highlight w:val="none"/>
                      <w:lang w:val="en-US" w:eastAsia="zh-CN" w:bidi="ar"/>
                    </w:rPr>
                    <w:t>43</w:t>
                  </w:r>
                </w:p>
              </w:tc>
              <w:tc>
                <w:tcPr>
                  <w:tcW w:w="836" w:type="pct"/>
                  <w:tcBorders>
                    <w:tl2br w:val="nil"/>
                    <w:tr2bl w:val="nil"/>
                  </w:tcBorders>
                  <w:noWrap/>
                  <w:vAlign w:val="center"/>
                </w:tcPr>
                <w:p w14:paraId="18D2E7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kern w:val="21"/>
                      <w:sz w:val="21"/>
                      <w:szCs w:val="21"/>
                      <w:highlight w:val="none"/>
                    </w:rPr>
                  </w:pPr>
                  <w:r>
                    <w:rPr>
                      <w:rFonts w:hint="default" w:ascii="Times New Roman" w:hAnsi="Times New Roman" w:cs="Times New Roman"/>
                      <w:bCs/>
                      <w:color w:val="auto"/>
                      <w:kern w:val="21"/>
                      <w:sz w:val="21"/>
                      <w:szCs w:val="21"/>
                      <w:highlight w:val="none"/>
                    </w:rPr>
                    <w:t>160</w:t>
                  </w:r>
                </w:p>
              </w:tc>
              <w:tc>
                <w:tcPr>
                  <w:tcW w:w="676" w:type="pct"/>
                  <w:tcBorders>
                    <w:tl2br w:val="nil"/>
                    <w:tr2bl w:val="nil"/>
                  </w:tcBorders>
                  <w:noWrap/>
                  <w:vAlign w:val="center"/>
                </w:tcPr>
                <w:p w14:paraId="7108B4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kern w:val="21"/>
                      <w:sz w:val="21"/>
                      <w:szCs w:val="21"/>
                      <w:highlight w:val="none"/>
                    </w:rPr>
                  </w:pPr>
                  <w:r>
                    <w:rPr>
                      <w:rFonts w:hint="eastAsia" w:ascii="Times New Roman" w:hAnsi="Times New Roman" w:cs="Times New Roman"/>
                      <w:bCs/>
                      <w:color w:val="auto"/>
                      <w:sz w:val="21"/>
                      <w:szCs w:val="21"/>
                      <w:highlight w:val="none"/>
                      <w:lang w:val="en-US" w:eastAsia="zh-CN" w:bidi="ar"/>
                    </w:rPr>
                    <w:t>89.38</w:t>
                  </w:r>
                  <w:r>
                    <w:rPr>
                      <w:rFonts w:hint="default" w:ascii="Times New Roman" w:hAnsi="Times New Roman" w:cs="Times New Roman"/>
                      <w:bCs/>
                      <w:color w:val="auto"/>
                      <w:sz w:val="21"/>
                      <w:szCs w:val="21"/>
                      <w:highlight w:val="none"/>
                      <w:lang w:bidi="ar"/>
                    </w:rPr>
                    <w:t>%</w:t>
                  </w:r>
                </w:p>
              </w:tc>
              <w:tc>
                <w:tcPr>
                  <w:tcW w:w="557" w:type="pct"/>
                  <w:tcBorders>
                    <w:tl2br w:val="nil"/>
                    <w:tr2bl w:val="nil"/>
                  </w:tcBorders>
                  <w:noWrap/>
                  <w:vAlign w:val="center"/>
                </w:tcPr>
                <w:p w14:paraId="268BE7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kern w:val="21"/>
                      <w:sz w:val="21"/>
                      <w:szCs w:val="21"/>
                      <w:highlight w:val="none"/>
                    </w:rPr>
                  </w:pPr>
                  <w:r>
                    <w:rPr>
                      <w:rFonts w:hint="default" w:ascii="Times New Roman" w:hAnsi="Times New Roman" w:cs="Times New Roman"/>
                      <w:bCs/>
                      <w:color w:val="auto"/>
                      <w:kern w:val="21"/>
                      <w:sz w:val="21"/>
                      <w:szCs w:val="21"/>
                      <w:highlight w:val="none"/>
                    </w:rPr>
                    <w:t>达标</w:t>
                  </w:r>
                </w:p>
              </w:tc>
            </w:tr>
            <w:tr w14:paraId="389BC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82" w:type="pct"/>
                  <w:tcBorders>
                    <w:tl2br w:val="nil"/>
                    <w:tr2bl w:val="nil"/>
                  </w:tcBorders>
                  <w:noWrap/>
                  <w:vAlign w:val="center"/>
                </w:tcPr>
                <w:p w14:paraId="1D5FC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6</w:t>
                  </w:r>
                </w:p>
              </w:tc>
              <w:tc>
                <w:tcPr>
                  <w:tcW w:w="518" w:type="pct"/>
                  <w:tcBorders>
                    <w:tl2br w:val="nil"/>
                    <w:tr2bl w:val="nil"/>
                  </w:tcBorders>
                  <w:noWrap/>
                  <w:vAlign w:val="center"/>
                </w:tcPr>
                <w:p w14:paraId="5C997016">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CO</w:t>
                  </w:r>
                </w:p>
              </w:tc>
              <w:tc>
                <w:tcPr>
                  <w:tcW w:w="1173" w:type="pct"/>
                  <w:tcBorders>
                    <w:tl2br w:val="nil"/>
                    <w:tr2bl w:val="nil"/>
                  </w:tcBorders>
                  <w:noWrap/>
                  <w:vAlign w:val="center"/>
                </w:tcPr>
                <w:p w14:paraId="4264A8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kern w:val="21"/>
                      <w:sz w:val="21"/>
                      <w:szCs w:val="21"/>
                      <w:highlight w:val="none"/>
                    </w:rPr>
                  </w:pPr>
                  <w:r>
                    <w:rPr>
                      <w:rFonts w:hint="default" w:ascii="Times New Roman" w:hAnsi="Times New Roman" w:cs="Times New Roman"/>
                      <w:bCs/>
                      <w:color w:val="auto"/>
                      <w:kern w:val="21"/>
                      <w:sz w:val="21"/>
                      <w:szCs w:val="21"/>
                      <w:highlight w:val="none"/>
                    </w:rPr>
                    <w:t>24小时平均浓度第95百分位数</w:t>
                  </w:r>
                </w:p>
              </w:tc>
              <w:tc>
                <w:tcPr>
                  <w:tcW w:w="955" w:type="pct"/>
                  <w:tcBorders>
                    <w:tl2br w:val="nil"/>
                    <w:tr2bl w:val="nil"/>
                  </w:tcBorders>
                  <w:noWrap/>
                  <w:vAlign w:val="center"/>
                </w:tcPr>
                <w:p w14:paraId="047B3D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21"/>
                      <w:sz w:val="21"/>
                      <w:szCs w:val="21"/>
                      <w:highlight w:val="none"/>
                      <w:lang w:val="en-US" w:eastAsia="zh-CN"/>
                    </w:rPr>
                  </w:pPr>
                  <w:r>
                    <w:rPr>
                      <w:rFonts w:hint="default" w:ascii="Times New Roman" w:hAnsi="Times New Roman" w:cs="Times New Roman"/>
                      <w:bCs/>
                      <w:color w:val="auto"/>
                      <w:kern w:val="21"/>
                      <w:sz w:val="21"/>
                      <w:szCs w:val="21"/>
                      <w:highlight w:val="none"/>
                      <w:lang w:bidi="ar"/>
                    </w:rPr>
                    <w:t>1</w:t>
                  </w:r>
                  <w:r>
                    <w:rPr>
                      <w:rFonts w:hint="eastAsia" w:ascii="Times New Roman" w:hAnsi="Times New Roman" w:cs="Times New Roman"/>
                      <w:bCs/>
                      <w:color w:val="auto"/>
                      <w:kern w:val="21"/>
                      <w:sz w:val="21"/>
                      <w:szCs w:val="21"/>
                      <w:highlight w:val="none"/>
                      <w:lang w:val="en-US" w:eastAsia="zh-CN" w:bidi="ar"/>
                    </w:rPr>
                    <w:t>083</w:t>
                  </w:r>
                </w:p>
              </w:tc>
              <w:tc>
                <w:tcPr>
                  <w:tcW w:w="836" w:type="pct"/>
                  <w:tcBorders>
                    <w:tl2br w:val="nil"/>
                    <w:tr2bl w:val="nil"/>
                  </w:tcBorders>
                  <w:noWrap/>
                  <w:vAlign w:val="center"/>
                </w:tcPr>
                <w:p w14:paraId="6780CF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kern w:val="21"/>
                      <w:sz w:val="21"/>
                      <w:szCs w:val="21"/>
                      <w:highlight w:val="none"/>
                    </w:rPr>
                  </w:pPr>
                  <w:r>
                    <w:rPr>
                      <w:rFonts w:hint="default" w:ascii="Times New Roman" w:hAnsi="Times New Roman" w:cs="Times New Roman"/>
                      <w:bCs/>
                      <w:color w:val="auto"/>
                      <w:kern w:val="21"/>
                      <w:sz w:val="21"/>
                      <w:szCs w:val="21"/>
                      <w:highlight w:val="none"/>
                    </w:rPr>
                    <w:t>4000</w:t>
                  </w:r>
                </w:p>
              </w:tc>
              <w:tc>
                <w:tcPr>
                  <w:tcW w:w="676" w:type="pct"/>
                  <w:tcBorders>
                    <w:tl2br w:val="nil"/>
                    <w:tr2bl w:val="nil"/>
                  </w:tcBorders>
                  <w:noWrap/>
                  <w:vAlign w:val="center"/>
                </w:tcPr>
                <w:p w14:paraId="2731C8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kern w:val="21"/>
                      <w:sz w:val="21"/>
                      <w:szCs w:val="21"/>
                      <w:highlight w:val="none"/>
                    </w:rPr>
                  </w:pPr>
                  <w:r>
                    <w:rPr>
                      <w:rFonts w:hint="eastAsia" w:ascii="Times New Roman" w:hAnsi="Times New Roman" w:cs="Times New Roman"/>
                      <w:bCs/>
                      <w:color w:val="auto"/>
                      <w:sz w:val="21"/>
                      <w:szCs w:val="21"/>
                      <w:highlight w:val="none"/>
                      <w:lang w:val="en-US" w:eastAsia="zh-CN" w:bidi="ar"/>
                    </w:rPr>
                    <w:t>27.08</w:t>
                  </w:r>
                  <w:r>
                    <w:rPr>
                      <w:rFonts w:hint="default" w:ascii="Times New Roman" w:hAnsi="Times New Roman" w:cs="Times New Roman"/>
                      <w:bCs/>
                      <w:color w:val="auto"/>
                      <w:sz w:val="21"/>
                      <w:szCs w:val="21"/>
                      <w:highlight w:val="none"/>
                      <w:lang w:bidi="ar"/>
                    </w:rPr>
                    <w:t>%</w:t>
                  </w:r>
                </w:p>
              </w:tc>
              <w:tc>
                <w:tcPr>
                  <w:tcW w:w="557" w:type="pct"/>
                  <w:tcBorders>
                    <w:tl2br w:val="nil"/>
                    <w:tr2bl w:val="nil"/>
                  </w:tcBorders>
                  <w:noWrap/>
                  <w:vAlign w:val="center"/>
                </w:tcPr>
                <w:p w14:paraId="0805A1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kern w:val="21"/>
                      <w:sz w:val="21"/>
                      <w:szCs w:val="21"/>
                      <w:highlight w:val="none"/>
                    </w:rPr>
                  </w:pPr>
                  <w:r>
                    <w:rPr>
                      <w:rFonts w:hint="default" w:ascii="Times New Roman" w:hAnsi="Times New Roman" w:cs="Times New Roman"/>
                      <w:bCs/>
                      <w:color w:val="auto"/>
                      <w:kern w:val="21"/>
                      <w:sz w:val="21"/>
                      <w:szCs w:val="21"/>
                      <w:highlight w:val="none"/>
                    </w:rPr>
                    <w:t>达标</w:t>
                  </w:r>
                </w:p>
              </w:tc>
            </w:tr>
          </w:tbl>
          <w:p w14:paraId="0CA5870D">
            <w:pPr>
              <w:pStyle w:val="30"/>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rPr>
            </w:pPr>
            <w:r>
              <w:rPr>
                <w:rFonts w:hint="default" w:ascii="Times New Roman" w:hAnsi="Times New Roman" w:eastAsia="宋体" w:cs="Times New Roman"/>
                <w:color w:val="auto"/>
                <w:sz w:val="24"/>
                <w:highlight w:val="none"/>
              </w:rPr>
              <w:t>根据评价结果，泗水县202</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rPr>
              <w:t>年SO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、NO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10</w:t>
            </w:r>
            <w:r>
              <w:rPr>
                <w:rFonts w:hint="default" w:ascii="Times New Roman" w:hAnsi="Times New Roman" w:eastAsia="宋体" w:cs="Times New Roman"/>
                <w:color w:val="auto"/>
                <w:sz w:val="24"/>
                <w:highlight w:val="none"/>
              </w:rPr>
              <w:t>年均浓度</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CO24小时平均浓度第95百分位数</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日最大8小时均值第90百分位数</w:t>
            </w:r>
            <w:r>
              <w:rPr>
                <w:rFonts w:hint="eastAsia" w:ascii="Times New Roman" w:hAnsi="Times New Roman" w:eastAsia="宋体" w:cs="Times New Roman"/>
                <w:color w:val="auto"/>
                <w:sz w:val="24"/>
                <w:highlight w:val="none"/>
                <w:lang w:val="en-US" w:eastAsia="zh-CN"/>
              </w:rPr>
              <w:t>均</w:t>
            </w:r>
            <w:r>
              <w:rPr>
                <w:rFonts w:hint="default" w:ascii="Times New Roman" w:hAnsi="Times New Roman" w:eastAsia="宋体" w:cs="Times New Roman"/>
                <w:color w:val="auto"/>
                <w:sz w:val="24"/>
                <w:highlight w:val="none"/>
              </w:rPr>
              <w:t>符合《环境空气质量标准》（GB3095-2012）中二级标准要求，PM</w:t>
            </w:r>
            <w:r>
              <w:rPr>
                <w:rFonts w:hint="default" w:ascii="Times New Roman" w:hAnsi="Times New Roman" w:eastAsia="宋体" w:cs="Times New Roman"/>
                <w:color w:val="auto"/>
                <w:sz w:val="24"/>
                <w:highlight w:val="none"/>
                <w:vertAlign w:val="subscript"/>
              </w:rPr>
              <w:t>2.5</w:t>
            </w:r>
            <w:r>
              <w:rPr>
                <w:rFonts w:hint="default" w:ascii="Times New Roman" w:hAnsi="Times New Roman" w:eastAsia="宋体" w:cs="Times New Roman"/>
                <w:color w:val="auto"/>
                <w:sz w:val="24"/>
                <w:highlight w:val="none"/>
              </w:rPr>
              <w:t>年均浓度超标，细颗粒物为影响该区域空气质量的首要污染物</w:t>
            </w:r>
          </w:p>
          <w:p w14:paraId="259D6BA3">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lang w:val="en-US" w:eastAsia="zh-CN" w:bidi="ar"/>
              </w:rPr>
            </w:pPr>
            <w:r>
              <w:rPr>
                <w:rFonts w:hint="default" w:ascii="Times New Roman" w:hAnsi="Times New Roman" w:eastAsia="宋体" w:cs="Times New Roman"/>
                <w:b/>
                <w:bCs/>
                <w:kern w:val="2"/>
                <w:sz w:val="24"/>
                <w:szCs w:val="24"/>
                <w:lang w:val="en-US" w:eastAsia="zh-CN" w:bidi="ar"/>
              </w:rPr>
              <w:t>3</w:t>
            </w:r>
            <w:r>
              <w:rPr>
                <w:rFonts w:hint="eastAsia" w:ascii="Times New Roman" w:hAnsi="Times New Roman" w:eastAsia="宋体" w:cs="Times New Roman"/>
                <w:b/>
                <w:bCs/>
                <w:kern w:val="2"/>
                <w:sz w:val="24"/>
                <w:szCs w:val="24"/>
                <w:lang w:val="en-US" w:eastAsia="zh-CN" w:bidi="ar"/>
              </w:rPr>
              <w:t>、区域整改方案</w:t>
            </w:r>
          </w:p>
          <w:p w14:paraId="10C3E33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
              </w:rPr>
            </w:pPr>
            <w:r>
              <w:rPr>
                <w:rFonts w:hint="default" w:ascii="Times New Roman" w:hAnsi="Times New Roman" w:eastAsia="宋体" w:cs="Times New Roman"/>
                <w:kern w:val="0"/>
                <w:sz w:val="24"/>
                <w:szCs w:val="24"/>
                <w:lang w:val="en-US" w:eastAsia="zh-CN" w:bidi="ar"/>
              </w:rPr>
              <w:t>目前泗水县人民政府正积极落实《山东省空气质量持续改善暨第三轮“四减四增”行动实施方案</w:t>
            </w:r>
            <w:r>
              <w:rPr>
                <w:rFonts w:hint="eastAsia"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t>山东省深入打好蓝天保卫战行动计划（2021—2025年）</w:t>
            </w:r>
            <w:r>
              <w:rPr>
                <w:rFonts w:hint="eastAsia" w:cs="Times New Roman"/>
                <w:kern w:val="0"/>
                <w:sz w:val="24"/>
                <w:szCs w:val="24"/>
                <w:lang w:val="en-US" w:eastAsia="zh-CN" w:bidi="ar"/>
              </w:rPr>
              <w:t>》《</w:t>
            </w:r>
            <w:r>
              <w:rPr>
                <w:rFonts w:hint="eastAsia" w:ascii="宋体" w:hAnsi="宋体" w:eastAsia="宋体" w:cs="宋体"/>
                <w:kern w:val="0"/>
                <w:sz w:val="24"/>
                <w:szCs w:val="24"/>
                <w:lang w:val="en-US" w:eastAsia="zh-CN" w:bidi="ar"/>
              </w:rPr>
              <w:t>山东省生态环境厅关于印发山东建设项目主要大气污染物排放总量替代指标核算及管理办法的通知》等文件要求，通过实行大气污染物排放总量指标</w:t>
            </w:r>
            <w:r>
              <w:rPr>
                <w:rFonts w:hint="default"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倍削减替代，优化产业结构与布局，减少煤炭消费，推进工业污染源提标改造，强化工业企业无组织排放控制管理，加强</w:t>
            </w:r>
            <w:r>
              <w:rPr>
                <w:rFonts w:hint="default" w:ascii="宋体" w:hAnsi="宋体" w:eastAsia="宋体" w:cs="宋体"/>
                <w:kern w:val="0"/>
                <w:sz w:val="24"/>
                <w:szCs w:val="24"/>
                <w:lang w:val="en-US" w:eastAsia="zh-CN" w:bidi="ar"/>
              </w:rPr>
              <w:t>VOCs</w:t>
            </w:r>
            <w:r>
              <w:rPr>
                <w:rFonts w:hint="eastAsia" w:ascii="宋体" w:hAnsi="宋体" w:eastAsia="宋体" w:cs="宋体"/>
                <w:kern w:val="0"/>
                <w:sz w:val="24"/>
                <w:szCs w:val="24"/>
                <w:lang w:val="en-US" w:eastAsia="zh-CN" w:bidi="ar"/>
              </w:rPr>
              <w:t>专项整治，控制机动车污染，实施秋冬季重点行业错峰生产等方面的行动，加快以细颗粒物为重点的大气污染治理，项目所在区域大气环境质量将会逐步得到改善。</w:t>
            </w:r>
          </w:p>
          <w:p w14:paraId="4C755AFA">
            <w:pPr>
              <w:keepNext w:val="0"/>
              <w:keepLines w:val="0"/>
              <w:widowControl w:val="0"/>
              <w:suppressLineNumbers w:val="0"/>
              <w:autoSpaceDE w:val="0"/>
              <w:autoSpaceDN/>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color w:val="auto"/>
                <w:kern w:val="2"/>
                <w:sz w:val="24"/>
                <w:szCs w:val="24"/>
              </w:rPr>
            </w:pPr>
            <w:r>
              <w:rPr>
                <w:rFonts w:hint="eastAsia" w:ascii="宋体" w:hAnsi="宋体" w:eastAsia="宋体" w:cs="宋体"/>
                <w:b/>
                <w:color w:val="auto"/>
                <w:kern w:val="2"/>
                <w:sz w:val="24"/>
                <w:szCs w:val="24"/>
                <w:lang w:val="en-US" w:eastAsia="zh-CN" w:bidi="ar"/>
              </w:rPr>
              <w:t>二、</w:t>
            </w:r>
            <w:r>
              <w:rPr>
                <w:rFonts w:hint="eastAsia" w:ascii="宋体" w:hAnsi="宋体" w:cs="宋体"/>
                <w:b/>
                <w:color w:val="auto"/>
                <w:kern w:val="2"/>
                <w:sz w:val="24"/>
                <w:szCs w:val="24"/>
                <w:lang w:val="en-US" w:eastAsia="zh-CN" w:bidi="ar"/>
              </w:rPr>
              <w:t>地表</w:t>
            </w:r>
            <w:r>
              <w:rPr>
                <w:rFonts w:hint="eastAsia" w:ascii="宋体" w:hAnsi="宋体" w:eastAsia="宋体" w:cs="宋体"/>
                <w:b/>
                <w:color w:val="auto"/>
                <w:kern w:val="2"/>
                <w:sz w:val="24"/>
                <w:szCs w:val="24"/>
                <w:lang w:val="en-US" w:eastAsia="zh-CN" w:bidi="ar"/>
              </w:rPr>
              <w:t>水环境</w:t>
            </w:r>
          </w:p>
          <w:p w14:paraId="059E161C">
            <w:pPr>
              <w:keepNext w:val="0"/>
              <w:keepLines w:val="0"/>
              <w:widowControl w:val="0"/>
              <w:suppressLineNumbers w:val="0"/>
              <w:autoSpaceDE w:val="0"/>
              <w:autoSpaceDN/>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项目所在地地表水</w:t>
            </w:r>
            <w:r>
              <w:rPr>
                <w:rFonts w:hint="eastAsia"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南四湖</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南四湖</w:t>
            </w:r>
            <w:r>
              <w:rPr>
                <w:rFonts w:hint="default" w:ascii="Times New Roman" w:hAnsi="Times New Roman" w:eastAsia="宋体" w:cs="Times New Roman"/>
                <w:color w:val="auto"/>
                <w:sz w:val="24"/>
                <w:szCs w:val="24"/>
                <w:highlight w:val="none"/>
                <w:lang w:val="en-US" w:eastAsia="zh-CN"/>
              </w:rPr>
              <w:t>环境质量功能区属III类区，根据山东省</w:t>
            </w:r>
            <w:r>
              <w:rPr>
                <w:rFonts w:hint="eastAsia" w:cs="Times New Roman"/>
                <w:color w:val="auto"/>
                <w:sz w:val="24"/>
                <w:szCs w:val="24"/>
                <w:highlight w:val="none"/>
                <w:lang w:val="en-US" w:eastAsia="zh-CN"/>
              </w:rPr>
              <w:t>生态环境厅</w:t>
            </w:r>
            <w:r>
              <w:rPr>
                <w:rFonts w:hint="default" w:ascii="Times New Roman" w:hAnsi="Times New Roman" w:eastAsia="宋体" w:cs="Times New Roman"/>
                <w:color w:val="auto"/>
                <w:sz w:val="24"/>
                <w:szCs w:val="24"/>
                <w:highlight w:val="none"/>
                <w:lang w:val="en-US" w:eastAsia="zh-CN"/>
              </w:rPr>
              <w:t>发布的省控重点河流水质状况，</w:t>
            </w:r>
            <w:r>
              <w:rPr>
                <w:rFonts w:hint="eastAsia" w:cs="Times New Roman"/>
                <w:color w:val="auto"/>
                <w:sz w:val="24"/>
                <w:szCs w:val="24"/>
                <w:highlight w:val="none"/>
                <w:lang w:val="en-US" w:eastAsia="zh-CN"/>
              </w:rPr>
              <w:t>2</w:t>
            </w:r>
            <w:r>
              <w:rPr>
                <w:rFonts w:hint="default" w:ascii="Times New Roman" w:hAnsi="Times New Roman" w:cs="Times New Roman"/>
                <w:bCs/>
                <w:color w:val="auto"/>
                <w:kern w:val="0"/>
                <w:sz w:val="24"/>
                <w:szCs w:val="24"/>
              </w:rPr>
              <w:t>02</w:t>
            </w:r>
            <w:r>
              <w:rPr>
                <w:rFonts w:hint="eastAsia" w:cs="Times New Roman"/>
                <w:bCs/>
                <w:color w:val="auto"/>
                <w:kern w:val="0"/>
                <w:sz w:val="24"/>
                <w:szCs w:val="24"/>
                <w:lang w:val="en-US" w:eastAsia="zh-CN"/>
              </w:rPr>
              <w:t>5</w:t>
            </w:r>
            <w:r>
              <w:rPr>
                <w:rFonts w:hint="default" w:ascii="Times New Roman" w:hAnsi="Times New Roman" w:cs="Times New Roman"/>
                <w:bCs/>
                <w:color w:val="auto"/>
                <w:kern w:val="0"/>
                <w:sz w:val="24"/>
                <w:szCs w:val="24"/>
              </w:rPr>
              <w:t>年</w:t>
            </w:r>
            <w:r>
              <w:rPr>
                <w:rFonts w:hint="eastAsia" w:cs="Times New Roman"/>
                <w:bCs/>
                <w:color w:val="auto"/>
                <w:kern w:val="0"/>
                <w:sz w:val="24"/>
                <w:szCs w:val="24"/>
                <w:lang w:val="en-US" w:eastAsia="zh-CN"/>
              </w:rPr>
              <w:t>9</w:t>
            </w:r>
            <w:r>
              <w:rPr>
                <w:rFonts w:hint="default" w:ascii="Times New Roman" w:hAnsi="Times New Roman" w:cs="Times New Roman"/>
                <w:bCs/>
                <w:color w:val="auto"/>
                <w:kern w:val="0"/>
                <w:sz w:val="24"/>
                <w:szCs w:val="24"/>
              </w:rPr>
              <w:t>月的泗河</w:t>
            </w:r>
            <w:r>
              <w:rPr>
                <w:rFonts w:hint="eastAsia" w:cs="Times New Roman"/>
                <w:bCs/>
                <w:color w:val="auto"/>
                <w:kern w:val="0"/>
                <w:sz w:val="24"/>
                <w:szCs w:val="24"/>
                <w:lang w:val="en-US" w:eastAsia="zh-CN"/>
              </w:rPr>
              <w:t>故县坝</w:t>
            </w:r>
            <w:r>
              <w:rPr>
                <w:rFonts w:hint="default" w:ascii="Times New Roman" w:hAnsi="Times New Roman" w:cs="Times New Roman"/>
                <w:bCs/>
                <w:color w:val="auto"/>
                <w:kern w:val="0"/>
                <w:sz w:val="24"/>
                <w:szCs w:val="24"/>
              </w:rPr>
              <w:t>断面</w:t>
            </w:r>
            <w:r>
              <w:rPr>
                <w:rFonts w:hint="default" w:ascii="Times New Roman" w:hAnsi="Times New Roman" w:eastAsia="宋体" w:cs="Times New Roman"/>
                <w:color w:val="auto"/>
                <w:sz w:val="24"/>
                <w:szCs w:val="24"/>
                <w:highlight w:val="none"/>
                <w:lang w:val="en-US" w:eastAsia="zh-CN"/>
              </w:rPr>
              <w:t>能够满足《地表水环境质量标准》（GB3838-2002）</w:t>
            </w:r>
            <w:r>
              <w:rPr>
                <w:rFonts w:hint="eastAsia" w:ascii="Times New Roman" w:hAnsi="Times New Roman" w:eastAsia="宋体" w:cs="Times New Roman"/>
                <w:color w:val="auto"/>
                <w:sz w:val="24"/>
                <w:szCs w:val="24"/>
                <w:highlight w:val="none"/>
                <w:lang w:val="en-US" w:eastAsia="zh-CN"/>
              </w:rPr>
              <w:t>III</w:t>
            </w:r>
            <w:r>
              <w:rPr>
                <w:rFonts w:hint="default" w:ascii="Times New Roman" w:hAnsi="Times New Roman" w:eastAsia="宋体" w:cs="Times New Roman"/>
                <w:color w:val="auto"/>
                <w:sz w:val="24"/>
                <w:szCs w:val="24"/>
                <w:highlight w:val="none"/>
                <w:lang w:val="en-US" w:eastAsia="zh-CN"/>
              </w:rPr>
              <w:t>类标准的要求，说</w:t>
            </w:r>
            <w:r>
              <w:rPr>
                <w:rFonts w:hint="default" w:ascii="Times New Roman" w:hAnsi="Times New Roman" w:eastAsia="宋体" w:cs="Times New Roman"/>
                <w:color w:val="auto"/>
                <w:sz w:val="24"/>
                <w:szCs w:val="24"/>
                <w:highlight w:val="none"/>
              </w:rPr>
              <w:t>明项目区地表水环境良好。</w:t>
            </w:r>
          </w:p>
          <w:p w14:paraId="6FB9F15B">
            <w:pPr>
              <w:keepNext w:val="0"/>
              <w:keepLines w:val="0"/>
              <w:widowControl w:val="0"/>
              <w:suppressLineNumbers w:val="0"/>
              <w:autoSpaceDE w:val="0"/>
              <w:autoSpaceDN/>
              <w:snapToGrid w:val="0"/>
              <w:spacing w:before="0" w:beforeAutospacing="0" w:after="0" w:afterAutospacing="0" w:line="360" w:lineRule="auto"/>
              <w:ind w:left="0" w:right="0"/>
              <w:jc w:val="both"/>
              <w:rPr>
                <w:rFonts w:hint="eastAsia" w:ascii="Times New Roman" w:hAnsi="Times New Roman" w:eastAsia="宋体" w:cs="宋体"/>
                <w:color w:val="auto"/>
                <w:kern w:val="2"/>
                <w:sz w:val="21"/>
                <w:szCs w:val="21"/>
              </w:rPr>
            </w:pPr>
            <w:r>
              <w:rPr>
                <w:rFonts w:hint="eastAsia" w:ascii="宋体" w:hAnsi="宋体" w:eastAsia="宋体" w:cs="宋体"/>
                <w:color w:val="auto"/>
                <w:kern w:val="2"/>
                <w:sz w:val="24"/>
                <w:szCs w:val="24"/>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952500</wp:posOffset>
                  </wp:positionV>
                  <wp:extent cx="4995545" cy="212090"/>
                  <wp:effectExtent l="0" t="0" r="14605" b="16510"/>
                  <wp:wrapNone/>
                  <wp:docPr id="1" name="图片 10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85" descr="IMG_256"/>
                          <pic:cNvPicPr>
                            <a:picLocks noChangeAspect="1"/>
                          </pic:cNvPicPr>
                        </pic:nvPicPr>
                        <pic:blipFill>
                          <a:blip r:embed="rId14"/>
                          <a:stretch>
                            <a:fillRect/>
                          </a:stretch>
                        </pic:blipFill>
                        <pic:spPr>
                          <a:xfrm>
                            <a:off x="0" y="0"/>
                            <a:ext cx="4995545" cy="212090"/>
                          </a:xfrm>
                          <a:prstGeom prst="rect">
                            <a:avLst/>
                          </a:prstGeom>
                          <a:noFill/>
                          <a:ln>
                            <a:noFill/>
                          </a:ln>
                        </pic:spPr>
                      </pic:pic>
                    </a:graphicData>
                  </a:graphic>
                </wp:anchor>
              </w:drawing>
            </w:r>
            <w:r>
              <w:rPr>
                <w:rFonts w:hint="default" w:ascii="Times New Roman" w:hAnsi="Times New Roman" w:cs="Times New Roman"/>
                <w:color w:val="auto"/>
              </w:rPr>
              <w:drawing>
                <wp:inline distT="0" distB="0" distL="114300" distR="114300">
                  <wp:extent cx="5074285" cy="1634490"/>
                  <wp:effectExtent l="0" t="0" r="12065" b="3810"/>
                  <wp:docPr id="140" name="图片 137" descr="F:/同步文件夹/工作日志2025/2025.10/ScreenShot_2025-10-28_153451_446.jpgScreenShot_2025-10-28_153451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7" descr="F:/同步文件夹/工作日志2025/2025.10/ScreenShot_2025-10-28_153451_446.jpgScreenShot_2025-10-28_153451_446"/>
                          <pic:cNvPicPr>
                            <a:picLocks noChangeAspect="1"/>
                          </pic:cNvPicPr>
                        </pic:nvPicPr>
                        <pic:blipFill>
                          <a:blip r:embed="rId15"/>
                          <a:srcRect l="1515" r="1515"/>
                          <a:stretch>
                            <a:fillRect/>
                          </a:stretch>
                        </pic:blipFill>
                        <pic:spPr>
                          <a:xfrm>
                            <a:off x="0" y="0"/>
                            <a:ext cx="5074285" cy="1634490"/>
                          </a:xfrm>
                          <a:prstGeom prst="rect">
                            <a:avLst/>
                          </a:prstGeom>
                          <a:noFill/>
                          <a:ln>
                            <a:noFill/>
                          </a:ln>
                        </pic:spPr>
                      </pic:pic>
                    </a:graphicData>
                  </a:graphic>
                </wp:inline>
              </w:drawing>
            </w:r>
          </w:p>
          <w:p w14:paraId="25EB7C79">
            <w:pPr>
              <w:keepNext w:val="0"/>
              <w:keepLines w:val="0"/>
              <w:widowControl w:val="0"/>
              <w:suppressLineNumbers w:val="0"/>
              <w:autoSpaceDE w:val="0"/>
              <w:autoSpaceDN/>
              <w:adjustRightInd w:val="0"/>
              <w:snapToGrid w:val="0"/>
              <w:spacing w:before="0" w:beforeAutospacing="0" w:after="0" w:afterAutospacing="0" w:line="360" w:lineRule="auto"/>
              <w:ind w:left="0" w:right="0" w:firstLine="482" w:firstLineChars="200"/>
              <w:jc w:val="both"/>
              <w:rPr>
                <w:rFonts w:hint="eastAsia" w:ascii="宋体" w:hAnsi="宋体" w:eastAsia="宋体" w:cs="宋体"/>
                <w:b/>
                <w:color w:val="auto"/>
                <w:kern w:val="2"/>
                <w:sz w:val="24"/>
                <w:szCs w:val="24"/>
                <w:lang w:val="en-US" w:eastAsia="zh-CN" w:bidi="ar"/>
              </w:rPr>
            </w:pPr>
            <w:r>
              <w:rPr>
                <w:rFonts w:hint="eastAsia" w:ascii="宋体" w:hAnsi="宋体" w:eastAsia="宋体" w:cs="宋体"/>
                <w:b/>
                <w:color w:val="auto"/>
                <w:kern w:val="2"/>
                <w:sz w:val="24"/>
                <w:szCs w:val="24"/>
                <w:lang w:val="en-US" w:eastAsia="zh-CN" w:bidi="ar"/>
              </w:rPr>
              <w:t>三、地下水环境</w:t>
            </w:r>
          </w:p>
          <w:p w14:paraId="5CC9A6B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36" w:lineRule="auto"/>
              <w:ind w:left="0" w:right="0" w:firstLine="480" w:firstLineChars="200"/>
              <w:jc w:val="both"/>
              <w:textAlignment w:val="auto"/>
              <w:rPr>
                <w:rFonts w:hint="eastAsia" w:ascii="宋体" w:hAnsi="宋体" w:eastAsia="宋体" w:cs="宋体"/>
                <w:b/>
                <w:color w:val="auto"/>
                <w:kern w:val="2"/>
                <w:sz w:val="24"/>
                <w:szCs w:val="24"/>
                <w:lang w:val="en-US" w:eastAsia="zh-CN" w:bidi="ar"/>
              </w:rPr>
            </w:pPr>
            <w:r>
              <w:rPr>
                <w:rFonts w:hint="default" w:ascii="Times New Roman" w:hAnsi="Times New Roman" w:cs="Times New Roman"/>
                <w:color w:val="auto"/>
                <w:kern w:val="0"/>
                <w:sz w:val="24"/>
                <w:szCs w:val="24"/>
              </w:rPr>
              <w:t>本项目厂界外500m范围内不存在地下水集中式饮用水水源和热水、矿泉水、温泉等特殊地下水资源保护目标，根据《建设项目环境影响报告表编制技术指南（污染影响类）（试行）》要求分析可知，本次评价无需开展地下水环境现状背景值调查</w:t>
            </w:r>
            <w:r>
              <w:rPr>
                <w:rFonts w:hint="default" w:ascii="Times New Roman" w:hAnsi="Times New Roman" w:cs="Times New Roman"/>
                <w:color w:val="auto"/>
                <w:sz w:val="24"/>
                <w:szCs w:val="24"/>
              </w:rPr>
              <w:t>。</w:t>
            </w:r>
          </w:p>
          <w:p w14:paraId="19CDB22E">
            <w:pPr>
              <w:keepNext w:val="0"/>
              <w:keepLines w:val="0"/>
              <w:widowControl w:val="0"/>
              <w:suppressLineNumbers w:val="0"/>
              <w:autoSpaceDE w:val="0"/>
              <w:autoSpaceDN/>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color w:val="auto"/>
                <w:kern w:val="2"/>
                <w:sz w:val="24"/>
                <w:szCs w:val="24"/>
                <w:highlight w:val="none"/>
              </w:rPr>
            </w:pPr>
            <w:r>
              <w:rPr>
                <w:rFonts w:hint="eastAsia" w:ascii="宋体" w:hAnsi="宋体" w:eastAsia="宋体" w:cs="宋体"/>
                <w:b/>
                <w:color w:val="auto"/>
                <w:kern w:val="2"/>
                <w:sz w:val="24"/>
                <w:szCs w:val="24"/>
                <w:highlight w:val="none"/>
                <w:lang w:val="en-US" w:eastAsia="zh-CN" w:bidi="ar"/>
              </w:rPr>
              <w:t>四、声环境</w:t>
            </w:r>
          </w:p>
          <w:p w14:paraId="53213155">
            <w:pPr>
              <w:keepNext w:val="0"/>
              <w:keepLines w:val="0"/>
              <w:widowControl w:val="0"/>
              <w:suppressLineNumbers w:val="0"/>
              <w:autoSpaceDE w:val="0"/>
              <w:autoSpaceDN/>
              <w:adjustRightInd w:val="0"/>
              <w:snapToGrid w:val="0"/>
              <w:spacing w:before="0" w:beforeAutospacing="0" w:after="0" w:afterAutospacing="0" w:line="360" w:lineRule="auto"/>
              <w:ind w:left="0" w:right="0" w:firstLine="524"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spacing w:val="11"/>
                <w:sz w:val="24"/>
                <w:szCs w:val="24"/>
              </w:rPr>
              <w:t>本项目厂界外周边</w:t>
            </w:r>
            <w:r>
              <w:rPr>
                <w:rFonts w:hint="default" w:ascii="Times New Roman" w:hAnsi="Times New Roman" w:eastAsia="Times New Roman" w:cs="Times New Roman"/>
                <w:spacing w:val="11"/>
                <w:sz w:val="24"/>
                <w:szCs w:val="24"/>
              </w:rPr>
              <w:t>50</w:t>
            </w:r>
            <w:r>
              <w:rPr>
                <w:rFonts w:hint="default" w:ascii="Times New Roman" w:hAnsi="Times New Roman" w:cs="Times New Roman"/>
                <w:spacing w:val="11"/>
                <w:sz w:val="24"/>
                <w:szCs w:val="24"/>
              </w:rPr>
              <w:t>米范围内不存在声环境保护目标，</w:t>
            </w:r>
            <w:r>
              <w:rPr>
                <w:rFonts w:hint="default" w:ascii="Times New Roman" w:hAnsi="Times New Roman" w:cs="Times New Roman"/>
                <w:spacing w:val="10"/>
                <w:sz w:val="24"/>
                <w:szCs w:val="24"/>
              </w:rPr>
              <w:t>根据建设项目环境影响报告表编制技术指南（污染影响类</w:t>
            </w:r>
            <w:r>
              <w:rPr>
                <w:rFonts w:hint="default" w:ascii="Times New Roman" w:hAnsi="Times New Roman" w:cs="Times New Roman"/>
                <w:spacing w:val="-2"/>
                <w:sz w:val="24"/>
                <w:szCs w:val="24"/>
              </w:rPr>
              <w:t>）（</w:t>
            </w:r>
            <w:r>
              <w:rPr>
                <w:rFonts w:hint="default" w:ascii="Times New Roman" w:hAnsi="Times New Roman" w:cs="Times New Roman"/>
                <w:spacing w:val="10"/>
                <w:sz w:val="24"/>
                <w:szCs w:val="24"/>
              </w:rPr>
              <w:t>试行</w:t>
            </w:r>
            <w:r>
              <w:rPr>
                <w:rFonts w:hint="default" w:ascii="Times New Roman" w:hAnsi="Times New Roman" w:cs="Times New Roman"/>
                <w:spacing w:val="-2"/>
                <w:sz w:val="24"/>
                <w:szCs w:val="24"/>
              </w:rPr>
              <w:t>），</w:t>
            </w:r>
            <w:r>
              <w:rPr>
                <w:rFonts w:hint="default" w:ascii="Times New Roman" w:hAnsi="Times New Roman" w:cs="Times New Roman"/>
                <w:spacing w:val="10"/>
                <w:sz w:val="24"/>
                <w:szCs w:val="24"/>
              </w:rPr>
              <w:t>无需监测保护目标声环境质量现状</w:t>
            </w:r>
            <w:r>
              <w:rPr>
                <w:rFonts w:hint="default" w:ascii="Times New Roman" w:hAnsi="Times New Roman" w:cs="Times New Roman"/>
                <w:spacing w:val="9"/>
                <w:sz w:val="24"/>
                <w:szCs w:val="24"/>
              </w:rPr>
              <w:t>。</w:t>
            </w:r>
            <w:r>
              <w:rPr>
                <w:rFonts w:hint="eastAsia" w:ascii="Times New Roman" w:hAnsi="Times New Roman" w:cs="Times New Roman"/>
                <w:spacing w:val="9"/>
                <w:sz w:val="24"/>
                <w:szCs w:val="24"/>
                <w:lang w:val="en-US" w:eastAsia="zh-CN"/>
              </w:rPr>
              <w:t>项目区周边声环境</w:t>
            </w:r>
            <w:r>
              <w:rPr>
                <w:rFonts w:hint="default" w:ascii="Times New Roman" w:hAnsi="Times New Roman" w:cs="Times New Roman"/>
                <w:spacing w:val="9"/>
                <w:sz w:val="24"/>
                <w:szCs w:val="24"/>
              </w:rPr>
              <w:t>满足</w:t>
            </w:r>
            <w:r>
              <w:rPr>
                <w:rFonts w:hint="default" w:ascii="Times New Roman" w:hAnsi="Times New Roman" w:cs="Times New Roman"/>
                <w:spacing w:val="7"/>
                <w:sz w:val="24"/>
                <w:szCs w:val="24"/>
              </w:rPr>
              <w:t>《声环境质量标准》（</w:t>
            </w:r>
            <w:r>
              <w:rPr>
                <w:rFonts w:hint="default" w:ascii="Times New Roman" w:hAnsi="Times New Roman" w:eastAsia="Times New Roman" w:cs="Times New Roman"/>
                <w:sz w:val="24"/>
                <w:szCs w:val="24"/>
              </w:rPr>
              <w:t>GB</w:t>
            </w:r>
            <w:r>
              <w:rPr>
                <w:rFonts w:hint="default" w:ascii="Times New Roman" w:hAnsi="Times New Roman" w:eastAsia="Times New Roman" w:cs="Times New Roman"/>
                <w:spacing w:val="7"/>
                <w:sz w:val="24"/>
                <w:szCs w:val="24"/>
              </w:rPr>
              <w:t>3096-2008</w:t>
            </w:r>
            <w:r>
              <w:rPr>
                <w:rFonts w:hint="default" w:ascii="Times New Roman" w:hAnsi="Times New Roman" w:cs="Times New Roman"/>
                <w:spacing w:val="7"/>
                <w:sz w:val="24"/>
                <w:szCs w:val="24"/>
              </w:rPr>
              <w:t>）中的</w:t>
            </w:r>
            <w:r>
              <w:rPr>
                <w:rFonts w:hint="eastAsia" w:cs="Times New Roman"/>
                <w:spacing w:val="7"/>
                <w:sz w:val="24"/>
                <w:szCs w:val="24"/>
                <w:lang w:val="en-US" w:eastAsia="zh-CN"/>
              </w:rPr>
              <w:t>3类标准</w:t>
            </w:r>
            <w:r>
              <w:rPr>
                <w:rFonts w:hint="default" w:ascii="Times New Roman" w:hAnsi="Times New Roman" w:cs="Times New Roman"/>
                <w:color w:val="auto"/>
                <w:sz w:val="24"/>
                <w:highlight w:val="none"/>
              </w:rPr>
              <w:t>。</w:t>
            </w:r>
          </w:p>
          <w:p w14:paraId="34970D04">
            <w:pPr>
              <w:keepNext w:val="0"/>
              <w:keepLines w:val="0"/>
              <w:widowControl w:val="0"/>
              <w:suppressLineNumbers w:val="0"/>
              <w:autoSpaceDE w:val="0"/>
              <w:autoSpaceDN/>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color w:val="auto"/>
                <w:kern w:val="2"/>
                <w:sz w:val="24"/>
                <w:szCs w:val="24"/>
              </w:rPr>
            </w:pPr>
            <w:r>
              <w:rPr>
                <w:rFonts w:hint="eastAsia" w:ascii="宋体" w:hAnsi="宋体" w:eastAsia="宋体" w:cs="宋体"/>
                <w:b/>
                <w:color w:val="auto"/>
                <w:kern w:val="2"/>
                <w:sz w:val="24"/>
                <w:szCs w:val="24"/>
                <w:lang w:val="en-US" w:eastAsia="zh-CN" w:bidi="ar"/>
              </w:rPr>
              <w:t>五、土壤环境</w:t>
            </w:r>
          </w:p>
          <w:p w14:paraId="15EDA4A6">
            <w:pPr>
              <w:keepNext w:val="0"/>
              <w:keepLines w:val="0"/>
              <w:widowControl w:val="0"/>
              <w:suppressLineNumbers w:val="0"/>
              <w:autoSpaceDE w:val="0"/>
              <w:autoSpaceDN/>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color w:val="auto"/>
                <w:kern w:val="2"/>
                <w:sz w:val="24"/>
                <w:szCs w:val="24"/>
                <w:highlight w:val="none"/>
              </w:rPr>
            </w:pPr>
            <w:r>
              <w:rPr>
                <w:rFonts w:hint="eastAsia" w:ascii="Times New Roman" w:hAnsi="Times New Roman" w:cs="Times New Roman"/>
                <w:color w:val="auto"/>
                <w:sz w:val="24"/>
                <w:szCs w:val="24"/>
                <w:highlight w:val="none"/>
                <w:lang w:val="en-US" w:eastAsia="zh-CN" w:bidi="ar"/>
              </w:rPr>
              <w:t>项目厂区按要求进行分区防渗，无土壤污染途径</w:t>
            </w:r>
            <w:r>
              <w:rPr>
                <w:rFonts w:hint="eastAsia" w:cs="Times New Roman"/>
                <w:color w:val="auto"/>
                <w:sz w:val="24"/>
                <w:szCs w:val="24"/>
                <w:highlight w:val="none"/>
                <w:lang w:val="en-US" w:eastAsia="zh-CN" w:bidi="ar"/>
              </w:rPr>
              <w:t>。项目位于泗水经济开发区西城工业园区内，周边无土壤环境敏感目标。</w:t>
            </w:r>
            <w:r>
              <w:rPr>
                <w:rFonts w:hint="eastAsia" w:ascii="Times New Roman" w:hAnsi="Times New Roman" w:cs="Times New Roman"/>
                <w:color w:val="auto"/>
                <w:sz w:val="24"/>
                <w:szCs w:val="24"/>
                <w:highlight w:val="none"/>
                <w:lang w:val="en-US" w:eastAsia="zh-CN" w:bidi="ar"/>
              </w:rPr>
              <w:t>根据编制指南要求，不进行厂区附近土壤环境质量现状调查</w:t>
            </w:r>
            <w:r>
              <w:rPr>
                <w:rFonts w:hint="eastAsia" w:ascii="Times New Roman" w:hAnsi="Times New Roman" w:cs="Times New Roman"/>
                <w:color w:val="auto"/>
                <w:sz w:val="24"/>
                <w:szCs w:val="24"/>
                <w:highlight w:val="none"/>
                <w:lang w:val="en-US" w:eastAsia="zh-CN"/>
              </w:rPr>
              <w:t>。</w:t>
            </w:r>
          </w:p>
          <w:p w14:paraId="2C08344A">
            <w:pPr>
              <w:keepNext w:val="0"/>
              <w:keepLines w:val="0"/>
              <w:widowControl w:val="0"/>
              <w:suppressLineNumbers w:val="0"/>
              <w:autoSpaceDE w:val="0"/>
              <w:autoSpaceDN/>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color w:val="auto"/>
                <w:kern w:val="2"/>
                <w:sz w:val="24"/>
                <w:szCs w:val="24"/>
              </w:rPr>
            </w:pPr>
            <w:r>
              <w:rPr>
                <w:rFonts w:hint="eastAsia" w:ascii="宋体" w:hAnsi="宋体" w:eastAsia="宋体" w:cs="宋体"/>
                <w:b/>
                <w:color w:val="auto"/>
                <w:kern w:val="2"/>
                <w:sz w:val="24"/>
                <w:szCs w:val="24"/>
                <w:lang w:val="en-US" w:eastAsia="zh-CN" w:bidi="ar"/>
              </w:rPr>
              <w:t>六、生态环境</w:t>
            </w:r>
          </w:p>
          <w:p w14:paraId="2D6B28E9">
            <w:pPr>
              <w:keepNext w:val="0"/>
              <w:keepLines w:val="0"/>
              <w:widowControl/>
              <w:numPr>
                <w:ilvl w:val="0"/>
                <w:numId w:val="0"/>
              </w:numPr>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lang w:val="en-US" w:eastAsia="zh-CN" w:bidi="ar"/>
              </w:rPr>
            </w:pPr>
            <w:r>
              <w:rPr>
                <w:rFonts w:hint="eastAsia" w:ascii="宋体" w:hAnsi="宋体" w:eastAsia="宋体" w:cs="宋体"/>
                <w:color w:val="auto"/>
                <w:kern w:val="2"/>
                <w:sz w:val="24"/>
                <w:szCs w:val="24"/>
                <w:lang w:val="en-US" w:eastAsia="zh-CN" w:bidi="ar"/>
              </w:rPr>
              <w:t>本项目位于</w:t>
            </w:r>
            <w:r>
              <w:rPr>
                <w:rFonts w:hint="eastAsia" w:cs="宋体"/>
                <w:color w:val="auto"/>
                <w:sz w:val="24"/>
                <w:szCs w:val="24"/>
                <w:u w:val="none"/>
                <w:lang w:val="en-US" w:eastAsia="zh-CN"/>
              </w:rPr>
              <w:t>山东省济宁市泗水经济开发区娃哈哈食品有限公司西侧，泉音路以南、泉福路以北、圣和路以东</w:t>
            </w:r>
            <w:r>
              <w:rPr>
                <w:rFonts w:hint="eastAsia" w:ascii="宋体" w:hAnsi="宋体" w:eastAsia="宋体" w:cs="宋体"/>
                <w:color w:val="auto"/>
                <w:kern w:val="2"/>
                <w:sz w:val="24"/>
                <w:szCs w:val="24"/>
                <w:lang w:val="en-US" w:eastAsia="zh-CN" w:bidi="ar"/>
              </w:rPr>
              <w:t>，项目占地范围</w:t>
            </w:r>
            <w:r>
              <w:rPr>
                <w:rFonts w:hint="default" w:ascii="Times New Roman" w:hAnsi="Times New Roman" w:eastAsia="宋体" w:cs="Times New Roman"/>
                <w:color w:val="auto"/>
                <w:kern w:val="2"/>
                <w:sz w:val="24"/>
                <w:szCs w:val="24"/>
                <w:lang w:val="en-US" w:eastAsia="zh-CN" w:bidi="ar"/>
              </w:rPr>
              <w:t>内无珍稀动植物和文物保护区，无重大环境制约因素，本项目在该地建设对当地生态环境现状影响较小。</w:t>
            </w:r>
          </w:p>
          <w:p w14:paraId="38BACE7F">
            <w:pPr>
              <w:keepNext w:val="0"/>
              <w:keepLines w:val="0"/>
              <w:widowControl/>
              <w:numPr>
                <w:ilvl w:val="0"/>
                <w:numId w:val="0"/>
              </w:numPr>
              <w:suppressLineNumbers w:val="0"/>
              <w:spacing w:before="0" w:beforeAutospacing="0" w:after="0" w:afterAutospacing="0" w:line="360" w:lineRule="auto"/>
              <w:ind w:left="0" w:right="0" w:firstLine="482" w:firstLineChars="200"/>
              <w:jc w:val="left"/>
              <w:rPr>
                <w:rFonts w:hint="default" w:ascii="Times New Roman" w:hAnsi="Times New Roman" w:cs="Times New Roman"/>
                <w:b/>
                <w:bCs/>
                <w:color w:val="auto"/>
                <w:kern w:val="0"/>
                <w:sz w:val="24"/>
                <w:lang w:val="en-US" w:eastAsia="zh-CN" w:bidi="ar"/>
              </w:rPr>
            </w:pPr>
            <w:r>
              <w:rPr>
                <w:rFonts w:hint="default" w:ascii="Times New Roman" w:hAnsi="Times New Roman" w:cs="Times New Roman"/>
                <w:b/>
                <w:bCs/>
                <w:color w:val="auto"/>
                <w:kern w:val="0"/>
                <w:sz w:val="24"/>
                <w:lang w:val="en-US" w:eastAsia="zh-CN" w:bidi="ar"/>
              </w:rPr>
              <w:t>七、电磁辐射</w:t>
            </w:r>
          </w:p>
          <w:p w14:paraId="023B5D4A">
            <w:pPr>
              <w:keepNext w:val="0"/>
              <w:keepLines w:val="0"/>
              <w:widowControl w:val="0"/>
              <w:suppressLineNumbers w:val="0"/>
              <w:autoSpaceDE w:val="0"/>
              <w:autoSpaceDN/>
              <w:snapToGrid w:val="0"/>
              <w:spacing w:before="0" w:beforeAutospacing="0" w:after="0" w:afterAutospacing="0" w:line="360" w:lineRule="auto"/>
              <w:ind w:left="0" w:right="0" w:firstLine="480" w:firstLineChars="200"/>
              <w:jc w:val="both"/>
              <w:rPr>
                <w:rFonts w:hint="default" w:ascii="宋体" w:hAnsi="宋体" w:cs="宋体"/>
                <w:color w:val="auto"/>
                <w:kern w:val="0"/>
                <w:szCs w:val="21"/>
              </w:rPr>
            </w:pPr>
            <w:r>
              <w:rPr>
                <w:rFonts w:hint="eastAsia" w:ascii="Times New Roman" w:hAnsi="Times New Roman" w:cs="Times New Roman"/>
                <w:color w:val="auto"/>
                <w:sz w:val="24"/>
                <w:lang w:val="en-US" w:eastAsia="zh-CN"/>
              </w:rPr>
              <w:t>本项目不属于电磁辐射类项目，不进行项目电磁辐射现状监测与评价。</w:t>
            </w:r>
          </w:p>
        </w:tc>
      </w:tr>
      <w:tr w14:paraId="04E08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800" w:type="dxa"/>
            <w:noWrap w:val="0"/>
            <w:vAlign w:val="center"/>
          </w:tcPr>
          <w:p w14:paraId="4E12B579">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4"/>
                <w:szCs w:val="24"/>
              </w:rPr>
            </w:pPr>
            <w:r>
              <w:rPr>
                <w:rFonts w:hint="eastAsia" w:ascii="宋体" w:hAnsi="宋体" w:cs="宋体"/>
                <w:color w:val="auto"/>
                <w:kern w:val="0"/>
                <w:sz w:val="24"/>
                <w:szCs w:val="24"/>
              </w:rPr>
              <w:t>环境</w:t>
            </w:r>
          </w:p>
          <w:p w14:paraId="3A337F42">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4"/>
                <w:szCs w:val="24"/>
              </w:rPr>
            </w:pPr>
            <w:r>
              <w:rPr>
                <w:rFonts w:hint="eastAsia" w:ascii="宋体" w:hAnsi="宋体" w:cs="宋体"/>
                <w:color w:val="auto"/>
                <w:kern w:val="0"/>
                <w:sz w:val="24"/>
                <w:szCs w:val="24"/>
              </w:rPr>
              <w:t>保护</w:t>
            </w:r>
          </w:p>
          <w:p w14:paraId="23D28A5E">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 w:val="24"/>
                <w:szCs w:val="24"/>
              </w:rPr>
              <w:t>目标</w:t>
            </w:r>
          </w:p>
        </w:tc>
        <w:tc>
          <w:tcPr>
            <w:tcW w:w="8190" w:type="dxa"/>
            <w:noWrap w:val="0"/>
            <w:vAlign w:val="center"/>
          </w:tcPr>
          <w:p w14:paraId="427A1749">
            <w:pPr>
              <w:keepNext w:val="0"/>
              <w:keepLines w:val="0"/>
              <w:pageBreakBefore w:val="0"/>
              <w:widowControl w:val="0"/>
              <w:suppressLineNumbers w:val="0"/>
              <w:tabs>
                <w:tab w:val="left" w:pos="1605"/>
              </w:tabs>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本项目位于</w:t>
            </w:r>
            <w:r>
              <w:rPr>
                <w:rFonts w:hint="default" w:ascii="Times New Roman" w:hAnsi="Times New Roman" w:cs="Times New Roman"/>
                <w:color w:val="auto"/>
                <w:sz w:val="24"/>
                <w:lang w:eastAsia="zh-CN"/>
              </w:rPr>
              <w:t>山东省济宁市</w:t>
            </w:r>
            <w:r>
              <w:rPr>
                <w:rFonts w:hint="eastAsia" w:cs="Times New Roman"/>
                <w:color w:val="auto"/>
                <w:sz w:val="24"/>
                <w:lang w:eastAsia="zh-CN"/>
              </w:rPr>
              <w:t>泗水经济开发区娃哈哈食品有限公司西侧，泉音路以南、泉福路以北、圣和路以东</w:t>
            </w:r>
            <w:r>
              <w:rPr>
                <w:rFonts w:hint="default" w:ascii="Times New Roman" w:hAnsi="Times New Roman" w:cs="Times New Roman"/>
                <w:color w:val="auto"/>
                <w:sz w:val="24"/>
              </w:rPr>
              <w:t>，所在地周围无自然保护区、风景名</w:t>
            </w:r>
            <w:r>
              <w:rPr>
                <w:rFonts w:hint="eastAsia" w:cs="Times New Roman"/>
                <w:color w:val="auto"/>
                <w:sz w:val="24"/>
                <w:lang w:eastAsia="zh-CN"/>
              </w:rPr>
              <w:t>胜区</w:t>
            </w:r>
            <w:r>
              <w:rPr>
                <w:rFonts w:hint="default" w:ascii="Times New Roman" w:hAnsi="Times New Roman" w:cs="Times New Roman"/>
                <w:color w:val="auto"/>
                <w:sz w:val="24"/>
              </w:rPr>
              <w:t>等重要环境敏感点。</w:t>
            </w:r>
          </w:p>
          <w:p w14:paraId="6FF67F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1、大气环境：</w:t>
            </w:r>
            <w:r>
              <w:rPr>
                <w:rFonts w:hint="eastAsia" w:ascii="Times New Roman" w:hAnsi="Times New Roman" w:eastAsia="宋体" w:cs="Times New Roman"/>
                <w:sz w:val="24"/>
              </w:rPr>
              <w:t>本项目厂界外</w:t>
            </w:r>
            <w:r>
              <w:rPr>
                <w:rFonts w:hint="default" w:ascii="Times New Roman" w:hAnsi="Times New Roman" w:eastAsia="宋体" w:cs="Times New Roman"/>
                <w:sz w:val="24"/>
              </w:rPr>
              <w:t>500</w:t>
            </w:r>
            <w:r>
              <w:rPr>
                <w:rFonts w:hint="eastAsia" w:ascii="Times New Roman" w:hAnsi="Times New Roman" w:eastAsia="宋体" w:cs="Times New Roman"/>
                <w:sz w:val="24"/>
              </w:rPr>
              <w:t>米范围内无自然保护区、风景名胜区、文化区</w:t>
            </w:r>
            <w:r>
              <w:rPr>
                <w:rFonts w:hint="eastAsia" w:ascii="Times New Roman" w:hAnsi="Times New Roman" w:eastAsia="宋体" w:cs="Times New Roman"/>
                <w:sz w:val="24"/>
                <w:lang w:eastAsia="zh-CN"/>
              </w:rPr>
              <w:t>等特殊环境保护目标</w:t>
            </w:r>
            <w:r>
              <w:rPr>
                <w:rFonts w:hint="default" w:ascii="Times New Roman" w:hAnsi="Times New Roman" w:cs="Times New Roman"/>
                <w:color w:val="auto"/>
                <w:sz w:val="24"/>
              </w:rPr>
              <w:t>；</w:t>
            </w:r>
          </w:p>
          <w:p w14:paraId="4CD6A2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2、声环境：</w:t>
            </w:r>
            <w:r>
              <w:rPr>
                <w:rFonts w:hint="eastAsia" w:ascii="Times New Roman" w:hAnsi="Times New Roman" w:eastAsia="宋体" w:cs="Times New Roman"/>
                <w:sz w:val="24"/>
              </w:rPr>
              <w:t>本项目厂界外</w:t>
            </w:r>
            <w:r>
              <w:rPr>
                <w:rFonts w:hint="default" w:ascii="Times New Roman" w:hAnsi="Times New Roman" w:eastAsia="宋体" w:cs="Times New Roman"/>
                <w:sz w:val="24"/>
              </w:rPr>
              <w:t>50</w:t>
            </w:r>
            <w:r>
              <w:rPr>
                <w:rFonts w:hint="eastAsia" w:ascii="Times New Roman" w:hAnsi="Times New Roman" w:eastAsia="宋体" w:cs="Times New Roman"/>
                <w:sz w:val="24"/>
              </w:rPr>
              <w:t>米范围内无声环境保护目标</w:t>
            </w:r>
            <w:r>
              <w:rPr>
                <w:rFonts w:hint="default" w:ascii="Times New Roman" w:hAnsi="Times New Roman" w:cs="Times New Roman"/>
                <w:color w:val="auto"/>
                <w:sz w:val="24"/>
              </w:rPr>
              <w:t>；</w:t>
            </w:r>
          </w:p>
          <w:p w14:paraId="37E63B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3、地下水环境：厂界外500m范围内无地下水集中式饮用水水源、热水、矿泉水、温泉等特殊地下水资源；</w:t>
            </w:r>
          </w:p>
          <w:p w14:paraId="30E65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、生态环境：本项目占地范围内无生态环境保护目标。</w:t>
            </w:r>
          </w:p>
          <w:p w14:paraId="281D9B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表3-</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  项目主要环境保护目标</w:t>
            </w:r>
          </w:p>
          <w:tbl>
            <w:tblPr>
              <w:tblStyle w:val="34"/>
              <w:tblW w:w="46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779"/>
              <w:gridCol w:w="1419"/>
              <w:gridCol w:w="2310"/>
              <w:gridCol w:w="2212"/>
            </w:tblGrid>
            <w:tr w14:paraId="57A0A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52" w:type="pct"/>
                  <w:tcBorders>
                    <w:tl2br w:val="nil"/>
                    <w:tr2bl w:val="nil"/>
                  </w:tcBorders>
                  <w:noWrap w:val="0"/>
                  <w:vAlign w:val="center"/>
                </w:tcPr>
                <w:p w14:paraId="7B00BF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13" w:firstLineChars="196"/>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敏感目标</w:t>
                  </w:r>
                </w:p>
              </w:tc>
              <w:tc>
                <w:tcPr>
                  <w:tcW w:w="919" w:type="pct"/>
                  <w:tcBorders>
                    <w:tl2br w:val="nil"/>
                    <w:tr2bl w:val="nil"/>
                  </w:tcBorders>
                  <w:noWrap w:val="0"/>
                  <w:vAlign w:val="center"/>
                </w:tcPr>
                <w:p w14:paraId="600871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相对项目方位</w:t>
                  </w:r>
                </w:p>
              </w:tc>
              <w:tc>
                <w:tcPr>
                  <w:tcW w:w="1495" w:type="pct"/>
                  <w:tcBorders>
                    <w:tl2br w:val="nil"/>
                    <w:tr2bl w:val="nil"/>
                  </w:tcBorders>
                  <w:noWrap w:val="0"/>
                  <w:vAlign w:val="center"/>
                </w:tcPr>
                <w:p w14:paraId="77873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距项目</w:t>
                  </w:r>
                  <w:r>
                    <w:rPr>
                      <w:rFonts w:hint="eastAsia" w:ascii="Times New Roman" w:hAnsi="Times New Roman" w:eastAsia="宋体" w:cs="Times New Roman"/>
                      <w:b/>
                      <w:bCs/>
                      <w:color w:val="auto"/>
                      <w:sz w:val="21"/>
                      <w:szCs w:val="21"/>
                      <w:lang w:val="en-US" w:eastAsia="zh-CN"/>
                    </w:rPr>
                    <w:t>厂</w:t>
                  </w:r>
                  <w:r>
                    <w:rPr>
                      <w:rFonts w:hint="default" w:ascii="Times New Roman" w:hAnsi="Times New Roman" w:eastAsia="宋体" w:cs="Times New Roman"/>
                      <w:b/>
                      <w:bCs/>
                      <w:color w:val="auto"/>
                      <w:sz w:val="21"/>
                      <w:szCs w:val="21"/>
                    </w:rPr>
                    <w:t>界距离（m）</w:t>
                  </w:r>
                </w:p>
              </w:tc>
              <w:tc>
                <w:tcPr>
                  <w:tcW w:w="1432" w:type="pct"/>
                  <w:tcBorders>
                    <w:tl2br w:val="nil"/>
                    <w:tr2bl w:val="nil"/>
                  </w:tcBorders>
                  <w:noWrap w:val="0"/>
                  <w:vAlign w:val="center"/>
                </w:tcPr>
                <w:p w14:paraId="54B4B0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环境要素及保护等级</w:t>
                  </w:r>
                </w:p>
              </w:tc>
            </w:tr>
            <w:tr w14:paraId="61547D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52" w:type="pct"/>
                  <w:tcBorders>
                    <w:tl2br w:val="nil"/>
                    <w:tr2bl w:val="nil"/>
                  </w:tcBorders>
                  <w:noWrap w:val="0"/>
                  <w:vAlign w:val="center"/>
                </w:tcPr>
                <w:p w14:paraId="3EDFC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音义村</w:t>
                  </w:r>
                </w:p>
              </w:tc>
              <w:tc>
                <w:tcPr>
                  <w:tcW w:w="919" w:type="pct"/>
                  <w:tcBorders>
                    <w:tl2br w:val="nil"/>
                    <w:tr2bl w:val="nil"/>
                  </w:tcBorders>
                  <w:noWrap w:val="0"/>
                  <w:vAlign w:val="center"/>
                </w:tcPr>
                <w:p w14:paraId="31F36E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NE</w:t>
                  </w:r>
                </w:p>
              </w:tc>
              <w:tc>
                <w:tcPr>
                  <w:tcW w:w="1495" w:type="pct"/>
                  <w:tcBorders>
                    <w:tl2br w:val="nil"/>
                    <w:tr2bl w:val="nil"/>
                  </w:tcBorders>
                  <w:noWrap w:val="0"/>
                  <w:vAlign w:val="center"/>
                </w:tcPr>
                <w:p w14:paraId="4106EB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490</w:t>
                  </w:r>
                </w:p>
              </w:tc>
              <w:tc>
                <w:tcPr>
                  <w:tcW w:w="1432" w:type="pct"/>
                  <w:tcBorders>
                    <w:tl2br w:val="nil"/>
                    <w:tr2bl w:val="nil"/>
                  </w:tcBorders>
                  <w:noWrap w:val="0"/>
                  <w:vAlign w:val="center"/>
                </w:tcPr>
                <w:p w14:paraId="61D844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环境空气二类</w:t>
                  </w:r>
                </w:p>
              </w:tc>
            </w:tr>
            <w:tr w14:paraId="56AA6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52" w:type="pct"/>
                  <w:tcBorders>
                    <w:tl2br w:val="nil"/>
                    <w:tr2bl w:val="nil"/>
                  </w:tcBorders>
                  <w:noWrap w:val="0"/>
                  <w:vAlign w:val="center"/>
                </w:tcPr>
                <w:p w14:paraId="07636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泗河</w:t>
                  </w:r>
                </w:p>
              </w:tc>
              <w:tc>
                <w:tcPr>
                  <w:tcW w:w="919" w:type="pct"/>
                  <w:tcBorders>
                    <w:tl2br w:val="nil"/>
                    <w:tr2bl w:val="nil"/>
                  </w:tcBorders>
                  <w:noWrap w:val="0"/>
                  <w:vAlign w:val="center"/>
                </w:tcPr>
                <w:p w14:paraId="3FE4C1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w:t>
                  </w:r>
                </w:p>
              </w:tc>
              <w:tc>
                <w:tcPr>
                  <w:tcW w:w="1495" w:type="pct"/>
                  <w:tcBorders>
                    <w:tl2br w:val="nil"/>
                    <w:tr2bl w:val="nil"/>
                  </w:tcBorders>
                  <w:noWrap w:val="0"/>
                  <w:vAlign w:val="center"/>
                </w:tcPr>
                <w:p w14:paraId="1BF63F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1250</w:t>
                  </w:r>
                </w:p>
              </w:tc>
              <w:tc>
                <w:tcPr>
                  <w:tcW w:w="1432" w:type="pct"/>
                  <w:tcBorders>
                    <w:tl2br w:val="nil"/>
                    <w:tr2bl w:val="nil"/>
                  </w:tcBorders>
                  <w:noWrap w:val="0"/>
                  <w:vAlign w:val="center"/>
                </w:tcPr>
                <w:p w14:paraId="22BCE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地表水</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3 \* ROMAN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III</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类</w:t>
                  </w:r>
                </w:p>
              </w:tc>
            </w:tr>
            <w:tr w14:paraId="0AD8B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52" w:type="pct"/>
                  <w:tcBorders>
                    <w:tl2br w:val="nil"/>
                    <w:tr2bl w:val="nil"/>
                  </w:tcBorders>
                  <w:noWrap w:val="0"/>
                  <w:vAlign w:val="center"/>
                </w:tcPr>
                <w:p w14:paraId="06B630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周围浅层地下水</w:t>
                  </w:r>
                </w:p>
              </w:tc>
              <w:tc>
                <w:tcPr>
                  <w:tcW w:w="2414" w:type="pct"/>
                  <w:gridSpan w:val="2"/>
                  <w:tcBorders>
                    <w:tl2br w:val="nil"/>
                    <w:tr2bl w:val="nil"/>
                  </w:tcBorders>
                  <w:noWrap w:val="0"/>
                  <w:vAlign w:val="center"/>
                </w:tcPr>
                <w:p w14:paraId="600F48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厂界外500米范围内无特殊地下水资源</w:t>
                  </w:r>
                </w:p>
              </w:tc>
              <w:tc>
                <w:tcPr>
                  <w:tcW w:w="1432" w:type="pct"/>
                  <w:tcBorders>
                    <w:tl2br w:val="nil"/>
                    <w:tr2bl w:val="nil"/>
                  </w:tcBorders>
                  <w:noWrap w:val="0"/>
                  <w:vAlign w:val="center"/>
                </w:tcPr>
                <w:p w14:paraId="7FE85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3 \* ROMAN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III</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类</w:t>
                  </w:r>
                </w:p>
              </w:tc>
            </w:tr>
            <w:tr w14:paraId="753CE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67" w:type="pct"/>
                  <w:gridSpan w:val="3"/>
                  <w:tcBorders>
                    <w:tl2br w:val="nil"/>
                    <w:tr2bl w:val="nil"/>
                  </w:tcBorders>
                  <w:noWrap w:val="0"/>
                  <w:vAlign w:val="center"/>
                </w:tcPr>
                <w:p w14:paraId="76B453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厂界外50m范围内无声环境保护目标</w:t>
                  </w:r>
                </w:p>
              </w:tc>
              <w:tc>
                <w:tcPr>
                  <w:tcW w:w="1432" w:type="pct"/>
                  <w:tcBorders>
                    <w:tl2br w:val="nil"/>
                    <w:tr2bl w:val="nil"/>
                  </w:tcBorders>
                  <w:noWrap w:val="0"/>
                  <w:vAlign w:val="center"/>
                </w:tcPr>
                <w:p w14:paraId="516D89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声环境</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类</w:t>
                  </w:r>
                </w:p>
              </w:tc>
            </w:tr>
          </w:tbl>
          <w:p w14:paraId="57A4D483">
            <w:pPr>
              <w:keepNext w:val="0"/>
              <w:keepLines w:val="0"/>
              <w:suppressLineNumbers w:val="0"/>
              <w:adjustRightInd w:val="0"/>
              <w:snapToGrid w:val="0"/>
              <w:spacing w:before="0" w:beforeAutospacing="0" w:after="0" w:afterAutospacing="0"/>
              <w:ind w:left="0" w:right="0"/>
              <w:jc w:val="both"/>
              <w:rPr>
                <w:rFonts w:hint="default" w:ascii="宋体" w:hAnsi="宋体" w:cs="宋体"/>
                <w:color w:val="auto"/>
                <w:kern w:val="0"/>
                <w:szCs w:val="21"/>
              </w:rPr>
            </w:pPr>
          </w:p>
        </w:tc>
      </w:tr>
      <w:tr w14:paraId="3823D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800" w:type="dxa"/>
            <w:noWrap w:val="0"/>
            <w:tcMar>
              <w:left w:w="28" w:type="dxa"/>
              <w:right w:w="28" w:type="dxa"/>
            </w:tcMar>
            <w:vAlign w:val="center"/>
          </w:tcPr>
          <w:p w14:paraId="3804833D">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4"/>
                <w:szCs w:val="24"/>
              </w:rPr>
            </w:pPr>
            <w:r>
              <w:rPr>
                <w:rFonts w:hint="eastAsia" w:ascii="宋体" w:hAnsi="宋体" w:cs="宋体"/>
                <w:color w:val="auto"/>
                <w:kern w:val="0"/>
                <w:sz w:val="24"/>
                <w:szCs w:val="24"/>
              </w:rPr>
              <w:t>污染</w:t>
            </w:r>
          </w:p>
          <w:p w14:paraId="4A46A69E">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4"/>
                <w:szCs w:val="24"/>
              </w:rPr>
            </w:pPr>
            <w:r>
              <w:rPr>
                <w:rFonts w:hint="eastAsia" w:ascii="宋体" w:hAnsi="宋体" w:cs="宋体"/>
                <w:color w:val="auto"/>
                <w:kern w:val="0"/>
                <w:sz w:val="24"/>
                <w:szCs w:val="24"/>
              </w:rPr>
              <w:t>物排</w:t>
            </w:r>
          </w:p>
          <w:p w14:paraId="214E4C4A">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4"/>
                <w:szCs w:val="24"/>
              </w:rPr>
            </w:pPr>
            <w:r>
              <w:rPr>
                <w:rFonts w:hint="eastAsia" w:ascii="宋体" w:hAnsi="宋体" w:cs="宋体"/>
                <w:color w:val="auto"/>
                <w:kern w:val="0"/>
                <w:sz w:val="24"/>
                <w:szCs w:val="24"/>
              </w:rPr>
              <w:t>放控</w:t>
            </w:r>
          </w:p>
          <w:p w14:paraId="740F921C">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4"/>
                <w:szCs w:val="24"/>
              </w:rPr>
            </w:pPr>
            <w:r>
              <w:rPr>
                <w:rFonts w:hint="eastAsia" w:ascii="宋体" w:hAnsi="宋体" w:cs="宋体"/>
                <w:color w:val="auto"/>
                <w:kern w:val="0"/>
                <w:sz w:val="24"/>
                <w:szCs w:val="24"/>
              </w:rPr>
              <w:t>制标</w:t>
            </w:r>
          </w:p>
          <w:p w14:paraId="268815A0">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 w:val="24"/>
                <w:szCs w:val="24"/>
              </w:rPr>
              <w:t>准</w:t>
            </w:r>
          </w:p>
        </w:tc>
        <w:tc>
          <w:tcPr>
            <w:tcW w:w="8190" w:type="dxa"/>
            <w:noWrap w:val="0"/>
            <w:vAlign w:val="center"/>
          </w:tcPr>
          <w:p w14:paraId="731D4B38">
            <w:pPr>
              <w:pStyle w:val="1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Calibri"/>
                <w:color w:val="auto"/>
                <w:sz w:val="24"/>
                <w:szCs w:val="24"/>
                <w:lang w:val="en-US" w:eastAsia="zh-CN"/>
              </w:rPr>
            </w:pPr>
            <w:r>
              <w:rPr>
                <w:rFonts w:hint="eastAsia" w:ascii="Times New Roman" w:hAnsi="Times New Roman" w:eastAsia="宋体" w:cs="Calibri"/>
                <w:color w:val="auto"/>
                <w:sz w:val="24"/>
                <w:szCs w:val="24"/>
                <w:lang w:val="en-US" w:eastAsia="zh-CN"/>
              </w:rPr>
              <w:t>一、施工期</w:t>
            </w:r>
          </w:p>
          <w:p w14:paraId="38F0A62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jc w:val="left"/>
              <w:textAlignment w:val="baseline"/>
              <w:rPr>
                <w:rFonts w:hint="eastAsia" w:ascii="Times New Roman" w:hAnsi="Times New Roman"/>
                <w:color w:val="000000"/>
                <w:sz w:val="24"/>
                <w:szCs w:val="20"/>
                <w:lang w:val="en-US" w:eastAsia="zh-CN"/>
              </w:rPr>
            </w:pPr>
            <w:r>
              <w:rPr>
                <w:rFonts w:hint="eastAsia" w:ascii="Times New Roman" w:hAnsi="Times New Roman"/>
                <w:color w:val="000000"/>
                <w:sz w:val="24"/>
                <w:szCs w:val="20"/>
                <w:lang w:val="en-US" w:eastAsia="zh-CN"/>
              </w:rPr>
              <w:t>1、废气：</w:t>
            </w:r>
          </w:p>
          <w:p w14:paraId="0D1694F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jc w:val="left"/>
              <w:textAlignment w:val="baseline"/>
              <w:rPr>
                <w:rStyle w:val="81"/>
                <w:rFonts w:hint="default" w:ascii="Times New Roman" w:hAnsi="Times New Roman" w:eastAsia="宋体"/>
                <w:b w:val="0"/>
                <w:i w:val="0"/>
                <w:caps w:val="0"/>
                <w:color w:val="000000"/>
                <w:spacing w:val="0"/>
                <w:w w:val="100"/>
                <w:kern w:val="0"/>
                <w:sz w:val="24"/>
                <w:szCs w:val="24"/>
                <w:lang w:val="en-US" w:eastAsia="zh-CN"/>
              </w:rPr>
            </w:pPr>
            <w:r>
              <w:rPr>
                <w:rStyle w:val="41"/>
                <w:rFonts w:hint="default" w:ascii="Times New Roman" w:hAnsi="Times New Roman" w:eastAsia="宋体" w:cs="Times New Roman"/>
                <w:color w:val="auto"/>
                <w:sz w:val="24"/>
                <w:szCs w:val="24"/>
              </w:rPr>
              <w:t>施工期大气污染物中无组织排放扬尘执行《大气污染物综合排放标准》（GB16297-1996）表</w:t>
            </w:r>
            <w:r>
              <w:rPr>
                <w:rStyle w:val="41"/>
                <w:rFonts w:hint="eastAsia" w:ascii="Times New Roman" w:hAnsi="Times New Roman" w:eastAsia="宋体" w:cs="Times New Roman"/>
                <w:color w:val="auto"/>
                <w:sz w:val="24"/>
                <w:szCs w:val="24"/>
                <w:highlight w:val="none"/>
                <w:lang w:val="en-US" w:eastAsia="zh-CN"/>
              </w:rPr>
              <w:t>3-</w:t>
            </w:r>
            <w:r>
              <w:rPr>
                <w:rStyle w:val="41"/>
                <w:rFonts w:hint="eastAsia" w:cs="Times New Roman"/>
                <w:color w:val="auto"/>
                <w:sz w:val="24"/>
                <w:szCs w:val="24"/>
                <w:highlight w:val="none"/>
                <w:lang w:val="en-US" w:eastAsia="zh-CN"/>
              </w:rPr>
              <w:t>5</w:t>
            </w:r>
            <w:r>
              <w:rPr>
                <w:rStyle w:val="41"/>
                <w:rFonts w:hint="default" w:ascii="Times New Roman" w:hAnsi="Times New Roman" w:eastAsia="宋体" w:cs="Times New Roman"/>
                <w:color w:val="auto"/>
                <w:sz w:val="24"/>
                <w:szCs w:val="24"/>
              </w:rPr>
              <w:t>标准</w:t>
            </w:r>
            <w:r>
              <w:rPr>
                <w:rStyle w:val="81"/>
                <w:rFonts w:hint="default" w:ascii="Times New Roman" w:hAnsi="Times New Roman" w:eastAsia="宋体"/>
                <w:b w:val="0"/>
                <w:i w:val="0"/>
                <w:caps w:val="0"/>
                <w:color w:val="000000"/>
                <w:spacing w:val="0"/>
                <w:w w:val="100"/>
                <w:kern w:val="0"/>
                <w:sz w:val="24"/>
                <w:szCs w:val="24"/>
                <w:lang w:val="en-US" w:eastAsia="zh-CN"/>
              </w:rPr>
              <w:t>。</w:t>
            </w:r>
          </w:p>
          <w:p w14:paraId="14386A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4"/>
                <w:szCs w:val="22"/>
                <w:lang w:val="en-US" w:eastAsia="zh-CN"/>
              </w:rPr>
            </w:pPr>
            <w:r>
              <w:rPr>
                <w:rFonts w:hint="eastAsia" w:ascii="Times New Roman" w:hAnsi="Times New Roman" w:eastAsia="宋体" w:cs="Times New Roman"/>
                <w:b/>
                <w:bCs/>
                <w:color w:val="000000"/>
                <w:sz w:val="24"/>
                <w:szCs w:val="22"/>
                <w:lang w:val="en-US" w:eastAsia="zh-CN"/>
              </w:rPr>
              <w:t>表3-</w:t>
            </w:r>
            <w:r>
              <w:rPr>
                <w:rFonts w:hint="eastAsia" w:cs="Times New Roman"/>
                <w:b/>
                <w:bCs/>
                <w:color w:val="000000"/>
                <w:sz w:val="24"/>
                <w:szCs w:val="22"/>
                <w:lang w:val="en-US" w:eastAsia="zh-CN"/>
              </w:rPr>
              <w:t>5</w:t>
            </w:r>
            <w:r>
              <w:rPr>
                <w:rFonts w:hint="eastAsia" w:ascii="Times New Roman" w:hAnsi="Times New Roman" w:eastAsia="宋体" w:cs="Times New Roman"/>
                <w:b/>
                <w:bCs/>
                <w:color w:val="000000"/>
                <w:sz w:val="24"/>
                <w:szCs w:val="22"/>
                <w:lang w:val="en-US" w:eastAsia="zh-CN"/>
              </w:rPr>
              <w:t xml:space="preserve">  </w:t>
            </w:r>
            <w:r>
              <w:rPr>
                <w:rFonts w:hint="default" w:ascii="Times New Roman" w:hAnsi="Times New Roman" w:eastAsia="宋体" w:cs="Times New Roman"/>
                <w:b/>
                <w:bCs/>
                <w:color w:val="auto"/>
                <w:sz w:val="24"/>
                <w:szCs w:val="24"/>
              </w:rPr>
              <w:t>大气污染物排放标准</w:t>
            </w:r>
            <w:r>
              <w:rPr>
                <w:rFonts w:hint="eastAsia" w:ascii="Times New Roman" w:hAnsi="Times New Roman" w:eastAsia="宋体" w:cs="Times New Roman"/>
                <w:b/>
                <w:bCs/>
                <w:color w:val="000000"/>
                <w:sz w:val="24"/>
                <w:szCs w:val="22"/>
                <w:lang w:val="en-US" w:eastAsia="zh-CN"/>
              </w:rPr>
              <w:t xml:space="preserve">  mg/m</w:t>
            </w:r>
            <w:r>
              <w:rPr>
                <w:rFonts w:hint="eastAsia" w:ascii="Times New Roman" w:hAnsi="Times New Roman" w:eastAsia="宋体" w:cs="Times New Roman"/>
                <w:b/>
                <w:bCs/>
                <w:color w:val="000000"/>
                <w:sz w:val="24"/>
                <w:szCs w:val="22"/>
                <w:vertAlign w:val="superscript"/>
                <w:lang w:val="en-US" w:eastAsia="zh-CN"/>
              </w:rPr>
              <w:t>3</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045"/>
              <w:gridCol w:w="1213"/>
              <w:gridCol w:w="2387"/>
              <w:gridCol w:w="3299"/>
            </w:tblGrid>
            <w:tr w14:paraId="78D7A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29" w:hRule="exact"/>
                <w:jc w:val="center"/>
              </w:trPr>
              <w:tc>
                <w:tcPr>
                  <w:tcW w:w="1045" w:type="dxa"/>
                  <w:tcBorders>
                    <w:tl2br w:val="nil"/>
                    <w:tr2bl w:val="nil"/>
                  </w:tcBorders>
                  <w:noWrap w:val="0"/>
                  <w:vAlign w:val="center"/>
                </w:tcPr>
                <w:p w14:paraId="0EB37FD9">
                  <w:pPr>
                    <w:pStyle w:val="98"/>
                    <w:widowControl/>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时间</w:t>
                  </w:r>
                </w:p>
              </w:tc>
              <w:tc>
                <w:tcPr>
                  <w:tcW w:w="1213" w:type="dxa"/>
                  <w:tcBorders>
                    <w:tl2br w:val="nil"/>
                    <w:tr2bl w:val="nil"/>
                  </w:tcBorders>
                  <w:noWrap w:val="0"/>
                  <w:vAlign w:val="center"/>
                </w:tcPr>
                <w:p w14:paraId="65E5F963">
                  <w:pPr>
                    <w:pStyle w:val="98"/>
                    <w:widowControl/>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污染物</w:t>
                  </w:r>
                </w:p>
              </w:tc>
              <w:tc>
                <w:tcPr>
                  <w:tcW w:w="2387" w:type="dxa"/>
                  <w:tcBorders>
                    <w:tl2br w:val="nil"/>
                    <w:tr2bl w:val="nil"/>
                  </w:tcBorders>
                  <w:noWrap w:val="0"/>
                  <w:vAlign w:val="center"/>
                </w:tcPr>
                <w:p w14:paraId="491A190B">
                  <w:pPr>
                    <w:pStyle w:val="98"/>
                    <w:widowControl/>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无组织排放浓度限值</w:t>
                  </w:r>
                </w:p>
              </w:tc>
              <w:tc>
                <w:tcPr>
                  <w:tcW w:w="3299" w:type="dxa"/>
                  <w:tcBorders>
                    <w:tl2br w:val="nil"/>
                    <w:tr2bl w:val="nil"/>
                  </w:tcBorders>
                  <w:noWrap w:val="0"/>
                  <w:vAlign w:val="center"/>
                </w:tcPr>
                <w:p w14:paraId="62EE6F63">
                  <w:pPr>
                    <w:pStyle w:val="98"/>
                    <w:widowControl/>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标准出处</w:t>
                  </w:r>
                </w:p>
              </w:tc>
            </w:tr>
            <w:tr w14:paraId="1FA8D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94" w:hRule="exact"/>
                <w:jc w:val="center"/>
              </w:trPr>
              <w:tc>
                <w:tcPr>
                  <w:tcW w:w="1045" w:type="dxa"/>
                  <w:tcBorders>
                    <w:tl2br w:val="nil"/>
                    <w:tr2bl w:val="nil"/>
                  </w:tcBorders>
                  <w:noWrap w:val="0"/>
                  <w:vAlign w:val="center"/>
                </w:tcPr>
                <w:p w14:paraId="154AAD1B">
                  <w:pPr>
                    <w:pStyle w:val="98"/>
                    <w:widowControl/>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施工期</w:t>
                  </w:r>
                </w:p>
              </w:tc>
              <w:tc>
                <w:tcPr>
                  <w:tcW w:w="1213" w:type="dxa"/>
                  <w:tcBorders>
                    <w:tl2br w:val="nil"/>
                    <w:tr2bl w:val="nil"/>
                  </w:tcBorders>
                  <w:noWrap w:val="0"/>
                  <w:vAlign w:val="center"/>
                </w:tcPr>
                <w:p w14:paraId="2E23E896">
                  <w:pPr>
                    <w:pStyle w:val="98"/>
                    <w:widowControl/>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颗粒物</w:t>
                  </w:r>
                </w:p>
              </w:tc>
              <w:tc>
                <w:tcPr>
                  <w:tcW w:w="2387" w:type="dxa"/>
                  <w:tcBorders>
                    <w:tl2br w:val="nil"/>
                    <w:tr2bl w:val="nil"/>
                  </w:tcBorders>
                  <w:noWrap w:val="0"/>
                  <w:vAlign w:val="center"/>
                </w:tcPr>
                <w:p w14:paraId="081BB940">
                  <w:pPr>
                    <w:pStyle w:val="98"/>
                    <w:widowControl/>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1.0</w:t>
                  </w:r>
                </w:p>
              </w:tc>
              <w:tc>
                <w:tcPr>
                  <w:tcW w:w="3299" w:type="dxa"/>
                  <w:tcBorders>
                    <w:tl2br w:val="nil"/>
                    <w:tr2bl w:val="nil"/>
                  </w:tcBorders>
                  <w:noWrap w:val="0"/>
                  <w:vAlign w:val="center"/>
                </w:tcPr>
                <w:p w14:paraId="16BC741D">
                  <w:pPr>
                    <w:pStyle w:val="98"/>
                    <w:widowControl/>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《大气污染物综合排放标准》（GB16297-1996）表2标准</w:t>
                  </w:r>
                </w:p>
              </w:tc>
            </w:tr>
          </w:tbl>
          <w:p w14:paraId="245830CA">
            <w:pPr>
              <w:keepNext w:val="0"/>
              <w:keepLines w:val="0"/>
              <w:pageBreakBefore w:val="0"/>
              <w:widowControl/>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firstLine="480" w:firstLineChars="200"/>
              <w:jc w:val="left"/>
              <w:textAlignment w:val="baseline"/>
              <w:rPr>
                <w:rStyle w:val="81"/>
                <w:rFonts w:hint="eastAsia" w:ascii="Times New Roman" w:hAnsi="Times New Roman" w:eastAsia="宋体"/>
                <w:b w:val="0"/>
                <w:i w:val="0"/>
                <w:caps w:val="0"/>
                <w:color w:val="000000"/>
                <w:spacing w:val="0"/>
                <w:w w:val="100"/>
                <w:kern w:val="0"/>
                <w:sz w:val="24"/>
                <w:szCs w:val="24"/>
                <w:lang w:val="en-US"/>
              </w:rPr>
            </w:pPr>
            <w:r>
              <w:rPr>
                <w:rStyle w:val="81"/>
                <w:rFonts w:hint="eastAsia" w:ascii="Times New Roman" w:hAnsi="Times New Roman" w:eastAsia="宋体"/>
                <w:b w:val="0"/>
                <w:i w:val="0"/>
                <w:caps w:val="0"/>
                <w:color w:val="000000"/>
                <w:spacing w:val="0"/>
                <w:w w:val="100"/>
                <w:kern w:val="0"/>
                <w:sz w:val="24"/>
                <w:szCs w:val="24"/>
                <w:lang w:val="en-US"/>
              </w:rPr>
              <w:t>2、噪声：</w:t>
            </w:r>
          </w:p>
          <w:p w14:paraId="48B5A2D2">
            <w:pPr>
              <w:keepNext w:val="0"/>
              <w:keepLines w:val="0"/>
              <w:widowControl/>
              <w:suppressLineNumbers w:val="0"/>
              <w:snapToGrid w:val="0"/>
              <w:spacing w:before="0" w:beforeAutospacing="0" w:after="0" w:afterAutospacing="0" w:line="360" w:lineRule="auto"/>
              <w:ind w:left="0" w:right="0" w:firstLine="480" w:firstLineChars="200"/>
              <w:jc w:val="left"/>
              <w:textAlignment w:val="baseline"/>
              <w:rPr>
                <w:rStyle w:val="81"/>
                <w:rFonts w:hint="default" w:ascii="Times New Roman" w:hAnsi="Times New Roman" w:eastAsia="宋体"/>
                <w:b w:val="0"/>
                <w:i w:val="0"/>
                <w:caps w:val="0"/>
                <w:color w:val="000000"/>
                <w:spacing w:val="0"/>
                <w:w w:val="100"/>
                <w:kern w:val="0"/>
                <w:sz w:val="24"/>
                <w:szCs w:val="24"/>
                <w:lang w:val="en-US" w:eastAsia="zh-CN"/>
              </w:rPr>
            </w:pPr>
            <w:r>
              <w:rPr>
                <w:rStyle w:val="81"/>
                <w:rFonts w:hint="default" w:ascii="Times New Roman" w:hAnsi="Times New Roman" w:eastAsia="宋体"/>
                <w:b w:val="0"/>
                <w:i w:val="0"/>
                <w:caps w:val="0"/>
                <w:color w:val="000000"/>
                <w:spacing w:val="0"/>
                <w:w w:val="100"/>
                <w:kern w:val="0"/>
                <w:sz w:val="24"/>
                <w:szCs w:val="24"/>
                <w:lang w:val="en-US" w:eastAsia="zh-CN"/>
              </w:rPr>
              <w:t>施工期执行《建筑施工场界环境噪声排放标准》（GB12523-2011）相关标准</w:t>
            </w:r>
            <w:r>
              <w:rPr>
                <w:rStyle w:val="81"/>
                <w:rFonts w:hint="eastAsia" w:ascii="Times New Roman" w:hAnsi="Times New Roman" w:eastAsia="宋体"/>
                <w:b w:val="0"/>
                <w:i w:val="0"/>
                <w:caps w:val="0"/>
                <w:color w:val="000000"/>
                <w:spacing w:val="0"/>
                <w:w w:val="100"/>
                <w:kern w:val="0"/>
                <w:sz w:val="24"/>
                <w:szCs w:val="24"/>
                <w:lang w:val="en-US" w:eastAsia="zh-CN"/>
              </w:rPr>
              <w:t>。</w:t>
            </w:r>
          </w:p>
          <w:p w14:paraId="7CCE9D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4"/>
                <w:szCs w:val="22"/>
                <w:lang w:val="en-US" w:eastAsia="zh-CN"/>
              </w:rPr>
            </w:pPr>
            <w:r>
              <w:rPr>
                <w:rFonts w:hint="default" w:ascii="Times New Roman" w:hAnsi="Times New Roman" w:eastAsia="宋体" w:cs="Times New Roman"/>
                <w:b/>
                <w:bCs/>
                <w:color w:val="000000"/>
                <w:sz w:val="24"/>
                <w:szCs w:val="22"/>
                <w:lang w:val="en-US" w:eastAsia="zh-CN"/>
              </w:rPr>
              <w:t>表</w:t>
            </w:r>
            <w:r>
              <w:rPr>
                <w:rFonts w:hint="eastAsia" w:ascii="Times New Roman" w:hAnsi="Times New Roman" w:eastAsia="宋体" w:cs="Times New Roman"/>
                <w:b/>
                <w:bCs/>
                <w:color w:val="000000"/>
                <w:sz w:val="24"/>
                <w:szCs w:val="22"/>
                <w:lang w:val="en-US" w:eastAsia="zh-CN"/>
              </w:rPr>
              <w:t>3</w:t>
            </w:r>
            <w:r>
              <w:rPr>
                <w:rFonts w:hint="default" w:ascii="Times New Roman" w:hAnsi="Times New Roman" w:eastAsia="宋体" w:cs="Times New Roman"/>
                <w:b/>
                <w:bCs/>
                <w:color w:val="000000"/>
                <w:sz w:val="24"/>
                <w:szCs w:val="22"/>
                <w:lang w:val="en-US" w:eastAsia="zh-CN"/>
              </w:rPr>
              <w:t>-</w:t>
            </w:r>
            <w:r>
              <w:rPr>
                <w:rFonts w:hint="eastAsia" w:cs="Times New Roman"/>
                <w:b/>
                <w:bCs/>
                <w:color w:val="000000"/>
                <w:sz w:val="24"/>
                <w:szCs w:val="22"/>
                <w:lang w:val="en-US" w:eastAsia="zh-CN"/>
              </w:rPr>
              <w:t>6</w:t>
            </w:r>
            <w:r>
              <w:rPr>
                <w:rFonts w:hint="default" w:ascii="Times New Roman" w:hAnsi="Times New Roman" w:eastAsia="宋体" w:cs="Times New Roman"/>
                <w:b/>
                <w:bCs/>
                <w:color w:val="000000"/>
                <w:sz w:val="24"/>
                <w:szCs w:val="22"/>
                <w:lang w:val="en-US" w:eastAsia="zh-CN"/>
              </w:rPr>
              <w:t xml:space="preserve">  建筑施工场界环境噪声排放标准</w:t>
            </w:r>
            <w:r>
              <w:rPr>
                <w:rFonts w:hint="eastAsia" w:ascii="Times New Roman" w:hAnsi="Times New Roman" w:eastAsia="宋体" w:cs="Times New Roman"/>
                <w:b/>
                <w:bCs/>
                <w:color w:val="000000"/>
                <w:sz w:val="24"/>
                <w:szCs w:val="22"/>
                <w:lang w:val="en-US" w:eastAsia="zh-CN"/>
              </w:rPr>
              <w:t xml:space="preserve"> </w:t>
            </w:r>
            <w:r>
              <w:rPr>
                <w:rFonts w:hint="default" w:ascii="Times New Roman" w:hAnsi="Times New Roman" w:eastAsia="宋体" w:cs="Times New Roman"/>
                <w:b/>
                <w:bCs/>
                <w:color w:val="000000"/>
                <w:sz w:val="24"/>
                <w:szCs w:val="22"/>
                <w:lang w:val="en-US" w:eastAsia="zh-CN"/>
              </w:rPr>
              <w:t xml:space="preserve"> dB(A)</w:t>
            </w:r>
          </w:p>
          <w:tbl>
            <w:tblPr>
              <w:tblStyle w:val="34"/>
              <w:tblW w:w="468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806"/>
              <w:gridCol w:w="3976"/>
            </w:tblGrid>
            <w:tr w14:paraId="16C27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445" w:type="pct"/>
                  <w:tcBorders>
                    <w:tl2br w:val="nil"/>
                    <w:tr2bl w:val="nil"/>
                  </w:tcBorders>
                  <w:noWrap w:val="0"/>
                  <w:vAlign w:val="center"/>
                </w:tcPr>
                <w:p w14:paraId="6093823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昼间</w:t>
                  </w:r>
                </w:p>
              </w:tc>
              <w:tc>
                <w:tcPr>
                  <w:tcW w:w="2554" w:type="pct"/>
                  <w:tcBorders>
                    <w:tl2br w:val="nil"/>
                    <w:tr2bl w:val="nil"/>
                  </w:tcBorders>
                  <w:noWrap w:val="0"/>
                  <w:vAlign w:val="center"/>
                </w:tcPr>
                <w:p w14:paraId="0C700F0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夜间</w:t>
                  </w:r>
                </w:p>
              </w:tc>
            </w:tr>
            <w:tr w14:paraId="531FD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445" w:type="pct"/>
                  <w:tcBorders>
                    <w:tl2br w:val="nil"/>
                    <w:tr2bl w:val="nil"/>
                  </w:tcBorders>
                  <w:noWrap w:val="0"/>
                  <w:vAlign w:val="center"/>
                </w:tcPr>
                <w:p w14:paraId="7797DF7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70</w:t>
                  </w:r>
                </w:p>
              </w:tc>
              <w:tc>
                <w:tcPr>
                  <w:tcW w:w="2554" w:type="pct"/>
                  <w:tcBorders>
                    <w:tl2br w:val="nil"/>
                    <w:tr2bl w:val="nil"/>
                  </w:tcBorders>
                  <w:noWrap w:val="0"/>
                  <w:vAlign w:val="center"/>
                </w:tcPr>
                <w:p w14:paraId="7F2FADF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55</w:t>
                  </w:r>
                </w:p>
              </w:tc>
            </w:tr>
          </w:tbl>
          <w:p w14:paraId="39B094FD">
            <w:pPr>
              <w:pStyle w:val="56"/>
              <w:keepNext w:val="0"/>
              <w:keepLines w:val="0"/>
              <w:pageBreakBefore w:val="0"/>
              <w:widowControl w:val="0"/>
              <w:suppressLineNumbers w:val="0"/>
              <w:kinsoku/>
              <w:wordWrap/>
              <w:overflowPunct/>
              <w:topLinePunct w:val="0"/>
              <w:autoSpaceDE/>
              <w:autoSpaceDN/>
              <w:bidi w:val="0"/>
              <w:adjustRightInd w:val="0"/>
              <w:snapToGrid/>
              <w:spacing w:before="157" w:beforeLines="50" w:beforeAutospacing="0" w:after="0" w:afterAutospacing="0" w:line="360" w:lineRule="auto"/>
              <w:ind w:left="0" w:leftChars="0" w:right="0" w:rightChars="0" w:firstLine="480" w:firstLineChars="200"/>
              <w:jc w:val="both"/>
              <w:textAlignment w:val="baseline"/>
              <w:rPr>
                <w:rStyle w:val="81"/>
                <w:rFonts w:hint="eastAsia" w:ascii="Times New Roman" w:hAnsi="Times New Roman" w:eastAsia="宋体"/>
                <w:b w:val="0"/>
                <w:i w:val="0"/>
                <w:caps w:val="0"/>
                <w:color w:val="000000"/>
                <w:spacing w:val="0"/>
                <w:w w:val="100"/>
                <w:kern w:val="0"/>
                <w:sz w:val="24"/>
                <w:szCs w:val="24"/>
                <w:lang w:val="en-US"/>
              </w:rPr>
            </w:pPr>
            <w:r>
              <w:rPr>
                <w:rStyle w:val="81"/>
                <w:rFonts w:hint="eastAsia" w:ascii="Times New Roman" w:hAnsi="Times New Roman" w:eastAsia="宋体"/>
                <w:b w:val="0"/>
                <w:i w:val="0"/>
                <w:caps w:val="0"/>
                <w:color w:val="000000"/>
                <w:spacing w:val="0"/>
                <w:w w:val="100"/>
                <w:kern w:val="0"/>
                <w:sz w:val="24"/>
                <w:szCs w:val="24"/>
                <w:lang w:val="en-US"/>
              </w:rPr>
              <w:t>3、废水：</w:t>
            </w:r>
          </w:p>
          <w:p w14:paraId="10BCF5F3">
            <w:pPr>
              <w:pStyle w:val="5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baseline"/>
              <w:rPr>
                <w:rStyle w:val="81"/>
                <w:rFonts w:hint="default" w:ascii="Times New Roman" w:hAnsi="Times New Roman" w:eastAsia="宋体"/>
                <w:b w:val="0"/>
                <w:i w:val="0"/>
                <w:caps w:val="0"/>
                <w:color w:val="000000"/>
                <w:spacing w:val="0"/>
                <w:w w:val="100"/>
                <w:kern w:val="0"/>
                <w:sz w:val="24"/>
                <w:szCs w:val="24"/>
                <w:highlight w:val="none"/>
                <w:lang w:val="en-US" w:eastAsia="zh-CN"/>
              </w:rPr>
            </w:pPr>
            <w:r>
              <w:rPr>
                <w:rStyle w:val="81"/>
                <w:rFonts w:hint="eastAsia" w:ascii="Times New Roman" w:hAnsi="Times New Roman" w:eastAsia="宋体"/>
                <w:b w:val="0"/>
                <w:i w:val="0"/>
                <w:caps w:val="0"/>
                <w:color w:val="000000"/>
                <w:spacing w:val="0"/>
                <w:w w:val="100"/>
                <w:kern w:val="0"/>
                <w:sz w:val="24"/>
                <w:szCs w:val="24"/>
                <w:highlight w:val="none"/>
                <w:lang w:val="en-US" w:eastAsia="zh-CN"/>
              </w:rPr>
              <w:t>车辆冲洗废水、施工作业废水：</w:t>
            </w:r>
            <w:r>
              <w:rPr>
                <w:rStyle w:val="81"/>
                <w:rFonts w:hint="default" w:ascii="Times New Roman" w:hAnsi="Times New Roman" w:eastAsia="宋体"/>
                <w:b w:val="0"/>
                <w:i w:val="0"/>
                <w:caps w:val="0"/>
                <w:color w:val="000000"/>
                <w:spacing w:val="0"/>
                <w:w w:val="100"/>
                <w:kern w:val="0"/>
                <w:sz w:val="24"/>
                <w:szCs w:val="24"/>
                <w:highlight w:val="none"/>
                <w:lang w:val="en-US" w:eastAsia="zh-CN"/>
              </w:rPr>
              <w:t>施工</w:t>
            </w:r>
            <w:r>
              <w:rPr>
                <w:rStyle w:val="81"/>
                <w:rFonts w:hint="eastAsia" w:ascii="Times New Roman" w:hAnsi="Times New Roman" w:eastAsia="宋体"/>
                <w:b w:val="0"/>
                <w:i w:val="0"/>
                <w:caps w:val="0"/>
                <w:color w:val="000000"/>
                <w:spacing w:val="0"/>
                <w:w w:val="100"/>
                <w:kern w:val="0"/>
                <w:sz w:val="24"/>
                <w:szCs w:val="24"/>
                <w:highlight w:val="none"/>
                <w:lang w:val="en-US" w:eastAsia="zh-CN"/>
              </w:rPr>
              <w:t>期</w:t>
            </w:r>
            <w:r>
              <w:rPr>
                <w:rStyle w:val="81"/>
                <w:rFonts w:hint="default" w:ascii="Times New Roman" w:hAnsi="Times New Roman" w:eastAsia="宋体"/>
                <w:b w:val="0"/>
                <w:i w:val="0"/>
                <w:caps w:val="0"/>
                <w:color w:val="000000"/>
                <w:spacing w:val="0"/>
                <w:w w:val="100"/>
                <w:kern w:val="0"/>
                <w:sz w:val="24"/>
                <w:szCs w:val="24"/>
                <w:highlight w:val="none"/>
                <w:lang w:val="en-US" w:eastAsia="zh-CN"/>
              </w:rPr>
              <w:t>车辆冲洗废水</w:t>
            </w:r>
            <w:r>
              <w:rPr>
                <w:rStyle w:val="81"/>
                <w:rFonts w:hint="eastAsia" w:ascii="Times New Roman" w:hAnsi="Times New Roman" w:eastAsia="宋体"/>
                <w:b w:val="0"/>
                <w:i w:val="0"/>
                <w:caps w:val="0"/>
                <w:color w:val="000000"/>
                <w:spacing w:val="0"/>
                <w:w w:val="100"/>
                <w:kern w:val="0"/>
                <w:sz w:val="24"/>
                <w:szCs w:val="24"/>
                <w:highlight w:val="none"/>
                <w:lang w:val="en-US" w:eastAsia="zh-CN"/>
              </w:rPr>
              <w:t>、施工作业废水经沉淀、隔油池处理后，</w:t>
            </w:r>
            <w:r>
              <w:rPr>
                <w:rStyle w:val="81"/>
                <w:rFonts w:hint="default" w:ascii="Times New Roman" w:hAnsi="Times New Roman" w:eastAsia="宋体"/>
                <w:b w:val="0"/>
                <w:i w:val="0"/>
                <w:caps w:val="0"/>
                <w:color w:val="000000"/>
                <w:spacing w:val="0"/>
                <w:w w:val="100"/>
                <w:kern w:val="0"/>
                <w:sz w:val="24"/>
                <w:szCs w:val="24"/>
                <w:highlight w:val="none"/>
                <w:lang w:val="en-US" w:eastAsia="zh-CN"/>
              </w:rPr>
              <w:t>达到《城市污水再生利用 城市杂用水水质》（GB/T 18920-2020）表1中的道路清扫、消防标准后</w:t>
            </w:r>
            <w:r>
              <w:rPr>
                <w:rStyle w:val="81"/>
                <w:rFonts w:hint="eastAsia" w:ascii="Times New Roman" w:hAnsi="Times New Roman" w:eastAsia="宋体"/>
                <w:b w:val="0"/>
                <w:i w:val="0"/>
                <w:caps w:val="0"/>
                <w:color w:val="000000"/>
                <w:spacing w:val="0"/>
                <w:w w:val="100"/>
                <w:kern w:val="0"/>
                <w:sz w:val="24"/>
                <w:szCs w:val="24"/>
                <w:highlight w:val="none"/>
                <w:lang w:val="en-US" w:eastAsia="zh-CN"/>
              </w:rPr>
              <w:t>用于施工场地洒水抑尘</w:t>
            </w:r>
            <w:r>
              <w:rPr>
                <w:rStyle w:val="81"/>
                <w:rFonts w:hint="default" w:ascii="Times New Roman" w:hAnsi="Times New Roman" w:eastAsia="宋体"/>
                <w:b w:val="0"/>
                <w:i w:val="0"/>
                <w:caps w:val="0"/>
                <w:color w:val="000000"/>
                <w:spacing w:val="0"/>
                <w:w w:val="100"/>
                <w:kern w:val="0"/>
                <w:sz w:val="24"/>
                <w:szCs w:val="24"/>
                <w:highlight w:val="none"/>
                <w:lang w:val="en-US" w:eastAsia="zh-CN"/>
              </w:rPr>
              <w:t>，不外排</w:t>
            </w:r>
            <w:r>
              <w:rPr>
                <w:rStyle w:val="81"/>
                <w:rFonts w:hint="eastAsia" w:ascii="Times New Roman" w:hAnsi="Times New Roman" w:eastAsia="宋体"/>
                <w:b w:val="0"/>
                <w:i w:val="0"/>
                <w:caps w:val="0"/>
                <w:color w:val="000000"/>
                <w:spacing w:val="0"/>
                <w:w w:val="100"/>
                <w:kern w:val="0"/>
                <w:sz w:val="24"/>
                <w:szCs w:val="24"/>
                <w:highlight w:val="none"/>
                <w:lang w:val="en-US" w:eastAsia="zh-CN"/>
              </w:rPr>
              <w:t>。</w:t>
            </w:r>
          </w:p>
          <w:p w14:paraId="07422E1B">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baseline"/>
              <w:rPr>
                <w:rFonts w:hint="eastAsia" w:ascii="Times New Roman" w:hAnsi="Times New Roman" w:eastAsia="宋体" w:cs="Times New Roman"/>
                <w:b/>
                <w:bCs/>
                <w:color w:val="000000"/>
                <w:kern w:val="2"/>
                <w:sz w:val="24"/>
                <w:szCs w:val="22"/>
                <w:vertAlign w:val="baseline"/>
                <w:lang w:val="en-US" w:eastAsia="zh-CN" w:bidi="ar-SA"/>
              </w:rPr>
            </w:pPr>
            <w:r>
              <w:rPr>
                <w:rFonts w:hint="eastAsia" w:ascii="Times New Roman" w:hAnsi="Times New Roman" w:eastAsia="宋体" w:cs="Times New Roman"/>
                <w:b/>
                <w:bCs/>
                <w:color w:val="000000"/>
                <w:kern w:val="2"/>
                <w:sz w:val="24"/>
                <w:szCs w:val="22"/>
                <w:lang w:val="en-US" w:eastAsia="zh-CN" w:bidi="ar-SA"/>
              </w:rPr>
              <w:t>表3-</w:t>
            </w:r>
            <w:r>
              <w:rPr>
                <w:rFonts w:hint="eastAsia" w:eastAsia="宋体" w:cs="Times New Roman"/>
                <w:b/>
                <w:bCs/>
                <w:color w:val="000000"/>
                <w:kern w:val="2"/>
                <w:sz w:val="24"/>
                <w:szCs w:val="22"/>
                <w:lang w:val="en-US" w:eastAsia="zh-CN" w:bidi="ar-SA"/>
              </w:rPr>
              <w:t>7</w:t>
            </w:r>
            <w:r>
              <w:rPr>
                <w:rFonts w:hint="eastAsia" w:ascii="Times New Roman" w:hAnsi="Times New Roman" w:eastAsia="宋体" w:cs="Times New Roman"/>
                <w:b/>
                <w:bCs/>
                <w:color w:val="000000"/>
                <w:kern w:val="2"/>
                <w:sz w:val="24"/>
                <w:szCs w:val="22"/>
                <w:lang w:val="en-US" w:eastAsia="zh-CN" w:bidi="ar-SA"/>
              </w:rPr>
              <w:t xml:space="preserve">  城市污水再生利用 城市杂用水水质标准</w:t>
            </w:r>
          </w:p>
          <w:tbl>
            <w:tblPr>
              <w:tblStyle w:val="35"/>
              <w:tblW w:w="5000"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3082"/>
              <w:gridCol w:w="2335"/>
              <w:gridCol w:w="2338"/>
            </w:tblGrid>
            <w:tr w14:paraId="7271B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6" w:type="pct"/>
                  <w:tcBorders>
                    <w:tl2br w:val="nil"/>
                    <w:tr2bl w:val="nil"/>
                  </w:tcBorders>
                  <w:noWrap w:val="0"/>
                  <w:vAlign w:val="center"/>
                </w:tcPr>
                <w:p w14:paraId="35AC22FF">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序号</w:t>
                  </w:r>
                </w:p>
              </w:tc>
              <w:tc>
                <w:tcPr>
                  <w:tcW w:w="1853" w:type="pct"/>
                  <w:tcBorders>
                    <w:tl2br w:val="nil"/>
                    <w:tr2bl w:val="nil"/>
                  </w:tcBorders>
                  <w:noWrap w:val="0"/>
                  <w:vAlign w:val="center"/>
                </w:tcPr>
                <w:p w14:paraId="1234CABA">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项目</w:t>
                  </w:r>
                </w:p>
              </w:tc>
              <w:tc>
                <w:tcPr>
                  <w:tcW w:w="1404" w:type="pct"/>
                  <w:tcBorders>
                    <w:tl2br w:val="nil"/>
                    <w:tr2bl w:val="nil"/>
                  </w:tcBorders>
                  <w:noWrap w:val="0"/>
                  <w:vAlign w:val="center"/>
                </w:tcPr>
                <w:p w14:paraId="47AD6CC1">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冲厕、车辆冲洗</w:t>
                  </w:r>
                </w:p>
              </w:tc>
              <w:tc>
                <w:tcPr>
                  <w:tcW w:w="1405" w:type="pct"/>
                  <w:tcBorders>
                    <w:tl2br w:val="nil"/>
                    <w:tr2bl w:val="nil"/>
                  </w:tcBorders>
                  <w:noWrap w:val="0"/>
                  <w:vAlign w:val="center"/>
                </w:tcPr>
                <w:p w14:paraId="0EAF3190">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城市绿化、道路清扫、</w:t>
                  </w:r>
                </w:p>
                <w:p w14:paraId="12B67910">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消防、建筑施工</w:t>
                  </w:r>
                </w:p>
              </w:tc>
            </w:tr>
            <w:tr w14:paraId="7D542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6" w:type="pct"/>
                  <w:tcBorders>
                    <w:tl2br w:val="nil"/>
                    <w:tr2bl w:val="nil"/>
                  </w:tcBorders>
                  <w:noWrap w:val="0"/>
                  <w:vAlign w:val="center"/>
                </w:tcPr>
                <w:p w14:paraId="315FAED6">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1</w:t>
                  </w:r>
                </w:p>
              </w:tc>
              <w:tc>
                <w:tcPr>
                  <w:tcW w:w="1853" w:type="pct"/>
                  <w:tcBorders>
                    <w:tl2br w:val="nil"/>
                    <w:tr2bl w:val="nil"/>
                  </w:tcBorders>
                  <w:noWrap w:val="0"/>
                  <w:vAlign w:val="center"/>
                </w:tcPr>
                <w:p w14:paraId="326C4131">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pH</w:t>
                  </w:r>
                </w:p>
              </w:tc>
              <w:tc>
                <w:tcPr>
                  <w:tcW w:w="1404" w:type="pct"/>
                  <w:tcBorders>
                    <w:tl2br w:val="nil"/>
                    <w:tr2bl w:val="nil"/>
                  </w:tcBorders>
                  <w:noWrap w:val="0"/>
                  <w:vAlign w:val="center"/>
                </w:tcPr>
                <w:p w14:paraId="3D5FAAE8">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6.0~9.0</w:t>
                  </w:r>
                </w:p>
              </w:tc>
              <w:tc>
                <w:tcPr>
                  <w:tcW w:w="1405" w:type="pct"/>
                  <w:tcBorders>
                    <w:tl2br w:val="nil"/>
                    <w:tr2bl w:val="nil"/>
                  </w:tcBorders>
                  <w:noWrap w:val="0"/>
                  <w:vAlign w:val="center"/>
                </w:tcPr>
                <w:p w14:paraId="20828E7D">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6.0~9.0</w:t>
                  </w:r>
                </w:p>
              </w:tc>
            </w:tr>
            <w:tr w14:paraId="20CA17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6" w:type="pct"/>
                  <w:tcBorders>
                    <w:tl2br w:val="nil"/>
                    <w:tr2bl w:val="nil"/>
                  </w:tcBorders>
                  <w:noWrap w:val="0"/>
                  <w:vAlign w:val="center"/>
                </w:tcPr>
                <w:p w14:paraId="7AC60B26">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2</w:t>
                  </w:r>
                </w:p>
              </w:tc>
              <w:tc>
                <w:tcPr>
                  <w:tcW w:w="1853" w:type="pct"/>
                  <w:tcBorders>
                    <w:tl2br w:val="nil"/>
                    <w:tr2bl w:val="nil"/>
                  </w:tcBorders>
                  <w:noWrap w:val="0"/>
                  <w:vAlign w:val="center"/>
                </w:tcPr>
                <w:p w14:paraId="3BECA58F">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色度，铂钴色度单位</w:t>
                  </w:r>
                </w:p>
              </w:tc>
              <w:tc>
                <w:tcPr>
                  <w:tcW w:w="1404" w:type="pct"/>
                  <w:tcBorders>
                    <w:tl2br w:val="nil"/>
                    <w:tr2bl w:val="nil"/>
                  </w:tcBorders>
                  <w:noWrap w:val="0"/>
                  <w:vAlign w:val="center"/>
                </w:tcPr>
                <w:p w14:paraId="71115D8A">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≤15</w:t>
                  </w:r>
                </w:p>
              </w:tc>
              <w:tc>
                <w:tcPr>
                  <w:tcW w:w="1405" w:type="pct"/>
                  <w:tcBorders>
                    <w:tl2br w:val="nil"/>
                    <w:tr2bl w:val="nil"/>
                  </w:tcBorders>
                  <w:noWrap w:val="0"/>
                  <w:vAlign w:val="center"/>
                </w:tcPr>
                <w:p w14:paraId="2DE7974D">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≤30</w:t>
                  </w:r>
                </w:p>
              </w:tc>
            </w:tr>
            <w:tr w14:paraId="049D6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6" w:type="pct"/>
                  <w:tcBorders>
                    <w:tl2br w:val="nil"/>
                    <w:tr2bl w:val="nil"/>
                  </w:tcBorders>
                  <w:noWrap w:val="0"/>
                  <w:vAlign w:val="center"/>
                </w:tcPr>
                <w:p w14:paraId="0878C5AC">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3</w:t>
                  </w:r>
                </w:p>
              </w:tc>
              <w:tc>
                <w:tcPr>
                  <w:tcW w:w="1853" w:type="pct"/>
                  <w:tcBorders>
                    <w:tl2br w:val="nil"/>
                    <w:tr2bl w:val="nil"/>
                  </w:tcBorders>
                  <w:noWrap w:val="0"/>
                  <w:vAlign w:val="center"/>
                </w:tcPr>
                <w:p w14:paraId="0B7FA69B">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嗅</w:t>
                  </w:r>
                </w:p>
              </w:tc>
              <w:tc>
                <w:tcPr>
                  <w:tcW w:w="1404" w:type="pct"/>
                  <w:tcBorders>
                    <w:tl2br w:val="nil"/>
                    <w:tr2bl w:val="nil"/>
                  </w:tcBorders>
                  <w:noWrap w:val="0"/>
                  <w:vAlign w:val="center"/>
                </w:tcPr>
                <w:p w14:paraId="1B1EE48E">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无不快感</w:t>
                  </w:r>
                </w:p>
              </w:tc>
              <w:tc>
                <w:tcPr>
                  <w:tcW w:w="1405" w:type="pct"/>
                  <w:tcBorders>
                    <w:tl2br w:val="nil"/>
                    <w:tr2bl w:val="nil"/>
                  </w:tcBorders>
                  <w:noWrap w:val="0"/>
                  <w:vAlign w:val="center"/>
                </w:tcPr>
                <w:p w14:paraId="0F3733B6">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无不快感</w:t>
                  </w:r>
                </w:p>
              </w:tc>
            </w:tr>
            <w:tr w14:paraId="21C61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6" w:type="pct"/>
                  <w:tcBorders>
                    <w:tl2br w:val="nil"/>
                    <w:tr2bl w:val="nil"/>
                  </w:tcBorders>
                  <w:noWrap w:val="0"/>
                  <w:vAlign w:val="center"/>
                </w:tcPr>
                <w:p w14:paraId="6F53F0E1">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4</w:t>
                  </w:r>
                </w:p>
              </w:tc>
              <w:tc>
                <w:tcPr>
                  <w:tcW w:w="1853" w:type="pct"/>
                  <w:tcBorders>
                    <w:tl2br w:val="nil"/>
                    <w:tr2bl w:val="nil"/>
                  </w:tcBorders>
                  <w:noWrap w:val="0"/>
                  <w:vAlign w:val="center"/>
                </w:tcPr>
                <w:p w14:paraId="7074D4E6">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浊度/NTU</w:t>
                  </w:r>
                </w:p>
              </w:tc>
              <w:tc>
                <w:tcPr>
                  <w:tcW w:w="1404" w:type="pct"/>
                  <w:tcBorders>
                    <w:tl2br w:val="nil"/>
                    <w:tr2bl w:val="nil"/>
                  </w:tcBorders>
                  <w:noWrap w:val="0"/>
                  <w:vAlign w:val="center"/>
                </w:tcPr>
                <w:p w14:paraId="2E56B8EA">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≤5</w:t>
                  </w:r>
                </w:p>
              </w:tc>
              <w:tc>
                <w:tcPr>
                  <w:tcW w:w="1405" w:type="pct"/>
                  <w:tcBorders>
                    <w:tl2br w:val="nil"/>
                    <w:tr2bl w:val="nil"/>
                  </w:tcBorders>
                  <w:noWrap w:val="0"/>
                  <w:vAlign w:val="center"/>
                </w:tcPr>
                <w:p w14:paraId="26F35B41">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≤10</w:t>
                  </w:r>
                </w:p>
              </w:tc>
            </w:tr>
            <w:tr w14:paraId="1084A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6" w:type="pct"/>
                  <w:tcBorders>
                    <w:tl2br w:val="nil"/>
                    <w:tr2bl w:val="nil"/>
                  </w:tcBorders>
                  <w:noWrap w:val="0"/>
                  <w:vAlign w:val="center"/>
                </w:tcPr>
                <w:p w14:paraId="362AE1BC">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5</w:t>
                  </w:r>
                </w:p>
              </w:tc>
              <w:tc>
                <w:tcPr>
                  <w:tcW w:w="1853" w:type="pct"/>
                  <w:tcBorders>
                    <w:tl2br w:val="nil"/>
                    <w:tr2bl w:val="nil"/>
                  </w:tcBorders>
                  <w:noWrap w:val="0"/>
                  <w:vAlign w:val="center"/>
                </w:tcPr>
                <w:p w14:paraId="42C13006">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五日生化需氧量（BOD</w:t>
                  </w:r>
                  <w:r>
                    <w:rPr>
                      <w:rFonts w:hint="eastAsia" w:ascii="Times New Roman" w:hAnsi="Times New Roman" w:eastAsia="宋体" w:cs="Times New Roman"/>
                      <w:b w:val="0"/>
                      <w:bCs w:val="0"/>
                      <w:color w:val="000000"/>
                      <w:kern w:val="2"/>
                      <w:sz w:val="21"/>
                      <w:szCs w:val="21"/>
                      <w:vertAlign w:val="subscript"/>
                      <w:lang w:val="en-US" w:eastAsia="zh-CN" w:bidi="ar-SA"/>
                    </w:rPr>
                    <w:t>5</w:t>
                  </w:r>
                  <w:r>
                    <w:rPr>
                      <w:rFonts w:hint="eastAsia" w:ascii="Times New Roman" w:hAnsi="Times New Roman" w:eastAsia="宋体" w:cs="Times New Roman"/>
                      <w:b w:val="0"/>
                      <w:bCs w:val="0"/>
                      <w:color w:val="000000"/>
                      <w:kern w:val="2"/>
                      <w:sz w:val="21"/>
                      <w:szCs w:val="21"/>
                      <w:vertAlign w:val="baseline"/>
                      <w:lang w:val="en-US" w:eastAsia="zh-CN" w:bidi="ar-SA"/>
                    </w:rPr>
                    <w:t>）/（mg/L）</w:t>
                  </w:r>
                </w:p>
              </w:tc>
              <w:tc>
                <w:tcPr>
                  <w:tcW w:w="1404" w:type="pct"/>
                  <w:tcBorders>
                    <w:tl2br w:val="nil"/>
                    <w:tr2bl w:val="nil"/>
                  </w:tcBorders>
                  <w:noWrap w:val="0"/>
                  <w:vAlign w:val="center"/>
                </w:tcPr>
                <w:p w14:paraId="586C9CC8">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≤10</w:t>
                  </w:r>
                </w:p>
              </w:tc>
              <w:tc>
                <w:tcPr>
                  <w:tcW w:w="1405" w:type="pct"/>
                  <w:tcBorders>
                    <w:tl2br w:val="nil"/>
                    <w:tr2bl w:val="nil"/>
                  </w:tcBorders>
                  <w:noWrap w:val="0"/>
                  <w:vAlign w:val="center"/>
                </w:tcPr>
                <w:p w14:paraId="05C022B1">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≤10</w:t>
                  </w:r>
                </w:p>
              </w:tc>
            </w:tr>
            <w:tr w14:paraId="57736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6" w:type="pct"/>
                  <w:tcBorders>
                    <w:tl2br w:val="nil"/>
                    <w:tr2bl w:val="nil"/>
                  </w:tcBorders>
                  <w:noWrap w:val="0"/>
                  <w:vAlign w:val="center"/>
                </w:tcPr>
                <w:p w14:paraId="2CF297EF">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6</w:t>
                  </w:r>
                </w:p>
              </w:tc>
              <w:tc>
                <w:tcPr>
                  <w:tcW w:w="1853" w:type="pct"/>
                  <w:tcBorders>
                    <w:tl2br w:val="nil"/>
                    <w:tr2bl w:val="nil"/>
                  </w:tcBorders>
                  <w:noWrap w:val="0"/>
                  <w:vAlign w:val="center"/>
                </w:tcPr>
                <w:p w14:paraId="1D85A38C">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氨氮/（mg/L）</w:t>
                  </w:r>
                </w:p>
              </w:tc>
              <w:tc>
                <w:tcPr>
                  <w:tcW w:w="1404" w:type="pct"/>
                  <w:tcBorders>
                    <w:tl2br w:val="nil"/>
                    <w:tr2bl w:val="nil"/>
                  </w:tcBorders>
                  <w:noWrap w:val="0"/>
                  <w:vAlign w:val="center"/>
                </w:tcPr>
                <w:p w14:paraId="398D66CD">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≤5</w:t>
                  </w:r>
                </w:p>
              </w:tc>
              <w:tc>
                <w:tcPr>
                  <w:tcW w:w="1405" w:type="pct"/>
                  <w:tcBorders>
                    <w:tl2br w:val="nil"/>
                    <w:tr2bl w:val="nil"/>
                  </w:tcBorders>
                  <w:noWrap w:val="0"/>
                  <w:vAlign w:val="center"/>
                </w:tcPr>
                <w:p w14:paraId="1473D158">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≤8</w:t>
                  </w:r>
                </w:p>
              </w:tc>
            </w:tr>
            <w:tr w14:paraId="53C93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6" w:type="pct"/>
                  <w:tcBorders>
                    <w:tl2br w:val="nil"/>
                    <w:tr2bl w:val="nil"/>
                  </w:tcBorders>
                  <w:noWrap w:val="0"/>
                  <w:vAlign w:val="center"/>
                </w:tcPr>
                <w:p w14:paraId="77F94B34">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7</w:t>
                  </w:r>
                </w:p>
              </w:tc>
              <w:tc>
                <w:tcPr>
                  <w:tcW w:w="1853" w:type="pct"/>
                  <w:tcBorders>
                    <w:tl2br w:val="nil"/>
                    <w:tr2bl w:val="nil"/>
                  </w:tcBorders>
                  <w:noWrap w:val="0"/>
                  <w:vAlign w:val="center"/>
                </w:tcPr>
                <w:p w14:paraId="22F5168B">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阴离子表面活性剂/（mg/L）</w:t>
                  </w:r>
                </w:p>
              </w:tc>
              <w:tc>
                <w:tcPr>
                  <w:tcW w:w="1404" w:type="pct"/>
                  <w:tcBorders>
                    <w:tl2br w:val="nil"/>
                    <w:tr2bl w:val="nil"/>
                  </w:tcBorders>
                  <w:noWrap w:val="0"/>
                  <w:vAlign w:val="center"/>
                </w:tcPr>
                <w:p w14:paraId="662A05E1">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≤0.5</w:t>
                  </w:r>
                </w:p>
              </w:tc>
              <w:tc>
                <w:tcPr>
                  <w:tcW w:w="1405" w:type="pct"/>
                  <w:tcBorders>
                    <w:tl2br w:val="nil"/>
                    <w:tr2bl w:val="nil"/>
                  </w:tcBorders>
                  <w:noWrap w:val="0"/>
                  <w:vAlign w:val="center"/>
                </w:tcPr>
                <w:p w14:paraId="0E89F39F">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≤0.5</w:t>
                  </w:r>
                </w:p>
              </w:tc>
            </w:tr>
            <w:tr w14:paraId="23B67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6" w:type="pct"/>
                  <w:tcBorders>
                    <w:tl2br w:val="nil"/>
                    <w:tr2bl w:val="nil"/>
                  </w:tcBorders>
                  <w:noWrap w:val="0"/>
                  <w:vAlign w:val="center"/>
                </w:tcPr>
                <w:p w14:paraId="7E158473">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8</w:t>
                  </w:r>
                </w:p>
              </w:tc>
              <w:tc>
                <w:tcPr>
                  <w:tcW w:w="1853" w:type="pct"/>
                  <w:tcBorders>
                    <w:tl2br w:val="nil"/>
                    <w:tr2bl w:val="nil"/>
                  </w:tcBorders>
                  <w:noWrap w:val="0"/>
                  <w:vAlign w:val="center"/>
                </w:tcPr>
                <w:p w14:paraId="666A25A8">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铁/（mg/L）</w:t>
                  </w:r>
                </w:p>
              </w:tc>
              <w:tc>
                <w:tcPr>
                  <w:tcW w:w="1404" w:type="pct"/>
                  <w:tcBorders>
                    <w:tl2br w:val="nil"/>
                    <w:tr2bl w:val="nil"/>
                  </w:tcBorders>
                  <w:noWrap w:val="0"/>
                  <w:vAlign w:val="center"/>
                </w:tcPr>
                <w:p w14:paraId="2C5F98EE">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≤0.3</w:t>
                  </w:r>
                </w:p>
              </w:tc>
              <w:tc>
                <w:tcPr>
                  <w:tcW w:w="1405" w:type="pct"/>
                  <w:tcBorders>
                    <w:tl2br w:val="nil"/>
                    <w:tr2bl w:val="nil"/>
                  </w:tcBorders>
                  <w:noWrap w:val="0"/>
                  <w:vAlign w:val="center"/>
                </w:tcPr>
                <w:p w14:paraId="71C0C6A0">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w:t>
                  </w:r>
                </w:p>
              </w:tc>
            </w:tr>
            <w:tr w14:paraId="34D36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6" w:type="pct"/>
                  <w:tcBorders>
                    <w:tl2br w:val="nil"/>
                    <w:tr2bl w:val="nil"/>
                  </w:tcBorders>
                  <w:noWrap w:val="0"/>
                  <w:vAlign w:val="center"/>
                </w:tcPr>
                <w:p w14:paraId="2945E6DC">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9</w:t>
                  </w:r>
                </w:p>
              </w:tc>
              <w:tc>
                <w:tcPr>
                  <w:tcW w:w="1853" w:type="pct"/>
                  <w:tcBorders>
                    <w:tl2br w:val="nil"/>
                    <w:tr2bl w:val="nil"/>
                  </w:tcBorders>
                  <w:noWrap w:val="0"/>
                  <w:vAlign w:val="center"/>
                </w:tcPr>
                <w:p w14:paraId="4672AA6B">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锰/（mg/L）</w:t>
                  </w:r>
                </w:p>
              </w:tc>
              <w:tc>
                <w:tcPr>
                  <w:tcW w:w="1404" w:type="pct"/>
                  <w:tcBorders>
                    <w:tl2br w:val="nil"/>
                    <w:tr2bl w:val="nil"/>
                  </w:tcBorders>
                  <w:noWrap w:val="0"/>
                  <w:vAlign w:val="center"/>
                </w:tcPr>
                <w:p w14:paraId="0C4EFD17">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≤0.1</w:t>
                  </w:r>
                </w:p>
              </w:tc>
              <w:tc>
                <w:tcPr>
                  <w:tcW w:w="1405" w:type="pct"/>
                  <w:tcBorders>
                    <w:tl2br w:val="nil"/>
                    <w:tr2bl w:val="nil"/>
                  </w:tcBorders>
                  <w:noWrap w:val="0"/>
                  <w:vAlign w:val="center"/>
                </w:tcPr>
                <w:p w14:paraId="7B52BECC">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w:t>
                  </w:r>
                </w:p>
              </w:tc>
            </w:tr>
            <w:tr w14:paraId="5554A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6" w:type="pct"/>
                  <w:tcBorders>
                    <w:tl2br w:val="nil"/>
                    <w:tr2bl w:val="nil"/>
                  </w:tcBorders>
                  <w:noWrap w:val="0"/>
                  <w:vAlign w:val="center"/>
                </w:tcPr>
                <w:p w14:paraId="4F57BDEA">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10</w:t>
                  </w:r>
                </w:p>
              </w:tc>
              <w:tc>
                <w:tcPr>
                  <w:tcW w:w="1853" w:type="pct"/>
                  <w:tcBorders>
                    <w:tl2br w:val="nil"/>
                    <w:tr2bl w:val="nil"/>
                  </w:tcBorders>
                  <w:noWrap w:val="0"/>
                  <w:vAlign w:val="center"/>
                </w:tcPr>
                <w:p w14:paraId="7FDCCA1A">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溶解性总固体/（mg/L）</w:t>
                  </w:r>
                </w:p>
              </w:tc>
              <w:tc>
                <w:tcPr>
                  <w:tcW w:w="1404" w:type="pct"/>
                  <w:tcBorders>
                    <w:tl2br w:val="nil"/>
                    <w:tr2bl w:val="nil"/>
                  </w:tcBorders>
                  <w:noWrap w:val="0"/>
                  <w:vAlign w:val="center"/>
                </w:tcPr>
                <w:p w14:paraId="38E06E47">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≤1000（2000）</w:t>
                  </w:r>
                </w:p>
              </w:tc>
              <w:tc>
                <w:tcPr>
                  <w:tcW w:w="1405" w:type="pct"/>
                  <w:tcBorders>
                    <w:tl2br w:val="nil"/>
                    <w:tr2bl w:val="nil"/>
                  </w:tcBorders>
                  <w:noWrap w:val="0"/>
                  <w:vAlign w:val="center"/>
                </w:tcPr>
                <w:p w14:paraId="4052BF8C">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≤1000（2000）</w:t>
                  </w:r>
                </w:p>
              </w:tc>
            </w:tr>
            <w:tr w14:paraId="584AA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6" w:type="pct"/>
                  <w:tcBorders>
                    <w:tl2br w:val="nil"/>
                    <w:tr2bl w:val="nil"/>
                  </w:tcBorders>
                  <w:noWrap w:val="0"/>
                  <w:vAlign w:val="center"/>
                </w:tcPr>
                <w:p w14:paraId="320667F2">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11</w:t>
                  </w:r>
                </w:p>
              </w:tc>
              <w:tc>
                <w:tcPr>
                  <w:tcW w:w="1853" w:type="pct"/>
                  <w:tcBorders>
                    <w:tl2br w:val="nil"/>
                    <w:tr2bl w:val="nil"/>
                  </w:tcBorders>
                  <w:noWrap w:val="0"/>
                  <w:vAlign w:val="center"/>
                </w:tcPr>
                <w:p w14:paraId="6091257A">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溶解氧/（mg/L）</w:t>
                  </w:r>
                </w:p>
              </w:tc>
              <w:tc>
                <w:tcPr>
                  <w:tcW w:w="1404" w:type="pct"/>
                  <w:tcBorders>
                    <w:tl2br w:val="nil"/>
                    <w:tr2bl w:val="nil"/>
                  </w:tcBorders>
                  <w:noWrap w:val="0"/>
                  <w:vAlign w:val="center"/>
                </w:tcPr>
                <w:p w14:paraId="4C0F76B3">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≥2.0</w:t>
                  </w:r>
                </w:p>
              </w:tc>
              <w:tc>
                <w:tcPr>
                  <w:tcW w:w="1405" w:type="pct"/>
                  <w:tcBorders>
                    <w:tl2br w:val="nil"/>
                    <w:tr2bl w:val="nil"/>
                  </w:tcBorders>
                  <w:noWrap w:val="0"/>
                  <w:vAlign w:val="center"/>
                </w:tcPr>
                <w:p w14:paraId="7705FA03">
                  <w:pPr>
                    <w:pStyle w:val="9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≥2.0</w:t>
                  </w:r>
                </w:p>
              </w:tc>
            </w:tr>
          </w:tbl>
          <w:p w14:paraId="0F517E0E">
            <w:pPr>
              <w:pStyle w:val="56"/>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jc w:val="both"/>
              <w:textAlignment w:val="baseline"/>
              <w:rPr>
                <w:rStyle w:val="81"/>
                <w:rFonts w:hint="eastAsia" w:ascii="Times New Roman" w:hAnsi="Times New Roman" w:eastAsia="宋体"/>
                <w:b w:val="0"/>
                <w:i w:val="0"/>
                <w:caps w:val="0"/>
                <w:color w:val="000000"/>
                <w:spacing w:val="0"/>
                <w:w w:val="100"/>
                <w:kern w:val="2"/>
                <w:sz w:val="24"/>
                <w:szCs w:val="24"/>
                <w:lang w:val="en-US" w:eastAsia="zh-CN" w:bidi="ar-SA"/>
              </w:rPr>
            </w:pPr>
            <w:r>
              <w:rPr>
                <w:rStyle w:val="81"/>
                <w:rFonts w:hint="eastAsia" w:ascii="Times New Roman" w:hAnsi="Times New Roman" w:eastAsia="宋体"/>
                <w:b w:val="0"/>
                <w:i w:val="0"/>
                <w:caps w:val="0"/>
                <w:color w:val="000000"/>
                <w:spacing w:val="0"/>
                <w:w w:val="100"/>
                <w:kern w:val="2"/>
                <w:sz w:val="24"/>
                <w:szCs w:val="24"/>
                <w:lang w:val="en-US" w:eastAsia="zh-CN" w:bidi="ar-SA"/>
              </w:rPr>
              <w:t>4、固废：</w:t>
            </w:r>
          </w:p>
          <w:p w14:paraId="4AB568F1">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Calibri"/>
                <w:color w:val="auto"/>
                <w:sz w:val="24"/>
                <w:szCs w:val="24"/>
                <w:lang w:val="en-US" w:eastAsia="zh-CN"/>
              </w:rPr>
              <w:t>一般固废执行《中华人民共和国固体废物污染环境防治法》（2020年</w:t>
            </w:r>
            <w:r>
              <w:rPr>
                <w:rFonts w:hint="eastAsia" w:ascii="Times New Roman" w:hAnsi="Times New Roman" w:eastAsia="宋体" w:cs="Calibri"/>
                <w:color w:val="auto"/>
                <w:sz w:val="24"/>
                <w:szCs w:val="24"/>
                <w:lang w:val="en-US" w:eastAsia="zh-CN"/>
              </w:rPr>
              <w:t>修订</w:t>
            </w:r>
            <w:r>
              <w:rPr>
                <w:rFonts w:hint="default" w:ascii="Times New Roman" w:hAnsi="Times New Roman" w:eastAsia="宋体" w:cs="Calibri"/>
                <w:color w:val="auto"/>
                <w:sz w:val="24"/>
                <w:szCs w:val="24"/>
                <w:lang w:val="en-US" w:eastAsia="zh-CN"/>
              </w:rPr>
              <w:t>）</w:t>
            </w:r>
            <w:r>
              <w:rPr>
                <w:rFonts w:hint="eastAsia" w:ascii="Times New Roman" w:hAnsi="Times New Roman" w:eastAsia="宋体" w:cs="Calibri"/>
                <w:color w:val="auto"/>
                <w:sz w:val="24"/>
                <w:szCs w:val="24"/>
                <w:lang w:val="en-US" w:eastAsia="zh-CN"/>
              </w:rPr>
              <w:t>及</w:t>
            </w:r>
            <w:r>
              <w:rPr>
                <w:rFonts w:hint="default" w:ascii="Times New Roman" w:hAnsi="Times New Roman" w:eastAsia="宋体" w:cs="Calibri"/>
                <w:color w:val="auto"/>
                <w:sz w:val="24"/>
                <w:szCs w:val="24"/>
                <w:lang w:val="en-US" w:eastAsia="zh-CN"/>
              </w:rPr>
              <w:t>《排污许可证申请与核发技术规范 工业固体废物（试行）》（HJ1200-2021）要求</w:t>
            </w:r>
            <w:r>
              <w:rPr>
                <w:rFonts w:hint="eastAsia" w:ascii="Times New Roman" w:hAnsi="Times New Roman" w:eastAsia="宋体" w:cs="Calibri"/>
                <w:color w:val="auto"/>
                <w:sz w:val="24"/>
                <w:szCs w:val="24"/>
                <w:lang w:val="en-US" w:eastAsia="zh-CN"/>
              </w:rPr>
              <w:t>；</w:t>
            </w:r>
            <w:r>
              <w:rPr>
                <w:rFonts w:hint="default" w:ascii="Times New Roman" w:hAnsi="Times New Roman" w:eastAsia="宋体" w:cs="Calibri"/>
                <w:color w:val="auto"/>
                <w:sz w:val="24"/>
                <w:szCs w:val="24"/>
                <w:lang w:val="en-US" w:eastAsia="zh-CN"/>
              </w:rPr>
              <w:t>危险废物执行《危险废物贮存污染控制标准》（GB18597</w:t>
            </w:r>
            <w:r>
              <w:rPr>
                <w:rFonts w:hint="eastAsia" w:ascii="Times New Roman" w:hAnsi="Times New Roman" w:eastAsia="宋体" w:cs="Calibri"/>
                <w:color w:val="auto"/>
                <w:sz w:val="24"/>
                <w:szCs w:val="24"/>
                <w:lang w:val="en-US" w:eastAsia="zh-CN"/>
              </w:rPr>
              <w:t>—2023</w:t>
            </w:r>
            <w:r>
              <w:rPr>
                <w:rFonts w:hint="default" w:ascii="Times New Roman" w:hAnsi="Times New Roman" w:eastAsia="宋体" w:cs="Calibri"/>
                <w:color w:val="auto"/>
                <w:sz w:val="24"/>
                <w:szCs w:val="24"/>
                <w:lang w:val="en-US" w:eastAsia="zh-CN"/>
              </w:rPr>
              <w:t>）</w:t>
            </w:r>
            <w:r>
              <w:rPr>
                <w:rFonts w:hint="default" w:ascii="Times New Roman" w:hAnsi="Times New Roman" w:eastAsia="宋体" w:cs="Times New Roman"/>
                <w:color w:val="auto"/>
                <w:sz w:val="24"/>
                <w:szCs w:val="24"/>
                <w:highlight w:val="none"/>
                <w:lang w:val="en-US" w:eastAsia="zh-CN"/>
              </w:rPr>
              <w:t>。</w:t>
            </w:r>
          </w:p>
          <w:p w14:paraId="7534324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Calibri"/>
                <w:color w:val="auto"/>
                <w:sz w:val="24"/>
                <w:szCs w:val="24"/>
                <w:lang w:val="en-US" w:eastAsia="zh-CN"/>
              </w:rPr>
              <w:t>二、运营期</w:t>
            </w:r>
          </w:p>
          <w:p w14:paraId="3F64F39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lang w:eastAsia="zh-CN"/>
              </w:rPr>
            </w:pPr>
            <w:r>
              <w:rPr>
                <w:rFonts w:hint="eastAsia" w:ascii="Times New Roman" w:hAnsi="Times New Roman" w:eastAsia="宋体" w:cs="Times New Roman"/>
                <w:color w:val="auto"/>
                <w:sz w:val="24"/>
                <w:szCs w:val="24"/>
                <w:lang w:val="en-US" w:eastAsia="zh-CN"/>
              </w:rPr>
              <w:t>废气：</w:t>
            </w:r>
            <w:r>
              <w:rPr>
                <w:rFonts w:hint="eastAsia"/>
                <w:sz w:val="24"/>
              </w:rPr>
              <w:t>颗粒物排放执行山东省地方标准《区域性大气污染物综合排放标准》（DB37/2376-2019）表1一般控制区以及《大气污染物综合排放标准》（GB16297-1996）表2标准；</w:t>
            </w:r>
            <w:r>
              <w:rPr>
                <w:rFonts w:hint="eastAsia"/>
                <w:sz w:val="24"/>
                <w:lang w:eastAsia="zh-CN"/>
              </w:rPr>
              <w:t>涂布工序</w:t>
            </w:r>
            <w:r>
              <w:rPr>
                <w:rFonts w:hint="eastAsia"/>
                <w:sz w:val="24"/>
              </w:rPr>
              <w:t>有机废气执行《挥发性有机物排放标准 第5部分：表面涂装行业》（DB37/2801.5-2018）表2加工纸制造行业标准限值及表3标准要求；</w:t>
            </w:r>
            <w:r>
              <w:rPr>
                <w:rFonts w:hint="eastAsia"/>
                <w:sz w:val="24"/>
                <w:lang w:eastAsia="zh-CN"/>
              </w:rPr>
              <w:t>印刷工序有机废气执行《挥发性有机物排放标准 第4部分：印刷业》（DB37/2801.</w:t>
            </w:r>
            <w:r>
              <w:rPr>
                <w:rFonts w:hint="eastAsia"/>
                <w:sz w:val="24"/>
                <w:lang w:val="en-US" w:eastAsia="zh-CN"/>
              </w:rPr>
              <w:t>4</w:t>
            </w:r>
            <w:r>
              <w:rPr>
                <w:rFonts w:hint="eastAsia"/>
                <w:sz w:val="24"/>
                <w:lang w:eastAsia="zh-CN"/>
              </w:rPr>
              <w:t>-201</w:t>
            </w:r>
            <w:r>
              <w:rPr>
                <w:rFonts w:hint="eastAsia"/>
                <w:sz w:val="24"/>
                <w:lang w:val="en-US" w:eastAsia="zh-CN"/>
              </w:rPr>
              <w:t>7</w:t>
            </w:r>
            <w:r>
              <w:rPr>
                <w:rFonts w:hint="eastAsia"/>
                <w:sz w:val="24"/>
                <w:lang w:eastAsia="zh-CN"/>
              </w:rPr>
              <w:t>）表</w:t>
            </w:r>
            <w:r>
              <w:rPr>
                <w:rFonts w:hint="eastAsia"/>
                <w:sz w:val="24"/>
                <w:lang w:val="en-US" w:eastAsia="zh-CN"/>
              </w:rPr>
              <w:t>2及表3标准限值</w:t>
            </w:r>
            <w:r>
              <w:rPr>
                <w:rFonts w:hint="eastAsia" w:ascii="Times New Roman" w:hAnsi="Times New Roman" w:eastAsia="宋体" w:cs="宋体"/>
                <w:color w:val="auto"/>
                <w:sz w:val="24"/>
                <w:highlight w:val="none"/>
                <w:lang w:val="en-US" w:eastAsia="zh-CN"/>
              </w:rPr>
              <w:t>。</w:t>
            </w:r>
          </w:p>
          <w:p w14:paraId="1CB1981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lang w:val="en-US" w:eastAsia="zh-CN"/>
              </w:rPr>
              <w:t>污水处理站</w:t>
            </w:r>
            <w:r>
              <w:rPr>
                <w:rFonts w:hint="eastAsia" w:ascii="Times New Roman" w:hAnsi="Times New Roman" w:eastAsia="宋体" w:cs="Times New Roman"/>
                <w:color w:val="auto"/>
                <w:sz w:val="24"/>
                <w:szCs w:val="24"/>
                <w:lang w:val="en-US" w:eastAsia="zh-CN"/>
              </w:rPr>
              <w:t>NH</w:t>
            </w:r>
            <w:r>
              <w:rPr>
                <w:rFonts w:hint="eastAsia"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lang w:val="en-US" w:eastAsia="zh-CN"/>
              </w:rPr>
              <w:t>、H</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S无组织排放浓度满足《恶臭污染物排放标准》（</w:t>
            </w:r>
            <w:r>
              <w:rPr>
                <w:rFonts w:hint="eastAsia" w:cs="Times New Roman"/>
                <w:color w:val="auto"/>
                <w:sz w:val="24"/>
                <w:szCs w:val="24"/>
                <w:lang w:val="en-US" w:eastAsia="zh-CN"/>
              </w:rPr>
              <w:t>GB 14554-1993</w:t>
            </w:r>
            <w:r>
              <w:rPr>
                <w:rFonts w:hint="eastAsia" w:ascii="Times New Roman" w:hAnsi="Times New Roman" w:eastAsia="宋体" w:cs="Times New Roman"/>
                <w:color w:val="auto"/>
                <w:sz w:val="24"/>
                <w:szCs w:val="24"/>
                <w:lang w:val="en-US" w:eastAsia="zh-CN"/>
              </w:rPr>
              <w:t>）中表1标准。臭气浓度满足</w:t>
            </w:r>
            <w:r>
              <w:rPr>
                <w:rFonts w:hint="eastAsia" w:ascii="Times New Roman" w:hAnsi="Times New Roman" w:eastAsia="宋体"/>
                <w:color w:val="auto"/>
                <w:kern w:val="0"/>
                <w:sz w:val="24"/>
                <w:szCs w:val="24"/>
                <w:highlight w:val="none"/>
                <w:lang w:eastAsia="zh-CN"/>
              </w:rPr>
              <w:t>《挥发性有机物排放标准第7部分：其他行业（DB37/2801.7-2019）》</w:t>
            </w:r>
            <w:r>
              <w:rPr>
                <w:rFonts w:hint="default" w:ascii="Times New Roman" w:hAnsi="Times New Roman" w:eastAsia="宋体" w:cs="宋体"/>
                <w:color w:val="auto"/>
                <w:sz w:val="24"/>
                <w:szCs w:val="24"/>
                <w:highlight w:val="none"/>
                <w:lang w:val="en-US" w:eastAsia="zh-CN"/>
              </w:rPr>
              <w:t>表</w:t>
            </w:r>
            <w:r>
              <w:rPr>
                <w:rFonts w:hint="eastAsia" w:ascii="Times New Roman" w:hAnsi="Times New Roman" w:eastAsia="宋体" w:cs="宋体"/>
                <w:color w:val="auto"/>
                <w:sz w:val="24"/>
                <w:szCs w:val="24"/>
                <w:highlight w:val="none"/>
                <w:lang w:val="en-US" w:eastAsia="zh-CN"/>
              </w:rPr>
              <w:t>2标准。</w:t>
            </w:r>
          </w:p>
          <w:p w14:paraId="537BC355">
            <w:pPr>
              <w:keepNext w:val="0"/>
              <w:keepLines w:val="0"/>
              <w:suppressLineNumbers w:val="0"/>
              <w:spacing w:before="0" w:beforeAutospacing="0" w:after="0" w:afterAutospacing="0" w:line="240" w:lineRule="auto"/>
              <w:ind w:left="6503" w:leftChars="114" w:right="0" w:hanging="6264" w:hangingChars="260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w:t>
            </w:r>
            <w:r>
              <w:rPr>
                <w:rFonts w:hint="eastAsia" w:ascii="Times New Roman" w:hAnsi="Times New Roman" w:cs="Times New Roman"/>
                <w:b/>
                <w:color w:val="auto"/>
                <w:sz w:val="24"/>
                <w:highlight w:val="none"/>
                <w:lang w:val="en-US" w:eastAsia="zh-CN"/>
              </w:rPr>
              <w:t>3-</w:t>
            </w:r>
            <w:r>
              <w:rPr>
                <w:rFonts w:hint="eastAsia" w:cs="Times New Roman"/>
                <w:b/>
                <w:color w:val="auto"/>
                <w:sz w:val="24"/>
                <w:highlight w:val="none"/>
                <w:lang w:val="en-US" w:eastAsia="zh-CN"/>
              </w:rPr>
              <w:t xml:space="preserve">8 </w:t>
            </w:r>
            <w:r>
              <w:rPr>
                <w:rFonts w:hint="default" w:ascii="Times New Roman" w:hAnsi="Times New Roman" w:cs="Times New Roman"/>
                <w:b/>
                <w:color w:val="auto"/>
                <w:sz w:val="24"/>
                <w:highlight w:val="none"/>
              </w:rPr>
              <w:t xml:space="preserve"> 大气污染物排放标准</w:t>
            </w:r>
          </w:p>
          <w:tbl>
            <w:tblPr>
              <w:tblStyle w:val="34"/>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742"/>
              <w:gridCol w:w="935"/>
              <w:gridCol w:w="766"/>
              <w:gridCol w:w="1018"/>
              <w:gridCol w:w="1142"/>
              <w:gridCol w:w="2499"/>
            </w:tblGrid>
            <w:tr w14:paraId="0A10C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54" w:hRule="atLeast"/>
                <w:tblHeader/>
                <w:jc w:val="center"/>
              </w:trPr>
              <w:tc>
                <w:tcPr>
                  <w:tcW w:w="1577" w:type="dxa"/>
                  <w:gridSpan w:val="2"/>
                  <w:vMerge w:val="restart"/>
                  <w:noWrap w:val="0"/>
                  <w:vAlign w:val="center"/>
                </w:tcPr>
                <w:p w14:paraId="5553FDA2">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污染物</w:t>
                  </w:r>
                </w:p>
              </w:tc>
              <w:tc>
                <w:tcPr>
                  <w:tcW w:w="1701" w:type="dxa"/>
                  <w:gridSpan w:val="2"/>
                  <w:noWrap w:val="0"/>
                  <w:vAlign w:val="center"/>
                </w:tcPr>
                <w:p w14:paraId="59FA2C95">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最高允许排放速率（kg/h）</w:t>
                  </w:r>
                </w:p>
              </w:tc>
              <w:tc>
                <w:tcPr>
                  <w:tcW w:w="1018" w:type="dxa"/>
                  <w:vMerge w:val="restart"/>
                  <w:noWrap w:val="0"/>
                  <w:vAlign w:val="center"/>
                </w:tcPr>
                <w:p w14:paraId="4310E5B2">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最高允许排放浓度mg/m</w:t>
                  </w:r>
                  <w:r>
                    <w:rPr>
                      <w:rFonts w:hint="default"/>
                      <w:b/>
                      <w:bCs/>
                      <w:szCs w:val="21"/>
                      <w:vertAlign w:val="superscript"/>
                    </w:rPr>
                    <w:t>3</w:t>
                  </w:r>
                </w:p>
              </w:tc>
              <w:tc>
                <w:tcPr>
                  <w:tcW w:w="1142" w:type="dxa"/>
                  <w:vMerge w:val="restart"/>
                  <w:noWrap w:val="0"/>
                  <w:vAlign w:val="center"/>
                </w:tcPr>
                <w:p w14:paraId="4D6D7C68">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无组织排放监控浓度限值mg/m</w:t>
                  </w:r>
                  <w:r>
                    <w:rPr>
                      <w:rFonts w:hint="default"/>
                      <w:b/>
                      <w:bCs/>
                      <w:szCs w:val="21"/>
                      <w:vertAlign w:val="superscript"/>
                    </w:rPr>
                    <w:t>3</w:t>
                  </w:r>
                </w:p>
              </w:tc>
              <w:tc>
                <w:tcPr>
                  <w:tcW w:w="2499" w:type="dxa"/>
                  <w:vMerge w:val="restart"/>
                  <w:noWrap w:val="0"/>
                  <w:vAlign w:val="center"/>
                </w:tcPr>
                <w:p w14:paraId="4BDEB767">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执行标准</w:t>
                  </w:r>
                </w:p>
              </w:tc>
            </w:tr>
            <w:tr w14:paraId="2BA3DE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577" w:type="dxa"/>
                  <w:gridSpan w:val="2"/>
                  <w:vMerge w:val="continue"/>
                  <w:noWrap w:val="0"/>
                  <w:vAlign w:val="center"/>
                </w:tcPr>
                <w:p w14:paraId="3D38A4F0">
                  <w:pPr>
                    <w:keepNext w:val="0"/>
                    <w:keepLines w:val="0"/>
                    <w:suppressLineNumbers w:val="0"/>
                    <w:spacing w:before="0" w:beforeAutospacing="0" w:after="0" w:afterAutospacing="0"/>
                    <w:ind w:left="0" w:right="0"/>
                    <w:jc w:val="center"/>
                    <w:rPr>
                      <w:rFonts w:hint="default"/>
                      <w:b/>
                      <w:bCs/>
                      <w:szCs w:val="21"/>
                    </w:rPr>
                  </w:pPr>
                </w:p>
              </w:tc>
              <w:tc>
                <w:tcPr>
                  <w:tcW w:w="935" w:type="dxa"/>
                  <w:noWrap w:val="0"/>
                  <w:vAlign w:val="center"/>
                </w:tcPr>
                <w:p w14:paraId="09579ED1">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排气筒高度(m)</w:t>
                  </w:r>
                </w:p>
              </w:tc>
              <w:tc>
                <w:tcPr>
                  <w:tcW w:w="766" w:type="dxa"/>
                  <w:noWrap w:val="0"/>
                  <w:vAlign w:val="center"/>
                </w:tcPr>
                <w:p w14:paraId="3256F64B">
                  <w:pPr>
                    <w:keepNext w:val="0"/>
                    <w:keepLines w:val="0"/>
                    <w:suppressLineNumbers w:val="0"/>
                    <w:spacing w:before="0" w:beforeAutospacing="0" w:after="0" w:afterAutospacing="0"/>
                    <w:ind w:left="0" w:right="0"/>
                    <w:jc w:val="center"/>
                    <w:rPr>
                      <w:rFonts w:hint="default"/>
                      <w:b/>
                      <w:bCs/>
                      <w:szCs w:val="21"/>
                    </w:rPr>
                  </w:pPr>
                  <w:r>
                    <w:rPr>
                      <w:rFonts w:hint="default"/>
                      <w:b/>
                      <w:bCs/>
                      <w:szCs w:val="21"/>
                    </w:rPr>
                    <w:t>排放速率</w:t>
                  </w:r>
                </w:p>
              </w:tc>
              <w:tc>
                <w:tcPr>
                  <w:tcW w:w="1018" w:type="dxa"/>
                  <w:vMerge w:val="continue"/>
                  <w:noWrap w:val="0"/>
                  <w:vAlign w:val="center"/>
                </w:tcPr>
                <w:p w14:paraId="544FA2F2">
                  <w:pPr>
                    <w:keepNext w:val="0"/>
                    <w:keepLines w:val="0"/>
                    <w:suppressLineNumbers w:val="0"/>
                    <w:spacing w:before="0" w:beforeAutospacing="0" w:after="0" w:afterAutospacing="0"/>
                    <w:ind w:left="0" w:right="0"/>
                    <w:jc w:val="center"/>
                    <w:rPr>
                      <w:rFonts w:hint="default"/>
                      <w:b/>
                      <w:szCs w:val="21"/>
                    </w:rPr>
                  </w:pPr>
                </w:p>
              </w:tc>
              <w:tc>
                <w:tcPr>
                  <w:tcW w:w="1142" w:type="dxa"/>
                  <w:vMerge w:val="continue"/>
                  <w:noWrap w:val="0"/>
                  <w:vAlign w:val="center"/>
                </w:tcPr>
                <w:p w14:paraId="04977290">
                  <w:pPr>
                    <w:keepNext w:val="0"/>
                    <w:keepLines w:val="0"/>
                    <w:suppressLineNumbers w:val="0"/>
                    <w:spacing w:before="0" w:beforeAutospacing="0" w:after="0" w:afterAutospacing="0"/>
                    <w:ind w:left="0" w:right="0"/>
                    <w:jc w:val="center"/>
                    <w:rPr>
                      <w:rFonts w:hint="default"/>
                      <w:b/>
                      <w:szCs w:val="21"/>
                    </w:rPr>
                  </w:pPr>
                </w:p>
              </w:tc>
              <w:tc>
                <w:tcPr>
                  <w:tcW w:w="2499" w:type="dxa"/>
                  <w:vMerge w:val="continue"/>
                  <w:noWrap w:val="0"/>
                  <w:vAlign w:val="center"/>
                </w:tcPr>
                <w:p w14:paraId="053A78F8">
                  <w:pPr>
                    <w:keepNext w:val="0"/>
                    <w:keepLines w:val="0"/>
                    <w:suppressLineNumbers w:val="0"/>
                    <w:spacing w:before="0" w:beforeAutospacing="0" w:after="0" w:afterAutospacing="0"/>
                    <w:ind w:left="0" w:right="0"/>
                    <w:jc w:val="center"/>
                    <w:rPr>
                      <w:rFonts w:hint="default"/>
                      <w:b/>
                      <w:szCs w:val="21"/>
                    </w:rPr>
                  </w:pPr>
                </w:p>
              </w:tc>
            </w:tr>
            <w:tr w14:paraId="38AEB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35" w:type="dxa"/>
                  <w:noWrap w:val="0"/>
                  <w:vAlign w:val="center"/>
                </w:tcPr>
                <w:p w14:paraId="37C86FD9">
                  <w:pPr>
                    <w:pStyle w:val="27"/>
                    <w:keepNext w:val="0"/>
                    <w:keepLines w:val="0"/>
                    <w:suppressLineNumbers w:val="0"/>
                    <w:spacing w:before="0" w:beforeAutospacing="0" w:after="0" w:afterAutospacing="0" w:line="240" w:lineRule="auto"/>
                    <w:ind w:left="0" w:right="0"/>
                    <w:rPr>
                      <w:rFonts w:hint="default" w:eastAsia="宋体"/>
                      <w:sz w:val="21"/>
                      <w:szCs w:val="21"/>
                      <w:lang w:val="en-US" w:eastAsia="zh-CN"/>
                    </w:rPr>
                  </w:pPr>
                  <w:r>
                    <w:rPr>
                      <w:rFonts w:hint="eastAsia"/>
                      <w:sz w:val="21"/>
                      <w:szCs w:val="21"/>
                      <w:lang w:val="en-US" w:eastAsia="zh-CN"/>
                    </w:rPr>
                    <w:t>DA001</w:t>
                  </w:r>
                </w:p>
              </w:tc>
              <w:tc>
                <w:tcPr>
                  <w:tcW w:w="742" w:type="dxa"/>
                  <w:noWrap w:val="0"/>
                  <w:vAlign w:val="center"/>
                </w:tcPr>
                <w:p w14:paraId="7A415EE8">
                  <w:pPr>
                    <w:pStyle w:val="27"/>
                    <w:keepNext w:val="0"/>
                    <w:keepLines w:val="0"/>
                    <w:suppressLineNumbers w:val="0"/>
                    <w:spacing w:before="0" w:beforeAutospacing="0" w:after="0" w:afterAutospacing="0" w:line="240" w:lineRule="auto"/>
                    <w:ind w:left="0" w:right="0"/>
                    <w:rPr>
                      <w:rFonts w:hint="eastAsia"/>
                      <w:kern w:val="2"/>
                      <w:sz w:val="21"/>
                      <w:szCs w:val="21"/>
                      <w:lang w:val="en-US" w:eastAsia="zh-CN" w:bidi="ar-SA"/>
                    </w:rPr>
                  </w:pPr>
                  <w:r>
                    <w:rPr>
                      <w:rFonts w:hint="eastAsia"/>
                      <w:sz w:val="21"/>
                      <w:szCs w:val="21"/>
                    </w:rPr>
                    <w:t>颗粒物</w:t>
                  </w:r>
                </w:p>
              </w:tc>
              <w:tc>
                <w:tcPr>
                  <w:tcW w:w="935" w:type="dxa"/>
                  <w:noWrap w:val="0"/>
                  <w:vAlign w:val="center"/>
                </w:tcPr>
                <w:p w14:paraId="2DF2E629">
                  <w:pPr>
                    <w:keepNext w:val="0"/>
                    <w:keepLines w:val="0"/>
                    <w:suppressLineNumbers w:val="0"/>
                    <w:adjustRightInd w:val="0"/>
                    <w:spacing w:before="0" w:beforeAutospacing="0" w:after="0" w:afterAutospacing="0"/>
                    <w:ind w:left="0" w:right="0"/>
                    <w:jc w:val="center"/>
                    <w:rPr>
                      <w:rFonts w:hint="default"/>
                      <w:bCs/>
                      <w:szCs w:val="21"/>
                    </w:rPr>
                  </w:pPr>
                  <w:r>
                    <w:rPr>
                      <w:rFonts w:hint="eastAsia"/>
                      <w:bCs/>
                      <w:color w:val="000000"/>
                      <w:szCs w:val="21"/>
                    </w:rPr>
                    <w:t>15</w:t>
                  </w:r>
                </w:p>
              </w:tc>
              <w:tc>
                <w:tcPr>
                  <w:tcW w:w="766" w:type="dxa"/>
                  <w:noWrap w:val="0"/>
                  <w:vAlign w:val="center"/>
                </w:tcPr>
                <w:p w14:paraId="34450323">
                  <w:pPr>
                    <w:pStyle w:val="27"/>
                    <w:keepNext w:val="0"/>
                    <w:keepLines w:val="0"/>
                    <w:suppressLineNumbers w:val="0"/>
                    <w:spacing w:before="0" w:beforeAutospacing="0" w:after="0" w:afterAutospacing="0" w:line="240" w:lineRule="auto"/>
                    <w:ind w:left="0" w:right="0"/>
                    <w:rPr>
                      <w:rFonts w:hint="default"/>
                      <w:sz w:val="21"/>
                      <w:szCs w:val="21"/>
                    </w:rPr>
                  </w:pPr>
                  <w:r>
                    <w:rPr>
                      <w:rFonts w:hint="eastAsia"/>
                      <w:color w:val="000000"/>
                      <w:sz w:val="21"/>
                      <w:szCs w:val="21"/>
                    </w:rPr>
                    <w:t>3.5</w:t>
                  </w:r>
                </w:p>
              </w:tc>
              <w:tc>
                <w:tcPr>
                  <w:tcW w:w="1018" w:type="dxa"/>
                  <w:noWrap w:val="0"/>
                  <w:vAlign w:val="center"/>
                </w:tcPr>
                <w:p w14:paraId="0599075F">
                  <w:pPr>
                    <w:pStyle w:val="27"/>
                    <w:keepNext w:val="0"/>
                    <w:keepLines w:val="0"/>
                    <w:suppressLineNumbers w:val="0"/>
                    <w:spacing w:before="0" w:beforeAutospacing="0" w:after="0" w:afterAutospacing="0" w:line="240" w:lineRule="auto"/>
                    <w:ind w:left="0" w:right="0"/>
                    <w:rPr>
                      <w:rFonts w:hint="default"/>
                      <w:sz w:val="21"/>
                      <w:szCs w:val="21"/>
                    </w:rPr>
                  </w:pPr>
                  <w:r>
                    <w:rPr>
                      <w:rFonts w:hint="eastAsia"/>
                      <w:color w:val="000000"/>
                      <w:sz w:val="21"/>
                      <w:szCs w:val="21"/>
                    </w:rPr>
                    <w:t>20</w:t>
                  </w:r>
                </w:p>
              </w:tc>
              <w:tc>
                <w:tcPr>
                  <w:tcW w:w="1142" w:type="dxa"/>
                  <w:noWrap w:val="0"/>
                  <w:vAlign w:val="center"/>
                </w:tcPr>
                <w:p w14:paraId="261677AB">
                  <w:pPr>
                    <w:pStyle w:val="27"/>
                    <w:keepNext w:val="0"/>
                    <w:keepLines w:val="0"/>
                    <w:suppressLineNumbers w:val="0"/>
                    <w:spacing w:before="0" w:beforeAutospacing="0" w:after="0" w:afterAutospacing="0" w:line="240" w:lineRule="auto"/>
                    <w:ind w:left="0" w:right="0"/>
                    <w:rPr>
                      <w:rFonts w:hint="default"/>
                      <w:sz w:val="21"/>
                      <w:szCs w:val="21"/>
                    </w:rPr>
                  </w:pPr>
                  <w:r>
                    <w:rPr>
                      <w:rFonts w:hint="default"/>
                      <w:color w:val="000000"/>
                      <w:sz w:val="21"/>
                      <w:szCs w:val="21"/>
                    </w:rPr>
                    <w:t>1.0</w:t>
                  </w:r>
                </w:p>
              </w:tc>
              <w:tc>
                <w:tcPr>
                  <w:tcW w:w="2499" w:type="dxa"/>
                  <w:noWrap w:val="0"/>
                  <w:vAlign w:val="center"/>
                </w:tcPr>
                <w:p w14:paraId="3831BEAB">
                  <w:pPr>
                    <w:pStyle w:val="66"/>
                    <w:keepNext w:val="0"/>
                    <w:keepLines w:val="0"/>
                    <w:suppressLineNumbers w:val="0"/>
                    <w:wordWrap w:val="0"/>
                    <w:spacing w:before="0" w:beforeAutospacing="0" w:after="0" w:afterAutospacing="0" w:line="240" w:lineRule="auto"/>
                    <w:ind w:left="0" w:right="0" w:firstLine="0" w:firstLineChars="0"/>
                    <w:jc w:val="center"/>
                    <w:rPr>
                      <w:rFonts w:hint="default"/>
                    </w:rPr>
                  </w:pPr>
                  <w:r>
                    <w:rPr>
                      <w:rFonts w:hint="default" w:eastAsia="宋体"/>
                      <w:sz w:val="21"/>
                      <w:szCs w:val="21"/>
                    </w:rPr>
                    <w:t>《区域性大气污染物综合排放标准》（DB37/2376-2019）</w:t>
                  </w:r>
                  <w:r>
                    <w:rPr>
                      <w:rFonts w:hint="eastAsia" w:eastAsia="宋体"/>
                      <w:sz w:val="21"/>
                      <w:szCs w:val="21"/>
                    </w:rPr>
                    <w:t>、</w:t>
                  </w:r>
                  <w:r>
                    <w:rPr>
                      <w:rFonts w:hint="default" w:eastAsia="宋体"/>
                      <w:sz w:val="21"/>
                      <w:szCs w:val="21"/>
                    </w:rPr>
                    <w:t>《大气污染物综合排放标准》（GB16297-1996）</w:t>
                  </w:r>
                </w:p>
              </w:tc>
            </w:tr>
            <w:tr w14:paraId="27212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35" w:type="dxa"/>
                  <w:noWrap w:val="0"/>
                  <w:vAlign w:val="center"/>
                </w:tcPr>
                <w:p w14:paraId="67F973B9">
                  <w:pPr>
                    <w:pStyle w:val="27"/>
                    <w:keepNext w:val="0"/>
                    <w:keepLines w:val="0"/>
                    <w:suppressLineNumbers w:val="0"/>
                    <w:spacing w:before="0" w:beforeAutospacing="0" w:after="0" w:afterAutospacing="0" w:line="240" w:lineRule="auto"/>
                    <w:ind w:left="0" w:right="0"/>
                    <w:rPr>
                      <w:rFonts w:hint="default"/>
                      <w:sz w:val="21"/>
                      <w:szCs w:val="21"/>
                      <w:lang w:val="en-US"/>
                    </w:rPr>
                  </w:pPr>
                  <w:r>
                    <w:rPr>
                      <w:rFonts w:hint="eastAsia"/>
                      <w:sz w:val="21"/>
                      <w:szCs w:val="21"/>
                      <w:lang w:val="en-US" w:eastAsia="zh-CN"/>
                    </w:rPr>
                    <w:t>DA002</w:t>
                  </w:r>
                </w:p>
              </w:tc>
              <w:tc>
                <w:tcPr>
                  <w:tcW w:w="742" w:type="dxa"/>
                  <w:noWrap w:val="0"/>
                  <w:vAlign w:val="center"/>
                </w:tcPr>
                <w:p w14:paraId="74F9296C">
                  <w:pPr>
                    <w:pStyle w:val="27"/>
                    <w:keepNext w:val="0"/>
                    <w:keepLines w:val="0"/>
                    <w:suppressLineNumbers w:val="0"/>
                    <w:spacing w:before="0" w:beforeAutospacing="0" w:after="0" w:afterAutospacing="0" w:line="240" w:lineRule="auto"/>
                    <w:ind w:left="0" w:right="0"/>
                    <w:rPr>
                      <w:rFonts w:hint="eastAsia"/>
                      <w:kern w:val="2"/>
                      <w:sz w:val="21"/>
                      <w:szCs w:val="21"/>
                      <w:lang w:val="en-US" w:eastAsia="zh-CN" w:bidi="ar-SA"/>
                    </w:rPr>
                  </w:pPr>
                  <w:r>
                    <w:rPr>
                      <w:rFonts w:hint="eastAsia"/>
                      <w:sz w:val="21"/>
                      <w:szCs w:val="21"/>
                    </w:rPr>
                    <w:t>VOCs</w:t>
                  </w:r>
                </w:p>
              </w:tc>
              <w:tc>
                <w:tcPr>
                  <w:tcW w:w="935" w:type="dxa"/>
                  <w:noWrap w:val="0"/>
                  <w:vAlign w:val="center"/>
                </w:tcPr>
                <w:p w14:paraId="6503BE88">
                  <w:pPr>
                    <w:keepNext w:val="0"/>
                    <w:keepLines w:val="0"/>
                    <w:suppressLineNumbers w:val="0"/>
                    <w:adjustRightInd w:val="0"/>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15</w:t>
                  </w:r>
                </w:p>
              </w:tc>
              <w:tc>
                <w:tcPr>
                  <w:tcW w:w="766" w:type="dxa"/>
                  <w:noWrap w:val="0"/>
                  <w:vAlign w:val="center"/>
                </w:tcPr>
                <w:p w14:paraId="3981541F">
                  <w:pPr>
                    <w:pStyle w:val="27"/>
                    <w:keepNext w:val="0"/>
                    <w:keepLines w:val="0"/>
                    <w:suppressLineNumbers w:val="0"/>
                    <w:spacing w:before="0" w:beforeAutospacing="0" w:after="0" w:afterAutospacing="0" w:line="240" w:lineRule="auto"/>
                    <w:ind w:left="0" w:right="0"/>
                    <w:rPr>
                      <w:rFonts w:hint="default" w:eastAsia="宋体"/>
                      <w:sz w:val="21"/>
                      <w:szCs w:val="21"/>
                      <w:lang w:val="en-US" w:eastAsia="zh-CN"/>
                    </w:rPr>
                  </w:pPr>
                  <w:r>
                    <w:rPr>
                      <w:rFonts w:hint="eastAsia"/>
                      <w:sz w:val="21"/>
                      <w:szCs w:val="21"/>
                      <w:lang w:val="en-US" w:eastAsia="zh-CN"/>
                    </w:rPr>
                    <w:t>1.5</w:t>
                  </w:r>
                </w:p>
              </w:tc>
              <w:tc>
                <w:tcPr>
                  <w:tcW w:w="1018" w:type="dxa"/>
                  <w:noWrap w:val="0"/>
                  <w:vAlign w:val="center"/>
                </w:tcPr>
                <w:p w14:paraId="04E99601">
                  <w:pPr>
                    <w:pStyle w:val="27"/>
                    <w:keepNext w:val="0"/>
                    <w:keepLines w:val="0"/>
                    <w:suppressLineNumbers w:val="0"/>
                    <w:spacing w:before="0" w:beforeAutospacing="0" w:after="0" w:afterAutospacing="0" w:line="240" w:lineRule="auto"/>
                    <w:ind w:left="0" w:right="0"/>
                    <w:rPr>
                      <w:rFonts w:hint="default" w:eastAsia="宋体"/>
                      <w:sz w:val="21"/>
                      <w:szCs w:val="21"/>
                      <w:lang w:val="en-US" w:eastAsia="zh-CN"/>
                    </w:rPr>
                  </w:pPr>
                  <w:r>
                    <w:rPr>
                      <w:rFonts w:hint="eastAsia"/>
                      <w:sz w:val="21"/>
                      <w:szCs w:val="21"/>
                      <w:lang w:val="en-US" w:eastAsia="zh-CN"/>
                    </w:rPr>
                    <w:t>50</w:t>
                  </w:r>
                </w:p>
              </w:tc>
              <w:tc>
                <w:tcPr>
                  <w:tcW w:w="1142" w:type="dxa"/>
                  <w:noWrap w:val="0"/>
                  <w:vAlign w:val="center"/>
                </w:tcPr>
                <w:p w14:paraId="5BF77F98">
                  <w:pPr>
                    <w:pStyle w:val="27"/>
                    <w:keepNext w:val="0"/>
                    <w:keepLines w:val="0"/>
                    <w:suppressLineNumbers w:val="0"/>
                    <w:spacing w:before="0" w:beforeAutospacing="0" w:after="0" w:afterAutospacing="0" w:line="240" w:lineRule="auto"/>
                    <w:ind w:left="0" w:right="0"/>
                    <w:rPr>
                      <w:rFonts w:hint="default" w:eastAsia="宋体"/>
                      <w:sz w:val="21"/>
                      <w:szCs w:val="21"/>
                      <w:lang w:val="en-US" w:eastAsia="zh-CN"/>
                    </w:rPr>
                  </w:pPr>
                  <w:r>
                    <w:rPr>
                      <w:rFonts w:hint="eastAsia"/>
                      <w:sz w:val="21"/>
                      <w:szCs w:val="21"/>
                      <w:lang w:val="en-US" w:eastAsia="zh-CN"/>
                    </w:rPr>
                    <w:t>2.0</w:t>
                  </w:r>
                </w:p>
              </w:tc>
              <w:tc>
                <w:tcPr>
                  <w:tcW w:w="2499" w:type="dxa"/>
                  <w:noWrap w:val="0"/>
                  <w:vAlign w:val="center"/>
                </w:tcPr>
                <w:p w14:paraId="1EC847C3">
                  <w:pPr>
                    <w:pStyle w:val="66"/>
                    <w:keepNext w:val="0"/>
                    <w:keepLines w:val="0"/>
                    <w:suppressLineNumbers w:val="0"/>
                    <w:spacing w:before="0" w:beforeAutospacing="0" w:after="0" w:afterAutospacing="0" w:line="240" w:lineRule="auto"/>
                    <w:ind w:left="0" w:right="0" w:firstLine="0" w:firstLineChars="0"/>
                    <w:jc w:val="center"/>
                    <w:rPr>
                      <w:rFonts w:hint="eastAsia" w:eastAsia="宋体"/>
                      <w:sz w:val="21"/>
                      <w:szCs w:val="21"/>
                    </w:rPr>
                  </w:pPr>
                  <w:r>
                    <w:rPr>
                      <w:rFonts w:hint="eastAsia" w:eastAsia="宋体"/>
                      <w:sz w:val="21"/>
                      <w:szCs w:val="21"/>
                      <w:lang w:eastAsia="zh-CN"/>
                    </w:rPr>
                    <w:t>《挥发性有机物排放标准 第4部分：印刷业》（DB37/2801.</w:t>
                  </w:r>
                  <w:r>
                    <w:rPr>
                      <w:rFonts w:hint="eastAsia" w:eastAsia="宋体"/>
                      <w:sz w:val="21"/>
                      <w:szCs w:val="21"/>
                      <w:lang w:val="en-US" w:eastAsia="zh-CN"/>
                    </w:rPr>
                    <w:t>4</w:t>
                  </w:r>
                  <w:r>
                    <w:rPr>
                      <w:rFonts w:hint="eastAsia" w:eastAsia="宋体"/>
                      <w:sz w:val="21"/>
                      <w:szCs w:val="21"/>
                      <w:lang w:eastAsia="zh-CN"/>
                    </w:rPr>
                    <w:t>-201</w:t>
                  </w:r>
                  <w:r>
                    <w:rPr>
                      <w:rFonts w:hint="eastAsia" w:eastAsia="宋体"/>
                      <w:sz w:val="21"/>
                      <w:szCs w:val="21"/>
                      <w:lang w:val="en-US" w:eastAsia="zh-CN"/>
                    </w:rPr>
                    <w:t>7</w:t>
                  </w:r>
                  <w:r>
                    <w:rPr>
                      <w:rFonts w:hint="eastAsia" w:eastAsia="宋体"/>
                      <w:sz w:val="21"/>
                      <w:szCs w:val="21"/>
                      <w:lang w:eastAsia="zh-CN"/>
                    </w:rPr>
                    <w:t>）</w:t>
                  </w:r>
                </w:p>
              </w:tc>
            </w:tr>
            <w:tr w14:paraId="5406B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77" w:type="dxa"/>
                  <w:gridSpan w:val="2"/>
                  <w:noWrap w:val="0"/>
                  <w:vAlign w:val="center"/>
                </w:tcPr>
                <w:p w14:paraId="2B1DBB2D">
                  <w:pPr>
                    <w:keepNext w:val="0"/>
                    <w:keepLines w:val="0"/>
                    <w:suppressLineNumbers w:val="0"/>
                    <w:spacing w:before="0" w:beforeAutospacing="0" w:after="0" w:afterAutospacing="0" w:line="360" w:lineRule="exact"/>
                    <w:ind w:left="0" w:right="0"/>
                    <w:jc w:val="center"/>
                    <w:rPr>
                      <w:rFonts w:hint="eastAsia"/>
                      <w:szCs w:val="21"/>
                    </w:rPr>
                  </w:pPr>
                  <w:r>
                    <w:rPr>
                      <w:rFonts w:hint="default"/>
                      <w:szCs w:val="21"/>
                    </w:rPr>
                    <w:t>NH</w:t>
                  </w:r>
                  <w:r>
                    <w:rPr>
                      <w:rFonts w:hint="default"/>
                      <w:szCs w:val="21"/>
                      <w:vertAlign w:val="subscript"/>
                    </w:rPr>
                    <w:t>3</w:t>
                  </w:r>
                </w:p>
              </w:tc>
              <w:tc>
                <w:tcPr>
                  <w:tcW w:w="935" w:type="dxa"/>
                  <w:noWrap w:val="0"/>
                  <w:vAlign w:val="center"/>
                </w:tcPr>
                <w:p w14:paraId="40CA3E7F">
                  <w:pPr>
                    <w:keepNext w:val="0"/>
                    <w:keepLines w:val="0"/>
                    <w:suppressLineNumbers w:val="0"/>
                    <w:adjustRightInd w:val="0"/>
                    <w:spacing w:before="0" w:beforeAutospacing="0" w:after="0" w:afterAutospacing="0"/>
                    <w:ind w:left="0" w:right="0"/>
                    <w:jc w:val="center"/>
                    <w:rPr>
                      <w:rFonts w:hint="default"/>
                      <w:bCs/>
                      <w:szCs w:val="21"/>
                    </w:rPr>
                  </w:pPr>
                  <w:r>
                    <w:rPr>
                      <w:rFonts w:hint="eastAsia"/>
                      <w:bCs/>
                      <w:szCs w:val="21"/>
                    </w:rPr>
                    <w:t>/</w:t>
                  </w:r>
                </w:p>
              </w:tc>
              <w:tc>
                <w:tcPr>
                  <w:tcW w:w="766" w:type="dxa"/>
                  <w:noWrap w:val="0"/>
                  <w:vAlign w:val="center"/>
                </w:tcPr>
                <w:p w14:paraId="584EA0FB">
                  <w:pPr>
                    <w:keepNext w:val="0"/>
                    <w:keepLines w:val="0"/>
                    <w:suppressLineNumbers w:val="0"/>
                    <w:adjustRightInd w:val="0"/>
                    <w:spacing w:before="0" w:beforeAutospacing="0" w:after="0" w:afterAutospacing="0"/>
                    <w:ind w:left="0" w:right="0"/>
                    <w:jc w:val="center"/>
                    <w:rPr>
                      <w:rFonts w:hint="eastAsia"/>
                      <w:bCs/>
                      <w:szCs w:val="21"/>
                    </w:rPr>
                  </w:pPr>
                  <w:r>
                    <w:rPr>
                      <w:rFonts w:hint="eastAsia"/>
                      <w:bCs/>
                      <w:szCs w:val="21"/>
                    </w:rPr>
                    <w:t>/</w:t>
                  </w:r>
                </w:p>
              </w:tc>
              <w:tc>
                <w:tcPr>
                  <w:tcW w:w="1018" w:type="dxa"/>
                  <w:noWrap w:val="0"/>
                  <w:vAlign w:val="center"/>
                </w:tcPr>
                <w:p w14:paraId="1346FF7C">
                  <w:pPr>
                    <w:keepNext w:val="0"/>
                    <w:keepLines w:val="0"/>
                    <w:suppressLineNumbers w:val="0"/>
                    <w:adjustRightInd w:val="0"/>
                    <w:spacing w:before="0" w:beforeAutospacing="0" w:after="0" w:afterAutospacing="0"/>
                    <w:ind w:left="0" w:right="0"/>
                    <w:jc w:val="center"/>
                    <w:rPr>
                      <w:rFonts w:hint="eastAsia"/>
                      <w:szCs w:val="21"/>
                    </w:rPr>
                  </w:pPr>
                  <w:r>
                    <w:rPr>
                      <w:rFonts w:hint="eastAsia"/>
                      <w:bCs/>
                      <w:szCs w:val="21"/>
                    </w:rPr>
                    <w:t>/</w:t>
                  </w:r>
                </w:p>
              </w:tc>
              <w:tc>
                <w:tcPr>
                  <w:tcW w:w="1142" w:type="dxa"/>
                  <w:noWrap w:val="0"/>
                  <w:vAlign w:val="center"/>
                </w:tcPr>
                <w:p w14:paraId="506F83B1">
                  <w:pPr>
                    <w:keepNext w:val="0"/>
                    <w:keepLines w:val="0"/>
                    <w:suppressLineNumbers w:val="0"/>
                    <w:spacing w:before="0" w:beforeAutospacing="0" w:after="0" w:afterAutospacing="0" w:line="360" w:lineRule="exact"/>
                    <w:ind w:left="0" w:right="0"/>
                    <w:jc w:val="center"/>
                    <w:rPr>
                      <w:rFonts w:hint="eastAsia"/>
                      <w:b/>
                      <w:szCs w:val="21"/>
                    </w:rPr>
                  </w:pPr>
                  <w:r>
                    <w:rPr>
                      <w:rFonts w:hint="default"/>
                      <w:szCs w:val="21"/>
                    </w:rPr>
                    <w:t>1.5</w:t>
                  </w:r>
                </w:p>
              </w:tc>
              <w:tc>
                <w:tcPr>
                  <w:tcW w:w="2499" w:type="dxa"/>
                  <w:vMerge w:val="restart"/>
                  <w:noWrap w:val="0"/>
                  <w:vAlign w:val="center"/>
                </w:tcPr>
                <w:p w14:paraId="61746874">
                  <w:pPr>
                    <w:pStyle w:val="66"/>
                    <w:keepNext w:val="0"/>
                    <w:keepLines w:val="0"/>
                    <w:suppressLineNumbers w:val="0"/>
                    <w:spacing w:before="0" w:beforeAutospacing="0" w:after="0" w:afterAutospacing="0" w:line="240" w:lineRule="auto"/>
                    <w:ind w:left="0" w:right="0" w:firstLine="0" w:firstLineChars="0"/>
                    <w:jc w:val="center"/>
                    <w:rPr>
                      <w:rFonts w:hint="eastAsia" w:eastAsia="宋体"/>
                      <w:sz w:val="21"/>
                      <w:szCs w:val="21"/>
                    </w:rPr>
                  </w:pPr>
                  <w:r>
                    <w:rPr>
                      <w:rFonts w:hint="eastAsia" w:eastAsia="宋体"/>
                      <w:sz w:val="21"/>
                      <w:szCs w:val="21"/>
                    </w:rPr>
                    <w:t>《恶臭污染物排放标准》(GB14554-93)</w:t>
                  </w:r>
                </w:p>
              </w:tc>
            </w:tr>
            <w:tr w14:paraId="653DA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54" w:hRule="atLeast"/>
                <w:jc w:val="center"/>
              </w:trPr>
              <w:tc>
                <w:tcPr>
                  <w:tcW w:w="1577" w:type="dxa"/>
                  <w:gridSpan w:val="2"/>
                  <w:noWrap w:val="0"/>
                  <w:vAlign w:val="center"/>
                </w:tcPr>
                <w:p w14:paraId="5D302D84">
                  <w:pPr>
                    <w:keepNext w:val="0"/>
                    <w:keepLines w:val="0"/>
                    <w:suppressLineNumbers w:val="0"/>
                    <w:spacing w:before="0" w:beforeAutospacing="0" w:after="0" w:afterAutospacing="0" w:line="360" w:lineRule="exact"/>
                    <w:ind w:left="0" w:right="0"/>
                    <w:jc w:val="center"/>
                    <w:rPr>
                      <w:rFonts w:hint="eastAsia"/>
                      <w:szCs w:val="21"/>
                    </w:rPr>
                  </w:pPr>
                  <w:r>
                    <w:rPr>
                      <w:rFonts w:hint="default"/>
                      <w:szCs w:val="21"/>
                    </w:rPr>
                    <w:t>H</w:t>
                  </w:r>
                  <w:r>
                    <w:rPr>
                      <w:rFonts w:hint="default"/>
                      <w:szCs w:val="21"/>
                      <w:vertAlign w:val="subscript"/>
                    </w:rPr>
                    <w:t>2</w:t>
                  </w:r>
                  <w:r>
                    <w:rPr>
                      <w:rFonts w:hint="default"/>
                      <w:szCs w:val="21"/>
                    </w:rPr>
                    <w:t>S</w:t>
                  </w:r>
                </w:p>
              </w:tc>
              <w:tc>
                <w:tcPr>
                  <w:tcW w:w="935" w:type="dxa"/>
                  <w:noWrap w:val="0"/>
                  <w:vAlign w:val="center"/>
                </w:tcPr>
                <w:p w14:paraId="7CC46136">
                  <w:pPr>
                    <w:keepNext w:val="0"/>
                    <w:keepLines w:val="0"/>
                    <w:suppressLineNumbers w:val="0"/>
                    <w:adjustRightInd w:val="0"/>
                    <w:spacing w:before="0" w:beforeAutospacing="0" w:after="0" w:afterAutospacing="0"/>
                    <w:ind w:left="0" w:right="0"/>
                    <w:jc w:val="center"/>
                    <w:rPr>
                      <w:rFonts w:hint="eastAsia"/>
                      <w:bCs/>
                      <w:szCs w:val="21"/>
                    </w:rPr>
                  </w:pPr>
                  <w:r>
                    <w:rPr>
                      <w:rFonts w:hint="eastAsia"/>
                      <w:bCs/>
                      <w:szCs w:val="21"/>
                    </w:rPr>
                    <w:t>/</w:t>
                  </w:r>
                </w:p>
              </w:tc>
              <w:tc>
                <w:tcPr>
                  <w:tcW w:w="766" w:type="dxa"/>
                  <w:noWrap w:val="0"/>
                  <w:vAlign w:val="center"/>
                </w:tcPr>
                <w:p w14:paraId="2F05F19E">
                  <w:pPr>
                    <w:keepNext w:val="0"/>
                    <w:keepLines w:val="0"/>
                    <w:suppressLineNumbers w:val="0"/>
                    <w:adjustRightInd w:val="0"/>
                    <w:spacing w:before="0" w:beforeAutospacing="0" w:after="0" w:afterAutospacing="0"/>
                    <w:ind w:left="0" w:right="0"/>
                    <w:jc w:val="center"/>
                    <w:rPr>
                      <w:rFonts w:hint="eastAsia"/>
                      <w:bCs/>
                      <w:szCs w:val="21"/>
                    </w:rPr>
                  </w:pPr>
                  <w:r>
                    <w:rPr>
                      <w:rFonts w:hint="eastAsia"/>
                      <w:bCs/>
                      <w:szCs w:val="21"/>
                    </w:rPr>
                    <w:t>/</w:t>
                  </w:r>
                </w:p>
              </w:tc>
              <w:tc>
                <w:tcPr>
                  <w:tcW w:w="1018" w:type="dxa"/>
                  <w:noWrap w:val="0"/>
                  <w:vAlign w:val="center"/>
                </w:tcPr>
                <w:p w14:paraId="4126C4B0">
                  <w:pPr>
                    <w:keepNext w:val="0"/>
                    <w:keepLines w:val="0"/>
                    <w:suppressLineNumbers w:val="0"/>
                    <w:adjustRightInd w:val="0"/>
                    <w:spacing w:before="0" w:beforeAutospacing="0" w:after="0" w:afterAutospacing="0"/>
                    <w:ind w:left="0" w:right="0"/>
                    <w:jc w:val="center"/>
                    <w:rPr>
                      <w:rFonts w:hint="eastAsia"/>
                      <w:szCs w:val="21"/>
                    </w:rPr>
                  </w:pPr>
                  <w:r>
                    <w:rPr>
                      <w:rFonts w:hint="eastAsia"/>
                      <w:bCs/>
                      <w:szCs w:val="21"/>
                    </w:rPr>
                    <w:t>/</w:t>
                  </w:r>
                </w:p>
              </w:tc>
              <w:tc>
                <w:tcPr>
                  <w:tcW w:w="1142" w:type="dxa"/>
                  <w:noWrap w:val="0"/>
                  <w:vAlign w:val="center"/>
                </w:tcPr>
                <w:p w14:paraId="7FB92DCD">
                  <w:pPr>
                    <w:keepNext w:val="0"/>
                    <w:keepLines w:val="0"/>
                    <w:suppressLineNumbers w:val="0"/>
                    <w:spacing w:before="0" w:beforeAutospacing="0" w:after="0" w:afterAutospacing="0" w:line="360" w:lineRule="exact"/>
                    <w:ind w:left="0" w:right="0"/>
                    <w:jc w:val="center"/>
                    <w:rPr>
                      <w:rFonts w:hint="eastAsia"/>
                      <w:b/>
                      <w:szCs w:val="21"/>
                    </w:rPr>
                  </w:pPr>
                  <w:r>
                    <w:rPr>
                      <w:rFonts w:hint="default"/>
                      <w:szCs w:val="21"/>
                    </w:rPr>
                    <w:t>0.06</w:t>
                  </w:r>
                </w:p>
              </w:tc>
              <w:tc>
                <w:tcPr>
                  <w:tcW w:w="2499" w:type="dxa"/>
                  <w:vMerge w:val="continue"/>
                  <w:noWrap w:val="0"/>
                  <w:vAlign w:val="center"/>
                </w:tcPr>
                <w:p w14:paraId="5ADC2C49">
                  <w:pPr>
                    <w:pStyle w:val="66"/>
                    <w:keepNext w:val="0"/>
                    <w:keepLines w:val="0"/>
                    <w:suppressLineNumbers w:val="0"/>
                    <w:spacing w:before="0" w:beforeAutospacing="0" w:after="0" w:afterAutospacing="0" w:line="240" w:lineRule="auto"/>
                    <w:ind w:left="0" w:right="0" w:firstLine="0" w:firstLineChars="0"/>
                    <w:jc w:val="center"/>
                    <w:rPr>
                      <w:rFonts w:hint="eastAsia" w:eastAsia="宋体"/>
                      <w:sz w:val="21"/>
                      <w:szCs w:val="21"/>
                    </w:rPr>
                  </w:pPr>
                </w:p>
              </w:tc>
            </w:tr>
            <w:tr w14:paraId="4D192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77" w:type="dxa"/>
                  <w:gridSpan w:val="2"/>
                  <w:noWrap w:val="0"/>
                  <w:vAlign w:val="center"/>
                </w:tcPr>
                <w:p w14:paraId="3CC6B4A5">
                  <w:pPr>
                    <w:pStyle w:val="1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szCs w:val="21"/>
                    </w:rPr>
                  </w:pPr>
                  <w:r>
                    <w:rPr>
                      <w:rFonts w:hint="eastAsia" w:ascii="Times New Roman" w:hAnsi="Times New Roman" w:eastAsia="宋体" w:cs="Times New Roman"/>
                      <w:color w:val="auto"/>
                      <w:kern w:val="2"/>
                      <w:sz w:val="21"/>
                      <w:szCs w:val="21"/>
                      <w:highlight w:val="none"/>
                      <w:u w:val="none" w:color="000000"/>
                      <w:lang w:val="en-US" w:eastAsia="zh-CN" w:bidi="ar-SA"/>
                    </w:rPr>
                    <w:t>臭气浓度</w:t>
                  </w:r>
                </w:p>
              </w:tc>
              <w:tc>
                <w:tcPr>
                  <w:tcW w:w="935" w:type="dxa"/>
                  <w:noWrap w:val="0"/>
                  <w:vAlign w:val="center"/>
                </w:tcPr>
                <w:p w14:paraId="7D3D65AA">
                  <w:pPr>
                    <w:pStyle w:val="1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bCs/>
                      <w:szCs w:val="21"/>
                    </w:rPr>
                  </w:pPr>
                  <w:r>
                    <w:rPr>
                      <w:rFonts w:hint="eastAsia" w:ascii="Times New Roman" w:hAnsi="Times New Roman" w:eastAsia="宋体" w:cs="Times New Roman"/>
                      <w:color w:val="auto"/>
                      <w:kern w:val="2"/>
                      <w:sz w:val="21"/>
                      <w:szCs w:val="21"/>
                      <w:highlight w:val="none"/>
                      <w:u w:val="none" w:color="000000"/>
                      <w:lang w:val="en-US" w:eastAsia="zh-CN" w:bidi="ar-SA"/>
                    </w:rPr>
                    <w:t>/</w:t>
                  </w:r>
                </w:p>
              </w:tc>
              <w:tc>
                <w:tcPr>
                  <w:tcW w:w="766" w:type="dxa"/>
                  <w:noWrap w:val="0"/>
                  <w:vAlign w:val="center"/>
                </w:tcPr>
                <w:p w14:paraId="64A42A5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bCs/>
                      <w:szCs w:val="21"/>
                    </w:rPr>
                  </w:pPr>
                  <w:r>
                    <w:rPr>
                      <w:rFonts w:hint="eastAsia" w:ascii="Times New Roman" w:hAnsi="Times New Roman" w:eastAsia="宋体" w:cs="Times New Roman"/>
                      <w:color w:val="auto"/>
                      <w:kern w:val="2"/>
                      <w:sz w:val="21"/>
                      <w:szCs w:val="21"/>
                      <w:highlight w:val="none"/>
                      <w:lang w:val="en-US" w:eastAsia="zh-CN" w:bidi="ar-SA"/>
                    </w:rPr>
                    <w:t>/</w:t>
                  </w:r>
                </w:p>
              </w:tc>
              <w:tc>
                <w:tcPr>
                  <w:tcW w:w="1018" w:type="dxa"/>
                  <w:noWrap w:val="0"/>
                  <w:vAlign w:val="center"/>
                </w:tcPr>
                <w:p w14:paraId="5DFBE40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bCs/>
                      <w:szCs w:val="21"/>
                    </w:rPr>
                  </w:pPr>
                  <w:r>
                    <w:rPr>
                      <w:rFonts w:hint="eastAsia" w:ascii="Times New Roman" w:hAnsi="Times New Roman" w:eastAsia="宋体" w:cs="Times New Roman"/>
                      <w:color w:val="auto"/>
                      <w:kern w:val="2"/>
                      <w:sz w:val="21"/>
                      <w:szCs w:val="21"/>
                      <w:highlight w:val="none"/>
                      <w:lang w:val="en-US" w:eastAsia="zh-CN" w:bidi="ar-SA"/>
                    </w:rPr>
                    <w:t>/</w:t>
                  </w:r>
                </w:p>
              </w:tc>
              <w:tc>
                <w:tcPr>
                  <w:tcW w:w="1142" w:type="dxa"/>
                  <w:noWrap w:val="0"/>
                  <w:vAlign w:val="center"/>
                </w:tcPr>
                <w:p w14:paraId="391E5C7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w:t>
                  </w:r>
                </w:p>
                <w:p w14:paraId="4D2CB64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szCs w:val="21"/>
                    </w:rPr>
                  </w:pPr>
                  <w:r>
                    <w:rPr>
                      <w:rFonts w:hint="eastAsia" w:ascii="Times New Roman" w:hAnsi="Times New Roman" w:cs="Times New Roman"/>
                      <w:color w:val="auto"/>
                      <w:sz w:val="21"/>
                      <w:szCs w:val="21"/>
                      <w:highlight w:val="none"/>
                      <w:lang w:val="en-US" w:eastAsia="zh-CN"/>
                    </w:rPr>
                    <w:t>（无量纲）</w:t>
                  </w:r>
                </w:p>
              </w:tc>
              <w:tc>
                <w:tcPr>
                  <w:tcW w:w="2499" w:type="dxa"/>
                  <w:noWrap w:val="0"/>
                  <w:vAlign w:val="center"/>
                </w:tcPr>
                <w:p w14:paraId="64C79661">
                  <w:pPr>
                    <w:pStyle w:val="17"/>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leftChars="0" w:right="0" w:rightChars="0" w:firstLine="420" w:firstLineChars="200"/>
                    <w:jc w:val="left"/>
                    <w:textAlignment w:val="baseline"/>
                    <w:rPr>
                      <w:rFonts w:hint="eastAsia" w:eastAsia="宋体"/>
                      <w:sz w:val="21"/>
                      <w:szCs w:val="21"/>
                    </w:rPr>
                  </w:pPr>
                  <w:r>
                    <w:rPr>
                      <w:rFonts w:hint="default" w:ascii="Times New Roman" w:hAnsi="Times New Roman" w:eastAsia="宋体" w:cs="Times New Roman"/>
                      <w:color w:val="auto"/>
                      <w:sz w:val="21"/>
                      <w:szCs w:val="21"/>
                      <w:highlight w:val="none"/>
                    </w:rPr>
                    <w:t>《挥发性有机物排放标准第7部分：其他行业（DB37/2801.7-2019）》表2标准</w:t>
                  </w:r>
                  <w:r>
                    <w:rPr>
                      <w:rFonts w:hint="eastAsia" w:ascii="Times New Roman" w:hAnsi="Times New Roman" w:eastAsia="宋体" w:cs="Times New Roman"/>
                      <w:color w:val="auto"/>
                      <w:sz w:val="21"/>
                      <w:szCs w:val="21"/>
                      <w:highlight w:val="none"/>
                      <w:lang w:eastAsia="zh-CN"/>
                    </w:rPr>
                    <w:t>。</w:t>
                  </w:r>
                </w:p>
              </w:tc>
            </w:tr>
          </w:tbl>
          <w:p w14:paraId="04B4E3DF">
            <w:pPr>
              <w:keepNext w:val="0"/>
              <w:keepLines w:val="0"/>
              <w:suppressLineNumbers w:val="0"/>
              <w:spacing w:before="0" w:beforeAutospacing="0" w:after="0" w:afterAutospacing="0" w:line="360" w:lineRule="auto"/>
              <w:ind w:left="0" w:right="0" w:firstLine="480" w:firstLineChars="200"/>
              <w:rPr>
                <w:rFonts w:hint="eastAsia" w:eastAsia="宋体"/>
                <w:sz w:val="24"/>
                <w:lang w:eastAsia="zh-CN"/>
              </w:rPr>
            </w:pPr>
            <w:r>
              <w:rPr>
                <w:rFonts w:hint="eastAsia"/>
                <w:sz w:val="24"/>
                <w:lang w:eastAsia="zh-CN"/>
              </w:rPr>
              <w:t>厂区内有机废气VOCs排放执行《挥发性有机物无组织排放控制标准》（GB37822-2019）标准要求。</w:t>
            </w:r>
          </w:p>
          <w:p w14:paraId="6043D4A7">
            <w:pPr>
              <w:keepNext w:val="0"/>
              <w:keepLines w:val="0"/>
              <w:suppressLineNumbers w:val="0"/>
              <w:spacing w:before="0" w:beforeAutospacing="0" w:after="0" w:afterAutospacing="0" w:line="240" w:lineRule="auto"/>
              <w:ind w:left="0" w:right="0"/>
              <w:jc w:val="center"/>
              <w:rPr>
                <w:rFonts w:hint="default"/>
                <w:b/>
                <w:sz w:val="24"/>
                <w:szCs w:val="22"/>
              </w:rPr>
            </w:pPr>
            <w:r>
              <w:rPr>
                <w:rFonts w:hint="default"/>
                <w:b/>
                <w:sz w:val="24"/>
                <w:szCs w:val="22"/>
              </w:rPr>
              <w:t>表</w:t>
            </w:r>
            <w:r>
              <w:rPr>
                <w:rFonts w:hint="eastAsia"/>
                <w:b/>
                <w:sz w:val="24"/>
                <w:szCs w:val="22"/>
              </w:rPr>
              <w:t>3-</w:t>
            </w:r>
            <w:r>
              <w:rPr>
                <w:rFonts w:hint="eastAsia"/>
                <w:b/>
                <w:sz w:val="24"/>
                <w:szCs w:val="22"/>
                <w:lang w:val="en-US" w:eastAsia="zh-CN"/>
              </w:rPr>
              <w:t>9</w:t>
            </w:r>
            <w:r>
              <w:rPr>
                <w:rFonts w:hint="eastAsia"/>
                <w:b/>
                <w:sz w:val="24"/>
                <w:szCs w:val="22"/>
              </w:rPr>
              <w:t xml:space="preserve"> </w:t>
            </w:r>
            <w:r>
              <w:rPr>
                <w:rFonts w:hint="default"/>
                <w:b/>
                <w:sz w:val="24"/>
                <w:szCs w:val="22"/>
              </w:rPr>
              <w:t>厂区内 VOCs 无组织排放限值    单位mg/m</w:t>
            </w:r>
            <w:r>
              <w:rPr>
                <w:rFonts w:hint="default"/>
                <w:b/>
                <w:sz w:val="24"/>
                <w:szCs w:val="22"/>
                <w:vertAlign w:val="superscript"/>
              </w:rPr>
              <w:t>3</w:t>
            </w:r>
          </w:p>
          <w:tbl>
            <w:tblPr>
              <w:tblStyle w:val="35"/>
              <w:tblW w:w="7974"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800"/>
              <w:gridCol w:w="900"/>
              <w:gridCol w:w="2950"/>
              <w:gridCol w:w="2421"/>
            </w:tblGrid>
            <w:tr w14:paraId="347D6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3" w:type="dxa"/>
                  <w:tcBorders>
                    <w:tl2br w:val="nil"/>
                    <w:tr2bl w:val="nil"/>
                  </w:tcBorders>
                  <w:vAlign w:val="center"/>
                </w:tcPr>
                <w:p w14:paraId="5305B0F9">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污染物项目</w:t>
                  </w:r>
                </w:p>
              </w:tc>
              <w:tc>
                <w:tcPr>
                  <w:tcW w:w="800" w:type="dxa"/>
                  <w:tcBorders>
                    <w:tl2br w:val="nil"/>
                    <w:tr2bl w:val="nil"/>
                  </w:tcBorders>
                  <w:vAlign w:val="center"/>
                </w:tcPr>
                <w:p w14:paraId="04B4D09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排放限值</w:t>
                  </w:r>
                </w:p>
              </w:tc>
              <w:tc>
                <w:tcPr>
                  <w:tcW w:w="900" w:type="dxa"/>
                  <w:tcBorders>
                    <w:tl2br w:val="nil"/>
                    <w:tr2bl w:val="nil"/>
                  </w:tcBorders>
                  <w:vAlign w:val="center"/>
                </w:tcPr>
                <w:p w14:paraId="78A8D9D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特别排放限值</w:t>
                  </w:r>
                </w:p>
              </w:tc>
              <w:tc>
                <w:tcPr>
                  <w:tcW w:w="2950" w:type="dxa"/>
                  <w:tcBorders>
                    <w:tl2br w:val="nil"/>
                    <w:tr2bl w:val="nil"/>
                  </w:tcBorders>
                  <w:vAlign w:val="center"/>
                </w:tcPr>
                <w:p w14:paraId="09D04FF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限值含义</w:t>
                  </w:r>
                </w:p>
              </w:tc>
              <w:tc>
                <w:tcPr>
                  <w:tcW w:w="2421" w:type="dxa"/>
                  <w:tcBorders>
                    <w:tl2br w:val="nil"/>
                    <w:tr2bl w:val="nil"/>
                  </w:tcBorders>
                  <w:vAlign w:val="center"/>
                </w:tcPr>
                <w:p w14:paraId="3D562CF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无组织排放监控位置</w:t>
                  </w:r>
                </w:p>
              </w:tc>
            </w:tr>
            <w:tr w14:paraId="73E31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3" w:type="dxa"/>
                  <w:vMerge w:val="restart"/>
                  <w:tcBorders>
                    <w:tl2br w:val="nil"/>
                    <w:tr2bl w:val="nil"/>
                  </w:tcBorders>
                  <w:vAlign w:val="center"/>
                </w:tcPr>
                <w:p w14:paraId="4843A1A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VOCs</w:t>
                  </w:r>
                </w:p>
              </w:tc>
              <w:tc>
                <w:tcPr>
                  <w:tcW w:w="800" w:type="dxa"/>
                  <w:tcBorders>
                    <w:tl2br w:val="nil"/>
                    <w:tr2bl w:val="nil"/>
                  </w:tcBorders>
                  <w:vAlign w:val="center"/>
                </w:tcPr>
                <w:p w14:paraId="0B3363E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10</w:t>
                  </w:r>
                </w:p>
              </w:tc>
              <w:tc>
                <w:tcPr>
                  <w:tcW w:w="900" w:type="dxa"/>
                  <w:tcBorders>
                    <w:tl2br w:val="nil"/>
                    <w:tr2bl w:val="nil"/>
                  </w:tcBorders>
                  <w:vAlign w:val="center"/>
                </w:tcPr>
                <w:p w14:paraId="7DD07ADB">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6</w:t>
                  </w:r>
                </w:p>
              </w:tc>
              <w:tc>
                <w:tcPr>
                  <w:tcW w:w="2950" w:type="dxa"/>
                  <w:tcBorders>
                    <w:tl2br w:val="nil"/>
                    <w:tr2bl w:val="nil"/>
                  </w:tcBorders>
                  <w:vAlign w:val="center"/>
                </w:tcPr>
                <w:p w14:paraId="4F3D36C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监控点处1h平均浓度限值</w:t>
                  </w:r>
                </w:p>
              </w:tc>
              <w:tc>
                <w:tcPr>
                  <w:tcW w:w="2421" w:type="dxa"/>
                  <w:vMerge w:val="restart"/>
                  <w:tcBorders>
                    <w:tl2br w:val="nil"/>
                    <w:tr2bl w:val="nil"/>
                  </w:tcBorders>
                  <w:vAlign w:val="center"/>
                </w:tcPr>
                <w:p w14:paraId="489E8A5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在厂房外设置监控点</w:t>
                  </w:r>
                </w:p>
              </w:tc>
            </w:tr>
            <w:tr w14:paraId="6366C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3" w:type="dxa"/>
                  <w:vMerge w:val="continue"/>
                  <w:tcBorders>
                    <w:tl2br w:val="nil"/>
                    <w:tr2bl w:val="nil"/>
                  </w:tcBorders>
                  <w:vAlign w:val="center"/>
                </w:tcPr>
                <w:p w14:paraId="2C69C6B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z w:val="21"/>
                      <w:szCs w:val="21"/>
                    </w:rPr>
                  </w:pPr>
                </w:p>
              </w:tc>
              <w:tc>
                <w:tcPr>
                  <w:tcW w:w="800" w:type="dxa"/>
                  <w:tcBorders>
                    <w:tl2br w:val="nil"/>
                    <w:tr2bl w:val="nil"/>
                  </w:tcBorders>
                  <w:vAlign w:val="center"/>
                </w:tcPr>
                <w:p w14:paraId="00DCF04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30</w:t>
                  </w:r>
                </w:p>
              </w:tc>
              <w:tc>
                <w:tcPr>
                  <w:tcW w:w="900" w:type="dxa"/>
                  <w:tcBorders>
                    <w:tl2br w:val="nil"/>
                    <w:tr2bl w:val="nil"/>
                  </w:tcBorders>
                  <w:vAlign w:val="center"/>
                </w:tcPr>
                <w:p w14:paraId="666ABB9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20</w:t>
                  </w:r>
                </w:p>
              </w:tc>
              <w:tc>
                <w:tcPr>
                  <w:tcW w:w="2950" w:type="dxa"/>
                  <w:tcBorders>
                    <w:tl2br w:val="nil"/>
                    <w:tr2bl w:val="nil"/>
                  </w:tcBorders>
                  <w:vAlign w:val="center"/>
                </w:tcPr>
                <w:p w14:paraId="0676CA2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监控点处任意一次</w:t>
                  </w:r>
                  <w:r>
                    <w:rPr>
                      <w:rFonts w:hint="eastAsia" w:cs="Times New Roman"/>
                      <w:b w:val="0"/>
                      <w:bCs w:val="0"/>
                      <w:sz w:val="21"/>
                      <w:szCs w:val="21"/>
                      <w:lang w:val="en-US" w:eastAsia="zh-CN"/>
                    </w:rPr>
                    <w:t>浓度限值</w:t>
                  </w:r>
                </w:p>
              </w:tc>
              <w:tc>
                <w:tcPr>
                  <w:tcW w:w="2421" w:type="dxa"/>
                  <w:vMerge w:val="continue"/>
                  <w:tcBorders>
                    <w:tl2br w:val="nil"/>
                    <w:tr2bl w:val="nil"/>
                  </w:tcBorders>
                  <w:vAlign w:val="center"/>
                </w:tcPr>
                <w:p w14:paraId="7CCDE12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z w:val="21"/>
                      <w:szCs w:val="21"/>
                    </w:rPr>
                  </w:pPr>
                </w:p>
              </w:tc>
            </w:tr>
          </w:tbl>
          <w:p w14:paraId="6F702D65">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废水</w:t>
            </w:r>
            <w:r>
              <w:rPr>
                <w:rFonts w:hint="eastAsia"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本项目</w:t>
            </w:r>
            <w:r>
              <w:rPr>
                <w:rFonts w:hint="eastAsia" w:cs="Times New Roman"/>
                <w:color w:val="auto"/>
                <w:sz w:val="24"/>
                <w:szCs w:val="24"/>
                <w:highlight w:val="none"/>
                <w:lang w:val="en-US" w:eastAsia="zh-CN"/>
              </w:rPr>
              <w:t>生</w:t>
            </w:r>
            <w:r>
              <w:rPr>
                <w:rFonts w:hint="eastAsia" w:cs="Times New Roman"/>
                <w:color w:val="000000"/>
                <w:sz w:val="24"/>
                <w:szCs w:val="24"/>
                <w:highlight w:val="none"/>
                <w:lang w:val="en-US" w:eastAsia="zh-CN"/>
              </w:rPr>
              <w:t>产废水和生活污水经企业</w:t>
            </w:r>
            <w:r>
              <w:rPr>
                <w:rFonts w:hint="eastAsia" w:ascii="Times New Roman" w:hAnsi="Times New Roman" w:eastAsia="宋体" w:cs="Times New Roman"/>
                <w:color w:val="000000"/>
                <w:sz w:val="24"/>
                <w:szCs w:val="24"/>
                <w:highlight w:val="none"/>
                <w:lang w:val="en-US" w:eastAsia="zh-CN"/>
              </w:rPr>
              <w:t>污水处理站处理后通过市政污水管网进入泗水国祯水务有限公司深度处理。</w:t>
            </w:r>
          </w:p>
          <w:p w14:paraId="3F39B4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废水经污水处理站处理后</w:t>
            </w:r>
            <w:r>
              <w:rPr>
                <w:rFonts w:hint="default" w:ascii="Times New Roman" w:hAnsi="Times New Roman" w:eastAsia="宋体" w:cs="Times New Roman"/>
                <w:color w:val="auto"/>
                <w:sz w:val="24"/>
                <w:szCs w:val="24"/>
                <w:highlight w:val="none"/>
              </w:rPr>
              <w:t>排放执行</w:t>
            </w:r>
            <w:r>
              <w:rPr>
                <w:rFonts w:hint="eastAsia" w:cs="Times New Roman"/>
                <w:color w:val="auto"/>
                <w:sz w:val="24"/>
                <w:szCs w:val="24"/>
                <w:highlight w:val="none"/>
                <w:lang w:eastAsia="zh-CN"/>
              </w:rPr>
              <w:t>《污水综合排放标准》（GB8978-1996）及修改单表4中三级标准</w:t>
            </w:r>
            <w:r>
              <w:rPr>
                <w:rFonts w:hint="default" w:ascii="Times New Roman" w:hAnsi="Times New Roman" w:eastAsia="宋体" w:cs="Times New Roman"/>
                <w:color w:val="auto"/>
                <w:sz w:val="24"/>
                <w:szCs w:val="24"/>
                <w:highlight w:val="none"/>
              </w:rPr>
              <w:t>，同时满足</w:t>
            </w:r>
            <w:r>
              <w:rPr>
                <w:rFonts w:hint="eastAsia" w:ascii="Times New Roman" w:hAnsi="Times New Roman" w:eastAsia="宋体" w:cs="Times New Roman"/>
                <w:color w:val="000000"/>
                <w:sz w:val="24"/>
                <w:szCs w:val="24"/>
                <w:highlight w:val="none"/>
                <w:lang w:val="en-US" w:eastAsia="zh-CN"/>
              </w:rPr>
              <w:t>泗水国祯水务有限公司</w:t>
            </w:r>
            <w:r>
              <w:rPr>
                <w:rFonts w:hint="default" w:ascii="Times New Roman" w:hAnsi="Times New Roman" w:eastAsia="宋体" w:cs="Times New Roman"/>
                <w:color w:val="auto"/>
                <w:sz w:val="24"/>
                <w:szCs w:val="24"/>
                <w:highlight w:val="none"/>
              </w:rPr>
              <w:t>进水水质要求。</w:t>
            </w:r>
          </w:p>
          <w:p w14:paraId="61708F4E">
            <w:pPr>
              <w:keepNext w:val="0"/>
              <w:keepLines w:val="0"/>
              <w:suppressLineNumbers w:val="0"/>
              <w:spacing w:before="1" w:beforeAutospacing="0" w:after="0" w:afterAutospacing="0" w:line="223" w:lineRule="auto"/>
              <w:ind w:left="0" w:right="0"/>
              <w:jc w:val="center"/>
              <w:rPr>
                <w:rFonts w:hint="default" w:ascii="Times New Roman" w:hAnsi="Times New Roman" w:eastAsia="宋体" w:cs="Times New Roman"/>
                <w:sz w:val="24"/>
                <w:szCs w:val="24"/>
                <w:lang w:val="en-US" w:eastAsia="zh-CN"/>
              </w:rPr>
            </w:pPr>
            <w:r>
              <w:rPr>
                <w:rFonts w:hint="eastAsia" w:cs="Times New Roman"/>
                <w:b/>
                <w:bCs/>
                <w:spacing w:val="6"/>
                <w:sz w:val="24"/>
                <w:szCs w:val="24"/>
                <w:lang w:val="en-US" w:eastAsia="zh-CN"/>
              </w:rPr>
              <w:t xml:space="preserve">      </w:t>
            </w:r>
            <w:r>
              <w:rPr>
                <w:rFonts w:hint="default" w:ascii="Times New Roman" w:hAnsi="Times New Roman" w:eastAsia="宋体" w:cs="Times New Roman"/>
                <w:b/>
                <w:bCs/>
                <w:spacing w:val="6"/>
                <w:sz w:val="24"/>
                <w:szCs w:val="24"/>
              </w:rPr>
              <w:t>表</w:t>
            </w:r>
            <w:r>
              <w:rPr>
                <w:rFonts w:hint="eastAsia" w:ascii="Times New Roman" w:hAnsi="Times New Roman" w:eastAsia="宋体" w:cs="Times New Roman"/>
                <w:b/>
                <w:bCs/>
                <w:spacing w:val="6"/>
                <w:sz w:val="24"/>
                <w:szCs w:val="24"/>
                <w:lang w:val="en-US" w:eastAsia="zh-CN"/>
              </w:rPr>
              <w:t>3</w:t>
            </w:r>
            <w:r>
              <w:rPr>
                <w:rFonts w:hint="default" w:ascii="Times New Roman" w:hAnsi="Times New Roman" w:eastAsia="Times New Roman" w:cs="Times New Roman"/>
                <w:b/>
                <w:bCs/>
                <w:spacing w:val="4"/>
                <w:sz w:val="24"/>
                <w:szCs w:val="24"/>
              </w:rPr>
              <w:t>-</w:t>
            </w:r>
            <w:r>
              <w:rPr>
                <w:rFonts w:hint="eastAsia" w:cs="Times New Roman"/>
                <w:b/>
                <w:bCs/>
                <w:spacing w:val="3"/>
                <w:sz w:val="24"/>
                <w:szCs w:val="24"/>
                <w:lang w:val="en-US" w:eastAsia="zh-CN"/>
              </w:rPr>
              <w:t>10</w:t>
            </w:r>
            <w:r>
              <w:rPr>
                <w:rFonts w:hint="default" w:ascii="Times New Roman" w:hAnsi="Times New Roman" w:eastAsia="Times New Roman" w:cs="Times New Roman"/>
                <w:b/>
                <w:bCs/>
                <w:spacing w:val="3"/>
                <w:sz w:val="24"/>
                <w:szCs w:val="24"/>
              </w:rPr>
              <w:t xml:space="preserve">  </w:t>
            </w:r>
            <w:r>
              <w:rPr>
                <w:rFonts w:hint="default" w:ascii="Times New Roman" w:hAnsi="Times New Roman" w:eastAsia="宋体" w:cs="Times New Roman"/>
                <w:b/>
                <w:bCs/>
                <w:spacing w:val="3"/>
                <w:sz w:val="24"/>
                <w:szCs w:val="24"/>
              </w:rPr>
              <w:t>水污染物排放标准一览表</w:t>
            </w:r>
            <w:r>
              <w:rPr>
                <w:rFonts w:hint="eastAsia" w:cs="Times New Roman"/>
                <w:b/>
                <w:bCs/>
                <w:spacing w:val="3"/>
                <w:sz w:val="24"/>
                <w:szCs w:val="24"/>
                <w:lang w:val="en-US" w:eastAsia="zh-CN"/>
              </w:rPr>
              <w:t xml:space="preserve"> </w:t>
            </w:r>
            <w:r>
              <w:rPr>
                <w:rFonts w:hint="default"/>
                <w:b/>
                <w:sz w:val="24"/>
              </w:rPr>
              <w:t xml:space="preserve">  mg/L</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153"/>
              <w:gridCol w:w="1153"/>
              <w:gridCol w:w="1093"/>
              <w:gridCol w:w="1336"/>
              <w:gridCol w:w="1264"/>
              <w:gridCol w:w="1149"/>
            </w:tblGrid>
            <w:tr w14:paraId="60479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0" w:type="pct"/>
                  <w:tcBorders>
                    <w:tl2br w:val="nil"/>
                    <w:tr2bl w:val="nil"/>
                  </w:tcBorders>
                  <w:noWrap w:val="0"/>
                  <w:vAlign w:val="center"/>
                </w:tcPr>
                <w:p w14:paraId="1A31FE6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693" w:type="pct"/>
                  <w:tcBorders>
                    <w:tl2br w:val="nil"/>
                    <w:tr2bl w:val="nil"/>
                  </w:tcBorders>
                  <w:noWrap w:val="0"/>
                  <w:vAlign w:val="center"/>
                </w:tcPr>
                <w:p w14:paraId="74A0770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pH</w:t>
                  </w:r>
                </w:p>
              </w:tc>
              <w:tc>
                <w:tcPr>
                  <w:tcW w:w="693" w:type="pct"/>
                  <w:tcBorders>
                    <w:tl2br w:val="nil"/>
                    <w:tr2bl w:val="nil"/>
                  </w:tcBorders>
                  <w:noWrap w:val="0"/>
                  <w:vAlign w:val="center"/>
                </w:tcPr>
                <w:p w14:paraId="51B61DB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COD</w:t>
                  </w:r>
                  <w:r>
                    <w:rPr>
                      <w:rFonts w:hint="eastAsia" w:ascii="Times New Roman" w:hAnsi="Times New Roman" w:eastAsia="宋体" w:cs="Times New Roman"/>
                      <w:b/>
                      <w:bCs/>
                      <w:color w:val="auto"/>
                      <w:sz w:val="21"/>
                      <w:szCs w:val="21"/>
                      <w:highlight w:val="none"/>
                      <w:lang w:val="en-US" w:eastAsia="zh-CN"/>
                    </w:rPr>
                    <w:t>cr</w:t>
                  </w:r>
                </w:p>
              </w:tc>
              <w:tc>
                <w:tcPr>
                  <w:tcW w:w="657" w:type="pct"/>
                  <w:tcBorders>
                    <w:tl2br w:val="nil"/>
                    <w:tr2bl w:val="nil"/>
                  </w:tcBorders>
                  <w:noWrap w:val="0"/>
                  <w:vAlign w:val="center"/>
                </w:tcPr>
                <w:p w14:paraId="4922593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氨氮</w:t>
                  </w:r>
                </w:p>
              </w:tc>
              <w:tc>
                <w:tcPr>
                  <w:tcW w:w="803" w:type="pct"/>
                  <w:tcBorders>
                    <w:tl2br w:val="nil"/>
                    <w:tr2bl w:val="nil"/>
                  </w:tcBorders>
                  <w:noWrap w:val="0"/>
                  <w:vAlign w:val="center"/>
                </w:tcPr>
                <w:p w14:paraId="604491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BOD</w:t>
                  </w:r>
                  <w:r>
                    <w:rPr>
                      <w:rFonts w:hint="default" w:ascii="Times New Roman" w:hAnsi="Times New Roman" w:eastAsia="宋体" w:cs="Times New Roman"/>
                      <w:b/>
                      <w:bCs/>
                      <w:color w:val="auto"/>
                      <w:sz w:val="21"/>
                      <w:szCs w:val="21"/>
                      <w:highlight w:val="none"/>
                      <w:vertAlign w:val="subscript"/>
                      <w:lang w:val="en-US" w:eastAsia="zh-CN"/>
                    </w:rPr>
                    <w:t>5</w:t>
                  </w:r>
                </w:p>
              </w:tc>
              <w:tc>
                <w:tcPr>
                  <w:tcW w:w="760" w:type="pct"/>
                  <w:tcBorders>
                    <w:tl2br w:val="nil"/>
                    <w:tr2bl w:val="nil"/>
                  </w:tcBorders>
                  <w:noWrap w:val="0"/>
                  <w:vAlign w:val="center"/>
                </w:tcPr>
                <w:p w14:paraId="44F1310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SS</w:t>
                  </w:r>
                </w:p>
              </w:tc>
              <w:tc>
                <w:tcPr>
                  <w:tcW w:w="691" w:type="pct"/>
                  <w:tcBorders>
                    <w:tl2br w:val="nil"/>
                    <w:tr2bl w:val="nil"/>
                  </w:tcBorders>
                  <w:noWrap w:val="0"/>
                  <w:vAlign w:val="center"/>
                </w:tcPr>
                <w:p w14:paraId="4E15F07A">
                  <w:pPr>
                    <w:keepNext w:val="0"/>
                    <w:keepLines w:val="0"/>
                    <w:widowControl w:val="0"/>
                    <w:suppressLineNumbers w:val="0"/>
                    <w:spacing w:before="0" w:beforeAutospacing="0" w:after="0" w:afterAutospacing="0"/>
                    <w:ind w:left="0" w:leftChars="0" w:right="0" w:rightChars="0"/>
                    <w:jc w:val="center"/>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石油类</w:t>
                  </w:r>
                </w:p>
              </w:tc>
            </w:tr>
            <w:tr w14:paraId="3ABFA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pct"/>
                  <w:tcBorders>
                    <w:tl2br w:val="nil"/>
                    <w:tr2bl w:val="nil"/>
                  </w:tcBorders>
                  <w:noWrap w:val="0"/>
                  <w:vAlign w:val="center"/>
                </w:tcPr>
                <w:p w14:paraId="7CE74445">
                  <w:pPr>
                    <w:keepNext w:val="0"/>
                    <w:keepLines w:val="0"/>
                    <w:widowControl w:val="0"/>
                    <w:suppressLineNumbers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标准值</w:t>
                  </w:r>
                </w:p>
              </w:tc>
              <w:tc>
                <w:tcPr>
                  <w:tcW w:w="693" w:type="pct"/>
                  <w:tcBorders>
                    <w:tl2br w:val="nil"/>
                    <w:tr2bl w:val="nil"/>
                  </w:tcBorders>
                  <w:noWrap w:val="0"/>
                  <w:vAlign w:val="center"/>
                </w:tcPr>
                <w:p w14:paraId="6658568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6.5~9.0</w:t>
                  </w:r>
                </w:p>
              </w:tc>
              <w:tc>
                <w:tcPr>
                  <w:tcW w:w="693" w:type="pct"/>
                  <w:tcBorders>
                    <w:tl2br w:val="nil"/>
                    <w:tr2bl w:val="nil"/>
                  </w:tcBorders>
                  <w:noWrap w:val="0"/>
                  <w:vAlign w:val="center"/>
                </w:tcPr>
                <w:p w14:paraId="1221AA1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500</w:t>
                  </w:r>
                </w:p>
              </w:tc>
              <w:tc>
                <w:tcPr>
                  <w:tcW w:w="657" w:type="pct"/>
                  <w:tcBorders>
                    <w:tl2br w:val="nil"/>
                    <w:tr2bl w:val="nil"/>
                  </w:tcBorders>
                  <w:noWrap w:val="0"/>
                  <w:vAlign w:val="center"/>
                </w:tcPr>
                <w:p w14:paraId="3B9FF58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35</w:t>
                  </w:r>
                </w:p>
              </w:tc>
              <w:tc>
                <w:tcPr>
                  <w:tcW w:w="803" w:type="pct"/>
                  <w:tcBorders>
                    <w:tl2br w:val="nil"/>
                    <w:tr2bl w:val="nil"/>
                  </w:tcBorders>
                  <w:noWrap w:val="0"/>
                  <w:vAlign w:val="center"/>
                </w:tcPr>
                <w:p w14:paraId="72B0FB3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50</w:t>
                  </w:r>
                </w:p>
              </w:tc>
              <w:tc>
                <w:tcPr>
                  <w:tcW w:w="760" w:type="pct"/>
                  <w:tcBorders>
                    <w:tl2br w:val="nil"/>
                    <w:tr2bl w:val="nil"/>
                  </w:tcBorders>
                  <w:noWrap w:val="0"/>
                  <w:vAlign w:val="center"/>
                </w:tcPr>
                <w:p w14:paraId="4C26185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20</w:t>
                  </w:r>
                </w:p>
              </w:tc>
              <w:tc>
                <w:tcPr>
                  <w:tcW w:w="691" w:type="pct"/>
                  <w:tcBorders>
                    <w:tl2br w:val="nil"/>
                    <w:tr2bl w:val="nil"/>
                  </w:tcBorders>
                  <w:noWrap w:val="0"/>
                  <w:vAlign w:val="center"/>
                </w:tcPr>
                <w:p w14:paraId="5A35F07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r>
          </w:tbl>
          <w:p w14:paraId="2A6E79CD">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噪声：</w:t>
            </w:r>
            <w:r>
              <w:rPr>
                <w:rFonts w:hint="eastAsia" w:cs="Times New Roman"/>
                <w:color w:val="auto"/>
                <w:sz w:val="24"/>
                <w:szCs w:val="24"/>
                <w:lang w:val="en-US" w:eastAsia="zh-CN"/>
              </w:rPr>
              <w:t>根据《泗水县中心城区声环境功能区划分方案》，</w:t>
            </w:r>
            <w:r>
              <w:rPr>
                <w:rFonts w:hint="eastAsia"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所在地为3类声环境功能区，</w:t>
            </w:r>
            <w:r>
              <w:rPr>
                <w:rFonts w:hint="default" w:ascii="Times New Roman" w:hAnsi="Times New Roman" w:eastAsia="宋体" w:cs="Times New Roman"/>
                <w:color w:val="auto"/>
                <w:sz w:val="24"/>
                <w:szCs w:val="24"/>
              </w:rPr>
              <w:t>执行《工业企业厂界环境噪声排放标准》（GB12348－2008）</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lang w:eastAsia="zh-CN"/>
              </w:rPr>
              <w:t>。</w:t>
            </w:r>
          </w:p>
          <w:p w14:paraId="468DF30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3-</w:t>
            </w:r>
            <w:r>
              <w:rPr>
                <w:rFonts w:hint="eastAsia" w:cs="Times New Roman"/>
                <w:b/>
                <w:bCs/>
                <w:color w:val="auto"/>
                <w:sz w:val="24"/>
                <w:szCs w:val="24"/>
                <w:lang w:val="en-US" w:eastAsia="zh-CN"/>
              </w:rPr>
              <w:t>11</w:t>
            </w:r>
            <w:r>
              <w:rPr>
                <w:rFonts w:hint="default" w:ascii="Times New Roman" w:hAnsi="Times New Roman" w:eastAsia="宋体" w:cs="Times New Roman"/>
                <w:b/>
                <w:bCs/>
                <w:color w:val="auto"/>
                <w:sz w:val="24"/>
                <w:szCs w:val="24"/>
              </w:rPr>
              <w:t xml:space="preserve">  工业企业厂界环境噪声排放标准限值     单位：dB(A)</w:t>
            </w:r>
          </w:p>
          <w:tbl>
            <w:tblPr>
              <w:tblStyle w:val="34"/>
              <w:tblpPr w:leftFromText="181" w:rightFromText="181" w:vertAnchor="text" w:horzAnchor="margin" w:tblpXSpec="center" w:tblpY="1"/>
              <w:tblOverlap w:val="never"/>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73"/>
              <w:gridCol w:w="1724"/>
              <w:gridCol w:w="851"/>
              <w:gridCol w:w="722"/>
              <w:gridCol w:w="1441"/>
            </w:tblGrid>
            <w:tr w14:paraId="221D8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tcBorders>
                    <w:tl2br w:val="nil"/>
                    <w:tr2bl w:val="nil"/>
                  </w:tcBorders>
                  <w:noWrap w:val="0"/>
                  <w:vAlign w:val="center"/>
                </w:tcPr>
                <w:p w14:paraId="15F086C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037" w:type="pct"/>
                  <w:tcBorders>
                    <w:tl2br w:val="nil"/>
                    <w:tr2bl w:val="nil"/>
                  </w:tcBorders>
                  <w:noWrap w:val="0"/>
                  <w:vAlign w:val="center"/>
                </w:tcPr>
                <w:p w14:paraId="529387E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标准文号</w:t>
                  </w:r>
                </w:p>
              </w:tc>
              <w:tc>
                <w:tcPr>
                  <w:tcW w:w="512" w:type="pct"/>
                  <w:tcBorders>
                    <w:tl2br w:val="nil"/>
                    <w:tr2bl w:val="nil"/>
                  </w:tcBorders>
                  <w:noWrap w:val="0"/>
                  <w:vAlign w:val="center"/>
                </w:tcPr>
                <w:p w14:paraId="26D109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434" w:type="pct"/>
                  <w:tcBorders>
                    <w:tl2br w:val="nil"/>
                    <w:tr2bl w:val="nil"/>
                  </w:tcBorders>
                  <w:noWrap w:val="0"/>
                  <w:vAlign w:val="center"/>
                </w:tcPr>
                <w:p w14:paraId="75D3349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级别</w:t>
                  </w:r>
                </w:p>
              </w:tc>
              <w:tc>
                <w:tcPr>
                  <w:tcW w:w="866" w:type="pct"/>
                  <w:tcBorders>
                    <w:tl2br w:val="nil"/>
                    <w:tr2bl w:val="nil"/>
                  </w:tcBorders>
                  <w:noWrap w:val="0"/>
                  <w:vAlign w:val="center"/>
                </w:tcPr>
                <w:p w14:paraId="12F373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r>
            <w:tr w14:paraId="75E88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9" w:type="pct"/>
                  <w:tcBorders>
                    <w:tl2br w:val="nil"/>
                    <w:tr2bl w:val="nil"/>
                  </w:tcBorders>
                  <w:noWrap w:val="0"/>
                  <w:vAlign w:val="center"/>
                </w:tcPr>
                <w:p w14:paraId="497D16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w:t>
                  </w:r>
                </w:p>
              </w:tc>
              <w:tc>
                <w:tcPr>
                  <w:tcW w:w="1037" w:type="pct"/>
                  <w:tcBorders>
                    <w:tl2br w:val="nil"/>
                    <w:tr2bl w:val="nil"/>
                  </w:tcBorders>
                  <w:noWrap w:val="0"/>
                  <w:vAlign w:val="center"/>
                </w:tcPr>
                <w:p w14:paraId="386147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w:t>
                  </w:r>
                  <w:r>
                    <w:rPr>
                      <w:rFonts w:hint="eastAsia" w:ascii="Times New Roman" w:hAnsi="Times New Roman" w:eastAsia="宋体" w:cs="Times New Roman"/>
                      <w:color w:val="auto"/>
                      <w:sz w:val="21"/>
                      <w:szCs w:val="21"/>
                      <w:lang w:val="en-US" w:eastAsia="zh-CN"/>
                    </w:rPr>
                    <w:t>12348</w:t>
                  </w:r>
                  <w:r>
                    <w:rPr>
                      <w:rFonts w:hint="default" w:ascii="Times New Roman" w:hAnsi="Times New Roman" w:eastAsia="宋体" w:cs="Times New Roman"/>
                      <w:color w:val="auto"/>
                      <w:sz w:val="21"/>
                      <w:szCs w:val="21"/>
                    </w:rPr>
                    <w:t>-2008</w:t>
                  </w:r>
                </w:p>
              </w:tc>
              <w:tc>
                <w:tcPr>
                  <w:tcW w:w="512" w:type="pct"/>
                  <w:tcBorders>
                    <w:tl2br w:val="nil"/>
                    <w:tr2bl w:val="nil"/>
                  </w:tcBorders>
                  <w:noWrap w:val="0"/>
                  <w:vAlign w:val="center"/>
                </w:tcPr>
                <w:p w14:paraId="34B906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dB(A)</w:t>
                  </w:r>
                </w:p>
              </w:tc>
              <w:tc>
                <w:tcPr>
                  <w:tcW w:w="434" w:type="pct"/>
                  <w:tcBorders>
                    <w:tl2br w:val="nil"/>
                    <w:tr2bl w:val="nil"/>
                  </w:tcBorders>
                  <w:noWrap w:val="0"/>
                  <w:vAlign w:val="center"/>
                </w:tcPr>
                <w:p w14:paraId="7086CE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类</w:t>
                  </w:r>
                </w:p>
              </w:tc>
              <w:tc>
                <w:tcPr>
                  <w:tcW w:w="866" w:type="pct"/>
                  <w:tcBorders>
                    <w:tl2br w:val="nil"/>
                    <w:tr2bl w:val="nil"/>
                  </w:tcBorders>
                  <w:noWrap w:val="0"/>
                  <w:vAlign w:val="center"/>
                </w:tcPr>
                <w:p w14:paraId="03011D7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r>
                    <w:rPr>
                      <w:rFonts w:hint="eastAsia" w:ascii="Times New Roman" w:hAnsi="Times New Roman" w:eastAsia="宋体" w:cs="Times New Roman"/>
                      <w:color w:val="auto"/>
                      <w:sz w:val="21"/>
                      <w:szCs w:val="21"/>
                      <w:lang w:val="en-US" w:eastAsia="zh-CN"/>
                    </w:rPr>
                    <w:t>≤6</w:t>
                  </w:r>
                  <w:r>
                    <w:rPr>
                      <w:rFonts w:hint="eastAsia" w:cs="Times New Roman"/>
                      <w:color w:val="auto"/>
                      <w:sz w:val="21"/>
                      <w:szCs w:val="21"/>
                      <w:lang w:val="en-US" w:eastAsia="zh-CN"/>
                    </w:rPr>
                    <w:t>5，夜间</w:t>
                  </w:r>
                  <w:r>
                    <w:rPr>
                      <w:rFonts w:hint="eastAsia"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5</w:t>
                  </w:r>
                </w:p>
              </w:tc>
            </w:tr>
          </w:tbl>
          <w:p w14:paraId="1C558F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32"/>
                <w:lang w:val="en-US" w:eastAsia="zh-CN"/>
              </w:rPr>
              <w:t>4、</w:t>
            </w:r>
            <w:r>
              <w:rPr>
                <w:rFonts w:hint="default" w:ascii="Times New Roman" w:hAnsi="Times New Roman" w:eastAsia="宋体" w:cs="Times New Roman"/>
                <w:color w:val="auto"/>
                <w:sz w:val="24"/>
                <w:szCs w:val="32"/>
              </w:rPr>
              <w:t>固体废物：</w:t>
            </w:r>
          </w:p>
          <w:p w14:paraId="39118C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宋体" w:hAnsi="宋体" w:cs="宋体"/>
                <w:color w:val="auto"/>
                <w:kern w:val="0"/>
                <w:szCs w:val="21"/>
              </w:rPr>
            </w:pPr>
            <w:bookmarkStart w:id="4" w:name="OLE_LINK4"/>
            <w:r>
              <w:rPr>
                <w:rFonts w:hint="default" w:ascii="Times New Roman" w:hAnsi="Times New Roman" w:eastAsia="宋体" w:cs="Calibri"/>
                <w:color w:val="auto"/>
                <w:sz w:val="24"/>
                <w:szCs w:val="24"/>
                <w:lang w:val="en-US" w:eastAsia="zh-CN"/>
              </w:rPr>
              <w:t>一般固废执行《中华人民共和国固体废物污染环境防治法》（2020年</w:t>
            </w:r>
            <w:r>
              <w:rPr>
                <w:rFonts w:hint="eastAsia" w:ascii="Times New Roman" w:hAnsi="Times New Roman" w:eastAsia="宋体" w:cs="Calibri"/>
                <w:color w:val="auto"/>
                <w:sz w:val="24"/>
                <w:szCs w:val="24"/>
                <w:lang w:val="en-US" w:eastAsia="zh-CN"/>
              </w:rPr>
              <w:t>修订</w:t>
            </w:r>
            <w:r>
              <w:rPr>
                <w:rFonts w:hint="default" w:ascii="Times New Roman" w:hAnsi="Times New Roman" w:eastAsia="宋体" w:cs="Calibri"/>
                <w:color w:val="auto"/>
                <w:sz w:val="24"/>
                <w:szCs w:val="24"/>
                <w:lang w:val="en-US" w:eastAsia="zh-CN"/>
              </w:rPr>
              <w:t>）</w:t>
            </w:r>
            <w:r>
              <w:rPr>
                <w:rFonts w:hint="eastAsia" w:ascii="Times New Roman" w:hAnsi="Times New Roman" w:eastAsia="宋体" w:cs="Calibri"/>
                <w:color w:val="auto"/>
                <w:sz w:val="24"/>
                <w:szCs w:val="24"/>
                <w:lang w:val="en-US" w:eastAsia="zh-CN"/>
              </w:rPr>
              <w:t>及</w:t>
            </w:r>
            <w:r>
              <w:rPr>
                <w:rFonts w:hint="default" w:ascii="Times New Roman" w:hAnsi="Times New Roman" w:eastAsia="宋体" w:cs="Calibri"/>
                <w:color w:val="auto"/>
                <w:sz w:val="24"/>
                <w:szCs w:val="24"/>
                <w:lang w:val="en-US" w:eastAsia="zh-CN"/>
              </w:rPr>
              <w:t>《排污许可证申请与核发技术规范 工业固体废物（试行）》（HJ1200-2021）要求</w:t>
            </w:r>
            <w:bookmarkEnd w:id="4"/>
            <w:r>
              <w:rPr>
                <w:rFonts w:hint="eastAsia" w:ascii="Times New Roman" w:hAnsi="Times New Roman" w:eastAsia="宋体" w:cs="Calibri"/>
                <w:color w:val="auto"/>
                <w:sz w:val="24"/>
                <w:szCs w:val="24"/>
                <w:lang w:val="en-US" w:eastAsia="zh-CN"/>
              </w:rPr>
              <w:t>；</w:t>
            </w:r>
            <w:r>
              <w:rPr>
                <w:rFonts w:hint="default" w:ascii="Times New Roman" w:hAnsi="Times New Roman" w:eastAsia="宋体" w:cs="Calibri"/>
                <w:color w:val="auto"/>
                <w:sz w:val="24"/>
                <w:szCs w:val="24"/>
                <w:lang w:val="en-US" w:eastAsia="zh-CN"/>
              </w:rPr>
              <w:t>危险废物执行《危险废物贮存污染控制标准》（GB18597</w:t>
            </w:r>
            <w:r>
              <w:rPr>
                <w:rFonts w:hint="eastAsia" w:ascii="Times New Roman" w:hAnsi="Times New Roman" w:eastAsia="宋体" w:cs="Calibri"/>
                <w:color w:val="auto"/>
                <w:sz w:val="24"/>
                <w:szCs w:val="24"/>
                <w:lang w:val="en-US" w:eastAsia="zh-CN"/>
              </w:rPr>
              <w:t>—2023</w:t>
            </w:r>
            <w:r>
              <w:rPr>
                <w:rFonts w:hint="default" w:ascii="Times New Roman" w:hAnsi="Times New Roman" w:eastAsia="宋体" w:cs="Calibri"/>
                <w:color w:val="auto"/>
                <w:sz w:val="24"/>
                <w:szCs w:val="24"/>
                <w:lang w:val="en-US" w:eastAsia="zh-CN"/>
              </w:rPr>
              <w:t>）</w:t>
            </w:r>
            <w:r>
              <w:rPr>
                <w:rFonts w:hint="eastAsia" w:ascii="Times New Roman" w:hAnsi="Times New Roman" w:eastAsia="宋体" w:cs="Times New Roman"/>
                <w:color w:val="000000"/>
                <w:spacing w:val="-2"/>
                <w:kern w:val="0"/>
                <w:sz w:val="24"/>
                <w:szCs w:val="24"/>
                <w:lang w:val="en-US" w:eastAsia="zh-CN"/>
              </w:rPr>
              <w:t>。</w:t>
            </w:r>
          </w:p>
        </w:tc>
      </w:tr>
      <w:tr w14:paraId="665393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800" w:type="dxa"/>
            <w:noWrap w:val="0"/>
            <w:vAlign w:val="center"/>
          </w:tcPr>
          <w:p w14:paraId="4ED23E63">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总量</w:t>
            </w:r>
          </w:p>
          <w:p w14:paraId="07C42415">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控制</w:t>
            </w:r>
          </w:p>
          <w:p w14:paraId="661C4D07">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 w:val="24"/>
                <w:szCs w:val="24"/>
                <w:highlight w:val="none"/>
              </w:rPr>
            </w:pPr>
            <w:r>
              <w:rPr>
                <w:rFonts w:hint="eastAsia" w:ascii="宋体" w:hAnsi="宋体" w:cs="宋体"/>
                <w:color w:val="auto"/>
                <w:kern w:val="0"/>
                <w:sz w:val="24"/>
                <w:szCs w:val="24"/>
                <w:highlight w:val="none"/>
              </w:rPr>
              <w:t>指标</w:t>
            </w:r>
          </w:p>
        </w:tc>
        <w:tc>
          <w:tcPr>
            <w:tcW w:w="8190" w:type="dxa"/>
            <w:noWrap w:val="0"/>
            <w:vAlign w:val="center"/>
          </w:tcPr>
          <w:p w14:paraId="3C9B16BB">
            <w:pPr>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336" w:lineRule="auto"/>
              <w:ind w:left="0" w:right="0" w:firstLine="480" w:firstLineChars="200"/>
              <w:textAlignment w:val="auto"/>
              <w:rPr>
                <w:rFonts w:hint="default"/>
                <w:bCs/>
                <w:color w:val="000000"/>
                <w:sz w:val="24"/>
                <w:highlight w:val="none"/>
              </w:rPr>
            </w:pPr>
            <w:r>
              <w:rPr>
                <w:rFonts w:hint="default"/>
                <w:bCs/>
                <w:color w:val="auto"/>
                <w:sz w:val="24"/>
                <w:highlight w:val="none"/>
              </w:rPr>
              <w:t>本项目外排废水</w:t>
            </w:r>
            <w:r>
              <w:rPr>
                <w:rFonts w:hint="eastAsia"/>
                <w:bCs/>
                <w:color w:val="auto"/>
                <w:sz w:val="24"/>
                <w:highlight w:val="none"/>
                <w:lang w:val="en-US" w:eastAsia="zh-CN"/>
              </w:rPr>
              <w:t>196.8t/a</w:t>
            </w:r>
            <w:r>
              <w:rPr>
                <w:rFonts w:hint="default"/>
                <w:bCs/>
                <w:color w:val="auto"/>
                <w:sz w:val="24"/>
                <w:highlight w:val="none"/>
              </w:rPr>
              <w:t>，</w:t>
            </w:r>
            <w:r>
              <w:rPr>
                <w:rFonts w:hint="eastAsia" w:ascii="Times New Roman" w:hAnsi="Times New Roman" w:eastAsia="宋体"/>
                <w:color w:val="auto"/>
                <w:sz w:val="24"/>
                <w:szCs w:val="24"/>
                <w:highlight w:val="none"/>
              </w:rPr>
              <w:t>COD</w:t>
            </w:r>
            <w:r>
              <w:rPr>
                <w:rFonts w:hint="eastAsia"/>
                <w:color w:val="auto"/>
                <w:highlight w:val="none"/>
                <w:lang w:val="en-US" w:eastAsia="zh-CN"/>
              </w:rPr>
              <w:t>cr</w:t>
            </w:r>
            <w:r>
              <w:rPr>
                <w:rFonts w:hint="default"/>
                <w:bCs/>
                <w:color w:val="auto"/>
                <w:sz w:val="24"/>
                <w:highlight w:val="none"/>
              </w:rPr>
              <w:t>排放量</w:t>
            </w:r>
            <w:r>
              <w:rPr>
                <w:rFonts w:hint="eastAsia"/>
                <w:bCs/>
                <w:color w:val="auto"/>
                <w:sz w:val="24"/>
                <w:highlight w:val="none"/>
                <w:lang w:val="en-US" w:eastAsia="zh-CN"/>
              </w:rPr>
              <w:t>0.084</w:t>
            </w:r>
            <w:r>
              <w:rPr>
                <w:rFonts w:hint="default"/>
                <w:bCs/>
                <w:color w:val="auto"/>
                <w:sz w:val="24"/>
                <w:highlight w:val="none"/>
              </w:rPr>
              <w:t>t/a，氨氮排放量</w:t>
            </w:r>
            <w:r>
              <w:rPr>
                <w:rFonts w:hint="eastAsia"/>
                <w:bCs/>
                <w:color w:val="auto"/>
                <w:sz w:val="24"/>
                <w:highlight w:val="none"/>
                <w:lang w:val="en-US" w:eastAsia="zh-CN"/>
              </w:rPr>
              <w:t>0.005</w:t>
            </w:r>
            <w:r>
              <w:rPr>
                <w:rFonts w:hint="default"/>
                <w:bCs/>
                <w:color w:val="auto"/>
                <w:sz w:val="24"/>
                <w:highlight w:val="none"/>
              </w:rPr>
              <w:t>t/a，废水</w:t>
            </w:r>
            <w:r>
              <w:rPr>
                <w:rFonts w:hint="eastAsia"/>
                <w:bCs/>
                <w:color w:val="auto"/>
                <w:sz w:val="24"/>
                <w:highlight w:val="none"/>
                <w:lang w:val="en-US" w:eastAsia="zh-CN"/>
              </w:rPr>
              <w:t>通过污水管网</w:t>
            </w:r>
            <w:r>
              <w:rPr>
                <w:rFonts w:hint="default"/>
                <w:bCs/>
                <w:color w:val="auto"/>
                <w:sz w:val="24"/>
                <w:highlight w:val="none"/>
              </w:rPr>
              <w:t>排入</w:t>
            </w:r>
            <w:r>
              <w:rPr>
                <w:rFonts w:hint="eastAsia"/>
                <w:bCs/>
                <w:color w:val="auto"/>
                <w:sz w:val="24"/>
                <w:highlight w:val="none"/>
                <w:lang w:val="en-US" w:eastAsia="zh-CN"/>
              </w:rPr>
              <w:t>泗水国祯水务有限公司深度</w:t>
            </w:r>
            <w:r>
              <w:rPr>
                <w:rFonts w:hint="eastAsia"/>
                <w:bCs/>
                <w:color w:val="auto"/>
                <w:sz w:val="24"/>
                <w:highlight w:val="none"/>
              </w:rPr>
              <w:t>处理</w:t>
            </w:r>
            <w:r>
              <w:rPr>
                <w:rFonts w:hint="default"/>
                <w:bCs/>
                <w:color w:val="auto"/>
                <w:sz w:val="24"/>
                <w:highlight w:val="none"/>
              </w:rPr>
              <w:t>，该部分总量已包含在</w:t>
            </w:r>
            <w:r>
              <w:rPr>
                <w:rFonts w:hint="eastAsia"/>
                <w:bCs/>
                <w:color w:val="auto"/>
                <w:sz w:val="24"/>
                <w:highlight w:val="none"/>
                <w:lang w:val="en-US" w:eastAsia="zh-CN"/>
              </w:rPr>
              <w:t>泗水国祯水务有限公司</w:t>
            </w:r>
            <w:r>
              <w:rPr>
                <w:rFonts w:hint="default"/>
                <w:bCs/>
                <w:color w:val="auto"/>
                <w:sz w:val="24"/>
                <w:highlight w:val="none"/>
              </w:rPr>
              <w:t>申请总量内，本项目只申请管理考核指标。建议项目建设单位申请以下管理指标：COD</w:t>
            </w:r>
            <w:r>
              <w:rPr>
                <w:rFonts w:hint="default"/>
                <w:bCs/>
                <w:color w:val="auto"/>
                <w:sz w:val="24"/>
                <w:highlight w:val="none"/>
                <w:vertAlign w:val="subscript"/>
              </w:rPr>
              <w:t>Cr</w:t>
            </w:r>
            <w:r>
              <w:rPr>
                <w:rFonts w:hint="default"/>
                <w:bCs/>
                <w:color w:val="auto"/>
                <w:sz w:val="24"/>
                <w:highlight w:val="none"/>
              </w:rPr>
              <w:t>：</w:t>
            </w:r>
            <w:r>
              <w:rPr>
                <w:rFonts w:hint="eastAsia"/>
                <w:bCs/>
                <w:color w:val="auto"/>
                <w:sz w:val="24"/>
                <w:highlight w:val="none"/>
                <w:lang w:val="en-US" w:eastAsia="zh-CN"/>
              </w:rPr>
              <w:t>0.084</w:t>
            </w:r>
            <w:r>
              <w:rPr>
                <w:rFonts w:hint="default"/>
                <w:bCs/>
                <w:color w:val="auto"/>
                <w:sz w:val="24"/>
                <w:highlight w:val="none"/>
              </w:rPr>
              <w:t>t/a，氨氮：</w:t>
            </w:r>
            <w:r>
              <w:rPr>
                <w:rFonts w:hint="eastAsia"/>
                <w:bCs/>
                <w:color w:val="auto"/>
                <w:sz w:val="24"/>
                <w:highlight w:val="none"/>
                <w:lang w:val="en-US" w:eastAsia="zh-CN"/>
              </w:rPr>
              <w:t>0.005</w:t>
            </w:r>
            <w:r>
              <w:rPr>
                <w:rFonts w:hint="default"/>
                <w:bCs/>
                <w:color w:val="auto"/>
                <w:sz w:val="24"/>
                <w:highlight w:val="none"/>
              </w:rPr>
              <w:t>t/a。</w:t>
            </w:r>
          </w:p>
          <w:p w14:paraId="565F24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olor w:val="auto"/>
                <w:sz w:val="24"/>
                <w:szCs w:val="24"/>
                <w:highlight w:val="none"/>
              </w:rPr>
              <w:t>项目废气中有组织</w:t>
            </w:r>
            <w:r>
              <w:rPr>
                <w:rFonts w:hint="eastAsia" w:ascii="Times New Roman" w:hAnsi="Times New Roman" w:eastAsia="宋体"/>
                <w:color w:val="auto"/>
                <w:sz w:val="24"/>
                <w:szCs w:val="24"/>
                <w:highlight w:val="none"/>
                <w:lang w:val="en-US" w:eastAsia="zh-CN"/>
              </w:rPr>
              <w:t>颗粒物</w:t>
            </w:r>
            <w:r>
              <w:rPr>
                <w:rFonts w:hint="eastAsia" w:ascii="Times New Roman" w:hAnsi="Times New Roman" w:eastAsia="宋体"/>
                <w:color w:val="auto"/>
                <w:sz w:val="24"/>
                <w:szCs w:val="24"/>
                <w:highlight w:val="none"/>
              </w:rPr>
              <w:t>、</w:t>
            </w:r>
            <w:r>
              <w:rPr>
                <w:rFonts w:hint="eastAsia" w:cs="Times New Roman"/>
                <w:color w:val="auto"/>
                <w:sz w:val="24"/>
                <w:szCs w:val="24"/>
                <w:highlight w:val="none"/>
                <w:lang w:val="en-US" w:eastAsia="zh-CN"/>
              </w:rPr>
              <w:t>VOCs</w:t>
            </w:r>
            <w:r>
              <w:rPr>
                <w:rFonts w:hint="eastAsia" w:ascii="Times New Roman" w:hAnsi="Times New Roman" w:eastAsia="宋体"/>
                <w:color w:val="auto"/>
                <w:sz w:val="24"/>
                <w:szCs w:val="24"/>
                <w:highlight w:val="none"/>
              </w:rPr>
              <w:t>的排放量为</w:t>
            </w:r>
            <w:r>
              <w:rPr>
                <w:rFonts w:hint="eastAsia" w:ascii="Times New Roman" w:hAnsi="Times New Roman" w:eastAsia="宋体"/>
                <w:color w:val="auto"/>
                <w:sz w:val="24"/>
                <w:szCs w:val="24"/>
                <w:highlight w:val="none"/>
                <w:lang w:val="en-US" w:eastAsia="zh-CN"/>
              </w:rPr>
              <w:t>0.27</w:t>
            </w:r>
            <w:r>
              <w:rPr>
                <w:rFonts w:hint="eastAsia" w:ascii="Times New Roman" w:hAnsi="Times New Roman" w:eastAsia="宋体"/>
                <w:color w:val="auto"/>
                <w:sz w:val="24"/>
                <w:szCs w:val="24"/>
                <w:highlight w:val="none"/>
              </w:rPr>
              <w:t>t/a、</w:t>
            </w:r>
            <w:r>
              <w:rPr>
                <w:rFonts w:hint="eastAsia"/>
                <w:color w:val="auto"/>
                <w:sz w:val="24"/>
                <w:szCs w:val="24"/>
                <w:highlight w:val="none"/>
                <w:lang w:val="en-US" w:eastAsia="zh-CN"/>
              </w:rPr>
              <w:t>0.1</w:t>
            </w:r>
            <w:r>
              <w:rPr>
                <w:rFonts w:hint="eastAsia" w:ascii="Times New Roman" w:hAnsi="Times New Roman" w:eastAsia="宋体"/>
                <w:color w:val="auto"/>
                <w:sz w:val="24"/>
                <w:szCs w:val="24"/>
                <w:highlight w:val="none"/>
              </w:rPr>
              <w:t>t/a。根据《山东省生态环境厅关于印发山东省建设项目主要大气污染物排放总量替代指标核算及管理办法的通知》（鲁环发</w:t>
            </w:r>
            <w:r>
              <w:rPr>
                <w:rFonts w:hint="eastAsia"/>
                <w:color w:val="auto"/>
                <w:sz w:val="24"/>
                <w:szCs w:val="24"/>
                <w:highlight w:val="none"/>
                <w:lang w:eastAsia="zh-CN"/>
              </w:rPr>
              <w:t>〔2019〕132号</w:t>
            </w:r>
            <w:r>
              <w:rPr>
                <w:rFonts w:hint="eastAsia" w:ascii="Times New Roman" w:hAnsi="Times New Roman" w:eastAsia="宋体"/>
                <w:color w:val="auto"/>
                <w:sz w:val="24"/>
                <w:szCs w:val="24"/>
                <w:highlight w:val="none"/>
              </w:rPr>
              <w:t>）、《济宁市生态环境局关于转发</w:t>
            </w:r>
            <w:r>
              <w:rPr>
                <w:rFonts w:hint="eastAsia"/>
                <w:color w:val="auto"/>
                <w:sz w:val="24"/>
                <w:szCs w:val="24"/>
                <w:highlight w:val="none"/>
                <w:lang w:eastAsia="zh-CN"/>
              </w:rPr>
              <w:t>〈</w:t>
            </w:r>
            <w:r>
              <w:rPr>
                <w:rFonts w:hint="eastAsia" w:ascii="Times New Roman" w:hAnsi="Times New Roman" w:eastAsia="宋体"/>
                <w:color w:val="auto"/>
                <w:sz w:val="24"/>
                <w:szCs w:val="24"/>
                <w:highlight w:val="none"/>
              </w:rPr>
              <w:t>山东省生态环境厅关于印发山东省建设项目主要大气污染物排放总量替代指标核算及管理办法的通知</w:t>
            </w:r>
            <w:r>
              <w:rPr>
                <w:rFonts w:hint="eastAsia"/>
                <w:color w:val="auto"/>
                <w:sz w:val="24"/>
                <w:szCs w:val="24"/>
                <w:highlight w:val="none"/>
                <w:lang w:eastAsia="zh-CN"/>
              </w:rPr>
              <w:t>〉</w:t>
            </w:r>
            <w:r>
              <w:rPr>
                <w:rFonts w:hint="eastAsia" w:ascii="Times New Roman" w:hAnsi="Times New Roman" w:eastAsia="宋体"/>
                <w:color w:val="auto"/>
                <w:sz w:val="24"/>
                <w:szCs w:val="24"/>
                <w:highlight w:val="none"/>
              </w:rPr>
              <w:t>的通知》等文件要求，污染物排放总量指标按2倍削减替代，因此项目申请</w:t>
            </w:r>
            <w:r>
              <w:rPr>
                <w:rFonts w:hint="eastAsia"/>
                <w:color w:val="auto"/>
                <w:sz w:val="24"/>
                <w:szCs w:val="24"/>
                <w:highlight w:val="none"/>
                <w:lang w:eastAsia="zh-CN"/>
              </w:rPr>
              <w:t>削减</w:t>
            </w:r>
            <w:r>
              <w:rPr>
                <w:rFonts w:hint="eastAsia" w:ascii="Times New Roman" w:hAnsi="Times New Roman" w:eastAsia="宋体"/>
                <w:color w:val="auto"/>
                <w:sz w:val="24"/>
                <w:szCs w:val="24"/>
                <w:highlight w:val="none"/>
              </w:rPr>
              <w:t>替代量如下：颗粒物</w:t>
            </w:r>
            <w:r>
              <w:rPr>
                <w:rFonts w:hint="eastAsia" w:ascii="Times New Roman" w:hAnsi="Times New Roman" w:eastAsia="宋体"/>
                <w:color w:val="auto"/>
                <w:sz w:val="24"/>
                <w:szCs w:val="24"/>
                <w:highlight w:val="none"/>
                <w:lang w:val="en-US" w:eastAsia="zh-CN"/>
              </w:rPr>
              <w:t>0.54</w:t>
            </w:r>
            <w:r>
              <w:rPr>
                <w:rFonts w:hint="eastAsia" w:ascii="Times New Roman" w:hAnsi="Times New Roman" w:eastAsia="宋体"/>
                <w:color w:val="auto"/>
                <w:sz w:val="24"/>
                <w:szCs w:val="24"/>
                <w:highlight w:val="none"/>
              </w:rPr>
              <w:t>t/a、</w:t>
            </w:r>
            <w:r>
              <w:rPr>
                <w:rFonts w:hint="eastAsia" w:cs="Times New Roman"/>
                <w:color w:val="auto"/>
                <w:sz w:val="24"/>
                <w:szCs w:val="24"/>
                <w:highlight w:val="none"/>
                <w:lang w:val="en-US" w:eastAsia="zh-CN"/>
              </w:rPr>
              <w:t>VOCs</w:t>
            </w:r>
            <w:r>
              <w:rPr>
                <w:rFonts w:hint="eastAsia"/>
                <w:color w:val="auto"/>
                <w:sz w:val="24"/>
                <w:szCs w:val="24"/>
                <w:highlight w:val="none"/>
                <w:lang w:val="en-US" w:eastAsia="zh-CN"/>
              </w:rPr>
              <w:t>0.2</w:t>
            </w:r>
            <w:r>
              <w:rPr>
                <w:rFonts w:hint="eastAsia" w:ascii="Times New Roman" w:hAnsi="Times New Roman" w:eastAsia="宋体"/>
                <w:color w:val="auto"/>
                <w:sz w:val="24"/>
                <w:szCs w:val="24"/>
                <w:highlight w:val="none"/>
              </w:rPr>
              <w:t>t/a。</w:t>
            </w:r>
          </w:p>
          <w:p w14:paraId="425FEADA">
            <w:pPr>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336" w:lineRule="auto"/>
              <w:ind w:left="0" w:right="0" w:firstLine="480" w:firstLineChars="200"/>
              <w:textAlignment w:val="auto"/>
              <w:rPr>
                <w:rFonts w:hint="default"/>
                <w:bCs/>
                <w:color w:val="000000"/>
                <w:sz w:val="24"/>
                <w:highlight w:val="yellow"/>
              </w:rPr>
            </w:pPr>
          </w:p>
          <w:p w14:paraId="6B9145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lang w:val="en-US" w:eastAsia="zh-CN"/>
              </w:rPr>
            </w:pPr>
            <w:r>
              <w:rPr>
                <w:rFonts w:hint="eastAsia" w:cs="Times New Roman"/>
                <w:lang w:val="en-US" w:eastAsia="zh-CN"/>
              </w:rPr>
              <w:t xml:space="preserve"> </w:t>
            </w:r>
          </w:p>
        </w:tc>
      </w:tr>
    </w:tbl>
    <w:p w14:paraId="755E1C7A">
      <w:pPr>
        <w:pStyle w:val="30"/>
        <w:jc w:val="center"/>
        <w:outlineLvl w:val="0"/>
        <w:rPr>
          <w:rFonts w:hint="eastAsia"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3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382"/>
      </w:tblGrid>
      <w:tr w14:paraId="0E05CB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567" w:type="dxa"/>
            <w:noWrap w:val="0"/>
            <w:tcMar>
              <w:left w:w="28" w:type="dxa"/>
              <w:right w:w="28" w:type="dxa"/>
            </w:tcMar>
            <w:vAlign w:val="center"/>
          </w:tcPr>
          <w:p w14:paraId="0C2B647F">
            <w:pPr>
              <w:pStyle w:val="30"/>
              <w:keepNext w:val="0"/>
              <w:keepLines w:val="0"/>
              <w:suppressLineNumbers w:val="0"/>
              <w:adjustRightInd w:val="0"/>
              <w:snapToGrid w:val="0"/>
              <w:spacing w:before="0" w:beforeAutospacing="0" w:after="0" w:afterAutospacing="0"/>
              <w:ind w:left="0" w:right="0"/>
              <w:jc w:val="center"/>
              <w:rPr>
                <w:rFonts w:hint="eastAsia" w:cs="宋体"/>
                <w:color w:val="auto"/>
                <w:kern w:val="2"/>
                <w:sz w:val="24"/>
                <w:szCs w:val="24"/>
              </w:rPr>
            </w:pPr>
            <w:r>
              <w:rPr>
                <w:rFonts w:hint="eastAsia" w:cs="宋体"/>
                <w:color w:val="auto"/>
                <w:kern w:val="2"/>
                <w:sz w:val="24"/>
                <w:szCs w:val="24"/>
              </w:rPr>
              <w:t>施工</w:t>
            </w:r>
          </w:p>
          <w:p w14:paraId="64C2039D">
            <w:pPr>
              <w:pStyle w:val="30"/>
              <w:keepNext w:val="0"/>
              <w:keepLines w:val="0"/>
              <w:suppressLineNumbers w:val="0"/>
              <w:adjustRightInd w:val="0"/>
              <w:snapToGrid w:val="0"/>
              <w:spacing w:before="0" w:beforeAutospacing="0" w:after="0" w:afterAutospacing="0"/>
              <w:ind w:left="0" w:right="0"/>
              <w:jc w:val="center"/>
              <w:rPr>
                <w:rFonts w:hint="eastAsia" w:cs="宋体"/>
                <w:color w:val="auto"/>
                <w:kern w:val="2"/>
                <w:sz w:val="24"/>
                <w:szCs w:val="24"/>
              </w:rPr>
            </w:pPr>
            <w:r>
              <w:rPr>
                <w:rFonts w:hint="eastAsia" w:cs="宋体"/>
                <w:color w:val="auto"/>
                <w:kern w:val="2"/>
                <w:sz w:val="24"/>
                <w:szCs w:val="24"/>
              </w:rPr>
              <w:t>期环</w:t>
            </w:r>
          </w:p>
          <w:p w14:paraId="1752C4F5">
            <w:pPr>
              <w:pStyle w:val="30"/>
              <w:keepNext w:val="0"/>
              <w:keepLines w:val="0"/>
              <w:suppressLineNumbers w:val="0"/>
              <w:adjustRightInd w:val="0"/>
              <w:snapToGrid w:val="0"/>
              <w:spacing w:before="0" w:beforeAutospacing="0" w:after="0" w:afterAutospacing="0"/>
              <w:ind w:left="0" w:right="0"/>
              <w:jc w:val="center"/>
              <w:rPr>
                <w:rFonts w:hint="eastAsia" w:cs="宋体"/>
                <w:color w:val="auto"/>
                <w:kern w:val="2"/>
                <w:sz w:val="24"/>
                <w:szCs w:val="24"/>
              </w:rPr>
            </w:pPr>
            <w:r>
              <w:rPr>
                <w:rFonts w:hint="eastAsia" w:cs="宋体"/>
                <w:color w:val="auto"/>
                <w:kern w:val="2"/>
                <w:sz w:val="24"/>
                <w:szCs w:val="24"/>
              </w:rPr>
              <w:t>境保</w:t>
            </w:r>
          </w:p>
          <w:p w14:paraId="025993C0">
            <w:pPr>
              <w:pStyle w:val="30"/>
              <w:keepNext w:val="0"/>
              <w:keepLines w:val="0"/>
              <w:suppressLineNumbers w:val="0"/>
              <w:adjustRightInd w:val="0"/>
              <w:snapToGrid w:val="0"/>
              <w:spacing w:before="0" w:beforeAutospacing="0" w:after="0" w:afterAutospacing="0"/>
              <w:ind w:left="0" w:right="0"/>
              <w:jc w:val="center"/>
              <w:rPr>
                <w:rFonts w:hint="eastAsia" w:cs="宋体"/>
                <w:color w:val="auto"/>
                <w:kern w:val="2"/>
                <w:sz w:val="24"/>
                <w:szCs w:val="24"/>
              </w:rPr>
            </w:pPr>
            <w:r>
              <w:rPr>
                <w:rFonts w:hint="eastAsia" w:cs="宋体"/>
                <w:color w:val="auto"/>
                <w:kern w:val="2"/>
                <w:sz w:val="24"/>
                <w:szCs w:val="24"/>
              </w:rPr>
              <w:t>护措</w:t>
            </w:r>
          </w:p>
          <w:p w14:paraId="7165DC30">
            <w:pPr>
              <w:pStyle w:val="30"/>
              <w:keepNext w:val="0"/>
              <w:keepLines w:val="0"/>
              <w:suppressLineNumbers w:val="0"/>
              <w:adjustRightInd w:val="0"/>
              <w:snapToGrid w:val="0"/>
              <w:spacing w:before="0" w:beforeAutospacing="0" w:after="0" w:afterAutospacing="0"/>
              <w:ind w:left="0" w:right="0"/>
              <w:jc w:val="center"/>
              <w:rPr>
                <w:rFonts w:hint="eastAsia" w:cs="宋体"/>
                <w:bCs/>
                <w:color w:val="auto"/>
                <w:kern w:val="2"/>
                <w:sz w:val="24"/>
                <w:szCs w:val="24"/>
              </w:rPr>
            </w:pPr>
            <w:r>
              <w:rPr>
                <w:rFonts w:hint="eastAsia" w:cs="宋体"/>
                <w:color w:val="auto"/>
                <w:kern w:val="2"/>
                <w:sz w:val="24"/>
                <w:szCs w:val="24"/>
              </w:rPr>
              <w:t>施</w:t>
            </w:r>
          </w:p>
        </w:tc>
        <w:tc>
          <w:tcPr>
            <w:tcW w:w="7937" w:type="dxa"/>
            <w:noWrap w:val="0"/>
            <w:vAlign w:val="center"/>
          </w:tcPr>
          <w:p w14:paraId="633D3514">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施工建设期间将产生噪声、废气、固体废弃物、施工废水及生活污水等污染物。施工期的环境影响为阶段性影响，工程建设完成后，其产生的环境影响也会随着施工期的结束而消失。</w:t>
            </w:r>
          </w:p>
          <w:p w14:paraId="07714D27">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lang w:val="en-US" w:eastAsia="zh-CN"/>
              </w:rPr>
              <w:t>大气环境影响分析</w:t>
            </w:r>
          </w:p>
          <w:p w14:paraId="5D62EE7C">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施工期大气污染物主要为施工扬尘、运输扬尘以及车辆尾气。</w:t>
            </w:r>
          </w:p>
          <w:p w14:paraId="0A75695F">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（1）扬尘</w:t>
            </w:r>
          </w:p>
          <w:p w14:paraId="0A674023">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施工现场的扬尘主要来源于场地平整，土石方挖掘、回填，建筑材料堆放，水泥、砂石等建筑材料的装卸，以及砂浆的搅拌、加工等；在建筑材料的运进及工程废弃物、垃圾的运出会产生运输扬尘。</w:t>
            </w:r>
          </w:p>
          <w:p w14:paraId="3EDE97A5">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施工扬尘污染主要造成大气中TSP值增高，根据类比资料，施工扬尘的起尘量与许多因素有关。影响起尘量的因素包括：基础开挖起尘量、施工渣土堆场起尘量、进出车辆带</w:t>
            </w:r>
            <w:r>
              <w:rPr>
                <w:rFonts w:hint="eastAsia" w:cs="Times New Roman"/>
                <w:color w:val="auto"/>
                <w:sz w:val="24"/>
                <w:szCs w:val="24"/>
                <w:lang w:val="en-US" w:eastAsia="zh-CN"/>
              </w:rPr>
              <w:t>泥沙</w:t>
            </w:r>
            <w:r>
              <w:rPr>
                <w:rFonts w:hint="default" w:ascii="Times New Roman" w:hAnsi="Times New Roman" w:eastAsia="宋体" w:cs="Times New Roman"/>
                <w:color w:val="auto"/>
                <w:sz w:val="24"/>
                <w:szCs w:val="24"/>
                <w:lang w:val="en-US" w:eastAsia="zh-CN"/>
              </w:rPr>
              <w:t>量、水泥搬运量、以及起尘高度、采取的防护措施、空气湿度、风速等。建筑施工扬尘的影响范围在工地下风向200m范围内，根据相关资料，受影响地区的TSP浓度平均值为0.29-1.75mg/m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，最大浓度点一般为上风向对照点的1.5倍，相当于环境空气质量标准的5.83倍。</w:t>
            </w:r>
          </w:p>
          <w:p w14:paraId="43444B8C">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单位在施工过程中严格按照《山东省扬尘污染防治管理办法》（山东省人民政府令第311号修订）、《济宁市扬尘污染防治工作实施方案》、《济宁市扬尘污染防治管理实施方案》以及《防治城市扬尘污染技术规范》</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HJ/T393-2007</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等规定的相关要求进行管理与控制。建设工程中相关防治措施如下所示。</w:t>
            </w:r>
          </w:p>
          <w:p w14:paraId="413B90F4">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①在施工过程中，施工场地需设置围挡、围护。在该项目场界连续设置不低于2.5m高的围挡，采取以上措施后，当风速为2.5m/s时可使影响距离缩短40%。</w:t>
            </w:r>
          </w:p>
          <w:p w14:paraId="3CA097F5">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②施工期间，应当对工地建筑结构脚手架外侧设置密目防尘网（不低于2000目/100平方厘米）或防尘布。</w:t>
            </w:r>
          </w:p>
          <w:p w14:paraId="44F7948D">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施工场地内道路及地面实施降尘措施。施工工地内车行道路应当硬化；裸露地面应当铺设礁渣、细石等功能相当的材料，或采取覆盖防尘布或防尘网、植被绿化等措施；根据天气状况，安排员工定期对施工场地洒水，一般每天洒水1～2次，若遇到大风或干燥天气可适当增加洒水次数，场地洒水后，扬尘量将减低75%左右。</w:t>
            </w:r>
          </w:p>
          <w:p w14:paraId="2F054D24">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④开挖、运输和填筑土方等施工作业时，应当辅以洒水压尘等措施；遇到四级以上大风天气，应当停止土方施工作业，并在作业处覆盖防尘网。</w:t>
            </w:r>
          </w:p>
          <w:p w14:paraId="22814923">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⑤施工过程中使用易产生扬尘的建筑材料时，应当采取密闭存储、设置围挡或堆砌围墙、采用防尘布苫盖</w:t>
            </w:r>
            <w:r>
              <w:rPr>
                <w:rFonts w:hint="eastAsia" w:cs="Times New Roman"/>
                <w:color w:val="auto"/>
                <w:sz w:val="24"/>
                <w:szCs w:val="24"/>
                <w:lang w:val="en-US" w:eastAsia="zh-CN"/>
              </w:rPr>
              <w:t>或其他</w:t>
            </w:r>
            <w:r>
              <w:rPr>
                <w:rFonts w:hint="default" w:ascii="Times New Roman" w:hAnsi="Times New Roman" w:eastAsia="宋体" w:cs="Times New Roman"/>
                <w:color w:val="auto"/>
                <w:sz w:val="24"/>
                <w:szCs w:val="24"/>
                <w:lang w:val="en-US" w:eastAsia="zh-CN"/>
              </w:rPr>
              <w:t>防尘措施。</w:t>
            </w:r>
          </w:p>
          <w:p w14:paraId="5944FCA4">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⑥施工工程中产生的建筑垃圾应当及时清运，未能及时清运的，应当采取有效防尘措施，如加盖篷布等。</w:t>
            </w:r>
          </w:p>
          <w:p w14:paraId="1FD6E4B6">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⑦施工期间，必须在物料、垃圾运输车辆的出口内侧设置洗车平台，确保车辆干净、整洁。工地出口处铺装道路上可见粘带泥土不得超过10米，并应当及时清扫冲洗。</w:t>
            </w:r>
          </w:p>
          <w:p w14:paraId="3DE9E7D4">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⑧进出工地的物料、垃圾运输车辆，应当采用密闭车斗。确无密闭车斗的，装载高度最高点不得超过车辆槽帮上沿40厘米，两侧边缘应当低于槽帮上缘10厘米。车斗应用苫布覆盖，苫布边缘至少要遮住槽帮上沿以下15厘米。</w:t>
            </w:r>
          </w:p>
          <w:p w14:paraId="142C23BF">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⑨从建筑上层清运易散性物料或者废弃物的，应当采取密闭方式，不得凌空抛掷、扬撒。</w:t>
            </w:r>
          </w:p>
          <w:p w14:paraId="6EBFEC00">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⑩在管线及道路施工中，施工机械在实施挖土、堆土、路面切割、破碎等作业时，应当采取洒水等措施防止扬尘污染；使用风钻挖掘地面或者清扫施工现场时，应当辅以洒水等降尘措施；对已回填后的沟槽，应当采取洒水、覆盖等降尘措施。</w:t>
            </w:r>
          </w:p>
          <w:p w14:paraId="788D9710">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⑪在建筑材料堆场、露天仓库，对于建筑材料、生产原料等物料，要利用仓库、储藏罐、封闭或半封闭堆场或苫布覆盖等形式进行堆放，避免起尘和风蚀起尘；对临时堆放的易产生扬尘的渣土堆、废渣等废弃物，要采用防尘网和防尘布覆盖，必要时进行喷淋、固化处理，设置高于废物堆的围挡、防风网、挡风屏等，防止造成扬尘污染。对于长期堆放的废弃物，要在废弃物堆表面及四周种植植物，减少风蚀起尘；对物料堆或者废弃物堆进行装卸作业时，应当采取洒水或喷淋稳定剂等抑尘措施。</w:t>
            </w:r>
          </w:p>
          <w:p w14:paraId="064E07F0">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⑫运输易产生扬尘污染物料的车辆必须密封、覆盖，不得超量装载，不得沿途泄漏、遗撒。建设单位在签订施工承发包合同时，应当明确施工单位在施工和运输物料、废弃物过程中的扬尘污染防治责任，并将所需经费列入工程预算。从事废弃物运输的单位应当依法取得准运手续，并综合考虑周边环境敏感目标的基础上，按照公安、市容环卫主管部门的要求置顶运输。道路设置方案，按照批准的线路、时间、装卸地点运输和倾倒。</w:t>
            </w:r>
          </w:p>
          <w:p w14:paraId="1BE9E286">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⑬接受周围公众的监督。施工单位应当听取当地公众的意见，接受公众监督。</w:t>
            </w:r>
          </w:p>
          <w:p w14:paraId="36777A08">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在严格落实上述措施处理后，可将施工期扬尘对周边的环境的影响降至最低。</w:t>
            </w:r>
          </w:p>
          <w:p w14:paraId="3A924C7B">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（2）施工机械尾气</w:t>
            </w:r>
          </w:p>
          <w:p w14:paraId="5340E8E3">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过程中，各种施工机械及运输车辆会产生尾气排放，其主要污染物为颗粒物、CO、NOx、碳氢化合物，由于污染源较分散，使用期短，尾气排放量也较少，再加上周围地形开阔，风速较大，不会引起大气环境污染，对区域大气环境影响较小。</w:t>
            </w:r>
          </w:p>
          <w:p w14:paraId="27428641">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综上，在管理到位、以上措施落实的前提下，建筑施工期扬尘及机械尾气对环境的影响可限制在较小的范围内，施工期对大气环境的影响属可接受范围。</w:t>
            </w:r>
          </w:p>
          <w:p w14:paraId="2ACF83CB">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2、声环境影响分析</w:t>
            </w:r>
          </w:p>
          <w:p w14:paraId="68195985">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施工期所使用的各种机械如</w:t>
            </w:r>
            <w:r>
              <w:rPr>
                <w:rFonts w:hint="default" w:ascii="Times New Roman" w:hAnsi="Times New Roman" w:eastAsia="宋体" w:cs="Times New Roman"/>
                <w:color w:val="auto"/>
                <w:sz w:val="24"/>
                <w:szCs w:val="24"/>
              </w:rPr>
              <w:t>挖土机、钻孔机、推土机、打桩机、混凝土搅拌机、振捣棒、电锯、吊车、升降机等，这些设施使用过程中会发出噪声。</w:t>
            </w:r>
            <w:r>
              <w:rPr>
                <w:rFonts w:hint="default" w:ascii="Times New Roman" w:hAnsi="Times New Roman" w:eastAsia="宋体" w:cs="Times New Roman"/>
                <w:color w:val="auto"/>
                <w:sz w:val="24"/>
                <w:szCs w:val="24"/>
                <w:lang w:val="en-US" w:eastAsia="zh-CN"/>
              </w:rPr>
              <w:t>施工噪声随着施工期的结束而消失，但由于施工机械噪声一般都较强，将会对周围声环境产生严重影响，极易影响到周边敏感目标，所以必须重视对施工期噪声的控制。</w:t>
            </w:r>
          </w:p>
          <w:p w14:paraId="065DA2F0">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建议施工方采取以下措施以避免或减缓此不利影响：</w:t>
            </w:r>
          </w:p>
          <w:p w14:paraId="502195C5">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①采用较先进、噪声较低的施工设备；</w:t>
            </w:r>
          </w:p>
          <w:p w14:paraId="01CB723F">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②将噪声级大的工作尽量安排在白天，夜间进行噪声较小的施工，对打桩机等主要噪声源应禁止其在夜间22：00后施工；</w:t>
            </w:r>
          </w:p>
          <w:p w14:paraId="36DBA4F4">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③禁止夜间运行的设备应严格执行有关规定，若必须夜间施工，必须有县级以上人民政府或者有关主管部门的证明；</w:t>
            </w:r>
          </w:p>
          <w:p w14:paraId="6DC9063B">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④将有固定工作地点的施工机械尽量设置在距酒店等单位较远的位置，并采取适当的封闭和隔声措施；</w:t>
            </w:r>
          </w:p>
          <w:p w14:paraId="2C534EC4">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⑤做好施工机械和运输车辆的调度和交通疏导工作，禁止车辆鸣笛，降低交通噪声；</w:t>
            </w:r>
          </w:p>
          <w:p w14:paraId="25A73083">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⑥在施工现场设置至少2米高的围栏，减轻噪声和扬尘影响。</w:t>
            </w:r>
          </w:p>
          <w:p w14:paraId="24EA27FB">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以上分析可以看出，对施工场地噪声除采取以上减噪措施以外，还应与沿线周围单位、居民建立良好的社区关系，对受施工干扰的单位和居民应在作业前予以通知，并随时向他们汇报施工进度及施工中对降低噪声采取的措施，求得公众的共同理解。此外，施工期间应设热线投诉电话，接受噪声扰民的投诉，并对投诉情况进行积极治理。把施工期的噪声影响减至最小。</w:t>
            </w:r>
          </w:p>
          <w:p w14:paraId="39C54B65">
            <w:pPr>
              <w:pStyle w:val="2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、水</w:t>
            </w:r>
            <w:r>
              <w:rPr>
                <w:rFonts w:hint="default" w:ascii="Times New Roman" w:hAnsi="Times New Roman" w:eastAsia="宋体" w:cs="Times New Roman"/>
                <w:b/>
                <w:bCs/>
                <w:color w:val="auto"/>
                <w:sz w:val="24"/>
                <w:szCs w:val="24"/>
                <w:lang w:val="en-US" w:eastAsia="zh-CN"/>
              </w:rPr>
              <w:t>环境影响分析</w:t>
            </w:r>
          </w:p>
          <w:p w14:paraId="7C531292">
            <w:pPr>
              <w:pStyle w:val="2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施工期间的废水主要有施工人员生活污水和施工废水。</w:t>
            </w:r>
          </w:p>
          <w:p w14:paraId="7ECCDD59">
            <w:pPr>
              <w:pStyle w:val="2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（1）施工人员生活污水</w:t>
            </w:r>
          </w:p>
          <w:p w14:paraId="19CB5132">
            <w:pPr>
              <w:pStyle w:val="2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由于施工期工人不在现场居住，现场施工人员数量变化较大，在平整场地后，</w:t>
            </w:r>
            <w:r>
              <w:rPr>
                <w:rFonts w:hint="eastAsia" w:ascii="Times New Roman" w:hAnsi="Times New Roman" w:eastAsia="宋体" w:cs="Times New Roman"/>
                <w:color w:val="auto"/>
                <w:sz w:val="24"/>
                <w:szCs w:val="24"/>
                <w:lang w:val="en-US" w:eastAsia="zh-CN"/>
              </w:rPr>
              <w:t>各项</w:t>
            </w:r>
            <w:r>
              <w:rPr>
                <w:rFonts w:hint="default" w:ascii="Times New Roman" w:hAnsi="Times New Roman" w:eastAsia="宋体" w:cs="Times New Roman"/>
                <w:color w:val="auto"/>
                <w:sz w:val="24"/>
                <w:szCs w:val="24"/>
              </w:rPr>
              <w:t>工程陆续开工，施工期施工人员产生的生活污水</w:t>
            </w:r>
            <w:r>
              <w:rPr>
                <w:rFonts w:hint="eastAsia" w:ascii="Times New Roman" w:hAnsi="Times New Roman" w:eastAsia="宋体" w:cs="Times New Roman"/>
                <w:color w:val="auto"/>
                <w:sz w:val="24"/>
                <w:szCs w:val="24"/>
                <w:lang w:val="en-US" w:eastAsia="zh-CN"/>
              </w:rPr>
              <w:t>依托厂区现有污水管网排入鱼台县污水处理厂深度处理</w:t>
            </w:r>
            <w:r>
              <w:rPr>
                <w:rFonts w:hint="default" w:ascii="Times New Roman" w:hAnsi="Times New Roman" w:eastAsia="宋体" w:cs="Times New Roman"/>
                <w:color w:val="auto"/>
                <w:sz w:val="24"/>
                <w:szCs w:val="24"/>
              </w:rPr>
              <w:t>。</w:t>
            </w:r>
          </w:p>
          <w:p w14:paraId="08C560C3">
            <w:pPr>
              <w:pStyle w:val="2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（2）施工废水</w:t>
            </w:r>
          </w:p>
          <w:p w14:paraId="414BA615">
            <w:pPr>
              <w:pStyle w:val="2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施工废水主要包括机械和车辆清洗及维修的废水、砂石料冲洗及养护废水，污染物为少量的石油类和SS</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如直接排放会污染水体。施工单位必须在施工现场设置集水池、</w:t>
            </w:r>
            <w:r>
              <w:rPr>
                <w:rFonts w:hint="eastAsia" w:ascii="Times New Roman" w:hAnsi="Times New Roman" w:eastAsia="宋体" w:cs="Times New Roman"/>
                <w:color w:val="auto"/>
                <w:sz w:val="24"/>
                <w:szCs w:val="24"/>
                <w:highlight w:val="none"/>
                <w:lang w:val="en-US" w:eastAsia="zh-CN"/>
              </w:rPr>
              <w:t>隔油池、</w:t>
            </w:r>
            <w:r>
              <w:rPr>
                <w:rFonts w:hint="default" w:ascii="Times New Roman" w:hAnsi="Times New Roman" w:eastAsia="宋体" w:cs="Times New Roman"/>
                <w:color w:val="auto"/>
                <w:sz w:val="24"/>
                <w:szCs w:val="24"/>
              </w:rPr>
              <w:t>沉砂池等水处理构筑物，施工废水经沉淀后回用，对当地水环境影响较小。</w:t>
            </w:r>
          </w:p>
          <w:p w14:paraId="0477992A">
            <w:pPr>
              <w:pStyle w:val="2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4、固体废物对环境影响分析</w:t>
            </w:r>
          </w:p>
          <w:p w14:paraId="465063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kern w:val="2"/>
                <w:sz w:val="24"/>
                <w:szCs w:val="24"/>
                <w:lang w:eastAsia="zh-CN"/>
              </w:rPr>
            </w:pPr>
            <w:r>
              <w:rPr>
                <w:rFonts w:hint="default" w:ascii="Times New Roman" w:hAnsi="Times New Roman" w:eastAsia="宋体" w:cs="Times New Roman"/>
                <w:b w:val="0"/>
                <w:bCs/>
                <w:color w:val="auto"/>
                <w:kern w:val="2"/>
                <w:sz w:val="24"/>
                <w:szCs w:val="24"/>
                <w:lang w:eastAsia="zh-CN"/>
              </w:rPr>
              <w:t>项目施工期产生的固体废物主要为建设过程产生的废土石方、建筑垃圾</w:t>
            </w:r>
            <w:r>
              <w:rPr>
                <w:rFonts w:hint="eastAsia" w:ascii="Times New Roman" w:hAnsi="Times New Roman" w:eastAsia="宋体" w:cs="Times New Roman"/>
                <w:b w:val="0"/>
                <w:bCs/>
                <w:color w:val="auto"/>
                <w:kern w:val="2"/>
                <w:sz w:val="24"/>
                <w:szCs w:val="24"/>
                <w:lang w:eastAsia="zh-CN"/>
              </w:rPr>
              <w:t>、</w:t>
            </w:r>
            <w:r>
              <w:rPr>
                <w:rFonts w:hint="eastAsia" w:ascii="Times New Roman" w:hAnsi="Times New Roman" w:eastAsia="宋体" w:cs="Times New Roman"/>
                <w:b w:val="0"/>
                <w:bCs/>
                <w:color w:val="auto"/>
                <w:kern w:val="2"/>
                <w:sz w:val="24"/>
                <w:szCs w:val="24"/>
                <w:lang w:val="en-US" w:eastAsia="zh-CN"/>
              </w:rPr>
              <w:t>隔油池废油</w:t>
            </w:r>
            <w:r>
              <w:rPr>
                <w:rFonts w:hint="default" w:ascii="Times New Roman" w:hAnsi="Times New Roman" w:eastAsia="宋体" w:cs="Times New Roman"/>
                <w:b w:val="0"/>
                <w:bCs/>
                <w:color w:val="auto"/>
                <w:kern w:val="2"/>
                <w:sz w:val="24"/>
                <w:szCs w:val="24"/>
                <w:lang w:eastAsia="zh-CN"/>
              </w:rPr>
              <w:t>及施工人员生活垃圾。</w:t>
            </w:r>
          </w:p>
          <w:p w14:paraId="404ACD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kern w:val="2"/>
                <w:sz w:val="24"/>
                <w:szCs w:val="24"/>
                <w:lang w:eastAsia="zh-CN"/>
              </w:rPr>
            </w:pPr>
            <w:r>
              <w:rPr>
                <w:rFonts w:hint="eastAsia" w:ascii="Times New Roman" w:hAnsi="Times New Roman" w:eastAsia="宋体" w:cs="Times New Roman"/>
                <w:b w:val="0"/>
                <w:bCs/>
                <w:color w:val="auto"/>
                <w:kern w:val="2"/>
                <w:sz w:val="24"/>
                <w:szCs w:val="24"/>
                <w:lang w:eastAsia="zh-CN"/>
              </w:rPr>
              <w:t>（</w:t>
            </w:r>
            <w:r>
              <w:rPr>
                <w:rFonts w:hint="eastAsia" w:ascii="Times New Roman" w:hAnsi="Times New Roman" w:eastAsia="宋体" w:cs="Times New Roman"/>
                <w:b w:val="0"/>
                <w:bCs/>
                <w:color w:val="auto"/>
                <w:kern w:val="2"/>
                <w:sz w:val="24"/>
                <w:szCs w:val="24"/>
                <w:lang w:val="en-US" w:eastAsia="zh-CN"/>
              </w:rPr>
              <w:t>1</w:t>
            </w:r>
            <w:r>
              <w:rPr>
                <w:rFonts w:hint="eastAsia" w:ascii="Times New Roman" w:hAnsi="Times New Roman" w:eastAsia="宋体" w:cs="Times New Roman"/>
                <w:b w:val="0"/>
                <w:bCs/>
                <w:color w:val="auto"/>
                <w:kern w:val="2"/>
                <w:sz w:val="24"/>
                <w:szCs w:val="24"/>
                <w:lang w:eastAsia="zh-CN"/>
              </w:rPr>
              <w:t>）</w:t>
            </w:r>
            <w:r>
              <w:rPr>
                <w:rFonts w:hint="default" w:ascii="Times New Roman" w:hAnsi="Times New Roman" w:eastAsia="宋体" w:cs="Times New Roman"/>
                <w:b w:val="0"/>
                <w:bCs/>
                <w:color w:val="auto"/>
                <w:kern w:val="2"/>
                <w:sz w:val="24"/>
                <w:szCs w:val="24"/>
                <w:lang w:eastAsia="zh-CN"/>
              </w:rPr>
              <w:t>废土石方</w:t>
            </w:r>
          </w:p>
          <w:p w14:paraId="6A32E1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kern w:val="2"/>
                <w:sz w:val="24"/>
                <w:szCs w:val="24"/>
                <w:lang w:eastAsia="zh-CN"/>
              </w:rPr>
            </w:pPr>
            <w:r>
              <w:rPr>
                <w:rFonts w:hint="default" w:ascii="Times New Roman" w:hAnsi="Times New Roman" w:eastAsia="宋体" w:cs="Times New Roman"/>
                <w:b w:val="0"/>
                <w:bCs/>
                <w:color w:val="auto"/>
                <w:kern w:val="2"/>
                <w:sz w:val="24"/>
                <w:szCs w:val="24"/>
                <w:lang w:eastAsia="zh-CN"/>
              </w:rPr>
              <w:t>项目所在地地势较平坦，项目土石方数量主要体现在</w:t>
            </w:r>
            <w:r>
              <w:rPr>
                <w:rFonts w:hint="eastAsia" w:ascii="Times New Roman" w:hAnsi="Times New Roman" w:eastAsia="宋体" w:cs="Times New Roman"/>
                <w:b w:val="0"/>
                <w:bCs/>
                <w:color w:val="auto"/>
                <w:kern w:val="2"/>
                <w:sz w:val="24"/>
                <w:szCs w:val="24"/>
                <w:lang w:val="en-US" w:eastAsia="zh-CN"/>
              </w:rPr>
              <w:t>5#厂房施工过程中的</w:t>
            </w:r>
            <w:r>
              <w:rPr>
                <w:rFonts w:hint="default" w:ascii="Times New Roman" w:hAnsi="Times New Roman" w:eastAsia="宋体" w:cs="Times New Roman"/>
                <w:b w:val="0"/>
                <w:bCs/>
                <w:color w:val="auto"/>
                <w:kern w:val="2"/>
                <w:sz w:val="24"/>
                <w:szCs w:val="24"/>
                <w:lang w:eastAsia="zh-CN"/>
              </w:rPr>
              <w:t>表土剥离、基础挖填等产生的土、石方。本项目土石方</w:t>
            </w:r>
            <w:r>
              <w:rPr>
                <w:rFonts w:hint="default" w:ascii="Times New Roman" w:hAnsi="Times New Roman" w:eastAsia="宋体" w:cs="Times New Roman"/>
                <w:b w:val="0"/>
                <w:bCs/>
                <w:color w:val="auto"/>
                <w:kern w:val="2"/>
                <w:sz w:val="24"/>
                <w:szCs w:val="24"/>
                <w:lang w:val="en-US" w:eastAsia="zh-CN"/>
              </w:rPr>
              <w:t>全部用于回填和绿化</w:t>
            </w:r>
            <w:r>
              <w:rPr>
                <w:rFonts w:hint="default" w:ascii="Times New Roman" w:hAnsi="Times New Roman" w:eastAsia="宋体" w:cs="Times New Roman"/>
                <w:b w:val="0"/>
                <w:bCs/>
                <w:color w:val="auto"/>
                <w:kern w:val="2"/>
                <w:sz w:val="24"/>
                <w:szCs w:val="24"/>
                <w:lang w:eastAsia="zh-CN"/>
              </w:rPr>
              <w:t>，</w:t>
            </w:r>
            <w:r>
              <w:rPr>
                <w:rFonts w:hint="default" w:ascii="Times New Roman" w:hAnsi="Times New Roman" w:eastAsia="宋体" w:cs="Times New Roman"/>
                <w:b w:val="0"/>
                <w:bCs/>
                <w:color w:val="auto"/>
                <w:kern w:val="2"/>
                <w:sz w:val="24"/>
                <w:szCs w:val="24"/>
                <w:lang w:val="en-US" w:eastAsia="zh-CN"/>
              </w:rPr>
              <w:t>无弃土产生</w:t>
            </w:r>
            <w:r>
              <w:rPr>
                <w:rFonts w:hint="default" w:ascii="Times New Roman" w:hAnsi="Times New Roman" w:eastAsia="宋体" w:cs="Times New Roman"/>
                <w:b w:val="0"/>
                <w:bCs/>
                <w:color w:val="auto"/>
                <w:kern w:val="2"/>
                <w:sz w:val="24"/>
                <w:szCs w:val="24"/>
                <w:lang w:eastAsia="zh-CN"/>
              </w:rPr>
              <w:t>。</w:t>
            </w:r>
          </w:p>
          <w:p w14:paraId="05D2A2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kern w:val="2"/>
                <w:sz w:val="24"/>
                <w:szCs w:val="24"/>
                <w:lang w:eastAsia="zh-CN"/>
              </w:rPr>
            </w:pPr>
            <w:r>
              <w:rPr>
                <w:rFonts w:hint="eastAsia" w:ascii="Times New Roman" w:hAnsi="Times New Roman" w:eastAsia="宋体" w:cs="Times New Roman"/>
                <w:b w:val="0"/>
                <w:bCs/>
                <w:color w:val="auto"/>
                <w:kern w:val="2"/>
                <w:sz w:val="24"/>
                <w:szCs w:val="24"/>
                <w:lang w:eastAsia="zh-CN"/>
              </w:rPr>
              <w:t>（</w:t>
            </w:r>
            <w:r>
              <w:rPr>
                <w:rFonts w:hint="eastAsia" w:ascii="Times New Roman" w:hAnsi="Times New Roman" w:eastAsia="宋体" w:cs="Times New Roman"/>
                <w:b w:val="0"/>
                <w:bCs/>
                <w:color w:val="auto"/>
                <w:kern w:val="2"/>
                <w:sz w:val="24"/>
                <w:szCs w:val="24"/>
                <w:lang w:val="en-US" w:eastAsia="zh-CN"/>
              </w:rPr>
              <w:t>2</w:t>
            </w:r>
            <w:r>
              <w:rPr>
                <w:rFonts w:hint="eastAsia" w:ascii="Times New Roman" w:hAnsi="Times New Roman" w:eastAsia="宋体" w:cs="Times New Roman"/>
                <w:b w:val="0"/>
                <w:bCs/>
                <w:color w:val="auto"/>
                <w:kern w:val="2"/>
                <w:sz w:val="24"/>
                <w:szCs w:val="24"/>
                <w:lang w:eastAsia="zh-CN"/>
              </w:rPr>
              <w:t>）</w:t>
            </w:r>
            <w:r>
              <w:rPr>
                <w:rFonts w:hint="default" w:ascii="Times New Roman" w:hAnsi="Times New Roman" w:eastAsia="宋体" w:cs="Times New Roman"/>
                <w:b w:val="0"/>
                <w:bCs/>
                <w:color w:val="auto"/>
                <w:kern w:val="2"/>
                <w:sz w:val="24"/>
                <w:szCs w:val="24"/>
                <w:lang w:eastAsia="zh-CN"/>
              </w:rPr>
              <w:t>建筑垃圾</w:t>
            </w:r>
          </w:p>
          <w:p w14:paraId="21E678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kern w:val="2"/>
                <w:sz w:val="24"/>
                <w:szCs w:val="24"/>
                <w:lang w:eastAsia="zh-CN"/>
              </w:rPr>
            </w:pPr>
            <w:r>
              <w:rPr>
                <w:rFonts w:hint="default" w:ascii="Times New Roman" w:hAnsi="Times New Roman" w:eastAsia="宋体" w:cs="Times New Roman"/>
                <w:b w:val="0"/>
                <w:bCs/>
                <w:color w:val="auto"/>
                <w:kern w:val="2"/>
                <w:sz w:val="24"/>
                <w:szCs w:val="24"/>
                <w:lang w:eastAsia="zh-CN"/>
              </w:rPr>
              <w:t>建筑垃圾的处置实行“减量化、资源化、无害化和谁产生谁承担清理责任”的原则，应按相关主管部门的要求运往指定的消纳场集中处理，不得随意倾倒、堆置，同时建设单位应请具有建筑垃圾运输许可证的单位按照指定的路线和地点进行运输和填埋，采取以上措施后，建筑垃圾对周边环境影响不大。</w:t>
            </w:r>
          </w:p>
          <w:p w14:paraId="24B9AE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kern w:val="2"/>
                <w:sz w:val="24"/>
                <w:szCs w:val="24"/>
                <w:lang w:val="en-US" w:eastAsia="zh-CN"/>
              </w:rPr>
            </w:pPr>
            <w:r>
              <w:rPr>
                <w:rFonts w:hint="eastAsia" w:ascii="Times New Roman" w:hAnsi="Times New Roman" w:eastAsia="宋体" w:cs="Times New Roman"/>
                <w:b w:val="0"/>
                <w:bCs/>
                <w:color w:val="auto"/>
                <w:kern w:val="2"/>
                <w:sz w:val="24"/>
                <w:szCs w:val="24"/>
                <w:lang w:eastAsia="zh-CN"/>
              </w:rPr>
              <w:t>（</w:t>
            </w:r>
            <w:r>
              <w:rPr>
                <w:rFonts w:hint="eastAsia" w:ascii="Times New Roman" w:hAnsi="Times New Roman" w:eastAsia="宋体" w:cs="Times New Roman"/>
                <w:b w:val="0"/>
                <w:bCs/>
                <w:color w:val="auto"/>
                <w:kern w:val="2"/>
                <w:sz w:val="24"/>
                <w:szCs w:val="24"/>
                <w:lang w:val="en-US" w:eastAsia="zh-CN"/>
              </w:rPr>
              <w:t>3</w:t>
            </w:r>
            <w:r>
              <w:rPr>
                <w:rFonts w:hint="eastAsia" w:ascii="Times New Roman" w:hAnsi="Times New Roman" w:eastAsia="宋体" w:cs="Times New Roman"/>
                <w:b w:val="0"/>
                <w:bCs/>
                <w:color w:val="auto"/>
                <w:kern w:val="2"/>
                <w:sz w:val="24"/>
                <w:szCs w:val="24"/>
                <w:lang w:eastAsia="zh-CN"/>
              </w:rPr>
              <w:t>）</w:t>
            </w:r>
            <w:r>
              <w:rPr>
                <w:rFonts w:hint="eastAsia" w:ascii="Times New Roman" w:hAnsi="Times New Roman" w:eastAsia="宋体" w:cs="Times New Roman"/>
                <w:b w:val="0"/>
                <w:bCs/>
                <w:color w:val="auto"/>
                <w:kern w:val="2"/>
                <w:sz w:val="24"/>
                <w:szCs w:val="24"/>
                <w:lang w:val="en-US" w:eastAsia="zh-CN"/>
              </w:rPr>
              <w:t>隔油池废油</w:t>
            </w:r>
          </w:p>
          <w:p w14:paraId="70C691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color w:val="auto"/>
                <w:kern w:val="2"/>
                <w:sz w:val="24"/>
                <w:szCs w:val="24"/>
                <w:highlight w:val="none"/>
                <w:lang w:eastAsia="zh-CN"/>
              </w:rPr>
            </w:pPr>
            <w:r>
              <w:rPr>
                <w:rFonts w:hint="eastAsia" w:ascii="Times New Roman" w:hAnsi="Times New Roman" w:eastAsia="宋体" w:cs="宋体"/>
                <w:color w:val="auto"/>
                <w:kern w:val="2"/>
                <w:sz w:val="24"/>
                <w:szCs w:val="24"/>
                <w:highlight w:val="none"/>
                <w:lang w:val="en-US" w:eastAsia="zh-CN" w:bidi="ar-SA"/>
              </w:rPr>
              <w:t>隔油池废油平均产生量约为1kg/d，则施工期隔油池废油总产生量为0.24t。根据</w:t>
            </w:r>
            <w:r>
              <w:rPr>
                <w:rFonts w:hint="eastAsia" w:cs="宋体"/>
                <w:color w:val="auto"/>
                <w:kern w:val="2"/>
                <w:sz w:val="24"/>
                <w:szCs w:val="24"/>
                <w:highlight w:val="none"/>
                <w:lang w:val="en-US" w:eastAsia="zh-CN" w:bidi="ar-SA"/>
              </w:rPr>
              <w:t>《国家危险废物名录》（2025年版）</w:t>
            </w:r>
            <w:r>
              <w:rPr>
                <w:rFonts w:hint="eastAsia" w:ascii="Times New Roman" w:hAnsi="Times New Roman" w:eastAsia="宋体" w:cs="宋体"/>
                <w:color w:val="auto"/>
                <w:kern w:val="2"/>
                <w:sz w:val="24"/>
                <w:szCs w:val="24"/>
                <w:highlight w:val="none"/>
                <w:lang w:val="en-US" w:eastAsia="zh-CN" w:bidi="ar-SA"/>
              </w:rPr>
              <w:t>，隔油池废油属于危险废物（HW08，900-210-08），废油产生后及时委托有危废资质的单位处置。</w:t>
            </w:r>
          </w:p>
          <w:p w14:paraId="30B9DF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kern w:val="2"/>
                <w:sz w:val="24"/>
                <w:szCs w:val="24"/>
                <w:lang w:eastAsia="zh-CN"/>
              </w:rPr>
            </w:pPr>
            <w:r>
              <w:rPr>
                <w:rFonts w:hint="eastAsia" w:ascii="Times New Roman" w:hAnsi="Times New Roman" w:eastAsia="宋体" w:cs="Times New Roman"/>
                <w:b w:val="0"/>
                <w:bCs/>
                <w:color w:val="auto"/>
                <w:kern w:val="2"/>
                <w:sz w:val="24"/>
                <w:szCs w:val="24"/>
                <w:lang w:eastAsia="zh-CN"/>
              </w:rPr>
              <w:t>（</w:t>
            </w:r>
            <w:r>
              <w:rPr>
                <w:rFonts w:hint="eastAsia" w:ascii="Times New Roman" w:hAnsi="Times New Roman" w:eastAsia="宋体" w:cs="Times New Roman"/>
                <w:b w:val="0"/>
                <w:bCs/>
                <w:color w:val="auto"/>
                <w:kern w:val="2"/>
                <w:sz w:val="24"/>
                <w:szCs w:val="24"/>
                <w:lang w:val="en-US" w:eastAsia="zh-CN"/>
              </w:rPr>
              <w:t>4</w:t>
            </w:r>
            <w:r>
              <w:rPr>
                <w:rFonts w:hint="eastAsia" w:ascii="Times New Roman" w:hAnsi="Times New Roman" w:eastAsia="宋体" w:cs="Times New Roman"/>
                <w:b w:val="0"/>
                <w:bCs/>
                <w:color w:val="auto"/>
                <w:kern w:val="2"/>
                <w:sz w:val="24"/>
                <w:szCs w:val="24"/>
                <w:lang w:eastAsia="zh-CN"/>
              </w:rPr>
              <w:t>）</w:t>
            </w:r>
            <w:r>
              <w:rPr>
                <w:rFonts w:hint="default" w:ascii="Times New Roman" w:hAnsi="Times New Roman" w:eastAsia="宋体" w:cs="Times New Roman"/>
                <w:b w:val="0"/>
                <w:bCs/>
                <w:color w:val="auto"/>
                <w:kern w:val="2"/>
                <w:sz w:val="24"/>
                <w:szCs w:val="24"/>
                <w:lang w:eastAsia="zh-CN"/>
              </w:rPr>
              <w:t>生活垃圾</w:t>
            </w:r>
          </w:p>
          <w:p w14:paraId="304050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kern w:val="2"/>
                <w:sz w:val="24"/>
                <w:szCs w:val="24"/>
                <w:lang w:eastAsia="zh-CN"/>
              </w:rPr>
            </w:pPr>
            <w:r>
              <w:rPr>
                <w:rFonts w:hint="default" w:ascii="Times New Roman" w:hAnsi="Times New Roman" w:eastAsia="宋体" w:cs="Times New Roman"/>
                <w:b w:val="0"/>
                <w:bCs/>
                <w:color w:val="auto"/>
                <w:kern w:val="2"/>
                <w:sz w:val="24"/>
                <w:szCs w:val="24"/>
                <w:lang w:eastAsia="zh-CN"/>
              </w:rPr>
              <w:t>施工人员产生的生活垃圾集中收集后委托环卫部门处理，对周边环境影响较小。</w:t>
            </w:r>
          </w:p>
          <w:p w14:paraId="7FB7B4A8">
            <w:pPr>
              <w:pStyle w:val="95"/>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rPr>
              <w:t>5</w:t>
            </w: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rPr>
              <w:t>生态环境影响分析</w:t>
            </w:r>
          </w:p>
          <w:p w14:paraId="4CC25B7B">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随着施工场地开挖、填方、平整、取土弃土等行为，均会造成土壤剥离、破坏原有硬化地面和地表植被。如果施工过程中大量的土石方随意堆放，无防洪措施，遇有暴雨冲刷，易产生雨水冲蚀流失。因此，施工期应加强施工管理，合理安排施工进度，合理存放土石方，制定有效的防洪措施，就可以避免发生水土流失。</w:t>
            </w:r>
            <w:r>
              <w:rPr>
                <w:rFonts w:hint="default" w:ascii="Times New Roman" w:hAnsi="Times New Roman" w:eastAsia="宋体" w:cs="Times New Roman"/>
                <w:color w:val="auto"/>
                <w:sz w:val="24"/>
                <w:szCs w:val="24"/>
                <w:highlight w:val="none"/>
              </w:rPr>
              <w:t>本项目所在区域内无珍稀动植物</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施工期环境影响是局部的、短暂的，施工结束后影响消失。由于拟建项目将采取有效的防治措施，因此本项目的实施不会对</w:t>
            </w:r>
            <w:r>
              <w:rPr>
                <w:rFonts w:hint="eastAsia" w:cs="Times New Roman"/>
                <w:color w:val="auto"/>
                <w:sz w:val="24"/>
                <w:szCs w:val="24"/>
                <w:highlight w:val="none"/>
                <w:lang w:eastAsia="zh-CN"/>
              </w:rPr>
              <w:t>周围</w:t>
            </w:r>
            <w:r>
              <w:rPr>
                <w:rFonts w:hint="default" w:ascii="Times New Roman" w:hAnsi="Times New Roman" w:eastAsia="宋体" w:cs="Times New Roman"/>
                <w:color w:val="auto"/>
                <w:sz w:val="24"/>
                <w:szCs w:val="24"/>
                <w:highlight w:val="none"/>
              </w:rPr>
              <w:t>的生态环境带来不良影响。</w:t>
            </w:r>
          </w:p>
          <w:p w14:paraId="4DC97BF5">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40" w:firstLineChars="200"/>
              <w:jc w:val="both"/>
              <w:textAlignment w:val="auto"/>
              <w:rPr>
                <w:rFonts w:hint="default" w:ascii="宋体" w:hAnsi="宋体" w:cs="宋体"/>
                <w:bCs/>
                <w:color w:val="auto"/>
                <w:spacing w:val="-10"/>
                <w:sz w:val="24"/>
                <w:szCs w:val="24"/>
              </w:rPr>
            </w:pPr>
          </w:p>
        </w:tc>
      </w:tr>
      <w:tr w14:paraId="235A3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noWrap w:val="0"/>
            <w:tcMar>
              <w:left w:w="28" w:type="dxa"/>
              <w:right w:w="28" w:type="dxa"/>
            </w:tcMar>
            <w:vAlign w:val="center"/>
          </w:tcPr>
          <w:p w14:paraId="1943F95B">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运营</w:t>
            </w:r>
          </w:p>
          <w:p w14:paraId="4683A416">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期环</w:t>
            </w:r>
          </w:p>
          <w:p w14:paraId="760A5A9F">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境影</w:t>
            </w:r>
          </w:p>
          <w:p w14:paraId="2ED9655B">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响和</w:t>
            </w:r>
          </w:p>
          <w:p w14:paraId="28F8152B">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保护</w:t>
            </w:r>
          </w:p>
          <w:p w14:paraId="762790AF">
            <w:pPr>
              <w:pStyle w:val="30"/>
              <w:keepNext w:val="0"/>
              <w:keepLines w:val="0"/>
              <w:suppressLineNumbers w:val="0"/>
              <w:adjustRightInd w:val="0"/>
              <w:snapToGrid w:val="0"/>
              <w:spacing w:before="0" w:beforeAutospacing="0" w:after="0" w:afterAutospacing="0"/>
              <w:ind w:left="0" w:right="0"/>
              <w:jc w:val="center"/>
              <w:rPr>
                <w:rFonts w:hint="eastAsia" w:eastAsia="宋体" w:cs="宋体"/>
                <w:color w:val="auto"/>
                <w:kern w:val="2"/>
                <w:sz w:val="24"/>
                <w:szCs w:val="24"/>
                <w:lang w:eastAsia="zh-CN"/>
              </w:rPr>
            </w:pPr>
            <w:r>
              <w:rPr>
                <w:rFonts w:hint="eastAsia" w:cs="宋体"/>
                <w:color w:val="auto"/>
                <w:kern w:val="2"/>
                <w:sz w:val="24"/>
                <w:szCs w:val="24"/>
                <w:lang w:eastAsia="zh-CN"/>
              </w:rPr>
              <w:t>措施</w:t>
            </w:r>
          </w:p>
        </w:tc>
        <w:tc>
          <w:tcPr>
            <w:tcW w:w="7937" w:type="dxa"/>
            <w:noWrap w:val="0"/>
            <w:vAlign w:val="center"/>
          </w:tcPr>
          <w:p w14:paraId="3603BC93">
            <w:pPr>
              <w:pStyle w:val="30"/>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color w:val="auto"/>
                <w:kern w:val="2"/>
                <w:sz w:val="24"/>
                <w:szCs w:val="24"/>
              </w:rPr>
            </w:pPr>
            <w:r>
              <w:rPr>
                <w:rFonts w:hint="eastAsia" w:ascii="Times New Roman" w:hAnsi="Times New Roman" w:eastAsia="宋体" w:cs="Times New Roman"/>
                <w:b/>
                <w:color w:val="auto"/>
                <w:kern w:val="2"/>
                <w:sz w:val="24"/>
                <w:szCs w:val="24"/>
                <w:lang w:val="en-US" w:eastAsia="zh-CN" w:bidi="ar"/>
              </w:rPr>
              <w:t>1</w:t>
            </w:r>
            <w:r>
              <w:rPr>
                <w:rFonts w:hint="eastAsia" w:ascii="Times New Roman" w:hAnsi="Times New Roman" w:eastAsia="宋体" w:cs="宋体"/>
                <w:b/>
                <w:color w:val="auto"/>
                <w:kern w:val="2"/>
                <w:sz w:val="24"/>
                <w:szCs w:val="24"/>
                <w:lang w:val="en-US" w:eastAsia="zh-CN" w:bidi="ar"/>
              </w:rPr>
              <w:t>、废气</w:t>
            </w:r>
          </w:p>
          <w:p w14:paraId="79C98314">
            <w:pPr>
              <w:pStyle w:val="30"/>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color w:val="auto"/>
                <w:kern w:val="2"/>
                <w:sz w:val="24"/>
                <w:szCs w:val="24"/>
                <w:highlight w:val="none"/>
                <w:lang w:val="en-US" w:eastAsia="zh-CN" w:bidi="ar"/>
              </w:rPr>
            </w:pPr>
            <w:r>
              <w:rPr>
                <w:rFonts w:hint="eastAsia" w:ascii="Times New Roman" w:hAnsi="Times New Roman" w:eastAsia="宋体" w:cs="宋体"/>
                <w:color w:val="auto"/>
                <w:kern w:val="2"/>
                <w:sz w:val="24"/>
                <w:szCs w:val="24"/>
                <w:highlight w:val="none"/>
                <w:lang w:val="en-US" w:eastAsia="zh-CN" w:bidi="ar"/>
              </w:rPr>
              <w:t>营运期产生的废气主要有</w:t>
            </w:r>
            <w:r>
              <w:rPr>
                <w:rFonts w:hint="eastAsia" w:cs="Times New Roman"/>
                <w:color w:val="auto"/>
                <w:sz w:val="24"/>
                <w:szCs w:val="22"/>
                <w:highlight w:val="none"/>
                <w:lang w:val="en-US" w:eastAsia="zh-CN"/>
              </w:rPr>
              <w:t>：</w:t>
            </w:r>
            <w:r>
              <w:rPr>
                <w:rFonts w:hint="eastAsia" w:ascii="Times New Roman" w:hAnsi="Times New Roman" w:cs="宋体"/>
                <w:color w:val="auto"/>
                <w:kern w:val="2"/>
                <w:sz w:val="24"/>
                <w:szCs w:val="32"/>
                <w:highlight w:val="none"/>
                <w:lang w:val="en-US" w:eastAsia="zh-CN" w:bidi="ar"/>
              </w:rPr>
              <w:t>投料、搅拌工序产生的颗粒物；烘干、印刷和胶钉工序产生的VOCs；污水处理站恶臭气体</w:t>
            </w:r>
            <w:r>
              <w:rPr>
                <w:rFonts w:hint="eastAsia" w:ascii="Times New Roman" w:hAnsi="Times New Roman" w:eastAsia="宋体" w:cs="宋体"/>
                <w:color w:val="auto"/>
                <w:kern w:val="2"/>
                <w:sz w:val="24"/>
                <w:szCs w:val="32"/>
                <w:highlight w:val="none"/>
                <w:lang w:val="en-US" w:eastAsia="zh-CN" w:bidi="ar"/>
              </w:rPr>
              <w:t>，废气的具体情况分析如下</w:t>
            </w:r>
            <w:r>
              <w:rPr>
                <w:rFonts w:hint="eastAsia" w:cs="Times New Roman"/>
                <w:color w:val="auto"/>
                <w:sz w:val="24"/>
                <w:szCs w:val="22"/>
                <w:highlight w:val="none"/>
                <w:lang w:val="en-US" w:eastAsia="zh-CN"/>
              </w:rPr>
              <w:t>。</w:t>
            </w:r>
          </w:p>
          <w:p w14:paraId="74094E66">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宋体"/>
                <w:b/>
                <w:bCs/>
                <w:color w:val="auto"/>
                <w:kern w:val="2"/>
                <w:sz w:val="24"/>
                <w:szCs w:val="32"/>
                <w:highlight w:val="none"/>
                <w:lang w:val="en-US" w:eastAsia="zh-CN" w:bidi="ar"/>
              </w:rPr>
            </w:pPr>
            <w:r>
              <w:rPr>
                <w:rFonts w:hint="eastAsia" w:ascii="Times New Roman" w:hAnsi="Times New Roman" w:eastAsia="宋体" w:cs="宋体"/>
                <w:b/>
                <w:bCs/>
                <w:color w:val="auto"/>
                <w:kern w:val="2"/>
                <w:sz w:val="24"/>
                <w:szCs w:val="32"/>
                <w:highlight w:val="none"/>
                <w:lang w:val="en-US" w:eastAsia="zh-CN" w:bidi="ar"/>
              </w:rPr>
              <w:t>1.1废气源强估算：</w:t>
            </w:r>
          </w:p>
          <w:p w14:paraId="42A91851">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2"/>
                <w:highlight w:val="none"/>
                <w:lang w:val="en-US" w:eastAsia="zh-CN"/>
              </w:rPr>
            </w:pPr>
            <w:r>
              <w:rPr>
                <w:rFonts w:hint="eastAsia" w:ascii="Times New Roman" w:hAnsi="Times New Roman" w:cs="Times New Roman"/>
                <w:b/>
                <w:bCs/>
                <w:color w:val="auto"/>
                <w:sz w:val="24"/>
                <w:szCs w:val="22"/>
                <w:lang w:val="en-US" w:eastAsia="zh-CN"/>
              </w:rPr>
              <w:t>1.1.1</w:t>
            </w:r>
            <w:r>
              <w:rPr>
                <w:rFonts w:hint="eastAsia" w:cs="Times New Roman"/>
                <w:b/>
                <w:bCs/>
                <w:color w:val="auto"/>
                <w:sz w:val="24"/>
                <w:szCs w:val="22"/>
                <w:highlight w:val="none"/>
                <w:lang w:val="en-US" w:eastAsia="zh-CN"/>
              </w:rPr>
              <w:t>投料粉尘</w:t>
            </w:r>
            <w:r>
              <w:rPr>
                <w:rFonts w:hint="eastAsia" w:ascii="Times New Roman" w:hAnsi="Times New Roman" w:eastAsia="宋体" w:cs="Times New Roman"/>
                <w:b/>
                <w:bCs/>
                <w:color w:val="auto"/>
                <w:sz w:val="24"/>
                <w:szCs w:val="22"/>
                <w:highlight w:val="none"/>
                <w:lang w:val="en-US" w:eastAsia="zh-CN"/>
              </w:rPr>
              <w:t>：</w:t>
            </w:r>
          </w:p>
          <w:p w14:paraId="069FE541">
            <w:pPr>
              <w:keepNext w:val="0"/>
              <w:keepLines w:val="0"/>
              <w:suppressLineNumbers w:val="0"/>
              <w:spacing w:before="0" w:beforeAutospacing="0" w:after="0" w:afterAutospacing="0" w:line="360" w:lineRule="auto"/>
              <w:ind w:left="0" w:right="0" w:firstLine="480" w:firstLineChars="200"/>
              <w:rPr>
                <w:rFonts w:hint="eastAsia"/>
                <w:color w:val="auto"/>
                <w:sz w:val="24"/>
                <w:szCs w:val="22"/>
                <w:lang w:eastAsia="zh-CN"/>
              </w:rPr>
            </w:pPr>
            <w:r>
              <w:rPr>
                <w:rFonts w:hint="eastAsia"/>
                <w:sz w:val="24"/>
                <w:szCs w:val="22"/>
              </w:rPr>
              <w:t>项目原料淀粉、高岭土为固体粉末，投料</w:t>
            </w:r>
            <w:r>
              <w:rPr>
                <w:rFonts w:hint="eastAsia"/>
                <w:sz w:val="24"/>
                <w:szCs w:val="22"/>
                <w:lang w:eastAsia="zh-CN"/>
              </w:rPr>
              <w:t>、</w:t>
            </w:r>
            <w:r>
              <w:rPr>
                <w:rFonts w:hint="eastAsia"/>
                <w:sz w:val="24"/>
                <w:szCs w:val="22"/>
                <w:lang w:val="en-US" w:eastAsia="zh-CN"/>
              </w:rPr>
              <w:t>搅拌</w:t>
            </w:r>
            <w:r>
              <w:rPr>
                <w:rFonts w:hint="eastAsia"/>
                <w:sz w:val="24"/>
                <w:szCs w:val="22"/>
              </w:rPr>
              <w:t>过程将产生粉尘</w:t>
            </w:r>
            <w:r>
              <w:rPr>
                <w:rFonts w:hint="eastAsia"/>
                <w:sz w:val="24"/>
                <w:lang w:eastAsia="zh-CN"/>
              </w:rPr>
              <w:t>。</w:t>
            </w:r>
            <w:r>
              <w:rPr>
                <w:rFonts w:hint="eastAsia"/>
                <w:sz w:val="24"/>
                <w:lang w:val="en-US" w:eastAsia="zh-CN"/>
              </w:rPr>
              <w:t>类比泗水百畅纸业有限公司</w:t>
            </w:r>
            <w:r>
              <w:rPr>
                <w:rFonts w:hint="eastAsia"/>
                <w:color w:val="auto"/>
                <w:sz w:val="24"/>
                <w:szCs w:val="22"/>
                <w:lang w:eastAsia="zh-CN"/>
              </w:rPr>
              <w:t>《无碳复写纸、热敏收银纸生产项目》二期工程验收检测报告（</w:t>
            </w:r>
            <w:r>
              <w:rPr>
                <w:rFonts w:hint="eastAsia"/>
                <w:sz w:val="24"/>
                <w:lang w:val="en-US" w:eastAsia="zh-CN"/>
              </w:rPr>
              <w:t>本项目与泗水百畅纸业有限公司“</w:t>
            </w:r>
            <w:r>
              <w:rPr>
                <w:rFonts w:hint="eastAsia"/>
                <w:color w:val="auto"/>
                <w:sz w:val="24"/>
                <w:szCs w:val="22"/>
                <w:lang w:eastAsia="zh-CN"/>
              </w:rPr>
              <w:t>无碳复写纸、热敏收银纸生产项目</w:t>
            </w:r>
            <w:r>
              <w:rPr>
                <w:rFonts w:hint="eastAsia"/>
                <w:sz w:val="24"/>
                <w:lang w:val="en-US" w:eastAsia="zh-CN"/>
              </w:rPr>
              <w:t>”</w:t>
            </w:r>
            <w:r>
              <w:rPr>
                <w:rFonts w:hint="eastAsia"/>
                <w:color w:val="auto"/>
                <w:sz w:val="24"/>
                <w:szCs w:val="22"/>
                <w:lang w:val="en-US" w:eastAsia="zh-CN"/>
              </w:rPr>
              <w:t>原辅材料相似、工艺相同、生产规模相近，满足类比条件</w:t>
            </w:r>
            <w:r>
              <w:rPr>
                <w:rFonts w:hint="eastAsia"/>
                <w:color w:val="auto"/>
                <w:sz w:val="24"/>
                <w:szCs w:val="22"/>
                <w:lang w:eastAsia="zh-CN"/>
              </w:rPr>
              <w:t>），投料过程粉尘</w:t>
            </w:r>
            <w:r>
              <w:rPr>
                <w:rFonts w:hint="eastAsia"/>
                <w:color w:val="auto"/>
                <w:sz w:val="24"/>
                <w:szCs w:val="22"/>
                <w:lang w:val="en-US" w:eastAsia="zh-CN"/>
              </w:rPr>
              <w:t>颗粒物</w:t>
            </w:r>
            <w:r>
              <w:rPr>
                <w:rFonts w:hint="eastAsia"/>
                <w:color w:val="auto"/>
                <w:sz w:val="24"/>
                <w:szCs w:val="22"/>
                <w:lang w:eastAsia="zh-CN"/>
              </w:rPr>
              <w:t>最大产生浓度为</w:t>
            </w:r>
            <w:r>
              <w:rPr>
                <w:rFonts w:hint="eastAsia"/>
                <w:color w:val="auto"/>
                <w:sz w:val="24"/>
                <w:szCs w:val="22"/>
                <w:lang w:val="en-US" w:eastAsia="zh-CN"/>
              </w:rPr>
              <w:t>42.5</w:t>
            </w:r>
            <w:r>
              <w:rPr>
                <w:rFonts w:hint="eastAsia"/>
                <w:bCs/>
                <w:color w:val="auto"/>
                <w:sz w:val="24"/>
              </w:rPr>
              <w:t>mg/m</w:t>
            </w:r>
            <w:r>
              <w:rPr>
                <w:rFonts w:hint="eastAsia"/>
                <w:bCs/>
                <w:color w:val="auto"/>
                <w:sz w:val="24"/>
                <w:vertAlign w:val="superscript"/>
              </w:rPr>
              <w:t>3</w:t>
            </w:r>
            <w:r>
              <w:rPr>
                <w:rFonts w:hint="eastAsia"/>
                <w:color w:val="auto"/>
                <w:sz w:val="24"/>
                <w:szCs w:val="22"/>
                <w:lang w:eastAsia="zh-CN"/>
              </w:rPr>
              <w:t>，产生速率为</w:t>
            </w:r>
            <w:r>
              <w:rPr>
                <w:rFonts w:hint="eastAsia"/>
                <w:color w:val="auto"/>
                <w:sz w:val="24"/>
                <w:szCs w:val="22"/>
                <w:lang w:val="en-US" w:eastAsia="zh-CN"/>
              </w:rPr>
              <w:t>0.10</w:t>
            </w:r>
            <w:r>
              <w:rPr>
                <w:rFonts w:hint="eastAsia"/>
                <w:color w:val="auto"/>
                <w:sz w:val="24"/>
                <w:szCs w:val="22"/>
              </w:rPr>
              <w:t>kg/h</w:t>
            </w:r>
            <w:r>
              <w:rPr>
                <w:rFonts w:hint="eastAsia"/>
                <w:color w:val="auto"/>
                <w:sz w:val="24"/>
                <w:szCs w:val="22"/>
                <w:lang w:eastAsia="zh-CN"/>
              </w:rPr>
              <w:t>，布袋除尘器除尘效率为</w:t>
            </w:r>
            <w:r>
              <w:rPr>
                <w:rFonts w:hint="eastAsia"/>
                <w:color w:val="auto"/>
                <w:sz w:val="24"/>
                <w:szCs w:val="22"/>
                <w:lang w:val="en-US" w:eastAsia="zh-CN"/>
              </w:rPr>
              <w:t>90.6%</w:t>
            </w:r>
            <w:r>
              <w:rPr>
                <w:rFonts w:hint="eastAsia"/>
                <w:color w:val="auto"/>
                <w:sz w:val="24"/>
                <w:szCs w:val="22"/>
                <w:lang w:eastAsia="zh-CN"/>
              </w:rPr>
              <w:t>，计算出年产3200t无碳复写纸、1800t热敏收银纸过程颗粒物产生量为</w:t>
            </w:r>
            <w:r>
              <w:rPr>
                <w:rFonts w:hint="eastAsia"/>
                <w:color w:val="auto"/>
                <w:sz w:val="24"/>
                <w:szCs w:val="22"/>
                <w:lang w:val="en-US" w:eastAsia="zh-CN"/>
              </w:rPr>
              <w:t>0.72</w:t>
            </w:r>
            <w:r>
              <w:rPr>
                <w:rFonts w:hint="eastAsia"/>
                <w:color w:val="auto"/>
                <w:sz w:val="24"/>
                <w:szCs w:val="22"/>
              </w:rPr>
              <w:t>t/a</w:t>
            </w:r>
            <w:r>
              <w:rPr>
                <w:rFonts w:hint="eastAsia"/>
                <w:color w:val="auto"/>
                <w:sz w:val="24"/>
                <w:szCs w:val="22"/>
                <w:lang w:eastAsia="zh-CN"/>
              </w:rPr>
              <w:t>。</w:t>
            </w:r>
          </w:p>
          <w:p w14:paraId="0F0B55F2">
            <w:pPr>
              <w:keepNext w:val="0"/>
              <w:keepLines w:val="0"/>
              <w:suppressLineNumbers w:val="0"/>
              <w:spacing w:before="0" w:beforeAutospacing="0" w:after="0" w:afterAutospacing="0" w:line="360" w:lineRule="auto"/>
              <w:ind w:left="0" w:right="0" w:firstLine="480" w:firstLineChars="200"/>
              <w:rPr>
                <w:rFonts w:hint="eastAsia" w:eastAsia="宋体"/>
                <w:color w:val="0000FF"/>
                <w:sz w:val="24"/>
                <w:szCs w:val="22"/>
                <w:lang w:val="en-US" w:eastAsia="zh-CN"/>
              </w:rPr>
            </w:pPr>
            <w:r>
              <w:rPr>
                <w:rFonts w:hint="eastAsia"/>
                <w:color w:val="auto"/>
                <w:sz w:val="24"/>
                <w:szCs w:val="22"/>
                <w:lang w:val="en-US" w:eastAsia="zh-CN"/>
              </w:rPr>
              <w:t>本项目</w:t>
            </w:r>
            <w:r>
              <w:rPr>
                <w:rFonts w:hint="eastAsia"/>
                <w:color w:val="auto"/>
                <w:sz w:val="24"/>
                <w:szCs w:val="22"/>
                <w:lang w:eastAsia="zh-CN"/>
              </w:rPr>
              <w:t>年产</w:t>
            </w:r>
            <w:r>
              <w:rPr>
                <w:rFonts w:hint="eastAsia"/>
                <w:color w:val="auto"/>
                <w:sz w:val="24"/>
                <w:szCs w:val="22"/>
                <w:lang w:val="en-US" w:eastAsia="zh-CN"/>
              </w:rPr>
              <w:t>2万吨</w:t>
            </w:r>
            <w:r>
              <w:rPr>
                <w:rFonts w:hint="eastAsia"/>
                <w:color w:val="auto"/>
                <w:sz w:val="24"/>
                <w:szCs w:val="22"/>
                <w:lang w:eastAsia="zh-CN"/>
              </w:rPr>
              <w:t>心电图医疗记录纸，则投料、搅拌过程粉尘产生量为</w:t>
            </w:r>
            <w:r>
              <w:rPr>
                <w:rFonts w:hint="eastAsia"/>
                <w:color w:val="auto"/>
                <w:sz w:val="24"/>
                <w:szCs w:val="22"/>
                <w:lang w:val="en-US" w:eastAsia="zh-CN"/>
              </w:rPr>
              <w:t>2.88</w:t>
            </w:r>
            <w:r>
              <w:rPr>
                <w:rFonts w:hint="eastAsia"/>
                <w:color w:val="auto"/>
                <w:sz w:val="24"/>
                <w:szCs w:val="22"/>
              </w:rPr>
              <w:t>t/a</w:t>
            </w:r>
            <w:r>
              <w:rPr>
                <w:rFonts w:hint="eastAsia"/>
                <w:color w:val="auto"/>
                <w:sz w:val="24"/>
                <w:szCs w:val="22"/>
                <w:lang w:eastAsia="zh-CN"/>
              </w:rPr>
              <w:t>，</w:t>
            </w:r>
            <w:r>
              <w:rPr>
                <w:rFonts w:hint="eastAsia"/>
                <w:sz w:val="24"/>
                <w:szCs w:val="24"/>
              </w:rPr>
              <w:t>工作时间为</w:t>
            </w:r>
            <w:r>
              <w:rPr>
                <w:rFonts w:hint="eastAsia"/>
                <w:sz w:val="24"/>
                <w:szCs w:val="24"/>
                <w:lang w:val="en-US" w:eastAsia="zh-CN"/>
              </w:rPr>
              <w:t>7</w:t>
            </w:r>
            <w:r>
              <w:rPr>
                <w:rFonts w:hint="eastAsia"/>
                <w:sz w:val="24"/>
                <w:szCs w:val="24"/>
              </w:rPr>
              <w:t>200h/a，</w:t>
            </w:r>
            <w:r>
              <w:rPr>
                <w:rFonts w:hint="eastAsia"/>
                <w:color w:val="auto"/>
                <w:sz w:val="24"/>
                <w:szCs w:val="22"/>
                <w:lang w:eastAsia="zh-CN"/>
              </w:rPr>
              <w:t>产生速率为</w:t>
            </w:r>
            <w:r>
              <w:rPr>
                <w:rFonts w:hint="eastAsia"/>
                <w:color w:val="auto"/>
                <w:sz w:val="24"/>
                <w:szCs w:val="22"/>
                <w:lang w:val="en-US" w:eastAsia="zh-CN"/>
              </w:rPr>
              <w:t>0.4</w:t>
            </w:r>
            <w:r>
              <w:rPr>
                <w:rFonts w:hint="eastAsia"/>
                <w:color w:val="auto"/>
                <w:sz w:val="24"/>
                <w:szCs w:val="22"/>
              </w:rPr>
              <w:t>kg/h</w:t>
            </w:r>
            <w:r>
              <w:rPr>
                <w:rFonts w:hint="eastAsia"/>
                <w:sz w:val="24"/>
                <w:szCs w:val="28"/>
                <w:lang w:eastAsia="zh-CN"/>
              </w:rPr>
              <w:t>。</w:t>
            </w:r>
            <w:r>
              <w:rPr>
                <w:rFonts w:hint="eastAsia"/>
                <w:sz w:val="24"/>
                <w:szCs w:val="28"/>
              </w:rPr>
              <w:t>车间配料过程加盖密闭，企业拟在混料设备上料口、搅拌机顶部设置集气罩，</w:t>
            </w:r>
            <w:r>
              <w:rPr>
                <w:rFonts w:hint="eastAsia"/>
                <w:sz w:val="24"/>
                <w:szCs w:val="28"/>
                <w:lang w:val="en-US" w:eastAsia="zh-CN"/>
              </w:rPr>
              <w:t>风机风量3000m³/h，</w:t>
            </w:r>
            <w:r>
              <w:rPr>
                <w:rFonts w:hint="eastAsia"/>
                <w:sz w:val="24"/>
                <w:szCs w:val="28"/>
              </w:rPr>
              <w:t>车间内</w:t>
            </w:r>
            <w:r>
              <w:rPr>
                <w:rFonts w:hint="eastAsia"/>
                <w:sz w:val="24"/>
                <w:szCs w:val="28"/>
                <w:lang w:val="en-US" w:eastAsia="zh-CN"/>
              </w:rPr>
              <w:t>投料</w:t>
            </w:r>
            <w:r>
              <w:rPr>
                <w:rFonts w:hint="eastAsia"/>
                <w:sz w:val="24"/>
                <w:szCs w:val="28"/>
              </w:rPr>
              <w:t>、搅拌过程产生的粉尘</w:t>
            </w:r>
            <w:r>
              <w:rPr>
                <w:rFonts w:hint="eastAsia"/>
                <w:sz w:val="24"/>
              </w:rPr>
              <w:t>收集后</w:t>
            </w:r>
            <w:r>
              <w:rPr>
                <w:rFonts w:hint="eastAsia"/>
                <w:sz w:val="24"/>
                <w:lang w:val="en-US" w:eastAsia="zh-CN"/>
              </w:rPr>
              <w:t>经</w:t>
            </w:r>
            <w:r>
              <w:rPr>
                <w:rFonts w:hint="eastAsia"/>
                <w:sz w:val="24"/>
                <w:szCs w:val="28"/>
              </w:rPr>
              <w:t>袋式除尘器</w:t>
            </w:r>
            <w:r>
              <w:rPr>
                <w:rFonts w:hint="default"/>
                <w:sz w:val="24"/>
              </w:rPr>
              <w:t>（处理效率9</w:t>
            </w:r>
            <w:r>
              <w:rPr>
                <w:rFonts w:hint="eastAsia"/>
                <w:sz w:val="24"/>
              </w:rPr>
              <w:t>0</w:t>
            </w:r>
            <w:r>
              <w:rPr>
                <w:rFonts w:hint="eastAsia"/>
                <w:sz w:val="24"/>
                <w:lang w:val="en-US" w:eastAsia="zh-CN"/>
              </w:rPr>
              <w:t>.6</w:t>
            </w:r>
            <w:r>
              <w:rPr>
                <w:rFonts w:hint="default"/>
                <w:sz w:val="24"/>
              </w:rPr>
              <w:t>%）</w:t>
            </w:r>
            <w:r>
              <w:rPr>
                <w:rFonts w:hint="eastAsia"/>
                <w:sz w:val="24"/>
                <w:szCs w:val="28"/>
              </w:rPr>
              <w:t>处理，</w:t>
            </w:r>
            <w:r>
              <w:rPr>
                <w:rFonts w:hint="eastAsia"/>
                <w:sz w:val="24"/>
                <w:szCs w:val="28"/>
                <w:lang w:val="en-US" w:eastAsia="zh-CN"/>
              </w:rPr>
              <w:t>通过</w:t>
            </w:r>
            <w:r>
              <w:rPr>
                <w:rFonts w:hint="eastAsia"/>
                <w:sz w:val="24"/>
                <w:szCs w:val="28"/>
              </w:rPr>
              <w:t>DA001排气筒高空排放。</w:t>
            </w:r>
            <w:r>
              <w:rPr>
                <w:rFonts w:hint="eastAsia"/>
                <w:color w:val="auto"/>
                <w:sz w:val="24"/>
                <w:szCs w:val="28"/>
                <w:lang w:val="en-US" w:eastAsia="zh-CN"/>
              </w:rPr>
              <w:t>则有组织颗粒物</w:t>
            </w:r>
            <w:r>
              <w:rPr>
                <w:rFonts w:hint="eastAsia"/>
                <w:bCs/>
                <w:color w:val="auto"/>
                <w:sz w:val="24"/>
              </w:rPr>
              <w:t>排放量0.</w:t>
            </w:r>
            <w:r>
              <w:rPr>
                <w:rFonts w:hint="eastAsia"/>
                <w:bCs/>
                <w:color w:val="auto"/>
                <w:sz w:val="24"/>
                <w:lang w:val="en-US" w:eastAsia="zh-CN"/>
              </w:rPr>
              <w:t>27</w:t>
            </w:r>
            <w:r>
              <w:rPr>
                <w:rFonts w:hint="eastAsia"/>
                <w:bCs/>
                <w:color w:val="auto"/>
                <w:sz w:val="24"/>
              </w:rPr>
              <w:t>t/a，排放速率0.0</w:t>
            </w:r>
            <w:r>
              <w:rPr>
                <w:rFonts w:hint="eastAsia"/>
                <w:bCs/>
                <w:color w:val="auto"/>
                <w:sz w:val="24"/>
                <w:lang w:val="en-US" w:eastAsia="zh-CN"/>
              </w:rPr>
              <w:t>4</w:t>
            </w:r>
            <w:r>
              <w:rPr>
                <w:rFonts w:hint="eastAsia"/>
                <w:bCs/>
                <w:color w:val="auto"/>
                <w:sz w:val="24"/>
              </w:rPr>
              <w:t>kg/h，排放浓度</w:t>
            </w:r>
            <w:r>
              <w:rPr>
                <w:rFonts w:hint="eastAsia"/>
                <w:bCs/>
                <w:color w:val="auto"/>
                <w:sz w:val="24"/>
                <w:lang w:val="en-US" w:eastAsia="zh-CN"/>
              </w:rPr>
              <w:t>12.8</w:t>
            </w:r>
            <w:r>
              <w:rPr>
                <w:rFonts w:hint="eastAsia"/>
                <w:bCs/>
                <w:color w:val="auto"/>
                <w:sz w:val="24"/>
              </w:rPr>
              <w:t>mg/m</w:t>
            </w:r>
            <w:r>
              <w:rPr>
                <w:rFonts w:hint="eastAsia"/>
                <w:bCs/>
                <w:color w:val="auto"/>
                <w:sz w:val="24"/>
                <w:vertAlign w:val="superscript"/>
              </w:rPr>
              <w:t>3</w:t>
            </w:r>
            <w:r>
              <w:rPr>
                <w:rFonts w:hint="eastAsia"/>
                <w:bCs/>
                <w:color w:val="auto"/>
                <w:sz w:val="24"/>
                <w:lang w:val="en-US" w:eastAsia="zh-CN"/>
              </w:rPr>
              <w:t>。</w:t>
            </w:r>
          </w:p>
          <w:p w14:paraId="706FA9B3">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olor w:val="auto"/>
                <w:szCs w:val="22"/>
                <w:lang w:val="en-US" w:eastAsia="zh-CN"/>
              </w:rPr>
              <w:t>未被集气罩收集</w:t>
            </w:r>
            <w:r>
              <w:rPr>
                <w:rFonts w:hint="eastAsia" w:ascii="Times New Roman"/>
                <w:color w:val="auto"/>
                <w:szCs w:val="22"/>
                <w:lang w:val="en-US" w:eastAsia="zh-CN"/>
              </w:rPr>
              <w:t>（收集效率区90%）</w:t>
            </w:r>
            <w:r>
              <w:rPr>
                <w:rFonts w:hint="eastAsia" w:ascii="Times New Roman" w:hAnsi="Times New Roman"/>
                <w:color w:val="auto"/>
                <w:szCs w:val="22"/>
                <w:lang w:val="en-US" w:eastAsia="zh-CN"/>
              </w:rPr>
              <w:t>的粉尘排放量为</w:t>
            </w:r>
            <w:r>
              <w:rPr>
                <w:rFonts w:hint="eastAsia" w:ascii="Times New Roman"/>
                <w:color w:val="auto"/>
                <w:szCs w:val="22"/>
                <w:lang w:val="en-US" w:eastAsia="zh-CN"/>
              </w:rPr>
              <w:t>0.32</w:t>
            </w:r>
            <w:r>
              <w:rPr>
                <w:rFonts w:hint="eastAsia" w:ascii="Times New Roman" w:hAnsi="Times New Roman"/>
                <w:color w:val="auto"/>
                <w:szCs w:val="22"/>
                <w:lang w:val="en-US" w:eastAsia="zh-CN"/>
              </w:rPr>
              <w:t>t/a，</w:t>
            </w:r>
            <w:r>
              <w:rPr>
                <w:rFonts w:hint="eastAsia" w:ascii="Times New Roman"/>
                <w:color w:val="auto"/>
                <w:szCs w:val="22"/>
                <w:lang w:val="en-US" w:eastAsia="zh-CN"/>
              </w:rPr>
              <w:t>通过车间无组织排放，</w:t>
            </w:r>
            <w:r>
              <w:rPr>
                <w:rFonts w:hint="eastAsia" w:ascii="Times New Roman" w:hAnsi="Times New Roman"/>
                <w:color w:val="auto"/>
                <w:szCs w:val="22"/>
                <w:lang w:val="en-US" w:eastAsia="zh-CN"/>
              </w:rPr>
              <w:t>排放速率0.0</w:t>
            </w:r>
            <w:r>
              <w:rPr>
                <w:rFonts w:hint="eastAsia" w:ascii="Times New Roman"/>
                <w:color w:val="auto"/>
                <w:szCs w:val="22"/>
                <w:lang w:val="en-US" w:eastAsia="zh-CN"/>
              </w:rPr>
              <w:t>4</w:t>
            </w:r>
            <w:r>
              <w:rPr>
                <w:rFonts w:hint="eastAsia" w:ascii="Times New Roman" w:hAnsi="Times New Roman"/>
                <w:color w:val="auto"/>
                <w:szCs w:val="22"/>
                <w:lang w:val="en-US" w:eastAsia="zh-CN"/>
              </w:rPr>
              <w:t>kg/h</w:t>
            </w:r>
            <w:r>
              <w:rPr>
                <w:rFonts w:hint="eastAsia" w:ascii="Times New Roman"/>
                <w:color w:val="auto"/>
                <w:szCs w:val="22"/>
                <w:lang w:val="en-US" w:eastAsia="zh-CN"/>
              </w:rPr>
              <w:t>。</w:t>
            </w:r>
          </w:p>
          <w:p w14:paraId="668A46DB">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2"/>
                <w:highlight w:val="none"/>
                <w:lang w:val="en-US" w:eastAsia="zh-CN"/>
              </w:rPr>
            </w:pPr>
            <w:r>
              <w:rPr>
                <w:rFonts w:hint="eastAsia" w:ascii="Times New Roman" w:hAnsi="Times New Roman" w:cs="Times New Roman"/>
                <w:b/>
                <w:bCs/>
                <w:color w:val="auto"/>
                <w:sz w:val="24"/>
                <w:szCs w:val="22"/>
                <w:lang w:val="en-US" w:eastAsia="zh-CN"/>
              </w:rPr>
              <w:t>1.1.2</w:t>
            </w:r>
            <w:r>
              <w:rPr>
                <w:rFonts w:hint="eastAsia" w:cs="Times New Roman"/>
                <w:b/>
                <w:bCs/>
                <w:color w:val="auto"/>
                <w:sz w:val="24"/>
                <w:szCs w:val="22"/>
                <w:highlight w:val="none"/>
                <w:lang w:val="en-US" w:eastAsia="zh-CN"/>
              </w:rPr>
              <w:t>烘干、印刷和胶钉工序产生的VOCs</w:t>
            </w:r>
            <w:r>
              <w:rPr>
                <w:rFonts w:hint="eastAsia" w:ascii="Times New Roman" w:hAnsi="Times New Roman" w:eastAsia="宋体" w:cs="Times New Roman"/>
                <w:b/>
                <w:bCs/>
                <w:color w:val="auto"/>
                <w:sz w:val="24"/>
                <w:szCs w:val="22"/>
                <w:highlight w:val="none"/>
                <w:lang w:val="en-US" w:eastAsia="zh-CN"/>
              </w:rPr>
              <w:t>：</w:t>
            </w:r>
          </w:p>
          <w:p w14:paraId="5511619F">
            <w:pPr>
              <w:keepNext w:val="0"/>
              <w:keepLines w:val="0"/>
              <w:suppressLineNumbers w:val="0"/>
              <w:spacing w:before="0" w:beforeAutospacing="0" w:after="0" w:afterAutospacing="0" w:line="360" w:lineRule="auto"/>
              <w:ind w:left="0" w:right="0" w:firstLine="480" w:firstLineChars="200"/>
              <w:rPr>
                <w:rFonts w:hint="eastAsia"/>
                <w:color w:val="auto"/>
                <w:sz w:val="24"/>
                <w:szCs w:val="22"/>
                <w:lang w:eastAsia="zh-CN"/>
              </w:rPr>
            </w:pPr>
            <w:r>
              <w:rPr>
                <w:rFonts w:hint="eastAsia"/>
                <w:sz w:val="24"/>
                <w:szCs w:val="22"/>
              </w:rPr>
              <w:t>项目</w:t>
            </w:r>
            <w:r>
              <w:rPr>
                <w:rFonts w:hint="eastAsia"/>
                <w:sz w:val="24"/>
                <w:szCs w:val="22"/>
                <w:lang w:val="en-US" w:eastAsia="zh-CN"/>
              </w:rPr>
              <w:t>烘干工序采用蒸汽间接加热，烘干温度</w:t>
            </w:r>
            <w:r>
              <w:rPr>
                <w:rFonts w:hint="eastAsia"/>
                <w:bCs/>
                <w:color w:val="auto"/>
                <w:sz w:val="24"/>
                <w:szCs w:val="21"/>
              </w:rPr>
              <w:t>110</w:t>
            </w:r>
            <w:r>
              <w:rPr>
                <w:rFonts w:hint="default" w:ascii="Times New Roman" w:hAnsi="Times New Roman" w:cs="Times New Roman"/>
                <w:bCs/>
                <w:color w:val="auto"/>
                <w:sz w:val="24"/>
                <w:szCs w:val="21"/>
              </w:rPr>
              <w:t>℃</w:t>
            </w:r>
            <w:r>
              <w:rPr>
                <w:rFonts w:hint="eastAsia" w:ascii="Times New Roman" w:hAnsi="Times New Roman" w:cs="Times New Roman"/>
                <w:bCs/>
                <w:color w:val="auto"/>
                <w:sz w:val="24"/>
                <w:szCs w:val="21"/>
                <w:lang w:eastAsia="zh-CN"/>
              </w:rPr>
              <w:t>，</w:t>
            </w:r>
            <w:r>
              <w:rPr>
                <w:rFonts w:hint="eastAsia" w:ascii="Times New Roman" w:hAnsi="Times New Roman" w:cs="Times New Roman"/>
                <w:bCs/>
                <w:color w:val="auto"/>
                <w:sz w:val="24"/>
                <w:szCs w:val="21"/>
                <w:lang w:val="en-US" w:eastAsia="zh-CN"/>
              </w:rPr>
              <w:t>烘干</w:t>
            </w:r>
            <w:r>
              <w:rPr>
                <w:rFonts w:hint="eastAsia"/>
                <w:sz w:val="24"/>
                <w:szCs w:val="22"/>
              </w:rPr>
              <w:t>将产生</w:t>
            </w:r>
            <w:r>
              <w:rPr>
                <w:rFonts w:hint="eastAsia"/>
                <w:sz w:val="24"/>
                <w:szCs w:val="22"/>
                <w:lang w:val="en-US" w:eastAsia="zh-CN"/>
              </w:rPr>
              <w:t>VOCs</w:t>
            </w:r>
            <w:r>
              <w:rPr>
                <w:rFonts w:hint="eastAsia"/>
                <w:sz w:val="24"/>
                <w:lang w:eastAsia="zh-CN"/>
              </w:rPr>
              <w:t>。</w:t>
            </w:r>
            <w:r>
              <w:rPr>
                <w:rFonts w:hint="eastAsia"/>
                <w:sz w:val="24"/>
                <w:lang w:val="en-US" w:eastAsia="zh-CN"/>
              </w:rPr>
              <w:t>类比泗水百畅纸业有限公司</w:t>
            </w:r>
            <w:r>
              <w:rPr>
                <w:rFonts w:hint="eastAsia"/>
                <w:color w:val="auto"/>
                <w:sz w:val="24"/>
                <w:szCs w:val="22"/>
                <w:lang w:eastAsia="zh-CN"/>
              </w:rPr>
              <w:t>《无碳复写纸、热敏收银纸生产项目》二期工程验收检测报告（</w:t>
            </w:r>
            <w:r>
              <w:rPr>
                <w:rFonts w:hint="eastAsia"/>
                <w:sz w:val="24"/>
                <w:lang w:val="en-US" w:eastAsia="zh-CN"/>
              </w:rPr>
              <w:t>本项目与泗水百畅纸业有限公司“</w:t>
            </w:r>
            <w:r>
              <w:rPr>
                <w:rFonts w:hint="eastAsia"/>
                <w:color w:val="auto"/>
                <w:sz w:val="24"/>
                <w:szCs w:val="22"/>
                <w:lang w:eastAsia="zh-CN"/>
              </w:rPr>
              <w:t>无碳复写纸、热敏收银纸生产项目</w:t>
            </w:r>
            <w:r>
              <w:rPr>
                <w:rFonts w:hint="eastAsia"/>
                <w:sz w:val="24"/>
                <w:lang w:val="en-US" w:eastAsia="zh-CN"/>
              </w:rPr>
              <w:t>”</w:t>
            </w:r>
            <w:r>
              <w:rPr>
                <w:rFonts w:hint="eastAsia"/>
                <w:color w:val="auto"/>
                <w:sz w:val="24"/>
                <w:szCs w:val="22"/>
                <w:lang w:val="en-US" w:eastAsia="zh-CN"/>
              </w:rPr>
              <w:t>原辅材料相似、工艺相同、生产规模相近，满足类比条件</w:t>
            </w:r>
            <w:r>
              <w:rPr>
                <w:rFonts w:hint="eastAsia"/>
                <w:color w:val="auto"/>
                <w:sz w:val="24"/>
                <w:szCs w:val="22"/>
                <w:lang w:eastAsia="zh-CN"/>
              </w:rPr>
              <w:t>），</w:t>
            </w:r>
            <w:r>
              <w:rPr>
                <w:rFonts w:hint="eastAsia"/>
                <w:color w:val="auto"/>
                <w:sz w:val="24"/>
                <w:szCs w:val="22"/>
                <w:lang w:val="en-US" w:eastAsia="zh-CN"/>
              </w:rPr>
              <w:t>烘干</w:t>
            </w:r>
            <w:r>
              <w:rPr>
                <w:rFonts w:hint="eastAsia"/>
                <w:color w:val="auto"/>
                <w:sz w:val="24"/>
                <w:szCs w:val="22"/>
                <w:lang w:eastAsia="zh-CN"/>
              </w:rPr>
              <w:t>过程</w:t>
            </w:r>
            <w:r>
              <w:rPr>
                <w:rFonts w:hint="eastAsia"/>
                <w:color w:val="auto"/>
                <w:sz w:val="24"/>
                <w:szCs w:val="22"/>
                <w:lang w:val="en-US" w:eastAsia="zh-CN"/>
              </w:rPr>
              <w:t>VOCs</w:t>
            </w:r>
            <w:r>
              <w:rPr>
                <w:rFonts w:hint="eastAsia"/>
                <w:color w:val="auto"/>
                <w:sz w:val="24"/>
                <w:szCs w:val="22"/>
                <w:lang w:eastAsia="zh-CN"/>
              </w:rPr>
              <w:t>最大产生浓度为</w:t>
            </w:r>
            <w:r>
              <w:rPr>
                <w:rFonts w:hint="eastAsia"/>
                <w:color w:val="auto"/>
                <w:sz w:val="24"/>
                <w:szCs w:val="22"/>
                <w:lang w:val="en-US" w:eastAsia="zh-CN"/>
              </w:rPr>
              <w:t>15.6</w:t>
            </w:r>
            <w:r>
              <w:rPr>
                <w:rFonts w:hint="eastAsia"/>
                <w:bCs/>
                <w:color w:val="auto"/>
                <w:sz w:val="24"/>
              </w:rPr>
              <w:t>mg/m</w:t>
            </w:r>
            <w:r>
              <w:rPr>
                <w:rFonts w:hint="eastAsia"/>
                <w:bCs/>
                <w:color w:val="auto"/>
                <w:sz w:val="24"/>
                <w:vertAlign w:val="superscript"/>
              </w:rPr>
              <w:t>3</w:t>
            </w:r>
            <w:r>
              <w:rPr>
                <w:rFonts w:hint="eastAsia"/>
                <w:color w:val="auto"/>
                <w:sz w:val="24"/>
                <w:szCs w:val="22"/>
                <w:lang w:eastAsia="zh-CN"/>
              </w:rPr>
              <w:t>，产生速率为</w:t>
            </w:r>
            <w:r>
              <w:rPr>
                <w:rFonts w:hint="eastAsia"/>
                <w:color w:val="auto"/>
                <w:sz w:val="24"/>
                <w:szCs w:val="22"/>
                <w:lang w:val="en-US" w:eastAsia="zh-CN"/>
              </w:rPr>
              <w:t>0.03</w:t>
            </w:r>
            <w:r>
              <w:rPr>
                <w:rFonts w:hint="eastAsia"/>
                <w:color w:val="auto"/>
                <w:sz w:val="24"/>
                <w:szCs w:val="22"/>
              </w:rPr>
              <w:t>kg/h</w:t>
            </w:r>
            <w:r>
              <w:rPr>
                <w:rFonts w:hint="eastAsia"/>
                <w:color w:val="auto"/>
                <w:sz w:val="24"/>
                <w:szCs w:val="22"/>
                <w:lang w:eastAsia="zh-CN"/>
              </w:rPr>
              <w:t>，活性炭吸附效率为</w:t>
            </w:r>
            <w:r>
              <w:rPr>
                <w:rFonts w:hint="eastAsia"/>
                <w:color w:val="auto"/>
                <w:sz w:val="24"/>
                <w:szCs w:val="22"/>
                <w:lang w:val="en-US" w:eastAsia="zh-CN"/>
              </w:rPr>
              <w:t>91%</w:t>
            </w:r>
            <w:r>
              <w:rPr>
                <w:rFonts w:hint="eastAsia"/>
                <w:color w:val="auto"/>
                <w:sz w:val="24"/>
                <w:szCs w:val="22"/>
                <w:lang w:eastAsia="zh-CN"/>
              </w:rPr>
              <w:t>，计算出年产3200t无碳复写纸、1800t热敏收银纸</w:t>
            </w:r>
            <w:r>
              <w:rPr>
                <w:rFonts w:hint="eastAsia"/>
                <w:color w:val="auto"/>
                <w:sz w:val="24"/>
                <w:szCs w:val="22"/>
                <w:lang w:val="en-US" w:eastAsia="zh-CN"/>
              </w:rPr>
              <w:t>生产</w:t>
            </w:r>
            <w:r>
              <w:rPr>
                <w:rFonts w:hint="eastAsia"/>
                <w:color w:val="auto"/>
                <w:sz w:val="24"/>
                <w:szCs w:val="22"/>
                <w:lang w:eastAsia="zh-CN"/>
              </w:rPr>
              <w:t>过程</w:t>
            </w:r>
            <w:r>
              <w:rPr>
                <w:rFonts w:hint="default"/>
                <w:color w:val="auto"/>
                <w:sz w:val="24"/>
              </w:rPr>
              <w:t>VOCs</w:t>
            </w:r>
            <w:r>
              <w:rPr>
                <w:rFonts w:hint="eastAsia"/>
                <w:color w:val="auto"/>
                <w:sz w:val="24"/>
                <w:szCs w:val="22"/>
                <w:lang w:eastAsia="zh-CN"/>
              </w:rPr>
              <w:t>产生量为</w:t>
            </w:r>
            <w:r>
              <w:rPr>
                <w:rFonts w:hint="eastAsia"/>
                <w:color w:val="auto"/>
                <w:sz w:val="24"/>
                <w:szCs w:val="22"/>
                <w:lang w:val="en-US" w:eastAsia="zh-CN"/>
              </w:rPr>
              <w:t>0.216</w:t>
            </w:r>
            <w:r>
              <w:rPr>
                <w:rFonts w:hint="eastAsia"/>
                <w:color w:val="auto"/>
                <w:sz w:val="24"/>
                <w:szCs w:val="22"/>
              </w:rPr>
              <w:t>t/a</w:t>
            </w:r>
            <w:r>
              <w:rPr>
                <w:rFonts w:hint="eastAsia"/>
                <w:color w:val="auto"/>
                <w:sz w:val="24"/>
                <w:szCs w:val="22"/>
                <w:lang w:eastAsia="zh-CN"/>
              </w:rPr>
              <w:t>。</w:t>
            </w:r>
            <w:r>
              <w:rPr>
                <w:rFonts w:hint="eastAsia"/>
                <w:color w:val="auto"/>
                <w:sz w:val="24"/>
                <w:szCs w:val="22"/>
                <w:lang w:val="en-US" w:eastAsia="zh-CN"/>
              </w:rPr>
              <w:t>本项目</w:t>
            </w:r>
            <w:r>
              <w:rPr>
                <w:rFonts w:hint="eastAsia"/>
                <w:color w:val="auto"/>
                <w:sz w:val="24"/>
                <w:szCs w:val="22"/>
                <w:lang w:eastAsia="zh-CN"/>
              </w:rPr>
              <w:t>年产</w:t>
            </w:r>
            <w:r>
              <w:rPr>
                <w:rFonts w:hint="eastAsia"/>
                <w:color w:val="auto"/>
                <w:sz w:val="24"/>
                <w:szCs w:val="22"/>
                <w:lang w:val="en-US" w:eastAsia="zh-CN"/>
              </w:rPr>
              <w:t>2万吨</w:t>
            </w:r>
            <w:r>
              <w:rPr>
                <w:rFonts w:hint="eastAsia"/>
                <w:color w:val="auto"/>
                <w:sz w:val="24"/>
                <w:szCs w:val="22"/>
                <w:lang w:eastAsia="zh-CN"/>
              </w:rPr>
              <w:t>心电图医疗记录纸，则</w:t>
            </w:r>
            <w:r>
              <w:rPr>
                <w:rFonts w:hint="eastAsia"/>
                <w:color w:val="auto"/>
                <w:sz w:val="24"/>
                <w:szCs w:val="22"/>
                <w:lang w:val="en-US" w:eastAsia="zh-CN"/>
              </w:rPr>
              <w:t>烘干VOCs</w:t>
            </w:r>
            <w:r>
              <w:rPr>
                <w:rFonts w:hint="eastAsia"/>
                <w:color w:val="auto"/>
                <w:sz w:val="24"/>
                <w:szCs w:val="22"/>
                <w:lang w:eastAsia="zh-CN"/>
              </w:rPr>
              <w:t>产生量为</w:t>
            </w:r>
            <w:r>
              <w:rPr>
                <w:rFonts w:hint="eastAsia"/>
                <w:color w:val="auto"/>
                <w:sz w:val="24"/>
                <w:szCs w:val="22"/>
                <w:lang w:val="en-US" w:eastAsia="zh-CN"/>
              </w:rPr>
              <w:t>1.08</w:t>
            </w:r>
            <w:r>
              <w:rPr>
                <w:rFonts w:hint="eastAsia"/>
                <w:color w:val="auto"/>
                <w:sz w:val="24"/>
                <w:szCs w:val="22"/>
              </w:rPr>
              <w:t>t/a</w:t>
            </w:r>
            <w:r>
              <w:rPr>
                <w:rFonts w:hint="eastAsia"/>
                <w:color w:val="auto"/>
                <w:sz w:val="24"/>
                <w:szCs w:val="22"/>
                <w:lang w:eastAsia="zh-CN"/>
              </w:rPr>
              <w:t>。</w:t>
            </w:r>
          </w:p>
          <w:p w14:paraId="5E24B420">
            <w:pPr>
              <w:pStyle w:val="114"/>
              <w:keepNext w:val="0"/>
              <w:keepLines w:val="0"/>
              <w:suppressLineNumbers w:val="0"/>
              <w:spacing w:before="0" w:beforeAutospacing="0" w:after="0" w:afterAutospacing="0" w:line="360" w:lineRule="auto"/>
              <w:ind w:left="0" w:right="0" w:firstLine="480"/>
              <w:rPr>
                <w:rFonts w:hint="eastAsia"/>
                <w:sz w:val="24"/>
                <w:szCs w:val="24"/>
              </w:rPr>
            </w:pPr>
            <w:r>
              <w:rPr>
                <w:rFonts w:hint="eastAsia"/>
                <w:sz w:val="24"/>
                <w:szCs w:val="24"/>
              </w:rPr>
              <w:t>项目印刷采用的是水性油墨，印刷采用原色印刷，无需进行墨色调配，直接印在分切后的原纸上，环保水性油墨主要成分是水性合成树脂、矿物油等，印刷过程中会产生一定的异味，以VOCs计，根据厂家提供油墨检测报告，油墨中挥发性有机化合物（VOCs）含量未检出，满足《油墨中可挥发性有机化合物(VOCs)含量的限值》要求，本次油墨中VOCs量以限值的最大值3%计算，项目水性油墨使用量为</w:t>
            </w:r>
            <w:r>
              <w:rPr>
                <w:rFonts w:hint="eastAsia"/>
                <w:sz w:val="24"/>
                <w:szCs w:val="24"/>
                <w:lang w:val="en-US" w:eastAsia="zh-CN"/>
              </w:rPr>
              <w:t>0.02</w:t>
            </w:r>
            <w:r>
              <w:rPr>
                <w:rFonts w:hint="eastAsia"/>
                <w:sz w:val="24"/>
                <w:szCs w:val="24"/>
              </w:rPr>
              <w:t>t/a，则本项目油墨使用产生的VOCs为</w:t>
            </w:r>
            <w:r>
              <w:rPr>
                <w:rFonts w:hint="eastAsia"/>
                <w:sz w:val="24"/>
                <w:szCs w:val="24"/>
                <w:lang w:val="en-US" w:eastAsia="zh-CN"/>
              </w:rPr>
              <w:t>0.0006</w:t>
            </w:r>
            <w:r>
              <w:rPr>
                <w:rFonts w:hint="eastAsia"/>
                <w:sz w:val="24"/>
                <w:szCs w:val="24"/>
              </w:rPr>
              <w:t>t/a。</w:t>
            </w:r>
          </w:p>
          <w:p w14:paraId="4ECDFED8">
            <w:pPr>
              <w:pStyle w:val="114"/>
              <w:keepNext w:val="0"/>
              <w:keepLines w:val="0"/>
              <w:suppressLineNumbers w:val="0"/>
              <w:spacing w:before="0" w:beforeAutospacing="0" w:after="0" w:afterAutospacing="0" w:line="360" w:lineRule="auto"/>
              <w:ind w:left="0" w:right="0" w:firstLine="480"/>
              <w:rPr>
                <w:rFonts w:hint="eastAsia"/>
                <w:sz w:val="24"/>
                <w:szCs w:val="24"/>
              </w:rPr>
            </w:pPr>
            <w:r>
              <w:rPr>
                <w:rFonts w:hint="eastAsia"/>
                <w:sz w:val="24"/>
                <w:szCs w:val="24"/>
              </w:rPr>
              <w:t>项目涂胶过程使用热熔胶，首先将其加热成流体，加热温度一般控制在140</w:t>
            </w:r>
            <w:r>
              <w:rPr>
                <w:rFonts w:hint="eastAsia"/>
                <w:sz w:val="24"/>
                <w:szCs w:val="24"/>
                <w:lang w:val="en-US" w:eastAsia="zh-CN"/>
              </w:rPr>
              <w:t>~</w:t>
            </w:r>
            <w:r>
              <w:rPr>
                <w:rFonts w:hint="eastAsia"/>
                <w:sz w:val="24"/>
                <w:szCs w:val="24"/>
              </w:rPr>
              <w:t>160</w:t>
            </w:r>
            <w:r>
              <w:rPr>
                <w:rFonts w:hint="eastAsia" w:ascii="宋体" w:hAnsi="宋体" w:cs="宋体"/>
                <w:sz w:val="24"/>
                <w:szCs w:val="24"/>
              </w:rPr>
              <w:t>℃</w:t>
            </w:r>
            <w:r>
              <w:rPr>
                <w:rFonts w:hint="eastAsia"/>
                <w:sz w:val="24"/>
                <w:szCs w:val="24"/>
              </w:rPr>
              <w:t>，其受热过程中会挥发一定的异味，以VOCs污染因子进行表征</w:t>
            </w:r>
            <w:r>
              <w:rPr>
                <w:rFonts w:hint="eastAsia"/>
                <w:sz w:val="24"/>
                <w:szCs w:val="24"/>
                <w:lang w:val="en-US" w:eastAsia="zh-CN"/>
              </w:rPr>
              <w:t>。</w:t>
            </w:r>
            <w:r>
              <w:rPr>
                <w:rFonts w:hint="eastAsia"/>
                <w:sz w:val="24"/>
                <w:szCs w:val="24"/>
              </w:rPr>
              <w:t>参照《第二次全国污染源普查工业污染源产排污系数手册》23印刷和记录媒介复制行业系数手册，热熔胶使用过程挥发性有机物产生系数为10千</w:t>
            </w:r>
            <w:r>
              <w:rPr>
                <w:rFonts w:hint="default"/>
                <w:sz w:val="24"/>
              </w:rPr>
              <w:t>克/吨</w:t>
            </w:r>
            <w:r>
              <w:rPr>
                <w:rFonts w:hint="eastAsia"/>
                <w:sz w:val="24"/>
              </w:rPr>
              <w:t>-原料</w:t>
            </w:r>
            <w:r>
              <w:rPr>
                <w:rFonts w:hint="eastAsia"/>
                <w:sz w:val="24"/>
                <w:szCs w:val="24"/>
              </w:rPr>
              <w:t>，本项目热熔胶用量为</w:t>
            </w:r>
            <w:r>
              <w:rPr>
                <w:rFonts w:hint="eastAsia"/>
                <w:sz w:val="24"/>
                <w:szCs w:val="24"/>
                <w:lang w:val="en-US" w:eastAsia="zh-CN"/>
              </w:rPr>
              <w:t>0.1</w:t>
            </w:r>
            <w:r>
              <w:rPr>
                <w:rFonts w:hint="eastAsia"/>
                <w:sz w:val="24"/>
                <w:szCs w:val="24"/>
              </w:rPr>
              <w:t>t/a，则热熔胶使用过程产生的VOCs为</w:t>
            </w:r>
            <w:r>
              <w:rPr>
                <w:rFonts w:hint="eastAsia"/>
                <w:sz w:val="24"/>
                <w:szCs w:val="24"/>
                <w:lang w:val="en-US" w:eastAsia="zh-CN"/>
              </w:rPr>
              <w:t>0.001</w:t>
            </w:r>
            <w:r>
              <w:rPr>
                <w:rFonts w:hint="eastAsia"/>
                <w:sz w:val="24"/>
                <w:szCs w:val="24"/>
              </w:rPr>
              <w:t>t/a。</w:t>
            </w:r>
          </w:p>
          <w:p w14:paraId="2B6653E4">
            <w:pPr>
              <w:pStyle w:val="114"/>
              <w:keepNext w:val="0"/>
              <w:keepLines w:val="0"/>
              <w:suppressLineNumbers w:val="0"/>
              <w:spacing w:before="0" w:beforeAutospacing="0" w:after="0" w:afterAutospacing="0" w:line="360" w:lineRule="auto"/>
              <w:ind w:left="0" w:right="0" w:firstLine="480"/>
              <w:rPr>
                <w:rFonts w:hint="eastAsia"/>
                <w:sz w:val="24"/>
                <w:szCs w:val="24"/>
              </w:rPr>
            </w:pPr>
            <w:r>
              <w:rPr>
                <w:rFonts w:hint="eastAsia"/>
                <w:sz w:val="24"/>
                <w:szCs w:val="24"/>
              </w:rPr>
              <w:t>项目</w:t>
            </w:r>
            <w:r>
              <w:rPr>
                <w:rFonts w:hint="eastAsia"/>
                <w:sz w:val="24"/>
                <w:szCs w:val="24"/>
                <w:lang w:val="en-US" w:eastAsia="zh-CN"/>
              </w:rPr>
              <w:t>烘干、</w:t>
            </w:r>
            <w:r>
              <w:rPr>
                <w:rFonts w:hint="eastAsia"/>
                <w:sz w:val="24"/>
                <w:szCs w:val="24"/>
              </w:rPr>
              <w:t>印刷、胶钉过程中VOCs产生量总计</w:t>
            </w:r>
            <w:r>
              <w:rPr>
                <w:rFonts w:hint="eastAsia"/>
                <w:sz w:val="24"/>
                <w:szCs w:val="24"/>
                <w:lang w:val="en-US" w:eastAsia="zh-CN"/>
              </w:rPr>
              <w:t>1.0816</w:t>
            </w:r>
            <w:r>
              <w:rPr>
                <w:rFonts w:hint="eastAsia"/>
                <w:sz w:val="24"/>
                <w:szCs w:val="24"/>
              </w:rPr>
              <w:t>t/a，本环评要求生产过程在封闭车间进行，</w:t>
            </w:r>
            <w:r>
              <w:rPr>
                <w:rFonts w:hint="eastAsia"/>
                <w:sz w:val="24"/>
                <w:szCs w:val="24"/>
                <w:lang w:val="en-US" w:eastAsia="zh-CN"/>
              </w:rPr>
              <w:t>烘干设备进出口设置集气罩，</w:t>
            </w:r>
            <w:r>
              <w:rPr>
                <w:rFonts w:hint="eastAsia"/>
                <w:sz w:val="24"/>
                <w:szCs w:val="24"/>
              </w:rPr>
              <w:t>印刷机和胶钉机上方均设置集气罩，收集效率为90%，则收集的有组织废气为</w:t>
            </w:r>
            <w:r>
              <w:rPr>
                <w:rFonts w:hint="eastAsia"/>
                <w:sz w:val="24"/>
                <w:szCs w:val="24"/>
                <w:lang w:val="en-US" w:eastAsia="zh-CN"/>
              </w:rPr>
              <w:t>0.97</w:t>
            </w:r>
            <w:r>
              <w:rPr>
                <w:rFonts w:hint="eastAsia"/>
                <w:sz w:val="24"/>
                <w:szCs w:val="24"/>
              </w:rPr>
              <w:t>t/a，经风机抽送至二级活性炭吸附装置处理后通过DA002排气筒排放。二级活性炭吸附处理效率为9</w:t>
            </w:r>
            <w:r>
              <w:rPr>
                <w:rFonts w:hint="eastAsia"/>
                <w:sz w:val="24"/>
                <w:szCs w:val="24"/>
                <w:lang w:val="en-US" w:eastAsia="zh-CN"/>
              </w:rPr>
              <w:t>0</w:t>
            </w:r>
            <w:r>
              <w:rPr>
                <w:rFonts w:hint="eastAsia"/>
                <w:sz w:val="24"/>
                <w:szCs w:val="24"/>
              </w:rPr>
              <w:t>%，设计风机风量为</w:t>
            </w:r>
            <w:r>
              <w:rPr>
                <w:rFonts w:hint="eastAsia"/>
                <w:sz w:val="24"/>
                <w:szCs w:val="24"/>
                <w:lang w:val="en-US" w:eastAsia="zh-CN"/>
              </w:rPr>
              <w:t>3</w:t>
            </w:r>
            <w:r>
              <w:rPr>
                <w:rFonts w:hint="eastAsia"/>
                <w:sz w:val="24"/>
                <w:szCs w:val="24"/>
              </w:rPr>
              <w:t>000m</w:t>
            </w:r>
            <w:r>
              <w:rPr>
                <w:rFonts w:hint="eastAsia"/>
                <w:sz w:val="24"/>
                <w:szCs w:val="24"/>
                <w:vertAlign w:val="superscript"/>
              </w:rPr>
              <w:t>3</w:t>
            </w:r>
            <w:r>
              <w:rPr>
                <w:rFonts w:hint="eastAsia"/>
                <w:sz w:val="24"/>
                <w:szCs w:val="24"/>
              </w:rPr>
              <w:t>/h，工作时间为</w:t>
            </w:r>
            <w:r>
              <w:rPr>
                <w:rFonts w:hint="eastAsia"/>
                <w:sz w:val="24"/>
                <w:szCs w:val="24"/>
                <w:lang w:val="en-US" w:eastAsia="zh-CN"/>
              </w:rPr>
              <w:t>7</w:t>
            </w:r>
            <w:r>
              <w:rPr>
                <w:rFonts w:hint="eastAsia"/>
                <w:sz w:val="24"/>
                <w:szCs w:val="24"/>
              </w:rPr>
              <w:t>200h/a，处理后有组织VOCs排放量为0.</w:t>
            </w:r>
            <w:r>
              <w:rPr>
                <w:rFonts w:hint="eastAsia"/>
                <w:sz w:val="24"/>
                <w:szCs w:val="24"/>
                <w:lang w:val="en-US" w:eastAsia="zh-CN"/>
              </w:rPr>
              <w:t>1</w:t>
            </w:r>
            <w:r>
              <w:rPr>
                <w:rFonts w:hint="eastAsia"/>
                <w:sz w:val="24"/>
                <w:szCs w:val="24"/>
              </w:rPr>
              <w:t>t/a</w:t>
            </w:r>
            <w:r>
              <w:rPr>
                <w:rFonts w:hint="eastAsia"/>
                <w:sz w:val="24"/>
                <w:szCs w:val="24"/>
                <w:highlight w:val="none"/>
              </w:rPr>
              <w:t>，排放浓度为</w:t>
            </w:r>
            <w:r>
              <w:rPr>
                <w:rFonts w:hint="eastAsia"/>
                <w:sz w:val="24"/>
                <w:szCs w:val="24"/>
                <w:highlight w:val="none"/>
                <w:lang w:val="en-US" w:eastAsia="zh-CN"/>
              </w:rPr>
              <w:t>4.51</w:t>
            </w:r>
            <w:r>
              <w:rPr>
                <w:rFonts w:hint="eastAsia"/>
                <w:sz w:val="24"/>
                <w:szCs w:val="24"/>
                <w:highlight w:val="none"/>
              </w:rPr>
              <w:t>mg/m</w:t>
            </w:r>
            <w:r>
              <w:rPr>
                <w:rFonts w:hint="eastAsia"/>
                <w:sz w:val="24"/>
                <w:szCs w:val="24"/>
                <w:highlight w:val="none"/>
                <w:vertAlign w:val="superscript"/>
              </w:rPr>
              <w:t>3</w:t>
            </w:r>
            <w:r>
              <w:rPr>
                <w:rFonts w:hint="eastAsia"/>
                <w:sz w:val="24"/>
                <w:szCs w:val="24"/>
                <w:highlight w:val="none"/>
              </w:rPr>
              <w:t>，</w:t>
            </w:r>
            <w:r>
              <w:rPr>
                <w:rFonts w:hint="eastAsia"/>
                <w:sz w:val="24"/>
                <w:szCs w:val="24"/>
              </w:rPr>
              <w:t>排放速率为</w:t>
            </w:r>
            <w:r>
              <w:rPr>
                <w:rFonts w:hint="eastAsia"/>
                <w:sz w:val="24"/>
                <w:szCs w:val="24"/>
                <w:lang w:val="en-US" w:eastAsia="zh-CN"/>
              </w:rPr>
              <w:t>0.01</w:t>
            </w:r>
            <w:r>
              <w:rPr>
                <w:rFonts w:hint="eastAsia"/>
                <w:sz w:val="24"/>
                <w:szCs w:val="24"/>
              </w:rPr>
              <w:t>kg/h。</w:t>
            </w:r>
          </w:p>
          <w:p w14:paraId="1805DA54">
            <w:pPr>
              <w:keepNext w:val="0"/>
              <w:keepLines w:val="0"/>
              <w:suppressLineNumbers w:val="0"/>
              <w:spacing w:before="0" w:beforeAutospacing="0" w:after="0" w:afterAutospacing="0" w:line="360" w:lineRule="auto"/>
              <w:ind w:left="0" w:right="0" w:firstLine="480" w:firstLineChars="200"/>
              <w:rPr>
                <w:rFonts w:hint="eastAsia" w:eastAsia="宋体"/>
                <w:sz w:val="24"/>
                <w:szCs w:val="28"/>
                <w:lang w:eastAsia="zh-CN"/>
              </w:rPr>
            </w:pPr>
            <w:r>
              <w:rPr>
                <w:rFonts w:hint="eastAsia"/>
                <w:sz w:val="24"/>
                <w:szCs w:val="24"/>
              </w:rPr>
              <w:t>车间未被集气罩收集的有机废气为</w:t>
            </w:r>
            <w:r>
              <w:rPr>
                <w:rFonts w:hint="eastAsia"/>
                <w:sz w:val="24"/>
                <w:szCs w:val="24"/>
                <w:lang w:val="en-US" w:eastAsia="zh-CN"/>
              </w:rPr>
              <w:t>0.11</w:t>
            </w:r>
            <w:r>
              <w:rPr>
                <w:rFonts w:hint="eastAsia"/>
                <w:sz w:val="24"/>
                <w:szCs w:val="24"/>
              </w:rPr>
              <w:t>/a，</w:t>
            </w:r>
            <w:r>
              <w:rPr>
                <w:rFonts w:hint="eastAsia"/>
                <w:sz w:val="24"/>
                <w:szCs w:val="24"/>
                <w:lang w:val="en-US" w:eastAsia="zh-CN"/>
              </w:rPr>
              <w:t>通过</w:t>
            </w:r>
            <w:r>
              <w:rPr>
                <w:rFonts w:hint="eastAsia"/>
                <w:sz w:val="24"/>
                <w:szCs w:val="24"/>
              </w:rPr>
              <w:t>车间无组织排放。</w:t>
            </w:r>
          </w:p>
          <w:p w14:paraId="2F9483B4">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2"/>
                <w:highlight w:val="yellow"/>
                <w:lang w:val="en-US" w:eastAsia="zh-CN"/>
              </w:rPr>
            </w:pPr>
            <w:r>
              <w:rPr>
                <w:rFonts w:hint="eastAsia" w:ascii="Times New Roman" w:hAnsi="Times New Roman" w:cs="Times New Roman"/>
                <w:b/>
                <w:bCs/>
                <w:color w:val="auto"/>
                <w:sz w:val="24"/>
                <w:szCs w:val="22"/>
                <w:highlight w:val="none"/>
                <w:lang w:val="en-US" w:eastAsia="zh-CN"/>
              </w:rPr>
              <w:t>1.1.3</w:t>
            </w:r>
            <w:r>
              <w:rPr>
                <w:rFonts w:hint="eastAsia" w:cs="Times New Roman"/>
                <w:b/>
                <w:bCs/>
                <w:color w:val="auto"/>
                <w:sz w:val="24"/>
                <w:szCs w:val="22"/>
                <w:highlight w:val="none"/>
                <w:lang w:val="en-US" w:eastAsia="zh-CN"/>
              </w:rPr>
              <w:t>污水处理站恶臭气体</w:t>
            </w:r>
            <w:r>
              <w:rPr>
                <w:rFonts w:hint="eastAsia" w:ascii="Times New Roman" w:hAnsi="Times New Roman" w:eastAsia="宋体" w:cs="Times New Roman"/>
                <w:b/>
                <w:bCs/>
                <w:color w:val="auto"/>
                <w:sz w:val="24"/>
                <w:szCs w:val="22"/>
                <w:highlight w:val="none"/>
                <w:lang w:val="en-US" w:eastAsia="zh-CN"/>
              </w:rPr>
              <w:t>：</w:t>
            </w:r>
          </w:p>
          <w:p w14:paraId="48936B49">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项目自建污水处理站采用</w:t>
            </w:r>
            <w:r>
              <w:rPr>
                <w:rFonts w:hint="eastAsia" w:ascii="Times New Roman" w:hAnsi="Times New Roman" w:eastAsia="宋体" w:cs="Times New Roman"/>
                <w:color w:val="auto"/>
                <w:sz w:val="24"/>
                <w:szCs w:val="24"/>
                <w:highlight w:val="none"/>
                <w:lang w:val="en-US" w:eastAsia="zh-CN"/>
              </w:rPr>
              <w:t>“预处理+水解酸化+接触氧化”</w:t>
            </w:r>
            <w:r>
              <w:rPr>
                <w:rFonts w:hint="default" w:ascii="Times New Roman" w:hAnsi="Times New Roman" w:eastAsia="宋体" w:cs="Times New Roman"/>
                <w:color w:val="auto"/>
                <w:sz w:val="24"/>
                <w:szCs w:val="24"/>
                <w:highlight w:val="none"/>
                <w:lang w:val="en-US" w:eastAsia="zh-CN"/>
              </w:rPr>
              <w:t>工艺进行处理。污水处理站臭气主要来源于</w:t>
            </w:r>
            <w:r>
              <w:rPr>
                <w:rFonts w:hint="eastAsia" w:ascii="Times New Roman" w:hAnsi="Times New Roman" w:eastAsia="宋体" w:cs="Times New Roman"/>
                <w:color w:val="auto"/>
                <w:sz w:val="24"/>
                <w:szCs w:val="24"/>
                <w:highlight w:val="none"/>
                <w:lang w:val="en-US" w:eastAsia="zh-CN"/>
              </w:rPr>
              <w:t>水解酸化过程</w:t>
            </w:r>
            <w:r>
              <w:rPr>
                <w:rFonts w:hint="default" w:ascii="Times New Roman" w:hAnsi="Times New Roman" w:eastAsia="宋体" w:cs="Times New Roman"/>
                <w:color w:val="auto"/>
                <w:sz w:val="24"/>
                <w:szCs w:val="24"/>
                <w:highlight w:val="none"/>
                <w:lang w:val="en-US" w:eastAsia="zh-CN"/>
              </w:rPr>
              <w:t>，主要成分为H</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S、NH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，随季节温度的变化臭气强度有所变化。根据美国EPA对城市污水处理厂恶臭污染物产生情况的研究，每处理1g的BOD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，可产生0.0031g的NH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和0.00012g的H</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S。项目自建污水处理站削减BOD</w:t>
            </w:r>
            <w:r>
              <w:rPr>
                <w:rFonts w:hint="eastAsia"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的量为</w:t>
            </w:r>
            <w:r>
              <w:rPr>
                <w:rFonts w:hint="eastAsia" w:ascii="Times New Roman" w:cs="Times New Roman"/>
                <w:color w:val="auto"/>
                <w:sz w:val="24"/>
                <w:szCs w:val="24"/>
                <w:highlight w:val="none"/>
                <w:lang w:val="en-US" w:eastAsia="zh-CN"/>
              </w:rPr>
              <w:t>0.06</w:t>
            </w:r>
            <w:r>
              <w:rPr>
                <w:rFonts w:hint="default" w:ascii="Times New Roman" w:hAnsi="Times New Roman" w:eastAsia="宋体" w:cs="Times New Roman"/>
                <w:color w:val="auto"/>
                <w:sz w:val="24"/>
                <w:szCs w:val="24"/>
                <w:highlight w:val="none"/>
                <w:lang w:val="en-US" w:eastAsia="zh-CN"/>
              </w:rPr>
              <w:t>t/a，则NH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和H</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S产生量分别为0.</w:t>
            </w:r>
            <w:r>
              <w:rPr>
                <w:rFonts w:hint="eastAsia" w:ascii="Times New Roman" w:cs="Times New Roman"/>
                <w:color w:val="auto"/>
                <w:sz w:val="24"/>
                <w:szCs w:val="24"/>
                <w:highlight w:val="none"/>
                <w:lang w:val="en-US" w:eastAsia="zh-CN"/>
              </w:rPr>
              <w:t>0002</w:t>
            </w:r>
            <w:r>
              <w:rPr>
                <w:rFonts w:hint="default" w:ascii="Times New Roman" w:hAnsi="Times New Roman" w:eastAsia="宋体" w:cs="Times New Roman"/>
                <w:color w:val="auto"/>
                <w:sz w:val="24"/>
                <w:szCs w:val="24"/>
                <w:highlight w:val="none"/>
                <w:lang w:val="en-US" w:eastAsia="zh-CN"/>
              </w:rPr>
              <w:t>t/a和0.00</w:t>
            </w:r>
            <w:r>
              <w:rPr>
                <w:rFonts w:hint="eastAsia" w:ascii="Times New Roman" w:cs="Times New Roman"/>
                <w:color w:val="auto"/>
                <w:sz w:val="24"/>
                <w:szCs w:val="24"/>
                <w:highlight w:val="none"/>
                <w:lang w:val="en-US" w:eastAsia="zh-CN"/>
              </w:rPr>
              <w:t>0007</w:t>
            </w:r>
            <w:r>
              <w:rPr>
                <w:rFonts w:hint="default" w:ascii="Times New Roman" w:hAnsi="Times New Roman" w:eastAsia="宋体" w:cs="Times New Roman"/>
                <w:color w:val="auto"/>
                <w:sz w:val="24"/>
                <w:szCs w:val="24"/>
                <w:highlight w:val="none"/>
                <w:lang w:val="en-US" w:eastAsia="zh-CN"/>
              </w:rPr>
              <w:t>t/a。</w:t>
            </w:r>
          </w:p>
          <w:p w14:paraId="7E9556A4">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cs="宋体"/>
                <w:color w:val="auto"/>
                <w:kern w:val="2"/>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rPr>
              <w:t>污水处理站采用封闭式设计，</w:t>
            </w:r>
            <w:r>
              <w:rPr>
                <w:rFonts w:hint="eastAsia" w:ascii="Times New Roman" w:hAnsi="Times New Roman" w:eastAsia="宋体" w:cs="Times New Roman"/>
                <w:color w:val="auto"/>
                <w:sz w:val="24"/>
                <w:szCs w:val="24"/>
                <w:highlight w:val="none"/>
                <w:lang w:val="en-US" w:eastAsia="zh-CN"/>
              </w:rPr>
              <w:t>喷洒除臭剂</w:t>
            </w:r>
            <w:r>
              <w:rPr>
                <w:rFonts w:hint="default" w:ascii="Times New Roman" w:hAnsi="Times New Roman" w:eastAsia="宋体" w:cs="Times New Roman"/>
                <w:color w:val="auto"/>
                <w:sz w:val="24"/>
                <w:szCs w:val="24"/>
                <w:highlight w:val="none"/>
                <w:lang w:val="en-US" w:eastAsia="zh-CN"/>
              </w:rPr>
              <w:t>，加强污水处理站的运行操作管理，污泥及时外运，防止恶臭大量形成。同时，污水处理站四周设计有绿化带，可起到吸收恶臭的效果</w:t>
            </w:r>
            <w:r>
              <w:rPr>
                <w:rFonts w:hint="eastAsia" w:cs="Times New Roman"/>
                <w:color w:val="auto"/>
                <w:sz w:val="24"/>
                <w:szCs w:val="24"/>
                <w:highlight w:val="none"/>
                <w:lang w:val="en-US" w:eastAsia="zh-CN"/>
              </w:rPr>
              <w:t>。</w:t>
            </w:r>
          </w:p>
          <w:p w14:paraId="3E68EF8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jc w:val="left"/>
              <w:textAlignment w:val="auto"/>
              <w:rPr>
                <w:rFonts w:hint="default"/>
                <w:lang w:val="en-US" w:eastAsia="zh-CN"/>
              </w:rPr>
            </w:pPr>
            <w:r>
              <w:rPr>
                <w:rFonts w:hint="eastAsia" w:ascii="Times New Roman" w:hAnsi="Times New Roman" w:cs="Times New Roman"/>
                <w:color w:val="auto"/>
                <w:kern w:val="0"/>
                <w:sz w:val="24"/>
                <w:szCs w:val="24"/>
                <w:highlight w:val="none"/>
                <w:lang w:val="en-US" w:eastAsia="zh-CN"/>
              </w:rPr>
              <w:t>本项目废气产排情况详见表4-</w:t>
            </w:r>
            <w:r>
              <w:rPr>
                <w:rFonts w:hint="eastAsia" w:cs="Times New Roman"/>
                <w:color w:val="auto"/>
                <w:kern w:val="0"/>
                <w:sz w:val="24"/>
                <w:szCs w:val="24"/>
                <w:highlight w:val="none"/>
                <w:lang w:val="en-US" w:eastAsia="zh-CN"/>
              </w:rPr>
              <w:t>1，4-2</w:t>
            </w:r>
            <w:r>
              <w:rPr>
                <w:rFonts w:hint="eastAsia" w:ascii="Times New Roman" w:hAnsi="Times New Roman" w:cs="Times New Roman"/>
                <w:color w:val="auto"/>
                <w:kern w:val="0"/>
                <w:sz w:val="24"/>
                <w:szCs w:val="24"/>
                <w:highlight w:val="none"/>
                <w:lang w:val="en-US" w:eastAsia="zh-CN"/>
              </w:rPr>
              <w:t>。</w:t>
            </w:r>
          </w:p>
        </w:tc>
      </w:tr>
    </w:tbl>
    <w:p w14:paraId="3910826C">
      <w:pPr>
        <w:pStyle w:val="30"/>
        <w:jc w:val="center"/>
        <w:outlineLvl w:val="0"/>
        <w:rPr>
          <w:rFonts w:hint="eastAsia" w:ascii="黑体" w:hAnsi="黑体" w:eastAsia="黑体"/>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186EF03F">
      <w:pPr>
        <w:jc w:val="center"/>
        <w:rPr>
          <w:rFonts w:hint="eastAsia"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表</w:t>
      </w:r>
      <w:r>
        <w:rPr>
          <w:rFonts w:hint="eastAsia" w:ascii="Times New Roman" w:hAnsi="Times New Roman" w:eastAsia="宋体" w:cs="Times New Roman"/>
          <w:b/>
          <w:color w:val="auto"/>
          <w:sz w:val="24"/>
          <w:szCs w:val="24"/>
          <w:lang w:val="en-US" w:eastAsia="zh-CN"/>
        </w:rPr>
        <w:t>4-</w:t>
      </w:r>
      <w:r>
        <w:rPr>
          <w:rFonts w:hint="eastAsia" w:cs="Times New Roman"/>
          <w:b/>
          <w:color w:val="auto"/>
          <w:sz w:val="24"/>
          <w:szCs w:val="24"/>
          <w:lang w:val="en-US" w:eastAsia="zh-CN"/>
        </w:rPr>
        <w:t>1</w:t>
      </w:r>
      <w:r>
        <w:rPr>
          <w:rFonts w:hint="default" w:ascii="Times New Roman" w:hAnsi="Times New Roman" w:eastAsia="宋体" w:cs="Times New Roman"/>
          <w:b/>
          <w:color w:val="auto"/>
          <w:sz w:val="24"/>
          <w:szCs w:val="24"/>
          <w:lang w:val="en-US" w:eastAsia="zh-CN"/>
        </w:rPr>
        <w:t xml:space="preserve"> </w:t>
      </w:r>
      <w:r>
        <w:rPr>
          <w:rFonts w:hint="eastAsia" w:ascii="Times New Roman" w:hAnsi="Times New Roman" w:eastAsia="宋体" w:cs="Times New Roman"/>
          <w:b/>
          <w:color w:val="auto"/>
          <w:sz w:val="24"/>
          <w:szCs w:val="24"/>
          <w:lang w:val="en-US" w:eastAsia="zh-CN"/>
        </w:rPr>
        <w:t xml:space="preserve"> 本项目</w:t>
      </w:r>
      <w:r>
        <w:rPr>
          <w:rFonts w:hint="default" w:ascii="Times New Roman" w:hAnsi="Times New Roman" w:eastAsia="宋体" w:cs="Times New Roman"/>
          <w:b/>
          <w:color w:val="auto"/>
          <w:sz w:val="24"/>
          <w:szCs w:val="24"/>
          <w:lang w:val="en-US" w:eastAsia="zh-CN"/>
        </w:rPr>
        <w:t>有组织废气排放情况</w:t>
      </w:r>
    </w:p>
    <w:tbl>
      <w:tblPr>
        <w:tblStyle w:val="34"/>
        <w:tblW w:w="49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39"/>
        <w:gridCol w:w="512"/>
        <w:gridCol w:w="737"/>
        <w:gridCol w:w="686"/>
        <w:gridCol w:w="634"/>
        <w:gridCol w:w="1136"/>
        <w:gridCol w:w="594"/>
        <w:gridCol w:w="442"/>
        <w:gridCol w:w="469"/>
        <w:gridCol w:w="470"/>
        <w:gridCol w:w="667"/>
        <w:gridCol w:w="603"/>
        <w:gridCol w:w="594"/>
        <w:gridCol w:w="511"/>
        <w:gridCol w:w="511"/>
        <w:gridCol w:w="497"/>
        <w:gridCol w:w="663"/>
        <w:gridCol w:w="276"/>
        <w:gridCol w:w="1200"/>
        <w:gridCol w:w="501"/>
        <w:gridCol w:w="547"/>
      </w:tblGrid>
      <w:tr w14:paraId="7CD59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4" w:type="pct"/>
            <w:vMerge w:val="restart"/>
            <w:tcBorders>
              <w:tl2br w:val="nil"/>
              <w:tr2bl w:val="nil"/>
            </w:tcBorders>
            <w:noWrap w:val="0"/>
            <w:tcMar>
              <w:top w:w="15" w:type="dxa"/>
              <w:left w:w="15" w:type="dxa"/>
              <w:right w:w="15" w:type="dxa"/>
            </w:tcMar>
            <w:vAlign w:val="center"/>
          </w:tcPr>
          <w:p w14:paraId="44E749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产污环节</w:t>
            </w:r>
          </w:p>
        </w:tc>
        <w:tc>
          <w:tcPr>
            <w:tcW w:w="197" w:type="pct"/>
            <w:vMerge w:val="restart"/>
            <w:tcBorders>
              <w:tl2br w:val="nil"/>
              <w:tr2bl w:val="nil"/>
            </w:tcBorders>
            <w:noWrap w:val="0"/>
            <w:tcMar>
              <w:top w:w="15" w:type="dxa"/>
              <w:left w:w="15" w:type="dxa"/>
              <w:right w:w="15" w:type="dxa"/>
            </w:tcMar>
            <w:vAlign w:val="center"/>
          </w:tcPr>
          <w:p w14:paraId="16A944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污染物</w:t>
            </w:r>
          </w:p>
        </w:tc>
        <w:tc>
          <w:tcPr>
            <w:tcW w:w="791" w:type="pct"/>
            <w:gridSpan w:val="3"/>
            <w:tcBorders>
              <w:tl2br w:val="nil"/>
              <w:tr2bl w:val="nil"/>
            </w:tcBorders>
            <w:noWrap w:val="0"/>
            <w:tcMar>
              <w:top w:w="15" w:type="dxa"/>
              <w:left w:w="15" w:type="dxa"/>
              <w:right w:w="15" w:type="dxa"/>
            </w:tcMar>
            <w:vAlign w:val="center"/>
          </w:tcPr>
          <w:p w14:paraId="3D7EE2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产生情况</w:t>
            </w:r>
          </w:p>
        </w:tc>
        <w:tc>
          <w:tcPr>
            <w:tcW w:w="1197" w:type="pct"/>
            <w:gridSpan w:val="5"/>
            <w:tcBorders>
              <w:tl2br w:val="nil"/>
              <w:tr2bl w:val="nil"/>
            </w:tcBorders>
            <w:noWrap w:val="0"/>
            <w:tcMar>
              <w:top w:w="15" w:type="dxa"/>
              <w:left w:w="15" w:type="dxa"/>
              <w:right w:w="15" w:type="dxa"/>
            </w:tcMar>
            <w:vAlign w:val="center"/>
          </w:tcPr>
          <w:p w14:paraId="2175E9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治理设施</w:t>
            </w:r>
          </w:p>
        </w:tc>
        <w:tc>
          <w:tcPr>
            <w:tcW w:w="717" w:type="pct"/>
            <w:gridSpan w:val="3"/>
            <w:tcBorders>
              <w:tl2br w:val="nil"/>
              <w:tr2bl w:val="nil"/>
            </w:tcBorders>
            <w:noWrap/>
            <w:tcMar>
              <w:top w:w="15" w:type="dxa"/>
              <w:left w:w="15" w:type="dxa"/>
              <w:right w:w="15" w:type="dxa"/>
            </w:tcMar>
            <w:vAlign w:val="center"/>
          </w:tcPr>
          <w:p w14:paraId="635EC9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排放情况</w:t>
            </w:r>
          </w:p>
        </w:tc>
        <w:tc>
          <w:tcPr>
            <w:tcW w:w="1408" w:type="pct"/>
            <w:gridSpan w:val="6"/>
            <w:tcBorders>
              <w:tl2br w:val="nil"/>
              <w:tr2bl w:val="nil"/>
            </w:tcBorders>
            <w:noWrap/>
            <w:tcMar>
              <w:top w:w="15" w:type="dxa"/>
              <w:left w:w="15" w:type="dxa"/>
              <w:right w:w="15" w:type="dxa"/>
            </w:tcMar>
            <w:vAlign w:val="center"/>
          </w:tcPr>
          <w:p w14:paraId="77240E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排放口基本情况</w:t>
            </w:r>
          </w:p>
        </w:tc>
        <w:tc>
          <w:tcPr>
            <w:tcW w:w="403" w:type="pct"/>
            <w:gridSpan w:val="2"/>
            <w:tcBorders>
              <w:tl2br w:val="nil"/>
              <w:tr2bl w:val="nil"/>
            </w:tcBorders>
            <w:noWrap/>
            <w:tcMar>
              <w:top w:w="15" w:type="dxa"/>
              <w:left w:w="15" w:type="dxa"/>
              <w:right w:w="15" w:type="dxa"/>
            </w:tcMar>
            <w:vAlign w:val="center"/>
          </w:tcPr>
          <w:p w14:paraId="111447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排放标准</w:t>
            </w:r>
          </w:p>
        </w:tc>
      </w:tr>
      <w:tr w14:paraId="2D03B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4" w:type="pct"/>
            <w:vMerge w:val="continue"/>
            <w:tcBorders>
              <w:tl2br w:val="nil"/>
              <w:tr2bl w:val="nil"/>
            </w:tcBorders>
            <w:noWrap w:val="0"/>
            <w:tcMar>
              <w:top w:w="15" w:type="dxa"/>
              <w:left w:w="15" w:type="dxa"/>
              <w:right w:w="15" w:type="dxa"/>
            </w:tcMar>
            <w:vAlign w:val="center"/>
          </w:tcPr>
          <w:p w14:paraId="6F6016D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color w:val="auto"/>
                <w:sz w:val="18"/>
                <w:szCs w:val="18"/>
                <w:highlight w:val="none"/>
                <w:u w:val="none"/>
              </w:rPr>
            </w:pPr>
          </w:p>
        </w:tc>
        <w:tc>
          <w:tcPr>
            <w:tcW w:w="197" w:type="pct"/>
            <w:vMerge w:val="continue"/>
            <w:tcBorders>
              <w:tl2br w:val="nil"/>
              <w:tr2bl w:val="nil"/>
            </w:tcBorders>
            <w:noWrap w:val="0"/>
            <w:tcMar>
              <w:top w:w="15" w:type="dxa"/>
              <w:left w:w="15" w:type="dxa"/>
              <w:right w:w="15" w:type="dxa"/>
            </w:tcMar>
            <w:vAlign w:val="center"/>
          </w:tcPr>
          <w:p w14:paraId="6793130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color w:val="auto"/>
                <w:sz w:val="18"/>
                <w:szCs w:val="18"/>
                <w:highlight w:val="none"/>
                <w:u w:val="none"/>
              </w:rPr>
            </w:pPr>
          </w:p>
        </w:tc>
        <w:tc>
          <w:tcPr>
            <w:tcW w:w="283" w:type="pct"/>
            <w:tcBorders>
              <w:tl2br w:val="nil"/>
              <w:tr2bl w:val="nil"/>
            </w:tcBorders>
            <w:noWrap w:val="0"/>
            <w:tcMar>
              <w:top w:w="15" w:type="dxa"/>
              <w:left w:w="15" w:type="dxa"/>
              <w:right w:w="15" w:type="dxa"/>
            </w:tcMar>
            <w:vAlign w:val="center"/>
          </w:tcPr>
          <w:p w14:paraId="5978741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i w:val="0"/>
                <w:color w:val="auto"/>
                <w:sz w:val="18"/>
                <w:szCs w:val="18"/>
                <w:highlight w:val="none"/>
                <w:u w:val="none"/>
                <w:lang w:eastAsia="zh-CN"/>
              </w:rPr>
            </w:pPr>
            <w:r>
              <w:rPr>
                <w:rFonts w:hint="default" w:ascii="Times New Roman" w:hAnsi="Times New Roman" w:eastAsia="宋体" w:cs="Times New Roman"/>
                <w:b/>
                <w:bCs/>
                <w:i w:val="0"/>
                <w:color w:val="auto"/>
                <w:kern w:val="0"/>
                <w:sz w:val="18"/>
                <w:szCs w:val="18"/>
                <w:highlight w:val="none"/>
                <w:u w:val="none"/>
                <w:lang w:val="en-US" w:eastAsia="zh-CN" w:bidi="ar"/>
              </w:rPr>
              <w:t>产生量</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eastAsia="宋体" w:cs="Times New Roman"/>
                <w:b/>
                <w:color w:val="auto"/>
                <w:sz w:val="18"/>
                <w:szCs w:val="18"/>
                <w:highlight w:val="none"/>
              </w:rPr>
              <w:t>t/a</w:t>
            </w:r>
            <w:r>
              <w:rPr>
                <w:rFonts w:hint="eastAsia" w:cs="Times New Roman"/>
                <w:b/>
                <w:color w:val="auto"/>
                <w:sz w:val="18"/>
                <w:szCs w:val="18"/>
                <w:highlight w:val="none"/>
                <w:lang w:eastAsia="zh-CN"/>
              </w:rPr>
              <w:t>）</w:t>
            </w:r>
          </w:p>
        </w:tc>
        <w:tc>
          <w:tcPr>
            <w:tcW w:w="264" w:type="pct"/>
            <w:tcBorders>
              <w:tl2br w:val="nil"/>
              <w:tr2bl w:val="nil"/>
            </w:tcBorders>
            <w:noWrap w:val="0"/>
            <w:tcMar>
              <w:top w:w="15" w:type="dxa"/>
              <w:left w:w="15" w:type="dxa"/>
              <w:right w:w="15" w:type="dxa"/>
            </w:tcMar>
            <w:vAlign w:val="center"/>
          </w:tcPr>
          <w:p w14:paraId="756429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kern w:val="0"/>
                <w:sz w:val="18"/>
                <w:szCs w:val="18"/>
                <w:highlight w:val="none"/>
                <w:u w:val="none"/>
                <w:lang w:val="en-US" w:eastAsia="zh-CN" w:bidi="ar"/>
              </w:rPr>
            </w:pPr>
            <w:r>
              <w:rPr>
                <w:rFonts w:hint="default" w:ascii="Times New Roman" w:hAnsi="Times New Roman" w:eastAsia="宋体" w:cs="Times New Roman"/>
                <w:b/>
                <w:bCs/>
                <w:i w:val="0"/>
                <w:color w:val="auto"/>
                <w:kern w:val="0"/>
                <w:sz w:val="18"/>
                <w:szCs w:val="18"/>
                <w:highlight w:val="none"/>
                <w:u w:val="none"/>
                <w:lang w:val="en-US" w:eastAsia="zh-CN" w:bidi="ar"/>
              </w:rPr>
              <w:t>速率</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eastAsia="宋体" w:cs="Times New Roman"/>
                <w:b/>
                <w:color w:val="auto"/>
                <w:sz w:val="18"/>
                <w:szCs w:val="18"/>
                <w:highlight w:val="none"/>
              </w:rPr>
              <w:t>kg/h</w:t>
            </w:r>
            <w:r>
              <w:rPr>
                <w:rFonts w:hint="eastAsia" w:cs="Times New Roman"/>
                <w:b/>
                <w:color w:val="auto"/>
                <w:sz w:val="18"/>
                <w:szCs w:val="18"/>
                <w:highlight w:val="none"/>
                <w:lang w:eastAsia="zh-CN"/>
              </w:rPr>
              <w:t>）</w:t>
            </w:r>
          </w:p>
        </w:tc>
        <w:tc>
          <w:tcPr>
            <w:tcW w:w="244" w:type="pct"/>
            <w:tcBorders>
              <w:tl2br w:val="nil"/>
              <w:tr2bl w:val="nil"/>
            </w:tcBorders>
            <w:noWrap w:val="0"/>
            <w:tcMar>
              <w:top w:w="15" w:type="dxa"/>
              <w:left w:w="15" w:type="dxa"/>
              <w:right w:w="15" w:type="dxa"/>
            </w:tcMar>
            <w:vAlign w:val="center"/>
          </w:tcPr>
          <w:p w14:paraId="47556F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浓度</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eastAsia="宋体" w:cs="Times New Roman"/>
                <w:b/>
                <w:color w:val="auto"/>
                <w:sz w:val="18"/>
                <w:szCs w:val="18"/>
                <w:highlight w:val="none"/>
              </w:rPr>
              <w:t>mg/m</w:t>
            </w:r>
            <w:r>
              <w:rPr>
                <w:rFonts w:hint="default" w:ascii="Times New Roman" w:hAnsi="Times New Roman" w:eastAsia="宋体" w:cs="Times New Roman"/>
                <w:b/>
                <w:color w:val="auto"/>
                <w:sz w:val="18"/>
                <w:szCs w:val="18"/>
                <w:highlight w:val="none"/>
                <w:vertAlign w:val="superscript"/>
              </w:rPr>
              <w:t>3</w:t>
            </w:r>
            <w:r>
              <w:rPr>
                <w:rFonts w:hint="eastAsia" w:cs="Times New Roman"/>
                <w:b/>
                <w:color w:val="auto"/>
                <w:sz w:val="18"/>
                <w:szCs w:val="18"/>
                <w:highlight w:val="none"/>
                <w:vertAlign w:val="superscript"/>
                <w:lang w:eastAsia="zh-CN"/>
              </w:rPr>
              <w:t>）</w:t>
            </w:r>
          </w:p>
        </w:tc>
        <w:tc>
          <w:tcPr>
            <w:tcW w:w="437" w:type="pct"/>
            <w:tcBorders>
              <w:tl2br w:val="nil"/>
              <w:tr2bl w:val="nil"/>
            </w:tcBorders>
            <w:noWrap w:val="0"/>
            <w:tcMar>
              <w:top w:w="15" w:type="dxa"/>
              <w:left w:w="15" w:type="dxa"/>
              <w:right w:w="15" w:type="dxa"/>
            </w:tcMar>
            <w:vAlign w:val="center"/>
          </w:tcPr>
          <w:p w14:paraId="35C3C0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kern w:val="0"/>
                <w:sz w:val="18"/>
                <w:szCs w:val="18"/>
                <w:highlight w:val="none"/>
                <w:u w:val="none"/>
                <w:lang w:val="en-US" w:eastAsia="zh-CN" w:bidi="ar"/>
              </w:rPr>
            </w:pPr>
            <w:r>
              <w:rPr>
                <w:rFonts w:hint="eastAsia" w:ascii="Times New Roman" w:hAnsi="Times New Roman" w:eastAsia="宋体" w:cs="Times New Roman"/>
                <w:b/>
                <w:bCs/>
                <w:i w:val="0"/>
                <w:color w:val="auto"/>
                <w:kern w:val="0"/>
                <w:sz w:val="18"/>
                <w:szCs w:val="18"/>
                <w:highlight w:val="none"/>
                <w:u w:val="none"/>
                <w:lang w:val="en-US" w:eastAsia="zh-CN" w:bidi="ar"/>
              </w:rPr>
              <w:t>处理方法</w:t>
            </w:r>
          </w:p>
        </w:tc>
        <w:tc>
          <w:tcPr>
            <w:tcW w:w="228" w:type="pct"/>
            <w:tcBorders>
              <w:tl2br w:val="nil"/>
              <w:tr2bl w:val="nil"/>
            </w:tcBorders>
            <w:noWrap w:val="0"/>
            <w:tcMar>
              <w:top w:w="15" w:type="dxa"/>
              <w:left w:w="15" w:type="dxa"/>
              <w:right w:w="15" w:type="dxa"/>
            </w:tcMar>
            <w:vAlign w:val="center"/>
          </w:tcPr>
          <w:p w14:paraId="6E14C3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eastAsia" w:ascii="Times New Roman" w:hAnsi="Times New Roman" w:eastAsia="宋体" w:cs="Times New Roman"/>
                <w:b/>
                <w:bCs/>
                <w:i w:val="0"/>
                <w:color w:val="auto"/>
                <w:kern w:val="0"/>
                <w:sz w:val="18"/>
                <w:szCs w:val="18"/>
                <w:highlight w:val="none"/>
                <w:u w:val="none"/>
                <w:lang w:val="en-US" w:eastAsia="zh-CN" w:bidi="ar"/>
              </w:rPr>
              <w:t>废气量</w:t>
            </w:r>
            <w:r>
              <w:rPr>
                <w:rFonts w:hint="eastAsia" w:cs="Times New Roman"/>
                <w:b/>
                <w:bCs/>
                <w:i w:val="0"/>
                <w:color w:val="auto"/>
                <w:kern w:val="0"/>
                <w:sz w:val="18"/>
                <w:szCs w:val="18"/>
                <w:highlight w:val="none"/>
                <w:u w:val="none"/>
                <w:lang w:val="en-US" w:eastAsia="zh-CN" w:bidi="ar"/>
              </w:rPr>
              <w:t>（</w:t>
            </w:r>
            <w:r>
              <w:rPr>
                <w:rFonts w:hint="eastAsia" w:ascii="Times New Roman" w:hAnsi="Times New Roman" w:eastAsia="宋体" w:cs="Times New Roman"/>
                <w:b/>
                <w:bCs/>
                <w:i w:val="0"/>
                <w:color w:val="auto"/>
                <w:kern w:val="0"/>
                <w:sz w:val="18"/>
                <w:szCs w:val="18"/>
                <w:highlight w:val="none"/>
                <w:u w:val="none"/>
                <w:lang w:val="en-US" w:eastAsia="zh-CN" w:bidi="ar"/>
              </w:rPr>
              <w:t>m</w:t>
            </w:r>
            <w:r>
              <w:rPr>
                <w:rFonts w:hint="eastAsia" w:ascii="Times New Roman" w:hAnsi="Times New Roman" w:eastAsia="宋体" w:cs="Times New Roman"/>
                <w:b/>
                <w:bCs/>
                <w:i w:val="0"/>
                <w:color w:val="auto"/>
                <w:kern w:val="0"/>
                <w:sz w:val="18"/>
                <w:szCs w:val="18"/>
                <w:highlight w:val="none"/>
                <w:u w:val="none"/>
                <w:vertAlign w:val="superscript"/>
                <w:lang w:val="en-US" w:eastAsia="zh-CN" w:bidi="ar"/>
              </w:rPr>
              <w:t>3</w:t>
            </w:r>
            <w:r>
              <w:rPr>
                <w:rFonts w:hint="eastAsia" w:ascii="Times New Roman" w:hAnsi="Times New Roman" w:eastAsia="宋体" w:cs="Times New Roman"/>
                <w:b/>
                <w:bCs/>
                <w:i w:val="0"/>
                <w:color w:val="auto"/>
                <w:kern w:val="0"/>
                <w:sz w:val="18"/>
                <w:szCs w:val="18"/>
                <w:highlight w:val="none"/>
                <w:u w:val="none"/>
                <w:lang w:val="en-US" w:eastAsia="zh-CN" w:bidi="ar"/>
              </w:rPr>
              <w:t>/h</w:t>
            </w:r>
            <w:r>
              <w:rPr>
                <w:rFonts w:hint="eastAsia" w:cs="Times New Roman"/>
                <w:b/>
                <w:bCs/>
                <w:i w:val="0"/>
                <w:color w:val="auto"/>
                <w:kern w:val="0"/>
                <w:sz w:val="18"/>
                <w:szCs w:val="18"/>
                <w:highlight w:val="none"/>
                <w:u w:val="none"/>
                <w:lang w:val="en-US" w:eastAsia="zh-CN" w:bidi="ar"/>
              </w:rPr>
              <w:t>）</w:t>
            </w:r>
          </w:p>
        </w:tc>
        <w:tc>
          <w:tcPr>
            <w:tcW w:w="170" w:type="pct"/>
            <w:tcBorders>
              <w:tl2br w:val="nil"/>
              <w:tr2bl w:val="nil"/>
            </w:tcBorders>
            <w:noWrap w:val="0"/>
            <w:tcMar>
              <w:top w:w="15" w:type="dxa"/>
              <w:left w:w="15" w:type="dxa"/>
              <w:right w:w="15" w:type="dxa"/>
            </w:tcMar>
            <w:vAlign w:val="center"/>
          </w:tcPr>
          <w:p w14:paraId="69DF23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收集效率%</w:t>
            </w:r>
          </w:p>
        </w:tc>
        <w:tc>
          <w:tcPr>
            <w:tcW w:w="180" w:type="pct"/>
            <w:tcBorders>
              <w:tl2br w:val="nil"/>
              <w:tr2bl w:val="nil"/>
            </w:tcBorders>
            <w:noWrap w:val="0"/>
            <w:tcMar>
              <w:top w:w="15" w:type="dxa"/>
              <w:left w:w="15" w:type="dxa"/>
              <w:right w:w="15" w:type="dxa"/>
            </w:tcMar>
            <w:vAlign w:val="center"/>
          </w:tcPr>
          <w:p w14:paraId="6BB6A2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净化效率%</w:t>
            </w:r>
          </w:p>
        </w:tc>
        <w:tc>
          <w:tcPr>
            <w:tcW w:w="180" w:type="pct"/>
            <w:tcBorders>
              <w:tl2br w:val="nil"/>
              <w:tr2bl w:val="nil"/>
            </w:tcBorders>
            <w:noWrap w:val="0"/>
            <w:tcMar>
              <w:top w:w="15" w:type="dxa"/>
              <w:left w:w="15" w:type="dxa"/>
              <w:right w:w="15" w:type="dxa"/>
            </w:tcMar>
            <w:vAlign w:val="center"/>
          </w:tcPr>
          <w:p w14:paraId="5E47BD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是否可行技术</w:t>
            </w:r>
          </w:p>
        </w:tc>
        <w:tc>
          <w:tcPr>
            <w:tcW w:w="256" w:type="pct"/>
            <w:tcBorders>
              <w:tl2br w:val="nil"/>
              <w:tr2bl w:val="nil"/>
            </w:tcBorders>
            <w:noWrap/>
            <w:tcMar>
              <w:top w:w="15" w:type="dxa"/>
              <w:left w:w="15" w:type="dxa"/>
              <w:right w:w="15" w:type="dxa"/>
            </w:tcMar>
            <w:vAlign w:val="center"/>
          </w:tcPr>
          <w:p w14:paraId="495092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kern w:val="2"/>
                <w:sz w:val="18"/>
                <w:szCs w:val="18"/>
                <w:highlight w:val="none"/>
                <w:u w:val="none"/>
                <w:lang w:val="en-US" w:eastAsia="zh-CN" w:bidi="ar-SA"/>
              </w:rPr>
            </w:pPr>
            <w:r>
              <w:rPr>
                <w:rFonts w:hint="default" w:ascii="Times New Roman" w:hAnsi="Times New Roman" w:eastAsia="宋体" w:cs="Times New Roman"/>
                <w:b/>
                <w:bCs/>
                <w:i w:val="0"/>
                <w:color w:val="auto"/>
                <w:kern w:val="0"/>
                <w:sz w:val="18"/>
                <w:szCs w:val="18"/>
                <w:highlight w:val="none"/>
                <w:u w:val="none"/>
                <w:lang w:val="en-US" w:eastAsia="zh-CN" w:bidi="ar"/>
              </w:rPr>
              <w:t>排放量</w:t>
            </w:r>
            <w:r>
              <w:rPr>
                <w:rFonts w:hint="default" w:ascii="Times New Roman" w:hAnsi="Times New Roman" w:eastAsia="宋体" w:cs="Times New Roman"/>
                <w:b/>
                <w:color w:val="auto"/>
                <w:sz w:val="18"/>
                <w:szCs w:val="18"/>
                <w:highlight w:val="none"/>
              </w:rPr>
              <w:t>（t/a）</w:t>
            </w:r>
          </w:p>
        </w:tc>
        <w:tc>
          <w:tcPr>
            <w:tcW w:w="232" w:type="pct"/>
            <w:tcBorders>
              <w:tl2br w:val="nil"/>
              <w:tr2bl w:val="nil"/>
            </w:tcBorders>
            <w:noWrap/>
            <w:tcMar>
              <w:top w:w="15" w:type="dxa"/>
              <w:left w:w="15" w:type="dxa"/>
              <w:right w:w="15" w:type="dxa"/>
            </w:tcMar>
            <w:vAlign w:val="center"/>
          </w:tcPr>
          <w:p w14:paraId="05F386B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i w:val="0"/>
                <w:color w:val="auto"/>
                <w:sz w:val="18"/>
                <w:szCs w:val="18"/>
                <w:highlight w:val="none"/>
                <w:u w:val="none"/>
                <w:lang w:eastAsia="zh-CN"/>
              </w:rPr>
            </w:pPr>
            <w:r>
              <w:rPr>
                <w:rFonts w:hint="default" w:ascii="Times New Roman" w:hAnsi="Times New Roman" w:eastAsia="宋体" w:cs="Times New Roman"/>
                <w:b/>
                <w:bCs/>
                <w:i w:val="0"/>
                <w:color w:val="auto"/>
                <w:kern w:val="0"/>
                <w:sz w:val="18"/>
                <w:szCs w:val="18"/>
                <w:highlight w:val="none"/>
                <w:u w:val="none"/>
                <w:lang w:val="en-US" w:eastAsia="zh-CN" w:bidi="ar"/>
              </w:rPr>
              <w:t>速率</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eastAsia="宋体" w:cs="Times New Roman"/>
                <w:b/>
                <w:color w:val="auto"/>
                <w:sz w:val="18"/>
                <w:szCs w:val="18"/>
                <w:highlight w:val="none"/>
              </w:rPr>
              <w:t>kg/h</w:t>
            </w:r>
            <w:r>
              <w:rPr>
                <w:rFonts w:hint="eastAsia" w:cs="Times New Roman"/>
                <w:b/>
                <w:color w:val="auto"/>
                <w:sz w:val="18"/>
                <w:szCs w:val="18"/>
                <w:highlight w:val="none"/>
                <w:lang w:eastAsia="zh-CN"/>
              </w:rPr>
              <w:t>）</w:t>
            </w:r>
          </w:p>
        </w:tc>
        <w:tc>
          <w:tcPr>
            <w:tcW w:w="228" w:type="pct"/>
            <w:tcBorders>
              <w:tl2br w:val="nil"/>
              <w:tr2bl w:val="nil"/>
            </w:tcBorders>
            <w:noWrap/>
            <w:tcMar>
              <w:top w:w="15" w:type="dxa"/>
              <w:left w:w="15" w:type="dxa"/>
              <w:right w:w="15" w:type="dxa"/>
            </w:tcMar>
            <w:vAlign w:val="center"/>
          </w:tcPr>
          <w:p w14:paraId="6D5A6F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kern w:val="2"/>
                <w:sz w:val="18"/>
                <w:szCs w:val="18"/>
                <w:highlight w:val="none"/>
                <w:u w:val="none"/>
                <w:lang w:val="en-US" w:eastAsia="zh-CN" w:bidi="ar-SA"/>
              </w:rPr>
            </w:pPr>
            <w:r>
              <w:rPr>
                <w:rFonts w:hint="default" w:ascii="Times New Roman" w:hAnsi="Times New Roman" w:eastAsia="宋体" w:cs="Times New Roman"/>
                <w:b/>
                <w:bCs/>
                <w:i w:val="0"/>
                <w:color w:val="auto"/>
                <w:kern w:val="0"/>
                <w:sz w:val="18"/>
                <w:szCs w:val="18"/>
                <w:highlight w:val="none"/>
                <w:u w:val="none"/>
                <w:lang w:val="en-US" w:eastAsia="zh-CN" w:bidi="ar"/>
              </w:rPr>
              <w:t>浓度</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eastAsia="宋体" w:cs="Times New Roman"/>
                <w:b/>
                <w:color w:val="auto"/>
                <w:sz w:val="18"/>
                <w:szCs w:val="18"/>
                <w:highlight w:val="none"/>
              </w:rPr>
              <w:t>mg/m</w:t>
            </w:r>
            <w:r>
              <w:rPr>
                <w:rFonts w:hint="default" w:ascii="Times New Roman" w:hAnsi="Times New Roman" w:eastAsia="宋体" w:cs="Times New Roman"/>
                <w:b/>
                <w:color w:val="auto"/>
                <w:sz w:val="18"/>
                <w:szCs w:val="18"/>
                <w:highlight w:val="none"/>
                <w:vertAlign w:val="superscript"/>
              </w:rPr>
              <w:t>3</w:t>
            </w:r>
            <w:r>
              <w:rPr>
                <w:rFonts w:hint="eastAsia" w:cs="Times New Roman"/>
                <w:b/>
                <w:color w:val="auto"/>
                <w:sz w:val="18"/>
                <w:szCs w:val="18"/>
                <w:highlight w:val="none"/>
                <w:vertAlign w:val="superscript"/>
                <w:lang w:eastAsia="zh-CN"/>
              </w:rPr>
              <w:t>）</w:t>
            </w:r>
          </w:p>
        </w:tc>
        <w:tc>
          <w:tcPr>
            <w:tcW w:w="196" w:type="pct"/>
            <w:tcBorders>
              <w:tl2br w:val="nil"/>
              <w:tr2bl w:val="nil"/>
            </w:tcBorders>
            <w:noWrap/>
            <w:tcMar>
              <w:top w:w="15" w:type="dxa"/>
              <w:left w:w="15" w:type="dxa"/>
              <w:right w:w="15" w:type="dxa"/>
            </w:tcMar>
            <w:vAlign w:val="center"/>
          </w:tcPr>
          <w:p w14:paraId="2E8937A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i w:val="0"/>
                <w:color w:val="auto"/>
                <w:sz w:val="18"/>
                <w:szCs w:val="18"/>
                <w:highlight w:val="none"/>
                <w:u w:val="none"/>
                <w:lang w:val="en-US" w:eastAsia="zh-CN"/>
              </w:rPr>
            </w:pPr>
            <w:r>
              <w:rPr>
                <w:rFonts w:hint="default" w:ascii="Times New Roman" w:hAnsi="Times New Roman" w:eastAsia="宋体" w:cs="Times New Roman"/>
                <w:b/>
                <w:bCs/>
                <w:i w:val="0"/>
                <w:color w:val="auto"/>
                <w:kern w:val="0"/>
                <w:sz w:val="18"/>
                <w:szCs w:val="18"/>
                <w:highlight w:val="none"/>
                <w:u w:val="none"/>
                <w:lang w:val="en-US" w:eastAsia="zh-CN" w:bidi="ar"/>
              </w:rPr>
              <w:t>高度</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eastAsia="宋体" w:cs="Times New Roman"/>
                <w:b/>
                <w:color w:val="auto"/>
                <w:kern w:val="0"/>
                <w:sz w:val="18"/>
                <w:szCs w:val="18"/>
                <w:highlight w:val="none"/>
                <w:lang w:bidi="ar"/>
              </w:rPr>
              <w:t>m</w:t>
            </w:r>
            <w:r>
              <w:rPr>
                <w:rFonts w:hint="eastAsia" w:cs="Times New Roman"/>
                <w:b/>
                <w:color w:val="auto"/>
                <w:kern w:val="0"/>
                <w:sz w:val="18"/>
                <w:szCs w:val="18"/>
                <w:highlight w:val="none"/>
                <w:lang w:eastAsia="zh-CN" w:bidi="ar"/>
              </w:rPr>
              <w:t>）</w:t>
            </w:r>
          </w:p>
        </w:tc>
        <w:tc>
          <w:tcPr>
            <w:tcW w:w="196" w:type="pct"/>
            <w:tcBorders>
              <w:tl2br w:val="nil"/>
              <w:tr2bl w:val="nil"/>
            </w:tcBorders>
            <w:noWrap/>
            <w:tcMar>
              <w:top w:w="15" w:type="dxa"/>
              <w:left w:w="15" w:type="dxa"/>
              <w:right w:w="15" w:type="dxa"/>
            </w:tcMar>
            <w:vAlign w:val="center"/>
          </w:tcPr>
          <w:p w14:paraId="22CA2F0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i w:val="0"/>
                <w:color w:val="auto"/>
                <w:sz w:val="18"/>
                <w:szCs w:val="18"/>
                <w:highlight w:val="none"/>
                <w:u w:val="none"/>
                <w:lang w:eastAsia="zh-CN"/>
              </w:rPr>
            </w:pPr>
            <w:r>
              <w:rPr>
                <w:rFonts w:hint="default" w:ascii="Times New Roman" w:hAnsi="Times New Roman" w:eastAsia="宋体" w:cs="Times New Roman"/>
                <w:b/>
                <w:bCs/>
                <w:i w:val="0"/>
                <w:color w:val="auto"/>
                <w:kern w:val="0"/>
                <w:sz w:val="18"/>
                <w:szCs w:val="18"/>
                <w:highlight w:val="none"/>
                <w:u w:val="none"/>
                <w:lang w:val="en-US" w:eastAsia="zh-CN" w:bidi="ar"/>
              </w:rPr>
              <w:t>内径</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eastAsia="宋体" w:cs="Times New Roman"/>
                <w:b/>
                <w:color w:val="auto"/>
                <w:kern w:val="0"/>
                <w:sz w:val="18"/>
                <w:szCs w:val="18"/>
                <w:highlight w:val="none"/>
                <w:lang w:bidi="ar"/>
              </w:rPr>
              <w:t>m</w:t>
            </w:r>
            <w:r>
              <w:rPr>
                <w:rFonts w:hint="eastAsia" w:cs="Times New Roman"/>
                <w:b/>
                <w:color w:val="auto"/>
                <w:kern w:val="0"/>
                <w:sz w:val="18"/>
                <w:szCs w:val="18"/>
                <w:highlight w:val="none"/>
                <w:lang w:eastAsia="zh-CN" w:bidi="ar"/>
              </w:rPr>
              <w:t>）</w:t>
            </w:r>
          </w:p>
        </w:tc>
        <w:tc>
          <w:tcPr>
            <w:tcW w:w="191" w:type="pct"/>
            <w:tcBorders>
              <w:tl2br w:val="nil"/>
              <w:tr2bl w:val="nil"/>
            </w:tcBorders>
            <w:noWrap/>
            <w:tcMar>
              <w:top w:w="15" w:type="dxa"/>
              <w:left w:w="15" w:type="dxa"/>
              <w:right w:w="15" w:type="dxa"/>
            </w:tcMar>
            <w:vAlign w:val="center"/>
          </w:tcPr>
          <w:p w14:paraId="1FCBDB0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i w:val="0"/>
                <w:color w:val="auto"/>
                <w:sz w:val="18"/>
                <w:szCs w:val="18"/>
                <w:highlight w:val="none"/>
                <w:u w:val="none"/>
                <w:lang w:eastAsia="zh-CN"/>
              </w:rPr>
            </w:pPr>
            <w:r>
              <w:rPr>
                <w:rFonts w:hint="default" w:ascii="Times New Roman" w:hAnsi="Times New Roman" w:eastAsia="宋体" w:cs="Times New Roman"/>
                <w:b/>
                <w:bCs/>
                <w:i w:val="0"/>
                <w:color w:val="auto"/>
                <w:kern w:val="0"/>
                <w:sz w:val="18"/>
                <w:szCs w:val="18"/>
                <w:highlight w:val="none"/>
                <w:u w:val="none"/>
                <w:lang w:val="en-US" w:eastAsia="zh-CN" w:bidi="ar"/>
              </w:rPr>
              <w:t>温度</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eastAsia="宋体" w:cs="Times New Roman"/>
                <w:b/>
                <w:color w:val="auto"/>
                <w:kern w:val="0"/>
                <w:sz w:val="18"/>
                <w:szCs w:val="18"/>
                <w:highlight w:val="none"/>
                <w:lang w:bidi="ar"/>
              </w:rPr>
              <w:t>℃</w:t>
            </w:r>
            <w:r>
              <w:rPr>
                <w:rFonts w:hint="eastAsia" w:cs="Times New Roman"/>
                <w:b/>
                <w:color w:val="auto"/>
                <w:kern w:val="0"/>
                <w:sz w:val="18"/>
                <w:szCs w:val="18"/>
                <w:highlight w:val="none"/>
                <w:lang w:eastAsia="zh-CN" w:bidi="ar"/>
              </w:rPr>
              <w:t>）</w:t>
            </w:r>
          </w:p>
        </w:tc>
        <w:tc>
          <w:tcPr>
            <w:tcW w:w="255" w:type="pct"/>
            <w:tcBorders>
              <w:tl2br w:val="nil"/>
              <w:tr2bl w:val="nil"/>
            </w:tcBorders>
            <w:noWrap/>
            <w:tcMar>
              <w:top w:w="15" w:type="dxa"/>
              <w:left w:w="15" w:type="dxa"/>
              <w:right w:w="15" w:type="dxa"/>
            </w:tcMar>
            <w:vAlign w:val="center"/>
          </w:tcPr>
          <w:p w14:paraId="62C2BE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编号及名称</w:t>
            </w:r>
          </w:p>
        </w:tc>
        <w:tc>
          <w:tcPr>
            <w:tcW w:w="106" w:type="pct"/>
            <w:tcBorders>
              <w:tl2br w:val="nil"/>
              <w:tr2bl w:val="nil"/>
            </w:tcBorders>
            <w:noWrap/>
            <w:tcMar>
              <w:top w:w="15" w:type="dxa"/>
              <w:left w:w="15" w:type="dxa"/>
              <w:right w:w="15" w:type="dxa"/>
            </w:tcMar>
            <w:vAlign w:val="center"/>
          </w:tcPr>
          <w:p w14:paraId="2C4618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类型</w:t>
            </w:r>
          </w:p>
        </w:tc>
        <w:tc>
          <w:tcPr>
            <w:tcW w:w="461" w:type="pct"/>
            <w:tcBorders>
              <w:tl2br w:val="nil"/>
              <w:tr2bl w:val="nil"/>
            </w:tcBorders>
            <w:noWrap/>
            <w:tcMar>
              <w:top w:w="15" w:type="dxa"/>
              <w:left w:w="15" w:type="dxa"/>
              <w:right w:w="15" w:type="dxa"/>
            </w:tcMar>
            <w:vAlign w:val="center"/>
          </w:tcPr>
          <w:p w14:paraId="57F6A8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yellow"/>
                <w:u w:val="none"/>
              </w:rPr>
            </w:pPr>
            <w:r>
              <w:rPr>
                <w:rFonts w:hint="default" w:ascii="Times New Roman" w:hAnsi="Times New Roman" w:eastAsia="宋体" w:cs="Times New Roman"/>
                <w:b/>
                <w:bCs/>
                <w:i w:val="0"/>
                <w:color w:val="auto"/>
                <w:kern w:val="0"/>
                <w:sz w:val="18"/>
                <w:szCs w:val="18"/>
                <w:highlight w:val="none"/>
                <w:u w:val="none"/>
                <w:lang w:val="en-US" w:eastAsia="zh-CN" w:bidi="ar"/>
              </w:rPr>
              <w:t>坐标</w:t>
            </w:r>
          </w:p>
        </w:tc>
        <w:tc>
          <w:tcPr>
            <w:tcW w:w="192" w:type="pct"/>
            <w:tcBorders>
              <w:tl2br w:val="nil"/>
              <w:tr2bl w:val="nil"/>
            </w:tcBorders>
            <w:noWrap/>
            <w:tcMar>
              <w:top w:w="15" w:type="dxa"/>
              <w:left w:w="15" w:type="dxa"/>
              <w:right w:w="15" w:type="dxa"/>
            </w:tcMar>
            <w:vAlign w:val="center"/>
          </w:tcPr>
          <w:p w14:paraId="272151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浓度</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eastAsia="宋体" w:cs="Times New Roman"/>
                <w:b/>
                <w:color w:val="auto"/>
                <w:sz w:val="18"/>
                <w:szCs w:val="18"/>
                <w:highlight w:val="none"/>
              </w:rPr>
              <w:t>mg/m</w:t>
            </w:r>
            <w:r>
              <w:rPr>
                <w:rFonts w:hint="default" w:ascii="Times New Roman" w:hAnsi="Times New Roman" w:eastAsia="宋体" w:cs="Times New Roman"/>
                <w:b/>
                <w:color w:val="auto"/>
                <w:sz w:val="18"/>
                <w:szCs w:val="18"/>
                <w:highlight w:val="none"/>
                <w:vertAlign w:val="superscript"/>
              </w:rPr>
              <w:t>3</w:t>
            </w:r>
            <w:r>
              <w:rPr>
                <w:rFonts w:hint="eastAsia" w:cs="Times New Roman"/>
                <w:b/>
                <w:color w:val="auto"/>
                <w:sz w:val="18"/>
                <w:szCs w:val="18"/>
                <w:highlight w:val="none"/>
                <w:vertAlign w:val="superscript"/>
                <w:lang w:eastAsia="zh-CN"/>
              </w:rPr>
              <w:t>）</w:t>
            </w:r>
          </w:p>
        </w:tc>
        <w:tc>
          <w:tcPr>
            <w:tcW w:w="210" w:type="pct"/>
            <w:tcBorders>
              <w:tl2br w:val="nil"/>
              <w:tr2bl w:val="nil"/>
            </w:tcBorders>
            <w:noWrap/>
            <w:tcMar>
              <w:top w:w="15" w:type="dxa"/>
              <w:left w:w="15" w:type="dxa"/>
              <w:right w:w="15" w:type="dxa"/>
            </w:tcMar>
            <w:vAlign w:val="center"/>
          </w:tcPr>
          <w:p w14:paraId="588AB9D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i w:val="0"/>
                <w:color w:val="auto"/>
                <w:sz w:val="18"/>
                <w:szCs w:val="18"/>
                <w:highlight w:val="none"/>
                <w:u w:val="none"/>
                <w:lang w:eastAsia="zh-CN"/>
              </w:rPr>
            </w:pPr>
            <w:r>
              <w:rPr>
                <w:rFonts w:hint="default" w:ascii="Times New Roman" w:hAnsi="Times New Roman" w:eastAsia="宋体" w:cs="Times New Roman"/>
                <w:b/>
                <w:bCs/>
                <w:i w:val="0"/>
                <w:color w:val="auto"/>
                <w:kern w:val="0"/>
                <w:sz w:val="18"/>
                <w:szCs w:val="18"/>
                <w:highlight w:val="none"/>
                <w:u w:val="none"/>
                <w:lang w:val="en-US" w:eastAsia="zh-CN" w:bidi="ar"/>
              </w:rPr>
              <w:t>速率</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eastAsia="宋体" w:cs="Times New Roman"/>
                <w:b/>
                <w:color w:val="auto"/>
                <w:sz w:val="18"/>
                <w:szCs w:val="18"/>
                <w:highlight w:val="none"/>
              </w:rPr>
              <w:t>kg/h</w:t>
            </w:r>
            <w:r>
              <w:rPr>
                <w:rFonts w:hint="eastAsia" w:cs="Times New Roman"/>
                <w:b/>
                <w:color w:val="auto"/>
                <w:sz w:val="18"/>
                <w:szCs w:val="18"/>
                <w:highlight w:val="none"/>
                <w:lang w:eastAsia="zh-CN"/>
              </w:rPr>
              <w:t>）</w:t>
            </w:r>
          </w:p>
        </w:tc>
      </w:tr>
      <w:tr w14:paraId="29468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4" w:type="pct"/>
            <w:tcBorders>
              <w:tl2br w:val="nil"/>
              <w:tr2bl w:val="nil"/>
            </w:tcBorders>
            <w:noWrap/>
            <w:tcMar>
              <w:top w:w="15" w:type="dxa"/>
              <w:left w:w="15" w:type="dxa"/>
              <w:right w:w="15" w:type="dxa"/>
            </w:tcMar>
            <w:vAlign w:val="center"/>
          </w:tcPr>
          <w:p w14:paraId="4CA73D98">
            <w:pPr>
              <w:keepNext w:val="0"/>
              <w:keepLines w:val="0"/>
              <w:widowControl/>
              <w:suppressLineNumbers w:val="0"/>
              <w:spacing w:before="0" w:beforeAutospacing="0" w:after="0" w:afterAutospacing="0"/>
              <w:ind w:left="0" w:right="0"/>
              <w:jc w:val="center"/>
              <w:textAlignment w:val="center"/>
              <w:rPr>
                <w:rFonts w:hint="default" w:cs="Times New Roman"/>
                <w:i w:val="0"/>
                <w:color w:val="auto"/>
                <w:sz w:val="18"/>
                <w:szCs w:val="18"/>
                <w:highlight w:val="none"/>
                <w:u w:val="none"/>
                <w:lang w:val="en-US" w:eastAsia="zh-CN"/>
              </w:rPr>
            </w:pPr>
            <w:r>
              <w:rPr>
                <w:rFonts w:hint="eastAsia" w:cs="Times New Roman"/>
                <w:i w:val="0"/>
                <w:color w:val="auto"/>
                <w:sz w:val="18"/>
                <w:szCs w:val="18"/>
                <w:highlight w:val="none"/>
                <w:u w:val="none"/>
                <w:lang w:val="en-US" w:eastAsia="zh-CN"/>
              </w:rPr>
              <w:t>投料、搅拌</w:t>
            </w:r>
          </w:p>
        </w:tc>
        <w:tc>
          <w:tcPr>
            <w:tcW w:w="197" w:type="pct"/>
            <w:tcBorders>
              <w:tl2br w:val="nil"/>
              <w:tr2bl w:val="nil"/>
            </w:tcBorders>
            <w:noWrap/>
            <w:tcMar>
              <w:top w:w="15" w:type="dxa"/>
              <w:left w:w="15" w:type="dxa"/>
              <w:right w:w="15" w:type="dxa"/>
            </w:tcMar>
            <w:vAlign w:val="center"/>
          </w:tcPr>
          <w:p w14:paraId="1A53AD18">
            <w:pPr>
              <w:keepNext w:val="0"/>
              <w:keepLines w:val="0"/>
              <w:widowControl/>
              <w:suppressLineNumbers w:val="0"/>
              <w:spacing w:before="0" w:beforeAutospacing="0" w:after="0" w:afterAutospacing="0"/>
              <w:ind w:left="0" w:right="0"/>
              <w:jc w:val="center"/>
              <w:textAlignment w:val="center"/>
              <w:rPr>
                <w:rFonts w:hint="default"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颗粒物</w:t>
            </w:r>
          </w:p>
        </w:tc>
        <w:tc>
          <w:tcPr>
            <w:tcW w:w="283" w:type="pct"/>
            <w:tcBorders>
              <w:tl2br w:val="nil"/>
              <w:tr2bl w:val="nil"/>
            </w:tcBorders>
            <w:noWrap/>
            <w:tcMar>
              <w:top w:w="15" w:type="dxa"/>
              <w:left w:w="15" w:type="dxa"/>
              <w:right w:w="15" w:type="dxa"/>
            </w:tcMar>
            <w:vAlign w:val="center"/>
          </w:tcPr>
          <w:p w14:paraId="7F194890">
            <w:pPr>
              <w:keepNext w:val="0"/>
              <w:keepLines w:val="0"/>
              <w:widowControl/>
              <w:suppressLineNumbers w:val="0"/>
              <w:spacing w:before="0" w:beforeAutospacing="0" w:after="0" w:afterAutospacing="0"/>
              <w:ind w:left="0" w:right="0"/>
              <w:jc w:val="center"/>
              <w:textAlignment w:val="center"/>
              <w:rPr>
                <w:rFonts w:hint="default"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2.88</w:t>
            </w:r>
          </w:p>
        </w:tc>
        <w:tc>
          <w:tcPr>
            <w:tcW w:w="264" w:type="pct"/>
            <w:tcBorders>
              <w:tl2br w:val="nil"/>
              <w:tr2bl w:val="nil"/>
            </w:tcBorders>
            <w:noWrap/>
            <w:tcMar>
              <w:top w:w="15" w:type="dxa"/>
              <w:left w:w="15" w:type="dxa"/>
              <w:right w:w="15" w:type="dxa"/>
            </w:tcMar>
            <w:vAlign w:val="center"/>
          </w:tcPr>
          <w:p w14:paraId="57EC682A">
            <w:pPr>
              <w:keepNext w:val="0"/>
              <w:keepLines w:val="0"/>
              <w:widowControl/>
              <w:suppressLineNumbers w:val="0"/>
              <w:spacing w:before="0" w:beforeAutospacing="0" w:after="0" w:afterAutospacing="0"/>
              <w:ind w:left="0" w:right="0"/>
              <w:jc w:val="center"/>
              <w:textAlignment w:val="center"/>
              <w:rPr>
                <w:rFonts w:hint="default"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0.4</w:t>
            </w:r>
          </w:p>
        </w:tc>
        <w:tc>
          <w:tcPr>
            <w:tcW w:w="244" w:type="pct"/>
            <w:tcBorders>
              <w:tl2br w:val="nil"/>
              <w:tr2bl w:val="nil"/>
            </w:tcBorders>
            <w:noWrap/>
            <w:tcMar>
              <w:top w:w="15" w:type="dxa"/>
              <w:left w:w="15" w:type="dxa"/>
              <w:right w:w="15" w:type="dxa"/>
            </w:tcMar>
            <w:vAlign w:val="center"/>
          </w:tcPr>
          <w:p w14:paraId="75855FC9">
            <w:pPr>
              <w:keepNext w:val="0"/>
              <w:keepLines w:val="0"/>
              <w:widowControl/>
              <w:suppressLineNumbers w:val="0"/>
              <w:spacing w:before="0" w:beforeAutospacing="0" w:after="0" w:afterAutospacing="0"/>
              <w:ind w:left="0" w:right="0"/>
              <w:jc w:val="center"/>
              <w:textAlignment w:val="center"/>
              <w:rPr>
                <w:rFonts w:hint="default"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133.33</w:t>
            </w:r>
          </w:p>
        </w:tc>
        <w:tc>
          <w:tcPr>
            <w:tcW w:w="437" w:type="pct"/>
            <w:tcBorders>
              <w:tl2br w:val="nil"/>
              <w:tr2bl w:val="nil"/>
            </w:tcBorders>
            <w:noWrap/>
            <w:tcMar>
              <w:top w:w="15" w:type="dxa"/>
              <w:left w:w="15" w:type="dxa"/>
              <w:right w:w="15" w:type="dxa"/>
            </w:tcMar>
            <w:vAlign w:val="center"/>
          </w:tcPr>
          <w:p w14:paraId="7FC1E35D">
            <w:pPr>
              <w:keepNext w:val="0"/>
              <w:keepLines w:val="0"/>
              <w:widowControl/>
              <w:suppressLineNumbers w:val="0"/>
              <w:spacing w:before="0" w:beforeAutospacing="0" w:after="0" w:afterAutospacing="0"/>
              <w:ind w:left="0" w:right="0"/>
              <w:jc w:val="center"/>
              <w:textAlignment w:val="center"/>
              <w:rPr>
                <w:rFonts w:hint="default"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布袋除尘器</w:t>
            </w:r>
          </w:p>
        </w:tc>
        <w:tc>
          <w:tcPr>
            <w:tcW w:w="228" w:type="pct"/>
            <w:tcBorders>
              <w:tl2br w:val="nil"/>
              <w:tr2bl w:val="nil"/>
            </w:tcBorders>
            <w:noWrap/>
            <w:tcMar>
              <w:top w:w="15" w:type="dxa"/>
              <w:left w:w="15" w:type="dxa"/>
              <w:right w:w="15" w:type="dxa"/>
            </w:tcMar>
            <w:vAlign w:val="center"/>
          </w:tcPr>
          <w:p w14:paraId="0CF536FA">
            <w:pPr>
              <w:keepNext w:val="0"/>
              <w:keepLines w:val="0"/>
              <w:widowControl/>
              <w:suppressLineNumbers w:val="0"/>
              <w:spacing w:before="0" w:beforeAutospacing="0" w:after="0" w:afterAutospacing="0"/>
              <w:ind w:left="0" w:right="0"/>
              <w:jc w:val="center"/>
              <w:textAlignment w:val="center"/>
              <w:rPr>
                <w:rFonts w:hint="default"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3000</w:t>
            </w:r>
          </w:p>
        </w:tc>
        <w:tc>
          <w:tcPr>
            <w:tcW w:w="170" w:type="pct"/>
            <w:tcBorders>
              <w:tl2br w:val="nil"/>
              <w:tr2bl w:val="nil"/>
            </w:tcBorders>
            <w:noWrap/>
            <w:tcMar>
              <w:top w:w="15" w:type="dxa"/>
              <w:left w:w="15" w:type="dxa"/>
              <w:right w:w="15" w:type="dxa"/>
            </w:tcMar>
            <w:vAlign w:val="center"/>
          </w:tcPr>
          <w:p w14:paraId="68B0FFEA">
            <w:pPr>
              <w:keepNext w:val="0"/>
              <w:keepLines w:val="0"/>
              <w:widowControl/>
              <w:suppressLineNumbers w:val="0"/>
              <w:spacing w:before="0" w:beforeAutospacing="0" w:after="0" w:afterAutospacing="0"/>
              <w:ind w:left="0" w:right="0"/>
              <w:jc w:val="center"/>
              <w:textAlignment w:val="center"/>
              <w:rPr>
                <w:rFonts w:hint="default"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90</w:t>
            </w:r>
          </w:p>
        </w:tc>
        <w:tc>
          <w:tcPr>
            <w:tcW w:w="180" w:type="pct"/>
            <w:tcBorders>
              <w:tl2br w:val="nil"/>
              <w:tr2bl w:val="nil"/>
            </w:tcBorders>
            <w:noWrap/>
            <w:tcMar>
              <w:top w:w="15" w:type="dxa"/>
              <w:left w:w="15" w:type="dxa"/>
              <w:right w:w="15" w:type="dxa"/>
            </w:tcMar>
            <w:vAlign w:val="center"/>
          </w:tcPr>
          <w:p w14:paraId="5C61E3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18"/>
                <w:szCs w:val="18"/>
                <w:highlight w:val="none"/>
                <w:u w:val="none"/>
                <w:lang w:val="en-US" w:eastAsia="zh-CN" w:bidi="ar-SA"/>
              </w:rPr>
            </w:pPr>
            <w:r>
              <w:rPr>
                <w:rFonts w:hint="eastAsia" w:cs="Times New Roman"/>
                <w:i w:val="0"/>
                <w:color w:val="auto"/>
                <w:kern w:val="2"/>
                <w:sz w:val="18"/>
                <w:szCs w:val="18"/>
                <w:highlight w:val="none"/>
                <w:u w:val="none"/>
                <w:lang w:val="en-US" w:eastAsia="zh-CN" w:bidi="ar-SA"/>
              </w:rPr>
              <w:t>90.6</w:t>
            </w:r>
          </w:p>
        </w:tc>
        <w:tc>
          <w:tcPr>
            <w:tcW w:w="180" w:type="pct"/>
            <w:tcBorders>
              <w:tl2br w:val="nil"/>
              <w:tr2bl w:val="nil"/>
            </w:tcBorders>
            <w:noWrap/>
            <w:tcMar>
              <w:top w:w="15" w:type="dxa"/>
              <w:left w:w="15" w:type="dxa"/>
              <w:right w:w="15" w:type="dxa"/>
            </w:tcMar>
            <w:vAlign w:val="center"/>
          </w:tcPr>
          <w:p w14:paraId="22DEC3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是</w:t>
            </w:r>
          </w:p>
        </w:tc>
        <w:tc>
          <w:tcPr>
            <w:tcW w:w="256" w:type="pct"/>
            <w:tcBorders>
              <w:tl2br w:val="nil"/>
              <w:tr2bl w:val="nil"/>
            </w:tcBorders>
            <w:noWrap/>
            <w:tcMar>
              <w:top w:w="15" w:type="dxa"/>
              <w:left w:w="15" w:type="dxa"/>
              <w:right w:w="15" w:type="dxa"/>
            </w:tcMar>
            <w:vAlign w:val="center"/>
          </w:tcPr>
          <w:p w14:paraId="4B2999D7">
            <w:pPr>
              <w:keepNext w:val="0"/>
              <w:keepLines w:val="0"/>
              <w:widowControl/>
              <w:suppressLineNumbers w:val="0"/>
              <w:spacing w:before="0" w:beforeAutospacing="0" w:after="0" w:afterAutospacing="0"/>
              <w:ind w:left="0" w:right="0"/>
              <w:jc w:val="center"/>
              <w:textAlignment w:val="center"/>
              <w:rPr>
                <w:rFonts w:hint="default"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0.27</w:t>
            </w:r>
          </w:p>
        </w:tc>
        <w:tc>
          <w:tcPr>
            <w:tcW w:w="232" w:type="pct"/>
            <w:tcBorders>
              <w:tl2br w:val="nil"/>
              <w:tr2bl w:val="nil"/>
            </w:tcBorders>
            <w:noWrap/>
            <w:tcMar>
              <w:top w:w="15" w:type="dxa"/>
              <w:left w:w="15" w:type="dxa"/>
              <w:right w:w="15" w:type="dxa"/>
            </w:tcMar>
            <w:vAlign w:val="center"/>
          </w:tcPr>
          <w:p w14:paraId="53D686CA">
            <w:pPr>
              <w:keepNext w:val="0"/>
              <w:keepLines w:val="0"/>
              <w:widowControl/>
              <w:suppressLineNumbers w:val="0"/>
              <w:spacing w:before="0" w:beforeAutospacing="0" w:after="0" w:afterAutospacing="0"/>
              <w:ind w:left="0" w:right="0"/>
              <w:jc w:val="center"/>
              <w:textAlignment w:val="center"/>
              <w:rPr>
                <w:rFonts w:hint="default"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0.04</w:t>
            </w:r>
          </w:p>
        </w:tc>
        <w:tc>
          <w:tcPr>
            <w:tcW w:w="228" w:type="pct"/>
            <w:tcBorders>
              <w:tl2br w:val="nil"/>
              <w:tr2bl w:val="nil"/>
            </w:tcBorders>
            <w:noWrap/>
            <w:tcMar>
              <w:top w:w="15" w:type="dxa"/>
              <w:left w:w="15" w:type="dxa"/>
              <w:right w:w="15" w:type="dxa"/>
            </w:tcMar>
            <w:vAlign w:val="center"/>
          </w:tcPr>
          <w:p w14:paraId="786A2E29">
            <w:pPr>
              <w:keepNext w:val="0"/>
              <w:keepLines w:val="0"/>
              <w:widowControl/>
              <w:suppressLineNumbers w:val="0"/>
              <w:spacing w:before="0" w:beforeAutospacing="0" w:after="0" w:afterAutospacing="0"/>
              <w:ind w:left="0" w:right="0"/>
              <w:jc w:val="center"/>
              <w:textAlignment w:val="center"/>
              <w:rPr>
                <w:rFonts w:hint="default"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12.8</w:t>
            </w:r>
          </w:p>
        </w:tc>
        <w:tc>
          <w:tcPr>
            <w:tcW w:w="196" w:type="pct"/>
            <w:tcBorders>
              <w:tl2br w:val="nil"/>
              <w:tr2bl w:val="nil"/>
            </w:tcBorders>
            <w:noWrap/>
            <w:tcMar>
              <w:top w:w="15" w:type="dxa"/>
              <w:left w:w="15" w:type="dxa"/>
              <w:right w:w="15" w:type="dxa"/>
            </w:tcMar>
            <w:vAlign w:val="center"/>
          </w:tcPr>
          <w:p w14:paraId="6F744EAF">
            <w:pPr>
              <w:keepNext w:val="0"/>
              <w:keepLines w:val="0"/>
              <w:widowControl/>
              <w:suppressLineNumbers w:val="0"/>
              <w:spacing w:before="0" w:beforeAutospacing="0" w:after="0" w:afterAutospacing="0"/>
              <w:ind w:left="0" w:right="0"/>
              <w:jc w:val="center"/>
              <w:textAlignment w:val="center"/>
              <w:rPr>
                <w:rFonts w:hint="default"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15</w:t>
            </w:r>
          </w:p>
        </w:tc>
        <w:tc>
          <w:tcPr>
            <w:tcW w:w="196" w:type="pct"/>
            <w:tcBorders>
              <w:tl2br w:val="nil"/>
              <w:tr2bl w:val="nil"/>
            </w:tcBorders>
            <w:noWrap/>
            <w:tcMar>
              <w:top w:w="15" w:type="dxa"/>
              <w:left w:w="15" w:type="dxa"/>
              <w:right w:w="15" w:type="dxa"/>
            </w:tcMar>
            <w:vAlign w:val="center"/>
          </w:tcPr>
          <w:p w14:paraId="024BA7C9">
            <w:pPr>
              <w:keepNext w:val="0"/>
              <w:keepLines w:val="0"/>
              <w:widowControl/>
              <w:suppressLineNumbers w:val="0"/>
              <w:spacing w:before="0" w:beforeAutospacing="0" w:after="0" w:afterAutospacing="0"/>
              <w:ind w:left="0" w:right="0"/>
              <w:jc w:val="center"/>
              <w:textAlignment w:val="center"/>
              <w:rPr>
                <w:rFonts w:hint="default"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0.5</w:t>
            </w:r>
          </w:p>
        </w:tc>
        <w:tc>
          <w:tcPr>
            <w:tcW w:w="191" w:type="pct"/>
            <w:tcBorders>
              <w:tl2br w:val="nil"/>
              <w:tr2bl w:val="nil"/>
            </w:tcBorders>
            <w:noWrap/>
            <w:tcMar>
              <w:top w:w="15" w:type="dxa"/>
              <w:left w:w="15" w:type="dxa"/>
              <w:right w:w="15" w:type="dxa"/>
            </w:tcMar>
            <w:vAlign w:val="center"/>
          </w:tcPr>
          <w:p w14:paraId="29E39B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25</w:t>
            </w:r>
          </w:p>
        </w:tc>
        <w:tc>
          <w:tcPr>
            <w:tcW w:w="255" w:type="pct"/>
            <w:tcBorders>
              <w:tl2br w:val="nil"/>
              <w:tr2bl w:val="nil"/>
            </w:tcBorders>
            <w:noWrap/>
            <w:tcMar>
              <w:top w:w="15" w:type="dxa"/>
              <w:left w:w="15" w:type="dxa"/>
              <w:right w:w="15" w:type="dxa"/>
            </w:tcMar>
            <w:vAlign w:val="center"/>
          </w:tcPr>
          <w:p w14:paraId="5FC97F46">
            <w:pPr>
              <w:keepNext w:val="0"/>
              <w:keepLines w:val="0"/>
              <w:widowControl/>
              <w:suppressLineNumbers w:val="0"/>
              <w:spacing w:before="0" w:beforeAutospacing="0" w:after="0" w:afterAutospacing="0"/>
              <w:ind w:left="0" w:right="0"/>
              <w:jc w:val="center"/>
              <w:textAlignment w:val="center"/>
              <w:rPr>
                <w:rFonts w:hint="default"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DA001</w:t>
            </w:r>
          </w:p>
        </w:tc>
        <w:tc>
          <w:tcPr>
            <w:tcW w:w="106" w:type="pct"/>
            <w:tcBorders>
              <w:tl2br w:val="nil"/>
              <w:tr2bl w:val="nil"/>
            </w:tcBorders>
            <w:noWrap/>
            <w:tcMar>
              <w:top w:w="15" w:type="dxa"/>
              <w:left w:w="15" w:type="dxa"/>
              <w:right w:w="15" w:type="dxa"/>
            </w:tcMar>
            <w:vAlign w:val="center"/>
          </w:tcPr>
          <w:p w14:paraId="59C0C17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i w:val="0"/>
                <w:iCs w:val="0"/>
                <w:color w:val="auto"/>
                <w:kern w:val="0"/>
                <w:sz w:val="18"/>
                <w:szCs w:val="18"/>
                <w:u w:val="none"/>
                <w:lang w:val="en-US" w:eastAsia="zh-CN" w:bidi="ar"/>
              </w:rPr>
            </w:pPr>
            <w:r>
              <w:rPr>
                <w:rFonts w:hint="eastAsia" w:ascii="Times New Roman" w:hAnsi="Times New Roman" w:eastAsia="宋体" w:cs="宋体"/>
                <w:i w:val="0"/>
                <w:iCs w:val="0"/>
                <w:color w:val="auto"/>
                <w:kern w:val="0"/>
                <w:sz w:val="18"/>
                <w:szCs w:val="18"/>
                <w:u w:val="none"/>
                <w:lang w:val="en-US" w:eastAsia="zh-CN" w:bidi="ar"/>
              </w:rPr>
              <w:t>/</w:t>
            </w:r>
          </w:p>
        </w:tc>
        <w:tc>
          <w:tcPr>
            <w:tcW w:w="461" w:type="pct"/>
            <w:tcBorders>
              <w:tl2br w:val="nil"/>
              <w:tr2bl w:val="nil"/>
            </w:tcBorders>
            <w:noWrap w:val="0"/>
            <w:tcMar>
              <w:top w:w="15" w:type="dxa"/>
              <w:left w:w="15" w:type="dxa"/>
              <w:right w:w="15" w:type="dxa"/>
            </w:tcMar>
            <w:vAlign w:val="center"/>
          </w:tcPr>
          <w:p w14:paraId="07A5D1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eastAsia="宋体" w:cs="Times New Roman"/>
                <w:i w:val="0"/>
                <w:color w:val="auto"/>
                <w:kern w:val="0"/>
                <w:sz w:val="18"/>
                <w:szCs w:val="18"/>
                <w:highlight w:val="none"/>
                <w:u w:val="none"/>
                <w:lang w:val="en-US" w:eastAsia="zh-CN" w:bidi="ar"/>
              </w:rPr>
              <w:t>E</w:t>
            </w:r>
            <w:r>
              <w:rPr>
                <w:rFonts w:hint="eastAsia" w:cs="Times New Roman"/>
                <w:i w:val="0"/>
                <w:color w:val="auto"/>
                <w:kern w:val="0"/>
                <w:sz w:val="18"/>
                <w:szCs w:val="18"/>
                <w:highlight w:val="none"/>
                <w:u w:val="none"/>
                <w:lang w:val="en-US" w:eastAsia="zh-CN" w:bidi="ar"/>
              </w:rPr>
              <w:t>:117.220115</w:t>
            </w:r>
          </w:p>
          <w:p w14:paraId="299D39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eastAsia="宋体" w:cs="Times New Roman"/>
                <w:i w:val="0"/>
                <w:color w:val="auto"/>
                <w:kern w:val="0"/>
                <w:sz w:val="18"/>
                <w:szCs w:val="18"/>
                <w:highlight w:val="none"/>
                <w:u w:val="none"/>
                <w:lang w:val="en-US" w:eastAsia="zh-CN" w:bidi="ar"/>
              </w:rPr>
              <w:t>N</w:t>
            </w:r>
            <w:r>
              <w:rPr>
                <w:rFonts w:hint="eastAsia" w:cs="Times New Roman"/>
                <w:i w:val="0"/>
                <w:color w:val="auto"/>
                <w:kern w:val="0"/>
                <w:sz w:val="18"/>
                <w:szCs w:val="18"/>
                <w:highlight w:val="none"/>
                <w:u w:val="none"/>
                <w:lang w:val="en-US" w:eastAsia="zh-CN" w:bidi="ar"/>
              </w:rPr>
              <w:t>:</w:t>
            </w:r>
            <w:r>
              <w:rPr>
                <w:rFonts w:hint="eastAsia" w:ascii="Times New Roman" w:hAnsi="Times New Roman" w:eastAsia="宋体" w:cs="Times New Roman"/>
                <w:i w:val="0"/>
                <w:color w:val="auto"/>
                <w:kern w:val="0"/>
                <w:sz w:val="18"/>
                <w:szCs w:val="18"/>
                <w:highlight w:val="none"/>
                <w:u w:val="none"/>
                <w:lang w:val="en-US" w:eastAsia="zh-CN" w:bidi="ar"/>
              </w:rPr>
              <w:t>35.</w:t>
            </w:r>
            <w:r>
              <w:rPr>
                <w:rFonts w:hint="eastAsia" w:cs="Times New Roman"/>
                <w:i w:val="0"/>
                <w:color w:val="auto"/>
                <w:kern w:val="0"/>
                <w:sz w:val="18"/>
                <w:szCs w:val="18"/>
                <w:highlight w:val="none"/>
                <w:u w:val="none"/>
                <w:lang w:val="en-US" w:eastAsia="zh-CN" w:bidi="ar"/>
              </w:rPr>
              <w:t>670737</w:t>
            </w:r>
          </w:p>
        </w:tc>
        <w:tc>
          <w:tcPr>
            <w:tcW w:w="192" w:type="pct"/>
            <w:tcBorders>
              <w:tl2br w:val="nil"/>
              <w:tr2bl w:val="nil"/>
            </w:tcBorders>
            <w:noWrap/>
            <w:tcMar>
              <w:top w:w="15" w:type="dxa"/>
              <w:left w:w="15" w:type="dxa"/>
              <w:right w:w="15" w:type="dxa"/>
            </w:tcMar>
            <w:vAlign w:val="center"/>
          </w:tcPr>
          <w:p w14:paraId="177AD949">
            <w:pPr>
              <w:keepNext w:val="0"/>
              <w:keepLines w:val="0"/>
              <w:widowControl/>
              <w:suppressLineNumbers w:val="0"/>
              <w:spacing w:before="0" w:beforeAutospacing="0" w:after="0" w:afterAutospacing="0"/>
              <w:ind w:left="0" w:right="0"/>
              <w:jc w:val="center"/>
              <w:textAlignment w:val="center"/>
              <w:rPr>
                <w:rFonts w:hint="default"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20</w:t>
            </w:r>
          </w:p>
        </w:tc>
        <w:tc>
          <w:tcPr>
            <w:tcW w:w="210" w:type="pct"/>
            <w:tcBorders>
              <w:tl2br w:val="nil"/>
              <w:tr2bl w:val="nil"/>
            </w:tcBorders>
            <w:noWrap/>
            <w:tcMar>
              <w:top w:w="15" w:type="dxa"/>
              <w:left w:w="15" w:type="dxa"/>
              <w:right w:w="15" w:type="dxa"/>
            </w:tcMar>
            <w:vAlign w:val="center"/>
          </w:tcPr>
          <w:p w14:paraId="510DC56B">
            <w:pPr>
              <w:keepNext w:val="0"/>
              <w:keepLines w:val="0"/>
              <w:widowControl/>
              <w:suppressLineNumbers w:val="0"/>
              <w:spacing w:before="0" w:beforeAutospacing="0" w:after="0" w:afterAutospacing="0"/>
              <w:ind w:left="0" w:right="0"/>
              <w:jc w:val="center"/>
              <w:textAlignment w:val="center"/>
              <w:rPr>
                <w:rFonts w:hint="default"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1.0</w:t>
            </w:r>
          </w:p>
        </w:tc>
      </w:tr>
      <w:tr w14:paraId="1A827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4" w:type="pct"/>
            <w:tcBorders>
              <w:tl2br w:val="nil"/>
              <w:tr2bl w:val="nil"/>
            </w:tcBorders>
            <w:noWrap/>
            <w:tcMar>
              <w:top w:w="15" w:type="dxa"/>
              <w:left w:w="15" w:type="dxa"/>
              <w:right w:w="15" w:type="dxa"/>
            </w:tcMar>
            <w:vAlign w:val="center"/>
          </w:tcPr>
          <w:p w14:paraId="58B201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18"/>
                <w:szCs w:val="18"/>
                <w:highlight w:val="none"/>
                <w:u w:val="none"/>
                <w:lang w:val="en-US" w:eastAsia="zh-CN"/>
              </w:rPr>
            </w:pPr>
            <w:r>
              <w:rPr>
                <w:rFonts w:hint="eastAsia" w:cs="Times New Roman"/>
                <w:i w:val="0"/>
                <w:color w:val="auto"/>
                <w:sz w:val="18"/>
                <w:szCs w:val="18"/>
                <w:highlight w:val="none"/>
                <w:u w:val="none"/>
                <w:lang w:val="en-US" w:eastAsia="zh-CN"/>
              </w:rPr>
              <w:t>烘干、印刷、胶钉</w:t>
            </w:r>
          </w:p>
        </w:tc>
        <w:tc>
          <w:tcPr>
            <w:tcW w:w="197" w:type="pct"/>
            <w:tcBorders>
              <w:tl2br w:val="nil"/>
              <w:tr2bl w:val="nil"/>
            </w:tcBorders>
            <w:noWrap/>
            <w:tcMar>
              <w:top w:w="15" w:type="dxa"/>
              <w:left w:w="15" w:type="dxa"/>
              <w:right w:w="15" w:type="dxa"/>
            </w:tcMar>
            <w:vAlign w:val="center"/>
          </w:tcPr>
          <w:p w14:paraId="2CDEF6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VOCs</w:t>
            </w:r>
          </w:p>
        </w:tc>
        <w:tc>
          <w:tcPr>
            <w:tcW w:w="283" w:type="pct"/>
            <w:tcBorders>
              <w:tl2br w:val="nil"/>
              <w:tr2bl w:val="nil"/>
            </w:tcBorders>
            <w:noWrap/>
            <w:tcMar>
              <w:top w:w="15" w:type="dxa"/>
              <w:left w:w="15" w:type="dxa"/>
              <w:right w:w="15" w:type="dxa"/>
            </w:tcMar>
            <w:vAlign w:val="center"/>
          </w:tcPr>
          <w:p w14:paraId="4FDDDE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0.97</w:t>
            </w:r>
          </w:p>
        </w:tc>
        <w:tc>
          <w:tcPr>
            <w:tcW w:w="264" w:type="pct"/>
            <w:tcBorders>
              <w:tl2br w:val="nil"/>
              <w:tr2bl w:val="nil"/>
            </w:tcBorders>
            <w:noWrap/>
            <w:tcMar>
              <w:top w:w="15" w:type="dxa"/>
              <w:left w:w="15" w:type="dxa"/>
              <w:right w:w="15" w:type="dxa"/>
            </w:tcMar>
            <w:vAlign w:val="center"/>
          </w:tcPr>
          <w:p w14:paraId="59C2D1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0.14</w:t>
            </w:r>
          </w:p>
        </w:tc>
        <w:tc>
          <w:tcPr>
            <w:tcW w:w="244" w:type="pct"/>
            <w:tcBorders>
              <w:tl2br w:val="nil"/>
              <w:tr2bl w:val="nil"/>
            </w:tcBorders>
            <w:noWrap/>
            <w:tcMar>
              <w:top w:w="15" w:type="dxa"/>
              <w:left w:w="15" w:type="dxa"/>
              <w:right w:w="15" w:type="dxa"/>
            </w:tcMar>
            <w:vAlign w:val="center"/>
          </w:tcPr>
          <w:p w14:paraId="581968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45.07</w:t>
            </w:r>
          </w:p>
        </w:tc>
        <w:tc>
          <w:tcPr>
            <w:tcW w:w="437" w:type="pct"/>
            <w:tcBorders>
              <w:tl2br w:val="nil"/>
              <w:tr2bl w:val="nil"/>
            </w:tcBorders>
            <w:noWrap/>
            <w:tcMar>
              <w:top w:w="15" w:type="dxa"/>
              <w:left w:w="15" w:type="dxa"/>
              <w:right w:w="15" w:type="dxa"/>
            </w:tcMar>
            <w:vAlign w:val="center"/>
          </w:tcPr>
          <w:p w14:paraId="420A85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活性炭吸附</w:t>
            </w:r>
          </w:p>
        </w:tc>
        <w:tc>
          <w:tcPr>
            <w:tcW w:w="228" w:type="pct"/>
            <w:tcBorders>
              <w:tl2br w:val="nil"/>
              <w:tr2bl w:val="nil"/>
            </w:tcBorders>
            <w:noWrap/>
            <w:tcMar>
              <w:top w:w="15" w:type="dxa"/>
              <w:left w:w="15" w:type="dxa"/>
              <w:right w:w="15" w:type="dxa"/>
            </w:tcMar>
            <w:vAlign w:val="center"/>
          </w:tcPr>
          <w:p w14:paraId="156180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3000</w:t>
            </w:r>
          </w:p>
        </w:tc>
        <w:tc>
          <w:tcPr>
            <w:tcW w:w="170" w:type="pct"/>
            <w:tcBorders>
              <w:tl2br w:val="nil"/>
              <w:tr2bl w:val="nil"/>
            </w:tcBorders>
            <w:noWrap/>
            <w:tcMar>
              <w:top w:w="15" w:type="dxa"/>
              <w:left w:w="15" w:type="dxa"/>
              <w:right w:w="15" w:type="dxa"/>
            </w:tcMar>
            <w:vAlign w:val="center"/>
          </w:tcPr>
          <w:p w14:paraId="7DBA7A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18"/>
                <w:szCs w:val="18"/>
                <w:highlight w:val="none"/>
                <w:u w:val="none"/>
                <w:lang w:val="en-US" w:eastAsia="zh-CN" w:bidi="ar-SA"/>
              </w:rPr>
            </w:pPr>
            <w:r>
              <w:rPr>
                <w:rFonts w:hint="eastAsia" w:cs="宋体"/>
                <w:i w:val="0"/>
                <w:iCs w:val="0"/>
                <w:color w:val="auto"/>
                <w:kern w:val="0"/>
                <w:sz w:val="18"/>
                <w:szCs w:val="18"/>
                <w:u w:val="none"/>
                <w:lang w:val="en-US" w:eastAsia="zh-CN" w:bidi="ar"/>
              </w:rPr>
              <w:t>90</w:t>
            </w:r>
          </w:p>
        </w:tc>
        <w:tc>
          <w:tcPr>
            <w:tcW w:w="180" w:type="pct"/>
            <w:tcBorders>
              <w:tl2br w:val="nil"/>
              <w:tr2bl w:val="nil"/>
            </w:tcBorders>
            <w:noWrap/>
            <w:tcMar>
              <w:top w:w="15" w:type="dxa"/>
              <w:left w:w="15" w:type="dxa"/>
              <w:right w:w="15" w:type="dxa"/>
            </w:tcMar>
            <w:vAlign w:val="center"/>
          </w:tcPr>
          <w:p w14:paraId="0CE48D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18"/>
                <w:szCs w:val="18"/>
                <w:highlight w:val="none"/>
                <w:u w:val="none"/>
                <w:lang w:val="en-US" w:eastAsia="zh-CN" w:bidi="ar-SA"/>
              </w:rPr>
            </w:pPr>
            <w:r>
              <w:rPr>
                <w:rFonts w:hint="eastAsia" w:ascii="Times New Roman" w:hAnsi="Times New Roman" w:eastAsia="宋体" w:cs="Times New Roman"/>
                <w:i w:val="0"/>
                <w:color w:val="auto"/>
                <w:kern w:val="2"/>
                <w:sz w:val="18"/>
                <w:szCs w:val="18"/>
                <w:highlight w:val="none"/>
                <w:u w:val="none"/>
                <w:lang w:val="en-US" w:eastAsia="zh-CN" w:bidi="ar-SA"/>
              </w:rPr>
              <w:t>90</w:t>
            </w:r>
          </w:p>
        </w:tc>
        <w:tc>
          <w:tcPr>
            <w:tcW w:w="180" w:type="pct"/>
            <w:tcBorders>
              <w:tl2br w:val="nil"/>
              <w:tr2bl w:val="nil"/>
            </w:tcBorders>
            <w:noWrap/>
            <w:tcMar>
              <w:top w:w="15" w:type="dxa"/>
              <w:left w:w="15" w:type="dxa"/>
              <w:right w:w="15" w:type="dxa"/>
            </w:tcMar>
            <w:vAlign w:val="center"/>
          </w:tcPr>
          <w:p w14:paraId="3ED17C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eastAsia="宋体" w:cs="Times New Roman"/>
                <w:i w:val="0"/>
                <w:color w:val="auto"/>
                <w:kern w:val="0"/>
                <w:sz w:val="18"/>
                <w:szCs w:val="18"/>
                <w:highlight w:val="none"/>
                <w:u w:val="none"/>
                <w:lang w:val="en-US" w:eastAsia="zh-CN" w:bidi="ar"/>
              </w:rPr>
              <w:t>是</w:t>
            </w:r>
          </w:p>
        </w:tc>
        <w:tc>
          <w:tcPr>
            <w:tcW w:w="667" w:type="dxa"/>
            <w:tcBorders>
              <w:tl2br w:val="nil"/>
              <w:tr2bl w:val="nil"/>
            </w:tcBorders>
            <w:noWrap/>
            <w:tcMar>
              <w:top w:w="15" w:type="dxa"/>
              <w:left w:w="15" w:type="dxa"/>
              <w:right w:w="15" w:type="dxa"/>
            </w:tcMar>
            <w:vAlign w:val="center"/>
          </w:tcPr>
          <w:p w14:paraId="6943AD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0.1</w:t>
            </w:r>
            <w:r>
              <w:rPr>
                <w:rFonts w:hint="eastAsia" w:ascii="Times New Roman" w:hAnsi="Times New Roman" w:eastAsia="宋体" w:cs="Times New Roman"/>
                <w:i w:val="0"/>
                <w:color w:val="auto"/>
                <w:kern w:val="0"/>
                <w:sz w:val="18"/>
                <w:szCs w:val="18"/>
                <w:highlight w:val="none"/>
                <w:u w:val="none"/>
                <w:lang w:val="en-US" w:eastAsia="zh-CN" w:bidi="ar"/>
              </w:rPr>
              <w:t xml:space="preserve"> </w:t>
            </w:r>
          </w:p>
        </w:tc>
        <w:tc>
          <w:tcPr>
            <w:tcW w:w="603" w:type="dxa"/>
            <w:tcBorders>
              <w:tl2br w:val="nil"/>
              <w:tr2bl w:val="nil"/>
            </w:tcBorders>
            <w:noWrap/>
            <w:tcMar>
              <w:top w:w="15" w:type="dxa"/>
              <w:left w:w="15" w:type="dxa"/>
              <w:right w:w="15" w:type="dxa"/>
            </w:tcMar>
            <w:vAlign w:val="center"/>
          </w:tcPr>
          <w:p w14:paraId="2BE7F0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eastAsia="宋体" w:cs="Times New Roman"/>
                <w:i w:val="0"/>
                <w:color w:val="auto"/>
                <w:kern w:val="0"/>
                <w:sz w:val="18"/>
                <w:szCs w:val="18"/>
                <w:highlight w:val="none"/>
                <w:u w:val="none"/>
                <w:lang w:val="en-US" w:eastAsia="zh-CN" w:bidi="ar"/>
              </w:rPr>
              <w:t>0.0</w:t>
            </w:r>
            <w:r>
              <w:rPr>
                <w:rFonts w:hint="eastAsia" w:cs="Times New Roman"/>
                <w:i w:val="0"/>
                <w:color w:val="auto"/>
                <w:kern w:val="0"/>
                <w:sz w:val="18"/>
                <w:szCs w:val="18"/>
                <w:highlight w:val="none"/>
                <w:u w:val="none"/>
                <w:lang w:val="en-US" w:eastAsia="zh-CN" w:bidi="ar"/>
              </w:rPr>
              <w:t>1</w:t>
            </w:r>
            <w:r>
              <w:rPr>
                <w:rFonts w:hint="eastAsia" w:ascii="Times New Roman" w:hAnsi="Times New Roman" w:eastAsia="宋体" w:cs="Times New Roman"/>
                <w:i w:val="0"/>
                <w:color w:val="auto"/>
                <w:kern w:val="0"/>
                <w:sz w:val="18"/>
                <w:szCs w:val="18"/>
                <w:highlight w:val="none"/>
                <w:u w:val="none"/>
                <w:lang w:val="en-US" w:eastAsia="zh-CN" w:bidi="ar"/>
              </w:rPr>
              <w:t xml:space="preserve"> </w:t>
            </w:r>
          </w:p>
        </w:tc>
        <w:tc>
          <w:tcPr>
            <w:tcW w:w="594" w:type="dxa"/>
            <w:tcBorders>
              <w:tl2br w:val="nil"/>
              <w:tr2bl w:val="nil"/>
            </w:tcBorders>
            <w:noWrap/>
            <w:tcMar>
              <w:top w:w="15" w:type="dxa"/>
              <w:left w:w="15" w:type="dxa"/>
              <w:right w:w="15" w:type="dxa"/>
            </w:tcMar>
            <w:vAlign w:val="center"/>
          </w:tcPr>
          <w:p w14:paraId="568433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4.51</w:t>
            </w:r>
            <w:r>
              <w:rPr>
                <w:rFonts w:hint="eastAsia" w:ascii="Times New Roman" w:hAnsi="Times New Roman" w:eastAsia="宋体" w:cs="Times New Roman"/>
                <w:i w:val="0"/>
                <w:color w:val="auto"/>
                <w:kern w:val="0"/>
                <w:sz w:val="18"/>
                <w:szCs w:val="18"/>
                <w:highlight w:val="none"/>
                <w:u w:val="none"/>
                <w:lang w:val="en-US" w:eastAsia="zh-CN" w:bidi="ar"/>
              </w:rPr>
              <w:t xml:space="preserve"> </w:t>
            </w:r>
          </w:p>
        </w:tc>
        <w:tc>
          <w:tcPr>
            <w:tcW w:w="196" w:type="pct"/>
            <w:tcBorders>
              <w:tl2br w:val="nil"/>
              <w:tr2bl w:val="nil"/>
            </w:tcBorders>
            <w:noWrap/>
            <w:tcMar>
              <w:top w:w="15" w:type="dxa"/>
              <w:left w:w="15" w:type="dxa"/>
              <w:right w:w="15" w:type="dxa"/>
            </w:tcMar>
            <w:vAlign w:val="center"/>
          </w:tcPr>
          <w:p w14:paraId="3625BF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cs="宋体"/>
                <w:i w:val="0"/>
                <w:iCs w:val="0"/>
                <w:color w:val="auto"/>
                <w:kern w:val="0"/>
                <w:sz w:val="18"/>
                <w:szCs w:val="18"/>
                <w:u w:val="none"/>
                <w:lang w:val="en-US" w:eastAsia="zh-CN" w:bidi="ar"/>
              </w:rPr>
              <w:t>15</w:t>
            </w:r>
          </w:p>
        </w:tc>
        <w:tc>
          <w:tcPr>
            <w:tcW w:w="196" w:type="pct"/>
            <w:tcBorders>
              <w:tl2br w:val="nil"/>
              <w:tr2bl w:val="nil"/>
            </w:tcBorders>
            <w:noWrap/>
            <w:tcMar>
              <w:top w:w="15" w:type="dxa"/>
              <w:left w:w="15" w:type="dxa"/>
              <w:right w:w="15" w:type="dxa"/>
            </w:tcMar>
            <w:vAlign w:val="center"/>
          </w:tcPr>
          <w:p w14:paraId="2D033D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cs="宋体"/>
                <w:i w:val="0"/>
                <w:iCs w:val="0"/>
                <w:color w:val="auto"/>
                <w:kern w:val="0"/>
                <w:sz w:val="18"/>
                <w:szCs w:val="18"/>
                <w:u w:val="none"/>
                <w:lang w:val="en-US" w:eastAsia="zh-CN" w:bidi="ar"/>
              </w:rPr>
              <w:t>0.5</w:t>
            </w:r>
          </w:p>
        </w:tc>
        <w:tc>
          <w:tcPr>
            <w:tcW w:w="191" w:type="pct"/>
            <w:tcBorders>
              <w:tl2br w:val="nil"/>
              <w:tr2bl w:val="nil"/>
            </w:tcBorders>
            <w:noWrap/>
            <w:tcMar>
              <w:top w:w="15" w:type="dxa"/>
              <w:left w:w="15" w:type="dxa"/>
              <w:right w:w="15" w:type="dxa"/>
            </w:tcMar>
            <w:vAlign w:val="center"/>
          </w:tcPr>
          <w:p w14:paraId="204761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cs="宋体"/>
                <w:i w:val="0"/>
                <w:iCs w:val="0"/>
                <w:color w:val="auto"/>
                <w:kern w:val="0"/>
                <w:sz w:val="18"/>
                <w:szCs w:val="18"/>
                <w:u w:val="none"/>
                <w:lang w:val="en-US" w:eastAsia="zh-CN" w:bidi="ar"/>
              </w:rPr>
              <w:t>75</w:t>
            </w:r>
          </w:p>
        </w:tc>
        <w:tc>
          <w:tcPr>
            <w:tcW w:w="255" w:type="pct"/>
            <w:tcBorders>
              <w:tl2br w:val="nil"/>
              <w:tr2bl w:val="nil"/>
            </w:tcBorders>
            <w:noWrap/>
            <w:tcMar>
              <w:top w:w="15" w:type="dxa"/>
              <w:left w:w="15" w:type="dxa"/>
              <w:right w:w="15" w:type="dxa"/>
            </w:tcMar>
            <w:vAlign w:val="center"/>
          </w:tcPr>
          <w:p w14:paraId="1EEFAE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18"/>
                <w:szCs w:val="18"/>
                <w:highlight w:val="none"/>
                <w:u w:val="none"/>
                <w:lang w:val="en-US" w:eastAsia="zh-CN" w:bidi="ar-SA"/>
              </w:rPr>
            </w:pPr>
            <w:r>
              <w:rPr>
                <w:rFonts w:hint="eastAsia" w:cs="宋体"/>
                <w:i w:val="0"/>
                <w:iCs w:val="0"/>
                <w:color w:val="auto"/>
                <w:kern w:val="0"/>
                <w:sz w:val="18"/>
                <w:szCs w:val="18"/>
                <w:u w:val="none"/>
                <w:lang w:val="en-US" w:eastAsia="zh-CN" w:bidi="ar"/>
              </w:rPr>
              <w:t>DA002</w:t>
            </w:r>
          </w:p>
        </w:tc>
        <w:tc>
          <w:tcPr>
            <w:tcW w:w="106" w:type="pct"/>
            <w:tcBorders>
              <w:tl2br w:val="nil"/>
              <w:tr2bl w:val="nil"/>
            </w:tcBorders>
            <w:noWrap/>
            <w:tcMar>
              <w:top w:w="15" w:type="dxa"/>
              <w:left w:w="15" w:type="dxa"/>
              <w:right w:w="15" w:type="dxa"/>
            </w:tcMar>
            <w:vAlign w:val="center"/>
          </w:tcPr>
          <w:p w14:paraId="7F24C8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18"/>
                <w:szCs w:val="18"/>
                <w:highlight w:val="none"/>
                <w:u w:val="none"/>
                <w:lang w:val="en-US" w:eastAsia="zh-CN" w:bidi="ar-SA"/>
              </w:rPr>
            </w:pPr>
            <w:r>
              <w:rPr>
                <w:rFonts w:hint="eastAsia" w:ascii="Times New Roman" w:hAnsi="Times New Roman" w:eastAsia="宋体" w:cs="宋体"/>
                <w:i w:val="0"/>
                <w:iCs w:val="0"/>
                <w:color w:val="auto"/>
                <w:kern w:val="0"/>
                <w:sz w:val="18"/>
                <w:szCs w:val="18"/>
                <w:u w:val="none"/>
                <w:lang w:val="en-US" w:eastAsia="zh-CN" w:bidi="ar"/>
              </w:rPr>
              <w:t>/</w:t>
            </w:r>
          </w:p>
        </w:tc>
        <w:tc>
          <w:tcPr>
            <w:tcW w:w="461" w:type="pct"/>
            <w:tcBorders>
              <w:tl2br w:val="nil"/>
              <w:tr2bl w:val="nil"/>
            </w:tcBorders>
            <w:noWrap w:val="0"/>
            <w:tcMar>
              <w:top w:w="15" w:type="dxa"/>
              <w:left w:w="15" w:type="dxa"/>
              <w:right w:w="15" w:type="dxa"/>
            </w:tcMar>
            <w:vAlign w:val="center"/>
          </w:tcPr>
          <w:p w14:paraId="011918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eastAsia="宋体" w:cs="Times New Roman"/>
                <w:i w:val="0"/>
                <w:color w:val="auto"/>
                <w:kern w:val="0"/>
                <w:sz w:val="18"/>
                <w:szCs w:val="18"/>
                <w:highlight w:val="none"/>
                <w:u w:val="none"/>
                <w:lang w:val="en-US" w:eastAsia="zh-CN" w:bidi="ar"/>
              </w:rPr>
              <w:t>E</w:t>
            </w:r>
            <w:r>
              <w:rPr>
                <w:rFonts w:hint="eastAsia" w:cs="Times New Roman"/>
                <w:i w:val="0"/>
                <w:color w:val="auto"/>
                <w:kern w:val="0"/>
                <w:sz w:val="18"/>
                <w:szCs w:val="18"/>
                <w:highlight w:val="none"/>
                <w:u w:val="none"/>
                <w:lang w:val="en-US" w:eastAsia="zh-CN" w:bidi="ar"/>
              </w:rPr>
              <w:t>:117.220115</w:t>
            </w:r>
          </w:p>
          <w:p w14:paraId="67F233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18"/>
                <w:szCs w:val="18"/>
                <w:highlight w:val="none"/>
                <w:u w:val="none"/>
                <w:lang w:val="en-US" w:eastAsia="zh-CN" w:bidi="ar-SA"/>
              </w:rPr>
            </w:pPr>
            <w:r>
              <w:rPr>
                <w:rFonts w:hint="eastAsia" w:ascii="Times New Roman" w:hAnsi="Times New Roman" w:eastAsia="宋体" w:cs="Times New Roman"/>
                <w:i w:val="0"/>
                <w:color w:val="auto"/>
                <w:kern w:val="0"/>
                <w:sz w:val="18"/>
                <w:szCs w:val="18"/>
                <w:highlight w:val="none"/>
                <w:u w:val="none"/>
                <w:lang w:val="en-US" w:eastAsia="zh-CN" w:bidi="ar"/>
              </w:rPr>
              <w:t>N</w:t>
            </w:r>
            <w:r>
              <w:rPr>
                <w:rFonts w:hint="eastAsia" w:cs="Times New Roman"/>
                <w:i w:val="0"/>
                <w:color w:val="auto"/>
                <w:kern w:val="0"/>
                <w:sz w:val="18"/>
                <w:szCs w:val="18"/>
                <w:highlight w:val="none"/>
                <w:u w:val="none"/>
                <w:lang w:val="en-US" w:eastAsia="zh-CN" w:bidi="ar"/>
              </w:rPr>
              <w:t>:</w:t>
            </w:r>
            <w:r>
              <w:rPr>
                <w:rFonts w:hint="eastAsia" w:ascii="Times New Roman" w:hAnsi="Times New Roman" w:eastAsia="宋体" w:cs="Times New Roman"/>
                <w:i w:val="0"/>
                <w:color w:val="auto"/>
                <w:kern w:val="0"/>
                <w:sz w:val="18"/>
                <w:szCs w:val="18"/>
                <w:highlight w:val="none"/>
                <w:u w:val="none"/>
                <w:lang w:val="en-US" w:eastAsia="zh-CN" w:bidi="ar"/>
              </w:rPr>
              <w:t>35.</w:t>
            </w:r>
            <w:r>
              <w:rPr>
                <w:rFonts w:hint="eastAsia" w:cs="Times New Roman"/>
                <w:i w:val="0"/>
                <w:color w:val="auto"/>
                <w:kern w:val="0"/>
                <w:sz w:val="18"/>
                <w:szCs w:val="18"/>
                <w:highlight w:val="none"/>
                <w:u w:val="none"/>
                <w:lang w:val="en-US" w:eastAsia="zh-CN" w:bidi="ar"/>
              </w:rPr>
              <w:t>670007</w:t>
            </w:r>
          </w:p>
        </w:tc>
        <w:tc>
          <w:tcPr>
            <w:tcW w:w="192" w:type="pct"/>
            <w:tcBorders>
              <w:tl2br w:val="nil"/>
              <w:tr2bl w:val="nil"/>
            </w:tcBorders>
            <w:noWrap/>
            <w:tcMar>
              <w:top w:w="15" w:type="dxa"/>
              <w:left w:w="15" w:type="dxa"/>
              <w:right w:w="15" w:type="dxa"/>
            </w:tcMar>
            <w:vAlign w:val="center"/>
          </w:tcPr>
          <w:p w14:paraId="3D1279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18"/>
                <w:szCs w:val="18"/>
                <w:highlight w:val="none"/>
                <w:u w:val="none"/>
                <w:lang w:val="en-US" w:eastAsia="zh-CN" w:bidi="ar-SA"/>
              </w:rPr>
            </w:pPr>
            <w:r>
              <w:rPr>
                <w:rFonts w:hint="eastAsia" w:cs="宋体"/>
                <w:i w:val="0"/>
                <w:iCs w:val="0"/>
                <w:color w:val="auto"/>
                <w:kern w:val="0"/>
                <w:sz w:val="18"/>
                <w:szCs w:val="18"/>
                <w:u w:val="none"/>
                <w:lang w:val="en-US" w:eastAsia="zh-CN" w:bidi="ar"/>
              </w:rPr>
              <w:t>50</w:t>
            </w:r>
          </w:p>
        </w:tc>
        <w:tc>
          <w:tcPr>
            <w:tcW w:w="210" w:type="pct"/>
            <w:tcBorders>
              <w:tl2br w:val="nil"/>
              <w:tr2bl w:val="nil"/>
            </w:tcBorders>
            <w:noWrap/>
            <w:tcMar>
              <w:top w:w="15" w:type="dxa"/>
              <w:left w:w="15" w:type="dxa"/>
              <w:right w:w="15" w:type="dxa"/>
            </w:tcMar>
            <w:vAlign w:val="center"/>
          </w:tcPr>
          <w:p w14:paraId="16A294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18"/>
                <w:szCs w:val="18"/>
                <w:highlight w:val="none"/>
                <w:u w:val="none"/>
                <w:lang w:val="en-US" w:eastAsia="zh-CN" w:bidi="ar-SA"/>
              </w:rPr>
            </w:pPr>
            <w:r>
              <w:rPr>
                <w:rFonts w:hint="eastAsia" w:cs="宋体"/>
                <w:i w:val="0"/>
                <w:iCs w:val="0"/>
                <w:color w:val="auto"/>
                <w:kern w:val="0"/>
                <w:sz w:val="18"/>
                <w:szCs w:val="18"/>
                <w:u w:val="none"/>
                <w:lang w:val="en-US" w:eastAsia="zh-CN" w:bidi="ar"/>
              </w:rPr>
              <w:t>2.0</w:t>
            </w:r>
          </w:p>
        </w:tc>
      </w:tr>
    </w:tbl>
    <w:p w14:paraId="07D45728">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color w:val="auto"/>
          <w:sz w:val="24"/>
          <w:szCs w:val="24"/>
          <w:highlight w:val="none"/>
          <w:lang w:val="en-US" w:eastAsia="zh-CN"/>
        </w:rPr>
        <w:t>表</w:t>
      </w:r>
      <w:r>
        <w:rPr>
          <w:rFonts w:hint="eastAsia" w:ascii="Times New Roman" w:hAnsi="Times New Roman" w:eastAsia="宋体" w:cs="Times New Roman"/>
          <w:b/>
          <w:color w:val="auto"/>
          <w:sz w:val="24"/>
          <w:szCs w:val="24"/>
          <w:highlight w:val="none"/>
          <w:lang w:val="en-US" w:eastAsia="zh-CN"/>
        </w:rPr>
        <w:t>4-</w:t>
      </w:r>
      <w:r>
        <w:rPr>
          <w:rFonts w:hint="eastAsia" w:cs="Times New Roman"/>
          <w:b/>
          <w:color w:val="auto"/>
          <w:sz w:val="24"/>
          <w:szCs w:val="24"/>
          <w:highlight w:val="none"/>
          <w:lang w:val="en-US" w:eastAsia="zh-CN"/>
        </w:rPr>
        <w:t>2</w:t>
      </w:r>
      <w:r>
        <w:rPr>
          <w:rFonts w:hint="eastAsia" w:ascii="Times New Roman" w:hAnsi="Times New Roman" w:eastAsia="宋体" w:cs="Times New Roman"/>
          <w:b/>
          <w:color w:val="auto"/>
          <w:sz w:val="24"/>
          <w:szCs w:val="24"/>
          <w:highlight w:val="none"/>
          <w:lang w:val="en-US" w:eastAsia="zh-CN"/>
        </w:rPr>
        <w:t xml:space="preserve">  无</w:t>
      </w:r>
      <w:r>
        <w:rPr>
          <w:rFonts w:hint="default" w:ascii="Times New Roman" w:hAnsi="Times New Roman" w:eastAsia="宋体" w:cs="Times New Roman"/>
          <w:b/>
          <w:color w:val="auto"/>
          <w:sz w:val="24"/>
          <w:szCs w:val="24"/>
          <w:highlight w:val="none"/>
          <w:lang w:val="en-US" w:eastAsia="zh-CN"/>
        </w:rPr>
        <w:t>组织废气排放情况</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62"/>
        <w:gridCol w:w="785"/>
        <w:gridCol w:w="1855"/>
        <w:gridCol w:w="1247"/>
        <w:gridCol w:w="1205"/>
        <w:gridCol w:w="1205"/>
        <w:gridCol w:w="1263"/>
        <w:gridCol w:w="1291"/>
        <w:gridCol w:w="976"/>
        <w:gridCol w:w="2448"/>
      </w:tblGrid>
      <w:tr w14:paraId="338C2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2" w:type="pct"/>
            <w:vMerge w:val="restart"/>
            <w:tcBorders>
              <w:tl2br w:val="nil"/>
              <w:tr2bl w:val="nil"/>
            </w:tcBorders>
            <w:noWrap w:val="0"/>
            <w:tcMar>
              <w:top w:w="15" w:type="dxa"/>
              <w:left w:w="15" w:type="dxa"/>
              <w:right w:w="15" w:type="dxa"/>
            </w:tcMar>
            <w:vAlign w:val="center"/>
          </w:tcPr>
          <w:p w14:paraId="155146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面源编号</w:t>
            </w:r>
          </w:p>
        </w:tc>
        <w:tc>
          <w:tcPr>
            <w:tcW w:w="301" w:type="pct"/>
            <w:vMerge w:val="restart"/>
            <w:tcBorders>
              <w:tl2br w:val="nil"/>
              <w:tr2bl w:val="nil"/>
            </w:tcBorders>
            <w:noWrap w:val="0"/>
            <w:tcMar>
              <w:top w:w="15" w:type="dxa"/>
              <w:left w:w="15" w:type="dxa"/>
              <w:right w:w="15" w:type="dxa"/>
            </w:tcMar>
            <w:vAlign w:val="center"/>
          </w:tcPr>
          <w:p w14:paraId="59E934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名称</w:t>
            </w:r>
          </w:p>
        </w:tc>
        <w:tc>
          <w:tcPr>
            <w:tcW w:w="711" w:type="pct"/>
            <w:vMerge w:val="restart"/>
            <w:tcBorders>
              <w:tl2br w:val="nil"/>
              <w:tr2bl w:val="nil"/>
            </w:tcBorders>
            <w:noWrap w:val="0"/>
            <w:tcMar>
              <w:top w:w="15" w:type="dxa"/>
              <w:left w:w="15" w:type="dxa"/>
              <w:right w:w="15" w:type="dxa"/>
            </w:tcMar>
            <w:vAlign w:val="center"/>
          </w:tcPr>
          <w:p w14:paraId="13B549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产污环节</w:t>
            </w:r>
          </w:p>
        </w:tc>
        <w:tc>
          <w:tcPr>
            <w:tcW w:w="478" w:type="pct"/>
            <w:vMerge w:val="restart"/>
            <w:tcBorders>
              <w:tl2br w:val="nil"/>
              <w:tr2bl w:val="nil"/>
            </w:tcBorders>
            <w:noWrap w:val="0"/>
            <w:tcMar>
              <w:top w:w="15" w:type="dxa"/>
              <w:left w:w="15" w:type="dxa"/>
              <w:right w:w="15" w:type="dxa"/>
            </w:tcMar>
            <w:vAlign w:val="center"/>
          </w:tcPr>
          <w:p w14:paraId="208F04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污染物</w:t>
            </w:r>
          </w:p>
        </w:tc>
        <w:tc>
          <w:tcPr>
            <w:tcW w:w="1408" w:type="pct"/>
            <w:gridSpan w:val="3"/>
            <w:tcBorders>
              <w:tl2br w:val="nil"/>
              <w:tr2bl w:val="nil"/>
            </w:tcBorders>
            <w:noWrap w:val="0"/>
            <w:tcMar>
              <w:top w:w="15" w:type="dxa"/>
              <w:left w:w="15" w:type="dxa"/>
              <w:right w:w="15" w:type="dxa"/>
            </w:tcMar>
            <w:vAlign w:val="center"/>
          </w:tcPr>
          <w:p w14:paraId="28D072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面源情况</w:t>
            </w:r>
          </w:p>
        </w:tc>
        <w:tc>
          <w:tcPr>
            <w:tcW w:w="495" w:type="pct"/>
            <w:vMerge w:val="restart"/>
            <w:tcBorders>
              <w:tl2br w:val="nil"/>
              <w:tr2bl w:val="nil"/>
            </w:tcBorders>
            <w:noWrap w:val="0"/>
            <w:tcMar>
              <w:top w:w="15" w:type="dxa"/>
              <w:left w:w="15" w:type="dxa"/>
              <w:right w:w="15" w:type="dxa"/>
            </w:tcMar>
            <w:vAlign w:val="center"/>
          </w:tcPr>
          <w:p w14:paraId="07C597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lang w:val="en-US"/>
              </w:rPr>
            </w:pPr>
            <w:r>
              <w:rPr>
                <w:rFonts w:hint="default" w:ascii="Times New Roman" w:hAnsi="Times New Roman" w:eastAsia="宋体" w:cs="Times New Roman"/>
                <w:b/>
                <w:bCs/>
                <w:i w:val="0"/>
                <w:color w:val="auto"/>
                <w:kern w:val="0"/>
                <w:sz w:val="18"/>
                <w:szCs w:val="18"/>
                <w:highlight w:val="none"/>
                <w:u w:val="none"/>
                <w:lang w:val="en-US" w:eastAsia="zh-CN" w:bidi="ar"/>
              </w:rPr>
              <w:t>年排放小时</w:t>
            </w:r>
            <w:r>
              <w:rPr>
                <w:rFonts w:hint="eastAsia" w:cs="Times New Roman"/>
                <w:b/>
                <w:bCs/>
                <w:i w:val="0"/>
                <w:color w:val="auto"/>
                <w:kern w:val="0"/>
                <w:sz w:val="18"/>
                <w:szCs w:val="18"/>
                <w:highlight w:val="none"/>
                <w:u w:val="none"/>
                <w:lang w:val="en-US" w:eastAsia="zh-CN" w:bidi="ar"/>
              </w:rPr>
              <w:t>（</w:t>
            </w:r>
            <w:r>
              <w:rPr>
                <w:rFonts w:hint="eastAsia" w:ascii="Times New Roman" w:hAnsi="Times New Roman" w:cs="Times New Roman"/>
                <w:b/>
                <w:bCs/>
                <w:i w:val="0"/>
                <w:color w:val="auto"/>
                <w:kern w:val="0"/>
                <w:sz w:val="18"/>
                <w:szCs w:val="18"/>
                <w:highlight w:val="none"/>
                <w:u w:val="none"/>
                <w:lang w:val="en-US" w:eastAsia="zh-CN" w:bidi="ar"/>
              </w:rPr>
              <w:t>h</w:t>
            </w:r>
            <w:r>
              <w:rPr>
                <w:rFonts w:hint="eastAsia" w:cs="Times New Roman"/>
                <w:b/>
                <w:bCs/>
                <w:i w:val="0"/>
                <w:color w:val="auto"/>
                <w:kern w:val="0"/>
                <w:sz w:val="18"/>
                <w:szCs w:val="18"/>
                <w:highlight w:val="none"/>
                <w:u w:val="none"/>
                <w:lang w:val="en-US" w:eastAsia="zh-CN" w:bidi="ar"/>
              </w:rPr>
              <w:t>）</w:t>
            </w:r>
          </w:p>
        </w:tc>
        <w:tc>
          <w:tcPr>
            <w:tcW w:w="374" w:type="pct"/>
            <w:vMerge w:val="restart"/>
            <w:tcBorders>
              <w:tl2br w:val="nil"/>
              <w:tr2bl w:val="nil"/>
            </w:tcBorders>
            <w:noWrap w:val="0"/>
            <w:tcMar>
              <w:top w:w="15" w:type="dxa"/>
              <w:left w:w="15" w:type="dxa"/>
              <w:right w:w="15" w:type="dxa"/>
            </w:tcMar>
            <w:vAlign w:val="center"/>
          </w:tcPr>
          <w:p w14:paraId="5E2190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排放量</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cs="Times New Roman"/>
                <w:b/>
                <w:color w:val="auto"/>
                <w:sz w:val="18"/>
                <w:szCs w:val="18"/>
                <w:highlight w:val="none"/>
              </w:rPr>
              <w:t>t/a</w:t>
            </w:r>
            <w:r>
              <w:rPr>
                <w:rFonts w:hint="eastAsia" w:cs="Times New Roman"/>
                <w:b/>
                <w:color w:val="auto"/>
                <w:sz w:val="18"/>
                <w:szCs w:val="18"/>
                <w:highlight w:val="none"/>
                <w:lang w:eastAsia="zh-CN"/>
              </w:rPr>
              <w:t>）</w:t>
            </w:r>
          </w:p>
        </w:tc>
        <w:tc>
          <w:tcPr>
            <w:tcW w:w="938" w:type="pct"/>
            <w:vMerge w:val="restart"/>
            <w:tcBorders>
              <w:tl2br w:val="nil"/>
              <w:tr2bl w:val="nil"/>
            </w:tcBorders>
            <w:noWrap w:val="0"/>
            <w:tcMar>
              <w:top w:w="15" w:type="dxa"/>
              <w:left w:w="15" w:type="dxa"/>
              <w:right w:w="15" w:type="dxa"/>
            </w:tcMar>
            <w:vAlign w:val="center"/>
          </w:tcPr>
          <w:p w14:paraId="61AC06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厂界排放浓度限值</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cs="Times New Roman"/>
                <w:b/>
                <w:color w:val="auto"/>
                <w:sz w:val="18"/>
                <w:szCs w:val="18"/>
                <w:highlight w:val="none"/>
              </w:rPr>
              <w:t>mg/m</w:t>
            </w:r>
            <w:r>
              <w:rPr>
                <w:rFonts w:hint="default" w:ascii="Times New Roman" w:hAnsi="Times New Roman" w:cs="Times New Roman"/>
                <w:b/>
                <w:color w:val="auto"/>
                <w:sz w:val="18"/>
                <w:szCs w:val="18"/>
                <w:highlight w:val="none"/>
                <w:vertAlign w:val="superscript"/>
              </w:rPr>
              <w:t>3</w:t>
            </w:r>
            <w:r>
              <w:rPr>
                <w:rFonts w:hint="eastAsia" w:cs="Times New Roman"/>
                <w:b/>
                <w:color w:val="auto"/>
                <w:sz w:val="18"/>
                <w:szCs w:val="18"/>
                <w:highlight w:val="none"/>
                <w:vertAlign w:val="superscript"/>
                <w:lang w:eastAsia="zh-CN"/>
              </w:rPr>
              <w:t>）</w:t>
            </w:r>
          </w:p>
        </w:tc>
      </w:tr>
      <w:tr w14:paraId="3AC1D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2" w:type="pct"/>
            <w:vMerge w:val="continue"/>
            <w:tcBorders>
              <w:tl2br w:val="nil"/>
              <w:tr2bl w:val="nil"/>
            </w:tcBorders>
            <w:noWrap w:val="0"/>
            <w:tcMar>
              <w:top w:w="15" w:type="dxa"/>
              <w:left w:w="15" w:type="dxa"/>
              <w:right w:w="15" w:type="dxa"/>
            </w:tcMar>
            <w:vAlign w:val="center"/>
          </w:tcPr>
          <w:p w14:paraId="0C86090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color w:val="auto"/>
                <w:sz w:val="18"/>
                <w:szCs w:val="18"/>
                <w:highlight w:val="none"/>
                <w:u w:val="none"/>
              </w:rPr>
            </w:pPr>
          </w:p>
        </w:tc>
        <w:tc>
          <w:tcPr>
            <w:tcW w:w="301" w:type="pct"/>
            <w:vMerge w:val="continue"/>
            <w:tcBorders>
              <w:tl2br w:val="nil"/>
              <w:tr2bl w:val="nil"/>
            </w:tcBorders>
            <w:noWrap w:val="0"/>
            <w:tcMar>
              <w:top w:w="15" w:type="dxa"/>
              <w:left w:w="15" w:type="dxa"/>
              <w:right w:w="15" w:type="dxa"/>
            </w:tcMar>
            <w:vAlign w:val="center"/>
          </w:tcPr>
          <w:p w14:paraId="259B667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color w:val="auto"/>
                <w:sz w:val="18"/>
                <w:szCs w:val="18"/>
                <w:highlight w:val="none"/>
                <w:u w:val="none"/>
              </w:rPr>
            </w:pPr>
          </w:p>
        </w:tc>
        <w:tc>
          <w:tcPr>
            <w:tcW w:w="711" w:type="pct"/>
            <w:vMerge w:val="continue"/>
            <w:tcBorders>
              <w:tl2br w:val="nil"/>
              <w:tr2bl w:val="nil"/>
            </w:tcBorders>
            <w:noWrap w:val="0"/>
            <w:tcMar>
              <w:top w:w="15" w:type="dxa"/>
              <w:left w:w="15" w:type="dxa"/>
              <w:right w:w="15" w:type="dxa"/>
            </w:tcMar>
            <w:vAlign w:val="center"/>
          </w:tcPr>
          <w:p w14:paraId="26A6F3B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color w:val="auto"/>
                <w:sz w:val="18"/>
                <w:szCs w:val="18"/>
                <w:highlight w:val="none"/>
                <w:u w:val="none"/>
              </w:rPr>
            </w:pPr>
          </w:p>
        </w:tc>
        <w:tc>
          <w:tcPr>
            <w:tcW w:w="478" w:type="pct"/>
            <w:vMerge w:val="continue"/>
            <w:tcBorders>
              <w:tl2br w:val="nil"/>
              <w:tr2bl w:val="nil"/>
            </w:tcBorders>
            <w:noWrap w:val="0"/>
            <w:tcMar>
              <w:top w:w="15" w:type="dxa"/>
              <w:left w:w="15" w:type="dxa"/>
              <w:right w:w="15" w:type="dxa"/>
            </w:tcMar>
            <w:vAlign w:val="center"/>
          </w:tcPr>
          <w:p w14:paraId="483233E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color w:val="auto"/>
                <w:sz w:val="18"/>
                <w:szCs w:val="18"/>
                <w:highlight w:val="none"/>
                <w:u w:val="none"/>
              </w:rPr>
            </w:pPr>
          </w:p>
        </w:tc>
        <w:tc>
          <w:tcPr>
            <w:tcW w:w="462" w:type="pct"/>
            <w:tcBorders>
              <w:tl2br w:val="nil"/>
              <w:tr2bl w:val="nil"/>
            </w:tcBorders>
            <w:noWrap w:val="0"/>
            <w:tcMar>
              <w:top w:w="15" w:type="dxa"/>
              <w:left w:w="15" w:type="dxa"/>
              <w:right w:w="15" w:type="dxa"/>
            </w:tcMar>
            <w:vAlign w:val="center"/>
          </w:tcPr>
          <w:p w14:paraId="75A1B1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面源长度</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cs="Times New Roman"/>
                <w:b/>
                <w:color w:val="auto"/>
                <w:kern w:val="0"/>
                <w:sz w:val="18"/>
                <w:szCs w:val="18"/>
                <w:highlight w:val="none"/>
                <w:lang w:bidi="ar"/>
              </w:rPr>
              <w:t>m</w:t>
            </w:r>
            <w:r>
              <w:rPr>
                <w:rFonts w:hint="eastAsia" w:cs="Times New Roman"/>
                <w:b/>
                <w:color w:val="auto"/>
                <w:kern w:val="0"/>
                <w:sz w:val="18"/>
                <w:szCs w:val="18"/>
                <w:highlight w:val="none"/>
                <w:lang w:eastAsia="zh-CN" w:bidi="ar"/>
              </w:rPr>
              <w:t>）</w:t>
            </w:r>
          </w:p>
        </w:tc>
        <w:tc>
          <w:tcPr>
            <w:tcW w:w="462" w:type="pct"/>
            <w:tcBorders>
              <w:tl2br w:val="nil"/>
              <w:tr2bl w:val="nil"/>
            </w:tcBorders>
            <w:noWrap w:val="0"/>
            <w:tcMar>
              <w:top w:w="15" w:type="dxa"/>
              <w:left w:w="15" w:type="dxa"/>
              <w:right w:w="15" w:type="dxa"/>
            </w:tcMar>
            <w:vAlign w:val="center"/>
          </w:tcPr>
          <w:p w14:paraId="628267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面源宽度</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cs="Times New Roman"/>
                <w:b/>
                <w:color w:val="auto"/>
                <w:kern w:val="0"/>
                <w:sz w:val="18"/>
                <w:szCs w:val="18"/>
                <w:highlight w:val="none"/>
                <w:lang w:bidi="ar"/>
              </w:rPr>
              <w:t>m</w:t>
            </w:r>
            <w:r>
              <w:rPr>
                <w:rFonts w:hint="eastAsia" w:cs="Times New Roman"/>
                <w:b/>
                <w:color w:val="auto"/>
                <w:kern w:val="0"/>
                <w:sz w:val="18"/>
                <w:szCs w:val="18"/>
                <w:highlight w:val="none"/>
                <w:lang w:eastAsia="zh-CN" w:bidi="ar"/>
              </w:rPr>
              <w:t>）</w:t>
            </w:r>
          </w:p>
        </w:tc>
        <w:tc>
          <w:tcPr>
            <w:tcW w:w="484" w:type="pct"/>
            <w:tcBorders>
              <w:tl2br w:val="nil"/>
              <w:tr2bl w:val="nil"/>
            </w:tcBorders>
            <w:noWrap w:val="0"/>
            <w:tcMar>
              <w:top w:w="15" w:type="dxa"/>
              <w:left w:w="15" w:type="dxa"/>
              <w:right w:w="15" w:type="dxa"/>
            </w:tcMar>
            <w:vAlign w:val="center"/>
          </w:tcPr>
          <w:p w14:paraId="3AEC31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r>
              <w:rPr>
                <w:rFonts w:hint="default" w:ascii="Times New Roman" w:hAnsi="Times New Roman" w:eastAsia="宋体" w:cs="Times New Roman"/>
                <w:b/>
                <w:bCs/>
                <w:i w:val="0"/>
                <w:color w:val="auto"/>
                <w:kern w:val="0"/>
                <w:sz w:val="18"/>
                <w:szCs w:val="18"/>
                <w:highlight w:val="none"/>
                <w:u w:val="none"/>
                <w:lang w:val="en-US" w:eastAsia="zh-CN" w:bidi="ar"/>
              </w:rPr>
              <w:t>有效高度</w:t>
            </w:r>
            <w:r>
              <w:rPr>
                <w:rFonts w:hint="eastAsia" w:cs="Times New Roman"/>
                <w:b/>
                <w:bCs/>
                <w:i w:val="0"/>
                <w:color w:val="auto"/>
                <w:kern w:val="0"/>
                <w:sz w:val="18"/>
                <w:szCs w:val="18"/>
                <w:highlight w:val="none"/>
                <w:u w:val="none"/>
                <w:lang w:val="en-US" w:eastAsia="zh-CN" w:bidi="ar"/>
              </w:rPr>
              <w:t>（</w:t>
            </w:r>
            <w:r>
              <w:rPr>
                <w:rFonts w:hint="default" w:ascii="Times New Roman" w:hAnsi="Times New Roman" w:cs="Times New Roman"/>
                <w:b/>
                <w:color w:val="auto"/>
                <w:kern w:val="0"/>
                <w:sz w:val="18"/>
                <w:szCs w:val="18"/>
                <w:highlight w:val="none"/>
                <w:lang w:bidi="ar"/>
              </w:rPr>
              <w:t>m</w:t>
            </w:r>
            <w:r>
              <w:rPr>
                <w:rFonts w:hint="eastAsia" w:cs="Times New Roman"/>
                <w:b/>
                <w:color w:val="auto"/>
                <w:kern w:val="0"/>
                <w:sz w:val="18"/>
                <w:szCs w:val="18"/>
                <w:highlight w:val="none"/>
                <w:lang w:eastAsia="zh-CN" w:bidi="ar"/>
              </w:rPr>
              <w:t>）</w:t>
            </w:r>
          </w:p>
        </w:tc>
        <w:tc>
          <w:tcPr>
            <w:tcW w:w="495" w:type="pct"/>
            <w:vMerge w:val="continue"/>
            <w:tcBorders>
              <w:tl2br w:val="nil"/>
              <w:tr2bl w:val="nil"/>
            </w:tcBorders>
            <w:noWrap w:val="0"/>
            <w:tcMar>
              <w:top w:w="15" w:type="dxa"/>
              <w:left w:w="15" w:type="dxa"/>
              <w:right w:w="15" w:type="dxa"/>
            </w:tcMar>
            <w:vAlign w:val="center"/>
          </w:tcPr>
          <w:p w14:paraId="003202E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color w:val="auto"/>
                <w:sz w:val="18"/>
                <w:szCs w:val="18"/>
                <w:highlight w:val="none"/>
                <w:u w:val="none"/>
              </w:rPr>
            </w:pPr>
          </w:p>
        </w:tc>
        <w:tc>
          <w:tcPr>
            <w:tcW w:w="374" w:type="pct"/>
            <w:vMerge w:val="continue"/>
            <w:tcBorders>
              <w:tl2br w:val="nil"/>
              <w:tr2bl w:val="nil"/>
            </w:tcBorders>
            <w:noWrap w:val="0"/>
            <w:tcMar>
              <w:top w:w="15" w:type="dxa"/>
              <w:left w:w="15" w:type="dxa"/>
              <w:right w:w="15" w:type="dxa"/>
            </w:tcMar>
            <w:vAlign w:val="center"/>
          </w:tcPr>
          <w:p w14:paraId="3BD1F3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sz w:val="18"/>
                <w:szCs w:val="18"/>
                <w:highlight w:val="none"/>
                <w:u w:val="none"/>
              </w:rPr>
            </w:pPr>
          </w:p>
        </w:tc>
        <w:tc>
          <w:tcPr>
            <w:tcW w:w="938" w:type="pct"/>
            <w:vMerge w:val="continue"/>
            <w:tcBorders>
              <w:tl2br w:val="nil"/>
              <w:tr2bl w:val="nil"/>
            </w:tcBorders>
            <w:noWrap w:val="0"/>
            <w:tcMar>
              <w:top w:w="15" w:type="dxa"/>
              <w:left w:w="15" w:type="dxa"/>
              <w:right w:w="15" w:type="dxa"/>
            </w:tcMar>
            <w:vAlign w:val="center"/>
          </w:tcPr>
          <w:p w14:paraId="235C0D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color w:val="auto"/>
                <w:sz w:val="18"/>
                <w:szCs w:val="18"/>
                <w:highlight w:val="none"/>
                <w:u w:val="none"/>
              </w:rPr>
            </w:pPr>
          </w:p>
        </w:tc>
      </w:tr>
      <w:tr w14:paraId="7AD7B3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2" w:type="pct"/>
            <w:vMerge w:val="restart"/>
            <w:tcBorders>
              <w:tl2br w:val="nil"/>
              <w:tr2bl w:val="nil"/>
            </w:tcBorders>
            <w:noWrap/>
            <w:tcMar>
              <w:top w:w="15" w:type="dxa"/>
              <w:left w:w="15" w:type="dxa"/>
              <w:right w:w="15" w:type="dxa"/>
            </w:tcMar>
            <w:vAlign w:val="center"/>
          </w:tcPr>
          <w:p w14:paraId="3AA648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M1</w:t>
            </w:r>
          </w:p>
        </w:tc>
        <w:tc>
          <w:tcPr>
            <w:tcW w:w="301" w:type="pct"/>
            <w:vMerge w:val="restart"/>
            <w:tcBorders>
              <w:tl2br w:val="nil"/>
              <w:tr2bl w:val="nil"/>
            </w:tcBorders>
            <w:noWrap/>
            <w:tcMar>
              <w:top w:w="15" w:type="dxa"/>
              <w:left w:w="15" w:type="dxa"/>
              <w:right w:w="15" w:type="dxa"/>
            </w:tcMar>
            <w:vAlign w:val="center"/>
          </w:tcPr>
          <w:p w14:paraId="7A2081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1#厂房</w:t>
            </w:r>
          </w:p>
        </w:tc>
        <w:tc>
          <w:tcPr>
            <w:tcW w:w="711" w:type="pct"/>
            <w:tcBorders>
              <w:tl2br w:val="nil"/>
              <w:tr2bl w:val="nil"/>
            </w:tcBorders>
            <w:noWrap/>
            <w:tcMar>
              <w:top w:w="15" w:type="dxa"/>
              <w:left w:w="15" w:type="dxa"/>
              <w:right w:w="15" w:type="dxa"/>
            </w:tcMar>
            <w:vAlign w:val="center"/>
          </w:tcPr>
          <w:p w14:paraId="074FA89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cs="Times New Roman"/>
                <w:i w:val="0"/>
                <w:color w:val="auto"/>
                <w:sz w:val="18"/>
                <w:szCs w:val="18"/>
                <w:highlight w:val="none"/>
                <w:u w:val="none"/>
                <w:lang w:val="en-US" w:eastAsia="zh-CN"/>
              </w:rPr>
              <w:t>投料、搅拌</w:t>
            </w:r>
          </w:p>
        </w:tc>
        <w:tc>
          <w:tcPr>
            <w:tcW w:w="478" w:type="pct"/>
            <w:tcBorders>
              <w:tl2br w:val="nil"/>
              <w:tr2bl w:val="nil"/>
            </w:tcBorders>
            <w:noWrap/>
            <w:tcMar>
              <w:top w:w="15" w:type="dxa"/>
              <w:left w:w="15" w:type="dxa"/>
              <w:right w:w="15" w:type="dxa"/>
            </w:tcMar>
            <w:vAlign w:val="center"/>
          </w:tcPr>
          <w:p w14:paraId="4AC2B49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4"/>
                <w:highlight w:val="none"/>
                <w:lang w:val="en-US" w:eastAsia="zh-CN" w:bidi="ar-SA"/>
              </w:rPr>
            </w:pPr>
            <w:r>
              <w:rPr>
                <w:rFonts w:hint="eastAsia" w:cs="Times New Roman"/>
                <w:i w:val="0"/>
                <w:color w:val="auto"/>
                <w:kern w:val="0"/>
                <w:sz w:val="18"/>
                <w:szCs w:val="18"/>
                <w:highlight w:val="none"/>
                <w:u w:val="none"/>
                <w:lang w:val="en-US" w:eastAsia="zh-CN" w:bidi="ar"/>
              </w:rPr>
              <w:t>颗粒物</w:t>
            </w:r>
          </w:p>
        </w:tc>
        <w:tc>
          <w:tcPr>
            <w:tcW w:w="462" w:type="pct"/>
            <w:vMerge w:val="restart"/>
            <w:tcBorders>
              <w:tl2br w:val="nil"/>
              <w:tr2bl w:val="nil"/>
            </w:tcBorders>
            <w:noWrap/>
            <w:tcMar>
              <w:top w:w="15" w:type="dxa"/>
              <w:left w:w="15" w:type="dxa"/>
              <w:right w:w="15" w:type="dxa"/>
            </w:tcMar>
            <w:vAlign w:val="center"/>
          </w:tcPr>
          <w:p w14:paraId="018863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18"/>
                <w:szCs w:val="18"/>
                <w:highlight w:val="none"/>
                <w:u w:val="none"/>
                <w:lang w:val="en-US" w:eastAsia="zh-CN"/>
              </w:rPr>
            </w:pPr>
            <w:r>
              <w:rPr>
                <w:rFonts w:hint="eastAsia" w:cs="Times New Roman"/>
                <w:i w:val="0"/>
                <w:color w:val="auto"/>
                <w:sz w:val="18"/>
                <w:szCs w:val="18"/>
                <w:highlight w:val="none"/>
                <w:u w:val="none"/>
                <w:lang w:val="en-US" w:eastAsia="zh-CN"/>
              </w:rPr>
              <w:t>92.8</w:t>
            </w:r>
          </w:p>
        </w:tc>
        <w:tc>
          <w:tcPr>
            <w:tcW w:w="462" w:type="pct"/>
            <w:vMerge w:val="restart"/>
            <w:tcBorders>
              <w:tl2br w:val="nil"/>
              <w:tr2bl w:val="nil"/>
            </w:tcBorders>
            <w:noWrap/>
            <w:tcMar>
              <w:top w:w="15" w:type="dxa"/>
              <w:left w:w="15" w:type="dxa"/>
              <w:right w:w="15" w:type="dxa"/>
            </w:tcMar>
            <w:vAlign w:val="center"/>
          </w:tcPr>
          <w:p w14:paraId="458B62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18"/>
                <w:szCs w:val="18"/>
                <w:highlight w:val="none"/>
                <w:u w:val="none"/>
                <w:lang w:val="en-US" w:eastAsia="zh-CN"/>
              </w:rPr>
            </w:pPr>
            <w:r>
              <w:rPr>
                <w:rFonts w:hint="eastAsia" w:cs="Times New Roman"/>
                <w:i w:val="0"/>
                <w:color w:val="auto"/>
                <w:kern w:val="2"/>
                <w:sz w:val="18"/>
                <w:szCs w:val="18"/>
                <w:highlight w:val="none"/>
                <w:u w:val="none"/>
                <w:lang w:val="en-US" w:eastAsia="zh-CN" w:bidi="ar-SA"/>
              </w:rPr>
              <w:t>40</w:t>
            </w:r>
          </w:p>
        </w:tc>
        <w:tc>
          <w:tcPr>
            <w:tcW w:w="484" w:type="pct"/>
            <w:vMerge w:val="restart"/>
            <w:tcBorders>
              <w:tl2br w:val="nil"/>
              <w:tr2bl w:val="nil"/>
            </w:tcBorders>
            <w:noWrap/>
            <w:tcMar>
              <w:top w:w="15" w:type="dxa"/>
              <w:left w:w="15" w:type="dxa"/>
              <w:right w:w="15" w:type="dxa"/>
            </w:tcMar>
            <w:vAlign w:val="center"/>
          </w:tcPr>
          <w:p w14:paraId="165448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18"/>
                <w:szCs w:val="18"/>
                <w:highlight w:val="none"/>
                <w:u w:val="none"/>
                <w:lang w:val="en-US" w:eastAsia="zh-CN"/>
              </w:rPr>
            </w:pPr>
            <w:r>
              <w:rPr>
                <w:rFonts w:hint="eastAsia" w:cs="Times New Roman"/>
                <w:i w:val="0"/>
                <w:color w:val="auto"/>
                <w:sz w:val="18"/>
                <w:szCs w:val="18"/>
                <w:highlight w:val="none"/>
                <w:u w:val="none"/>
                <w:lang w:val="en-US" w:eastAsia="zh-CN"/>
              </w:rPr>
              <w:t>11</w:t>
            </w:r>
          </w:p>
        </w:tc>
        <w:tc>
          <w:tcPr>
            <w:tcW w:w="495" w:type="pct"/>
            <w:vMerge w:val="restart"/>
            <w:tcBorders>
              <w:tl2br w:val="nil"/>
              <w:tr2bl w:val="nil"/>
            </w:tcBorders>
            <w:noWrap/>
            <w:tcMar>
              <w:top w:w="15" w:type="dxa"/>
              <w:left w:w="15" w:type="dxa"/>
              <w:right w:w="15" w:type="dxa"/>
            </w:tcMar>
            <w:vAlign w:val="center"/>
          </w:tcPr>
          <w:p w14:paraId="39BE04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7200</w:t>
            </w:r>
          </w:p>
        </w:tc>
        <w:tc>
          <w:tcPr>
            <w:tcW w:w="374" w:type="pct"/>
            <w:tcBorders>
              <w:tl2br w:val="nil"/>
              <w:tr2bl w:val="nil"/>
            </w:tcBorders>
            <w:noWrap/>
            <w:tcMar>
              <w:top w:w="15" w:type="dxa"/>
              <w:left w:w="15" w:type="dxa"/>
              <w:right w:w="15" w:type="dxa"/>
            </w:tcMar>
            <w:vAlign w:val="center"/>
          </w:tcPr>
          <w:p w14:paraId="3D3E3D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0.32</w:t>
            </w:r>
          </w:p>
        </w:tc>
        <w:tc>
          <w:tcPr>
            <w:tcW w:w="938" w:type="pct"/>
            <w:tcBorders>
              <w:tl2br w:val="nil"/>
              <w:tr2bl w:val="nil"/>
            </w:tcBorders>
            <w:noWrap/>
            <w:tcMar>
              <w:top w:w="15" w:type="dxa"/>
              <w:left w:w="15" w:type="dxa"/>
              <w:right w:w="15" w:type="dxa"/>
            </w:tcMar>
            <w:vAlign w:val="center"/>
          </w:tcPr>
          <w:p w14:paraId="1DEBD74E">
            <w:pPr>
              <w:keepNext w:val="0"/>
              <w:keepLines w:val="0"/>
              <w:suppressLineNumbers w:val="0"/>
              <w:spacing w:before="0" w:beforeLines="0" w:beforeAutospacing="0" w:after="0" w:afterLines="0" w:afterAutospacing="0" w:line="281" w:lineRule="exact"/>
              <w:ind w:left="0" w:right="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eastAsia="宋体" w:cs="Times New Roman"/>
                <w:color w:val="auto"/>
                <w:spacing w:val="6"/>
                <w:position w:val="1"/>
                <w:sz w:val="21"/>
                <w:szCs w:val="21"/>
                <w:highlight w:val="none"/>
                <w:lang w:val="en-US" w:eastAsia="zh-CN"/>
              </w:rPr>
              <w:t>1.0</w:t>
            </w:r>
            <w:r>
              <w:rPr>
                <w:rFonts w:hint="default" w:ascii="Times New Roman" w:hAnsi="Times New Roman" w:eastAsia="Times New Roman" w:cs="Times New Roman"/>
                <w:color w:val="auto"/>
                <w:position w:val="1"/>
                <w:sz w:val="21"/>
                <w:szCs w:val="21"/>
                <w:highlight w:val="none"/>
              </w:rPr>
              <w:t>mg</w:t>
            </w:r>
            <w:r>
              <w:rPr>
                <w:rFonts w:hint="default" w:ascii="Times New Roman" w:hAnsi="Times New Roman" w:eastAsia="Times New Roman" w:cs="Times New Roman"/>
                <w:color w:val="auto"/>
                <w:spacing w:val="6"/>
                <w:position w:val="1"/>
                <w:sz w:val="21"/>
                <w:szCs w:val="21"/>
                <w:highlight w:val="none"/>
              </w:rPr>
              <w:t>/</w:t>
            </w:r>
            <w:r>
              <w:rPr>
                <w:rFonts w:hint="default" w:ascii="Times New Roman" w:hAnsi="Times New Roman" w:eastAsia="Times New Roman" w:cs="Times New Roman"/>
                <w:color w:val="auto"/>
                <w:position w:val="1"/>
                <w:sz w:val="21"/>
                <w:szCs w:val="21"/>
                <w:highlight w:val="none"/>
              </w:rPr>
              <w:t>m</w:t>
            </w:r>
            <w:r>
              <w:rPr>
                <w:rFonts w:hint="eastAsia" w:ascii="Times New Roman" w:hAnsi="Times New Roman" w:eastAsia="宋体" w:cs="Times New Roman"/>
                <w:color w:val="auto"/>
                <w:position w:val="1"/>
                <w:sz w:val="21"/>
                <w:szCs w:val="21"/>
                <w:highlight w:val="none"/>
                <w:vertAlign w:val="superscript"/>
                <w:lang w:val="en-US" w:eastAsia="zh-CN"/>
              </w:rPr>
              <w:t>3</w:t>
            </w:r>
          </w:p>
        </w:tc>
      </w:tr>
      <w:tr w14:paraId="3B37D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2" w:type="pct"/>
            <w:vMerge w:val="continue"/>
            <w:tcBorders>
              <w:tl2br w:val="nil"/>
              <w:tr2bl w:val="nil"/>
            </w:tcBorders>
            <w:noWrap/>
            <w:tcMar>
              <w:top w:w="15" w:type="dxa"/>
              <w:left w:w="15" w:type="dxa"/>
              <w:right w:w="15" w:type="dxa"/>
            </w:tcMar>
            <w:vAlign w:val="center"/>
          </w:tcPr>
          <w:p w14:paraId="543696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p>
        </w:tc>
        <w:tc>
          <w:tcPr>
            <w:tcW w:w="301" w:type="pct"/>
            <w:vMerge w:val="continue"/>
            <w:tcBorders>
              <w:tl2br w:val="nil"/>
              <w:tr2bl w:val="nil"/>
            </w:tcBorders>
            <w:noWrap/>
            <w:tcMar>
              <w:top w:w="15" w:type="dxa"/>
              <w:left w:w="15" w:type="dxa"/>
              <w:right w:w="15" w:type="dxa"/>
            </w:tcMar>
            <w:vAlign w:val="center"/>
          </w:tcPr>
          <w:p w14:paraId="7C27207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0"/>
                <w:sz w:val="18"/>
                <w:szCs w:val="18"/>
                <w:highlight w:val="none"/>
                <w:u w:val="none"/>
                <w:lang w:val="en-US" w:eastAsia="zh-CN" w:bidi="ar"/>
              </w:rPr>
            </w:pPr>
          </w:p>
        </w:tc>
        <w:tc>
          <w:tcPr>
            <w:tcW w:w="711" w:type="pct"/>
            <w:tcBorders>
              <w:tl2br w:val="nil"/>
              <w:tr2bl w:val="nil"/>
            </w:tcBorders>
            <w:noWrap/>
            <w:tcMar>
              <w:top w:w="15" w:type="dxa"/>
              <w:left w:w="15" w:type="dxa"/>
              <w:right w:w="15" w:type="dxa"/>
            </w:tcMar>
            <w:vAlign w:val="center"/>
          </w:tcPr>
          <w:p w14:paraId="3B34192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cs="Times New Roman"/>
                <w:i w:val="0"/>
                <w:color w:val="auto"/>
                <w:sz w:val="18"/>
                <w:szCs w:val="18"/>
                <w:highlight w:val="none"/>
                <w:u w:val="none"/>
                <w:lang w:val="en-US" w:eastAsia="zh-CN"/>
              </w:rPr>
              <w:t>烘干</w:t>
            </w:r>
          </w:p>
        </w:tc>
        <w:tc>
          <w:tcPr>
            <w:tcW w:w="478" w:type="pct"/>
            <w:tcBorders>
              <w:tl2br w:val="nil"/>
              <w:tr2bl w:val="nil"/>
            </w:tcBorders>
            <w:noWrap/>
            <w:tcMar>
              <w:top w:w="15" w:type="dxa"/>
              <w:left w:w="15" w:type="dxa"/>
              <w:right w:w="15" w:type="dxa"/>
            </w:tcMar>
            <w:vAlign w:val="center"/>
          </w:tcPr>
          <w:p w14:paraId="7252204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4"/>
                <w:highlight w:val="none"/>
                <w:lang w:val="en-US" w:eastAsia="zh-CN" w:bidi="ar-SA"/>
              </w:rPr>
            </w:pPr>
            <w:r>
              <w:rPr>
                <w:rFonts w:hint="eastAsia" w:cs="Times New Roman"/>
                <w:i w:val="0"/>
                <w:color w:val="auto"/>
                <w:kern w:val="0"/>
                <w:sz w:val="18"/>
                <w:szCs w:val="18"/>
                <w:highlight w:val="none"/>
                <w:u w:val="none"/>
                <w:lang w:val="en-US" w:eastAsia="zh-CN" w:bidi="ar"/>
              </w:rPr>
              <w:t>VOCs</w:t>
            </w:r>
          </w:p>
        </w:tc>
        <w:tc>
          <w:tcPr>
            <w:tcW w:w="462" w:type="pct"/>
            <w:vMerge w:val="continue"/>
            <w:tcBorders>
              <w:tl2br w:val="nil"/>
              <w:tr2bl w:val="nil"/>
            </w:tcBorders>
            <w:noWrap/>
            <w:tcMar>
              <w:top w:w="15" w:type="dxa"/>
              <w:left w:w="15" w:type="dxa"/>
              <w:right w:w="15" w:type="dxa"/>
            </w:tcMar>
            <w:vAlign w:val="center"/>
          </w:tcPr>
          <w:p w14:paraId="072B558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p>
        </w:tc>
        <w:tc>
          <w:tcPr>
            <w:tcW w:w="462" w:type="pct"/>
            <w:vMerge w:val="continue"/>
            <w:tcBorders>
              <w:tl2br w:val="nil"/>
              <w:tr2bl w:val="nil"/>
            </w:tcBorders>
            <w:noWrap/>
            <w:tcMar>
              <w:top w:w="15" w:type="dxa"/>
              <w:left w:w="15" w:type="dxa"/>
              <w:right w:w="15" w:type="dxa"/>
            </w:tcMar>
            <w:vAlign w:val="center"/>
          </w:tcPr>
          <w:p w14:paraId="2CA7E6E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p>
        </w:tc>
        <w:tc>
          <w:tcPr>
            <w:tcW w:w="484" w:type="pct"/>
            <w:vMerge w:val="continue"/>
            <w:tcBorders>
              <w:tl2br w:val="nil"/>
              <w:tr2bl w:val="nil"/>
            </w:tcBorders>
            <w:noWrap/>
            <w:tcMar>
              <w:top w:w="15" w:type="dxa"/>
              <w:left w:w="15" w:type="dxa"/>
              <w:right w:w="15" w:type="dxa"/>
            </w:tcMar>
            <w:vAlign w:val="center"/>
          </w:tcPr>
          <w:p w14:paraId="4E3ECA8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p>
        </w:tc>
        <w:tc>
          <w:tcPr>
            <w:tcW w:w="495" w:type="pct"/>
            <w:vMerge w:val="continue"/>
            <w:tcBorders>
              <w:tl2br w:val="nil"/>
              <w:tr2bl w:val="nil"/>
            </w:tcBorders>
            <w:noWrap/>
            <w:tcMar>
              <w:top w:w="15" w:type="dxa"/>
              <w:left w:w="15" w:type="dxa"/>
              <w:right w:w="15" w:type="dxa"/>
            </w:tcMar>
            <w:vAlign w:val="center"/>
          </w:tcPr>
          <w:p w14:paraId="0EC02D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374" w:type="pct"/>
            <w:tcBorders>
              <w:tl2br w:val="nil"/>
              <w:tr2bl w:val="nil"/>
            </w:tcBorders>
            <w:noWrap/>
            <w:tcMar>
              <w:top w:w="15" w:type="dxa"/>
              <w:left w:w="15" w:type="dxa"/>
              <w:right w:w="15" w:type="dxa"/>
            </w:tcMar>
            <w:vAlign w:val="center"/>
          </w:tcPr>
          <w:p w14:paraId="4EA93F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0.0002</w:t>
            </w:r>
          </w:p>
        </w:tc>
        <w:tc>
          <w:tcPr>
            <w:tcW w:w="938" w:type="pct"/>
            <w:tcBorders>
              <w:tl2br w:val="nil"/>
              <w:tr2bl w:val="nil"/>
            </w:tcBorders>
            <w:noWrap/>
            <w:tcMar>
              <w:top w:w="15" w:type="dxa"/>
              <w:left w:w="15" w:type="dxa"/>
              <w:right w:w="15" w:type="dxa"/>
            </w:tcMar>
            <w:vAlign w:val="center"/>
          </w:tcPr>
          <w:p w14:paraId="3E08F695">
            <w:pPr>
              <w:keepNext w:val="0"/>
              <w:keepLines w:val="0"/>
              <w:suppressLineNumbers w:val="0"/>
              <w:spacing w:before="0" w:beforeLines="0" w:beforeAutospacing="0" w:after="0" w:afterLines="0" w:afterAutospacing="0" w:line="281" w:lineRule="exact"/>
              <w:ind w:left="0" w:right="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eastAsia="宋体" w:cs="Times New Roman"/>
                <w:color w:val="auto"/>
                <w:spacing w:val="8"/>
                <w:position w:val="1"/>
                <w:sz w:val="21"/>
                <w:szCs w:val="21"/>
                <w:highlight w:val="none"/>
                <w:lang w:val="en-US" w:eastAsia="zh-CN"/>
              </w:rPr>
              <w:t>2.0</w:t>
            </w:r>
            <w:r>
              <w:rPr>
                <w:rFonts w:hint="default" w:ascii="Times New Roman" w:hAnsi="Times New Roman" w:eastAsia="Times New Roman" w:cs="Times New Roman"/>
                <w:color w:val="auto"/>
                <w:position w:val="1"/>
                <w:sz w:val="21"/>
                <w:szCs w:val="21"/>
                <w:highlight w:val="none"/>
              </w:rPr>
              <w:t>mg</w:t>
            </w:r>
            <w:r>
              <w:rPr>
                <w:rFonts w:hint="default" w:ascii="Times New Roman" w:hAnsi="Times New Roman" w:eastAsia="Times New Roman" w:cs="Times New Roman"/>
                <w:color w:val="auto"/>
                <w:spacing w:val="6"/>
                <w:position w:val="1"/>
                <w:sz w:val="21"/>
                <w:szCs w:val="21"/>
                <w:highlight w:val="none"/>
              </w:rPr>
              <w:t>/</w:t>
            </w:r>
            <w:r>
              <w:rPr>
                <w:rFonts w:hint="default" w:ascii="Times New Roman" w:hAnsi="Times New Roman" w:eastAsia="Times New Roman" w:cs="Times New Roman"/>
                <w:color w:val="auto"/>
                <w:position w:val="1"/>
                <w:sz w:val="21"/>
                <w:szCs w:val="21"/>
                <w:highlight w:val="none"/>
              </w:rPr>
              <w:t>m</w:t>
            </w:r>
            <w:r>
              <w:rPr>
                <w:rFonts w:hint="eastAsia" w:ascii="Times New Roman" w:hAnsi="Times New Roman" w:eastAsia="宋体" w:cs="Times New Roman"/>
                <w:color w:val="auto"/>
                <w:position w:val="1"/>
                <w:sz w:val="21"/>
                <w:szCs w:val="21"/>
                <w:highlight w:val="none"/>
                <w:vertAlign w:val="superscript"/>
                <w:lang w:val="en-US" w:eastAsia="zh-CN"/>
              </w:rPr>
              <w:t>3</w:t>
            </w:r>
          </w:p>
        </w:tc>
      </w:tr>
      <w:tr w14:paraId="05580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2" w:type="pct"/>
            <w:vMerge w:val="continue"/>
            <w:tcBorders>
              <w:tl2br w:val="nil"/>
              <w:tr2bl w:val="nil"/>
            </w:tcBorders>
            <w:noWrap/>
            <w:tcMar>
              <w:top w:w="15" w:type="dxa"/>
              <w:left w:w="15" w:type="dxa"/>
              <w:right w:w="15" w:type="dxa"/>
            </w:tcMar>
            <w:vAlign w:val="center"/>
          </w:tcPr>
          <w:p w14:paraId="6C8F43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p>
        </w:tc>
        <w:tc>
          <w:tcPr>
            <w:tcW w:w="301" w:type="pct"/>
            <w:vMerge w:val="continue"/>
            <w:tcBorders>
              <w:tl2br w:val="nil"/>
              <w:tr2bl w:val="nil"/>
            </w:tcBorders>
            <w:noWrap/>
            <w:tcMar>
              <w:top w:w="15" w:type="dxa"/>
              <w:left w:w="15" w:type="dxa"/>
              <w:right w:w="15" w:type="dxa"/>
            </w:tcMar>
            <w:vAlign w:val="center"/>
          </w:tcPr>
          <w:p w14:paraId="0436AE4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0"/>
                <w:sz w:val="18"/>
                <w:szCs w:val="18"/>
                <w:highlight w:val="none"/>
                <w:u w:val="none"/>
                <w:lang w:val="en-US" w:eastAsia="zh-CN" w:bidi="ar"/>
              </w:rPr>
            </w:pPr>
          </w:p>
        </w:tc>
        <w:tc>
          <w:tcPr>
            <w:tcW w:w="711" w:type="pct"/>
            <w:vMerge w:val="restart"/>
            <w:tcBorders>
              <w:tl2br w:val="nil"/>
              <w:tr2bl w:val="nil"/>
            </w:tcBorders>
            <w:noWrap/>
            <w:tcMar>
              <w:top w:w="15" w:type="dxa"/>
              <w:left w:w="15" w:type="dxa"/>
              <w:right w:w="15" w:type="dxa"/>
            </w:tcMar>
            <w:vAlign w:val="center"/>
          </w:tcPr>
          <w:p w14:paraId="0EFA9934">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color w:val="auto"/>
                <w:sz w:val="18"/>
                <w:szCs w:val="18"/>
                <w:highlight w:val="none"/>
                <w:u w:val="none"/>
                <w:lang w:val="en-US" w:eastAsia="zh-CN"/>
              </w:rPr>
            </w:pPr>
            <w:r>
              <w:rPr>
                <w:rFonts w:hint="eastAsia" w:cs="Times New Roman"/>
                <w:i w:val="0"/>
                <w:color w:val="auto"/>
                <w:sz w:val="18"/>
                <w:szCs w:val="18"/>
                <w:highlight w:val="none"/>
                <w:u w:val="none"/>
                <w:lang w:val="en-US" w:eastAsia="zh-CN"/>
              </w:rPr>
              <w:t>污水处理</w:t>
            </w:r>
          </w:p>
        </w:tc>
        <w:tc>
          <w:tcPr>
            <w:tcW w:w="478" w:type="pct"/>
            <w:tcBorders>
              <w:tl2br w:val="nil"/>
              <w:tr2bl w:val="nil"/>
            </w:tcBorders>
            <w:noWrap/>
            <w:tcMar>
              <w:top w:w="15" w:type="dxa"/>
              <w:left w:w="15" w:type="dxa"/>
              <w:right w:w="15" w:type="dxa"/>
            </w:tcMar>
            <w:vAlign w:val="center"/>
          </w:tcPr>
          <w:p w14:paraId="1361F657">
            <w:pPr>
              <w:pStyle w:val="1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cs="Times New Roman"/>
                <w:i w:val="0"/>
                <w:color w:val="auto"/>
                <w:kern w:val="0"/>
                <w:sz w:val="18"/>
                <w:szCs w:val="18"/>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p>
        </w:tc>
        <w:tc>
          <w:tcPr>
            <w:tcW w:w="462" w:type="pct"/>
            <w:vMerge w:val="continue"/>
            <w:tcBorders>
              <w:tl2br w:val="nil"/>
              <w:tr2bl w:val="nil"/>
            </w:tcBorders>
            <w:noWrap/>
            <w:tcMar>
              <w:top w:w="15" w:type="dxa"/>
              <w:left w:w="15" w:type="dxa"/>
              <w:right w:w="15" w:type="dxa"/>
            </w:tcMar>
            <w:vAlign w:val="center"/>
          </w:tcPr>
          <w:p w14:paraId="419E1B5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p>
        </w:tc>
        <w:tc>
          <w:tcPr>
            <w:tcW w:w="462" w:type="pct"/>
            <w:vMerge w:val="continue"/>
            <w:tcBorders>
              <w:tl2br w:val="nil"/>
              <w:tr2bl w:val="nil"/>
            </w:tcBorders>
            <w:noWrap/>
            <w:tcMar>
              <w:top w:w="15" w:type="dxa"/>
              <w:left w:w="15" w:type="dxa"/>
              <w:right w:w="15" w:type="dxa"/>
            </w:tcMar>
            <w:vAlign w:val="center"/>
          </w:tcPr>
          <w:p w14:paraId="2087503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p>
        </w:tc>
        <w:tc>
          <w:tcPr>
            <w:tcW w:w="484" w:type="pct"/>
            <w:vMerge w:val="continue"/>
            <w:tcBorders>
              <w:tl2br w:val="nil"/>
              <w:tr2bl w:val="nil"/>
            </w:tcBorders>
            <w:noWrap/>
            <w:tcMar>
              <w:top w:w="15" w:type="dxa"/>
              <w:left w:w="15" w:type="dxa"/>
              <w:right w:w="15" w:type="dxa"/>
            </w:tcMar>
            <w:vAlign w:val="center"/>
          </w:tcPr>
          <w:p w14:paraId="1A8EC64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p>
        </w:tc>
        <w:tc>
          <w:tcPr>
            <w:tcW w:w="495" w:type="pct"/>
            <w:vMerge w:val="continue"/>
            <w:tcBorders>
              <w:tl2br w:val="nil"/>
              <w:tr2bl w:val="nil"/>
            </w:tcBorders>
            <w:noWrap/>
            <w:tcMar>
              <w:top w:w="15" w:type="dxa"/>
              <w:left w:w="15" w:type="dxa"/>
              <w:right w:w="15" w:type="dxa"/>
            </w:tcMar>
            <w:vAlign w:val="center"/>
          </w:tcPr>
          <w:p w14:paraId="604ACD6E">
            <w:pPr>
              <w:keepNext w:val="0"/>
              <w:keepLines w:val="0"/>
              <w:widowControl/>
              <w:suppressLineNumbers w:val="0"/>
              <w:spacing w:before="0" w:beforeAutospacing="0" w:after="0" w:afterAutospacing="0"/>
              <w:ind w:left="0" w:right="0"/>
              <w:jc w:val="center"/>
              <w:textAlignment w:val="center"/>
              <w:rPr>
                <w:rFonts w:hint="eastAsia" w:cs="Times New Roman"/>
                <w:i w:val="0"/>
                <w:color w:val="auto"/>
                <w:kern w:val="0"/>
                <w:sz w:val="21"/>
                <w:szCs w:val="21"/>
                <w:highlight w:val="none"/>
                <w:u w:val="none"/>
                <w:lang w:val="en-US" w:eastAsia="zh-CN" w:bidi="ar"/>
              </w:rPr>
            </w:pPr>
          </w:p>
        </w:tc>
        <w:tc>
          <w:tcPr>
            <w:tcW w:w="374" w:type="pct"/>
            <w:tcBorders>
              <w:tl2br w:val="nil"/>
              <w:tr2bl w:val="nil"/>
            </w:tcBorders>
            <w:noWrap/>
            <w:tcMar>
              <w:top w:w="15" w:type="dxa"/>
              <w:left w:w="15" w:type="dxa"/>
              <w:right w:w="15" w:type="dxa"/>
            </w:tcMar>
            <w:vAlign w:val="center"/>
          </w:tcPr>
          <w:p w14:paraId="067463A3">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0.0002</w:t>
            </w:r>
          </w:p>
        </w:tc>
        <w:tc>
          <w:tcPr>
            <w:tcW w:w="938" w:type="pct"/>
            <w:tcBorders>
              <w:tl2br w:val="nil"/>
              <w:tr2bl w:val="nil"/>
            </w:tcBorders>
            <w:noWrap/>
            <w:tcMar>
              <w:top w:w="15" w:type="dxa"/>
              <w:left w:w="15" w:type="dxa"/>
              <w:right w:w="15" w:type="dxa"/>
            </w:tcMar>
            <w:vAlign w:val="center"/>
          </w:tcPr>
          <w:p w14:paraId="4A7C838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eastAsia="宋体" w:cs="Times New Roman"/>
                <w:color w:val="auto"/>
                <w:spacing w:val="8"/>
                <w:position w:val="1"/>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r>
      <w:tr w14:paraId="487F8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2" w:type="pct"/>
            <w:vMerge w:val="continue"/>
            <w:tcBorders>
              <w:tl2br w:val="nil"/>
              <w:tr2bl w:val="nil"/>
            </w:tcBorders>
            <w:noWrap/>
            <w:tcMar>
              <w:top w:w="15" w:type="dxa"/>
              <w:left w:w="15" w:type="dxa"/>
              <w:right w:w="15" w:type="dxa"/>
            </w:tcMar>
            <w:vAlign w:val="center"/>
          </w:tcPr>
          <w:p w14:paraId="7CC15D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p>
        </w:tc>
        <w:tc>
          <w:tcPr>
            <w:tcW w:w="301" w:type="pct"/>
            <w:vMerge w:val="continue"/>
            <w:tcBorders>
              <w:tl2br w:val="nil"/>
              <w:tr2bl w:val="nil"/>
            </w:tcBorders>
            <w:noWrap/>
            <w:tcMar>
              <w:top w:w="15" w:type="dxa"/>
              <w:left w:w="15" w:type="dxa"/>
              <w:right w:w="15" w:type="dxa"/>
            </w:tcMar>
            <w:vAlign w:val="center"/>
          </w:tcPr>
          <w:p w14:paraId="3291007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0"/>
                <w:sz w:val="18"/>
                <w:szCs w:val="18"/>
                <w:highlight w:val="none"/>
                <w:u w:val="none"/>
                <w:lang w:val="en-US" w:eastAsia="zh-CN" w:bidi="ar"/>
              </w:rPr>
            </w:pPr>
          </w:p>
        </w:tc>
        <w:tc>
          <w:tcPr>
            <w:tcW w:w="711" w:type="pct"/>
            <w:vMerge w:val="continue"/>
            <w:tcBorders>
              <w:tl2br w:val="nil"/>
              <w:tr2bl w:val="nil"/>
            </w:tcBorders>
            <w:noWrap/>
            <w:tcMar>
              <w:top w:w="15" w:type="dxa"/>
              <w:left w:w="15" w:type="dxa"/>
              <w:right w:w="15" w:type="dxa"/>
            </w:tcMar>
            <w:vAlign w:val="center"/>
          </w:tcPr>
          <w:p w14:paraId="7CF5260B">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color w:val="auto"/>
                <w:sz w:val="18"/>
                <w:szCs w:val="18"/>
                <w:highlight w:val="none"/>
                <w:u w:val="none"/>
                <w:lang w:val="en-US" w:eastAsia="zh-CN"/>
              </w:rPr>
            </w:pPr>
          </w:p>
        </w:tc>
        <w:tc>
          <w:tcPr>
            <w:tcW w:w="478" w:type="pct"/>
            <w:tcBorders>
              <w:tl2br w:val="nil"/>
              <w:tr2bl w:val="nil"/>
            </w:tcBorders>
            <w:noWrap/>
            <w:tcMar>
              <w:top w:w="15" w:type="dxa"/>
              <w:left w:w="15" w:type="dxa"/>
              <w:right w:w="15" w:type="dxa"/>
            </w:tcMar>
            <w:vAlign w:val="center"/>
          </w:tcPr>
          <w:p w14:paraId="17A74DB1">
            <w:pPr>
              <w:pStyle w:val="1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cs="Times New Roman"/>
                <w:i w:val="0"/>
                <w:color w:val="auto"/>
                <w:kern w:val="0"/>
                <w:sz w:val="18"/>
                <w:szCs w:val="18"/>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S</w:t>
            </w:r>
          </w:p>
        </w:tc>
        <w:tc>
          <w:tcPr>
            <w:tcW w:w="462" w:type="pct"/>
            <w:vMerge w:val="continue"/>
            <w:tcBorders>
              <w:tl2br w:val="nil"/>
              <w:tr2bl w:val="nil"/>
            </w:tcBorders>
            <w:noWrap/>
            <w:tcMar>
              <w:top w:w="15" w:type="dxa"/>
              <w:left w:w="15" w:type="dxa"/>
              <w:right w:w="15" w:type="dxa"/>
            </w:tcMar>
            <w:vAlign w:val="center"/>
          </w:tcPr>
          <w:p w14:paraId="0605B14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p>
        </w:tc>
        <w:tc>
          <w:tcPr>
            <w:tcW w:w="462" w:type="pct"/>
            <w:vMerge w:val="continue"/>
            <w:tcBorders>
              <w:tl2br w:val="nil"/>
              <w:tr2bl w:val="nil"/>
            </w:tcBorders>
            <w:noWrap/>
            <w:tcMar>
              <w:top w:w="15" w:type="dxa"/>
              <w:left w:w="15" w:type="dxa"/>
              <w:right w:w="15" w:type="dxa"/>
            </w:tcMar>
            <w:vAlign w:val="center"/>
          </w:tcPr>
          <w:p w14:paraId="60C8883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p>
        </w:tc>
        <w:tc>
          <w:tcPr>
            <w:tcW w:w="484" w:type="pct"/>
            <w:vMerge w:val="continue"/>
            <w:tcBorders>
              <w:tl2br w:val="nil"/>
              <w:tr2bl w:val="nil"/>
            </w:tcBorders>
            <w:noWrap/>
            <w:tcMar>
              <w:top w:w="15" w:type="dxa"/>
              <w:left w:w="15" w:type="dxa"/>
              <w:right w:w="15" w:type="dxa"/>
            </w:tcMar>
            <w:vAlign w:val="center"/>
          </w:tcPr>
          <w:p w14:paraId="2068778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p>
        </w:tc>
        <w:tc>
          <w:tcPr>
            <w:tcW w:w="495" w:type="pct"/>
            <w:vMerge w:val="continue"/>
            <w:tcBorders>
              <w:tl2br w:val="nil"/>
              <w:tr2bl w:val="nil"/>
            </w:tcBorders>
            <w:noWrap/>
            <w:tcMar>
              <w:top w:w="15" w:type="dxa"/>
              <w:left w:w="15" w:type="dxa"/>
              <w:right w:w="15" w:type="dxa"/>
            </w:tcMar>
            <w:vAlign w:val="center"/>
          </w:tcPr>
          <w:p w14:paraId="255D2E2C">
            <w:pPr>
              <w:keepNext w:val="0"/>
              <w:keepLines w:val="0"/>
              <w:widowControl/>
              <w:suppressLineNumbers w:val="0"/>
              <w:spacing w:before="0" w:beforeAutospacing="0" w:after="0" w:afterAutospacing="0"/>
              <w:ind w:left="0" w:right="0"/>
              <w:jc w:val="center"/>
              <w:textAlignment w:val="center"/>
              <w:rPr>
                <w:rFonts w:hint="eastAsia" w:cs="Times New Roman"/>
                <w:i w:val="0"/>
                <w:color w:val="auto"/>
                <w:kern w:val="0"/>
                <w:sz w:val="21"/>
                <w:szCs w:val="21"/>
                <w:highlight w:val="none"/>
                <w:u w:val="none"/>
                <w:lang w:val="en-US" w:eastAsia="zh-CN" w:bidi="ar"/>
              </w:rPr>
            </w:pPr>
          </w:p>
        </w:tc>
        <w:tc>
          <w:tcPr>
            <w:tcW w:w="374" w:type="pct"/>
            <w:tcBorders>
              <w:tl2br w:val="nil"/>
              <w:tr2bl w:val="nil"/>
            </w:tcBorders>
            <w:noWrap/>
            <w:tcMar>
              <w:top w:w="15" w:type="dxa"/>
              <w:left w:w="15" w:type="dxa"/>
              <w:right w:w="15" w:type="dxa"/>
            </w:tcMar>
            <w:vAlign w:val="center"/>
          </w:tcPr>
          <w:p w14:paraId="3792AFC8">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0.000007</w:t>
            </w:r>
          </w:p>
        </w:tc>
        <w:tc>
          <w:tcPr>
            <w:tcW w:w="938" w:type="pct"/>
            <w:tcBorders>
              <w:tl2br w:val="nil"/>
              <w:tr2bl w:val="nil"/>
            </w:tcBorders>
            <w:noWrap/>
            <w:tcMar>
              <w:top w:w="15" w:type="dxa"/>
              <w:left w:w="15" w:type="dxa"/>
              <w:right w:w="15" w:type="dxa"/>
            </w:tcMar>
            <w:vAlign w:val="center"/>
          </w:tcPr>
          <w:p w14:paraId="7677BC3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eastAsia="宋体" w:cs="Times New Roman"/>
                <w:color w:val="auto"/>
                <w:spacing w:val="8"/>
                <w:position w:val="1"/>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r>
      <w:tr w14:paraId="35780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2" w:type="pct"/>
            <w:vMerge w:val="continue"/>
            <w:tcBorders>
              <w:tl2br w:val="nil"/>
              <w:tr2bl w:val="nil"/>
            </w:tcBorders>
            <w:noWrap/>
            <w:tcMar>
              <w:top w:w="15" w:type="dxa"/>
              <w:left w:w="15" w:type="dxa"/>
              <w:right w:w="15" w:type="dxa"/>
            </w:tcMar>
            <w:vAlign w:val="center"/>
          </w:tcPr>
          <w:p w14:paraId="0E5F8F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p>
        </w:tc>
        <w:tc>
          <w:tcPr>
            <w:tcW w:w="301" w:type="pct"/>
            <w:vMerge w:val="continue"/>
            <w:tcBorders>
              <w:tl2br w:val="nil"/>
              <w:tr2bl w:val="nil"/>
            </w:tcBorders>
            <w:noWrap/>
            <w:tcMar>
              <w:top w:w="15" w:type="dxa"/>
              <w:left w:w="15" w:type="dxa"/>
              <w:right w:w="15" w:type="dxa"/>
            </w:tcMar>
            <w:vAlign w:val="center"/>
          </w:tcPr>
          <w:p w14:paraId="0152562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0"/>
                <w:sz w:val="18"/>
                <w:szCs w:val="18"/>
                <w:highlight w:val="none"/>
                <w:u w:val="none"/>
                <w:lang w:val="en-US" w:eastAsia="zh-CN" w:bidi="ar"/>
              </w:rPr>
            </w:pPr>
          </w:p>
        </w:tc>
        <w:tc>
          <w:tcPr>
            <w:tcW w:w="711" w:type="pct"/>
            <w:vMerge w:val="continue"/>
            <w:tcBorders>
              <w:tl2br w:val="nil"/>
              <w:tr2bl w:val="nil"/>
            </w:tcBorders>
            <w:noWrap/>
            <w:tcMar>
              <w:top w:w="15" w:type="dxa"/>
              <w:left w:w="15" w:type="dxa"/>
              <w:right w:w="15" w:type="dxa"/>
            </w:tcMar>
            <w:vAlign w:val="center"/>
          </w:tcPr>
          <w:p w14:paraId="6F9FBC90">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color w:val="auto"/>
                <w:sz w:val="18"/>
                <w:szCs w:val="18"/>
                <w:highlight w:val="none"/>
                <w:u w:val="none"/>
                <w:lang w:val="en-US" w:eastAsia="zh-CN"/>
              </w:rPr>
            </w:pPr>
          </w:p>
        </w:tc>
        <w:tc>
          <w:tcPr>
            <w:tcW w:w="478" w:type="pct"/>
            <w:tcBorders>
              <w:tl2br w:val="nil"/>
              <w:tr2bl w:val="nil"/>
            </w:tcBorders>
            <w:noWrap/>
            <w:tcMar>
              <w:top w:w="15" w:type="dxa"/>
              <w:left w:w="15" w:type="dxa"/>
              <w:right w:w="15" w:type="dxa"/>
            </w:tcMar>
            <w:vAlign w:val="center"/>
          </w:tcPr>
          <w:p w14:paraId="230F1A38">
            <w:pPr>
              <w:pStyle w:val="1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cs="Times New Roman"/>
                <w:i w:val="0"/>
                <w:color w:val="auto"/>
                <w:kern w:val="0"/>
                <w:sz w:val="18"/>
                <w:szCs w:val="18"/>
                <w:highlight w:val="none"/>
                <w:u w:val="none"/>
                <w:lang w:val="en-US" w:eastAsia="zh-CN" w:bidi="ar"/>
              </w:rPr>
            </w:pPr>
            <w:r>
              <w:rPr>
                <w:rFonts w:hint="eastAsia" w:ascii="Times New Roman" w:hAnsi="Times New Roman" w:eastAsia="宋体" w:cs="Times New Roman"/>
                <w:color w:val="auto"/>
                <w:kern w:val="2"/>
                <w:sz w:val="21"/>
                <w:szCs w:val="21"/>
                <w:highlight w:val="none"/>
                <w:u w:val="none" w:color="000000"/>
                <w:lang w:val="en-US" w:eastAsia="zh-CN" w:bidi="ar-SA"/>
              </w:rPr>
              <w:t>臭气浓度</w:t>
            </w:r>
          </w:p>
        </w:tc>
        <w:tc>
          <w:tcPr>
            <w:tcW w:w="462" w:type="pct"/>
            <w:vMerge w:val="continue"/>
            <w:tcBorders>
              <w:tl2br w:val="nil"/>
              <w:tr2bl w:val="nil"/>
            </w:tcBorders>
            <w:noWrap/>
            <w:tcMar>
              <w:top w:w="15" w:type="dxa"/>
              <w:left w:w="15" w:type="dxa"/>
              <w:right w:w="15" w:type="dxa"/>
            </w:tcMar>
            <w:vAlign w:val="center"/>
          </w:tcPr>
          <w:p w14:paraId="64BF762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p>
        </w:tc>
        <w:tc>
          <w:tcPr>
            <w:tcW w:w="462" w:type="pct"/>
            <w:vMerge w:val="continue"/>
            <w:tcBorders>
              <w:tl2br w:val="nil"/>
              <w:tr2bl w:val="nil"/>
            </w:tcBorders>
            <w:noWrap/>
            <w:tcMar>
              <w:top w:w="15" w:type="dxa"/>
              <w:left w:w="15" w:type="dxa"/>
              <w:right w:w="15" w:type="dxa"/>
            </w:tcMar>
            <w:vAlign w:val="center"/>
          </w:tcPr>
          <w:p w14:paraId="5027375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p>
        </w:tc>
        <w:tc>
          <w:tcPr>
            <w:tcW w:w="484" w:type="pct"/>
            <w:vMerge w:val="continue"/>
            <w:tcBorders>
              <w:tl2br w:val="nil"/>
              <w:tr2bl w:val="nil"/>
            </w:tcBorders>
            <w:noWrap/>
            <w:tcMar>
              <w:top w:w="15" w:type="dxa"/>
              <w:left w:w="15" w:type="dxa"/>
              <w:right w:w="15" w:type="dxa"/>
            </w:tcMar>
            <w:vAlign w:val="center"/>
          </w:tcPr>
          <w:p w14:paraId="4FA6E0F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p>
        </w:tc>
        <w:tc>
          <w:tcPr>
            <w:tcW w:w="495" w:type="pct"/>
            <w:vMerge w:val="continue"/>
            <w:tcBorders>
              <w:tl2br w:val="nil"/>
              <w:tr2bl w:val="nil"/>
            </w:tcBorders>
            <w:noWrap/>
            <w:tcMar>
              <w:top w:w="15" w:type="dxa"/>
              <w:left w:w="15" w:type="dxa"/>
              <w:right w:w="15" w:type="dxa"/>
            </w:tcMar>
            <w:vAlign w:val="center"/>
          </w:tcPr>
          <w:p w14:paraId="4B872ED7">
            <w:pPr>
              <w:keepNext w:val="0"/>
              <w:keepLines w:val="0"/>
              <w:widowControl/>
              <w:suppressLineNumbers w:val="0"/>
              <w:spacing w:before="0" w:beforeAutospacing="0" w:after="0" w:afterAutospacing="0"/>
              <w:ind w:left="0" w:right="0"/>
              <w:jc w:val="center"/>
              <w:textAlignment w:val="center"/>
              <w:rPr>
                <w:rFonts w:hint="eastAsia" w:cs="Times New Roman"/>
                <w:i w:val="0"/>
                <w:color w:val="auto"/>
                <w:kern w:val="0"/>
                <w:sz w:val="21"/>
                <w:szCs w:val="21"/>
                <w:highlight w:val="none"/>
                <w:u w:val="none"/>
                <w:lang w:val="en-US" w:eastAsia="zh-CN" w:bidi="ar"/>
              </w:rPr>
            </w:pPr>
          </w:p>
        </w:tc>
        <w:tc>
          <w:tcPr>
            <w:tcW w:w="374" w:type="pct"/>
            <w:tcBorders>
              <w:tl2br w:val="nil"/>
              <w:tr2bl w:val="nil"/>
            </w:tcBorders>
            <w:noWrap/>
            <w:tcMar>
              <w:top w:w="15" w:type="dxa"/>
              <w:left w:w="15" w:type="dxa"/>
              <w:right w:w="15" w:type="dxa"/>
            </w:tcMar>
            <w:vAlign w:val="center"/>
          </w:tcPr>
          <w:p w14:paraId="49FB34D6">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少量</w:t>
            </w:r>
          </w:p>
        </w:tc>
        <w:tc>
          <w:tcPr>
            <w:tcW w:w="938" w:type="pct"/>
            <w:tcBorders>
              <w:tl2br w:val="nil"/>
              <w:tr2bl w:val="nil"/>
            </w:tcBorders>
            <w:noWrap/>
            <w:tcMar>
              <w:top w:w="15" w:type="dxa"/>
              <w:left w:w="15" w:type="dxa"/>
              <w:right w:w="15" w:type="dxa"/>
            </w:tcMar>
            <w:vAlign w:val="center"/>
          </w:tcPr>
          <w:p w14:paraId="124B404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w:t>
            </w:r>
          </w:p>
          <w:p w14:paraId="1B993B4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eastAsia="宋体" w:cs="Times New Roman"/>
                <w:color w:val="auto"/>
                <w:spacing w:val="8"/>
                <w:position w:val="1"/>
                <w:sz w:val="21"/>
                <w:szCs w:val="21"/>
                <w:highlight w:val="none"/>
                <w:lang w:val="en-US" w:eastAsia="zh-CN"/>
              </w:rPr>
            </w:pPr>
            <w:r>
              <w:rPr>
                <w:rFonts w:hint="eastAsia" w:ascii="Times New Roman" w:hAnsi="Times New Roman" w:cs="Times New Roman"/>
                <w:color w:val="auto"/>
                <w:sz w:val="21"/>
                <w:szCs w:val="21"/>
                <w:highlight w:val="none"/>
                <w:lang w:val="en-US" w:eastAsia="zh-CN"/>
              </w:rPr>
              <w:t>（无量纲）</w:t>
            </w:r>
          </w:p>
        </w:tc>
      </w:tr>
      <w:tr w14:paraId="6A38D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2" w:type="pct"/>
            <w:tcBorders>
              <w:tl2br w:val="nil"/>
              <w:tr2bl w:val="nil"/>
            </w:tcBorders>
            <w:noWrap/>
            <w:tcMar>
              <w:top w:w="15" w:type="dxa"/>
              <w:left w:w="15" w:type="dxa"/>
              <w:right w:w="15" w:type="dxa"/>
            </w:tcMar>
            <w:vAlign w:val="center"/>
          </w:tcPr>
          <w:p w14:paraId="627D4AE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M</w:t>
            </w:r>
            <w:r>
              <w:rPr>
                <w:rFonts w:hint="eastAsia" w:cs="Times New Roman"/>
                <w:i w:val="0"/>
                <w:color w:val="auto"/>
                <w:kern w:val="0"/>
                <w:sz w:val="18"/>
                <w:szCs w:val="18"/>
                <w:highlight w:val="none"/>
                <w:u w:val="none"/>
                <w:lang w:val="en-US" w:eastAsia="zh-CN" w:bidi="ar"/>
              </w:rPr>
              <w:t>2</w:t>
            </w:r>
          </w:p>
        </w:tc>
        <w:tc>
          <w:tcPr>
            <w:tcW w:w="301" w:type="pct"/>
            <w:tcBorders>
              <w:tl2br w:val="nil"/>
              <w:tr2bl w:val="nil"/>
            </w:tcBorders>
            <w:noWrap/>
            <w:tcMar>
              <w:top w:w="15" w:type="dxa"/>
              <w:left w:w="15" w:type="dxa"/>
              <w:right w:w="15" w:type="dxa"/>
            </w:tcMar>
            <w:vAlign w:val="center"/>
          </w:tcPr>
          <w:p w14:paraId="6BE1EA4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2#厂房</w:t>
            </w:r>
          </w:p>
        </w:tc>
        <w:tc>
          <w:tcPr>
            <w:tcW w:w="711" w:type="pct"/>
            <w:tcBorders>
              <w:tl2br w:val="nil"/>
              <w:tr2bl w:val="nil"/>
            </w:tcBorders>
            <w:noWrap/>
            <w:tcMar>
              <w:top w:w="15" w:type="dxa"/>
              <w:left w:w="15" w:type="dxa"/>
              <w:right w:w="15" w:type="dxa"/>
            </w:tcMar>
            <w:vAlign w:val="center"/>
          </w:tcPr>
          <w:p w14:paraId="182166C4">
            <w:pPr>
              <w:keepNext w:val="0"/>
              <w:keepLines w:val="0"/>
              <w:widowControl/>
              <w:suppressLineNumbers w:val="0"/>
              <w:spacing w:before="0" w:beforeAutospacing="0" w:after="0" w:afterAutospacing="0"/>
              <w:ind w:left="0" w:right="0"/>
              <w:jc w:val="center"/>
              <w:textAlignment w:val="center"/>
              <w:rPr>
                <w:rFonts w:hint="eastAsia" w:cs="Times New Roman"/>
                <w:i w:val="0"/>
                <w:color w:val="auto"/>
                <w:kern w:val="0"/>
                <w:sz w:val="18"/>
                <w:szCs w:val="18"/>
                <w:highlight w:val="none"/>
                <w:u w:val="none"/>
                <w:lang w:val="en-US" w:eastAsia="zh-CN" w:bidi="ar"/>
              </w:rPr>
            </w:pPr>
            <w:r>
              <w:rPr>
                <w:rFonts w:hint="eastAsia" w:cs="Times New Roman"/>
                <w:i w:val="0"/>
                <w:color w:val="auto"/>
                <w:sz w:val="18"/>
                <w:szCs w:val="18"/>
                <w:highlight w:val="none"/>
                <w:u w:val="none"/>
                <w:lang w:val="en-US" w:eastAsia="zh-CN"/>
              </w:rPr>
              <w:t>印刷、胶钉</w:t>
            </w:r>
          </w:p>
        </w:tc>
        <w:tc>
          <w:tcPr>
            <w:tcW w:w="478" w:type="pct"/>
            <w:tcBorders>
              <w:tl2br w:val="nil"/>
              <w:tr2bl w:val="nil"/>
            </w:tcBorders>
            <w:noWrap/>
            <w:tcMar>
              <w:top w:w="15" w:type="dxa"/>
              <w:left w:w="15" w:type="dxa"/>
              <w:right w:w="15" w:type="dxa"/>
            </w:tcMar>
            <w:vAlign w:val="center"/>
          </w:tcPr>
          <w:p w14:paraId="0AC18235">
            <w:pPr>
              <w:keepNext w:val="0"/>
              <w:keepLines w:val="0"/>
              <w:widowControl/>
              <w:suppressLineNumbers w:val="0"/>
              <w:spacing w:before="0" w:beforeAutospacing="0" w:after="0" w:afterAutospacing="0"/>
              <w:ind w:left="0" w:right="0"/>
              <w:jc w:val="center"/>
              <w:textAlignment w:val="center"/>
              <w:rPr>
                <w:rFonts w:hint="eastAsia"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VOCs</w:t>
            </w:r>
          </w:p>
        </w:tc>
        <w:tc>
          <w:tcPr>
            <w:tcW w:w="462" w:type="pct"/>
            <w:tcBorders>
              <w:tl2br w:val="nil"/>
              <w:tr2bl w:val="nil"/>
            </w:tcBorders>
            <w:noWrap/>
            <w:tcMar>
              <w:top w:w="15" w:type="dxa"/>
              <w:left w:w="15" w:type="dxa"/>
              <w:right w:w="15" w:type="dxa"/>
            </w:tcMar>
            <w:vAlign w:val="center"/>
          </w:tcPr>
          <w:p w14:paraId="1121322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r>
              <w:rPr>
                <w:rFonts w:hint="eastAsia" w:cs="Times New Roman"/>
                <w:i w:val="0"/>
                <w:color w:val="auto"/>
                <w:sz w:val="18"/>
                <w:szCs w:val="18"/>
                <w:highlight w:val="none"/>
                <w:u w:val="none"/>
                <w:lang w:val="en-US" w:eastAsia="zh-CN"/>
              </w:rPr>
              <w:t>92.8</w:t>
            </w:r>
          </w:p>
        </w:tc>
        <w:tc>
          <w:tcPr>
            <w:tcW w:w="462" w:type="pct"/>
            <w:tcBorders>
              <w:tl2br w:val="nil"/>
              <w:tr2bl w:val="nil"/>
            </w:tcBorders>
            <w:noWrap/>
            <w:tcMar>
              <w:top w:w="15" w:type="dxa"/>
              <w:left w:w="15" w:type="dxa"/>
              <w:right w:w="15" w:type="dxa"/>
            </w:tcMar>
            <w:vAlign w:val="center"/>
          </w:tcPr>
          <w:p w14:paraId="07CFCEE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r>
              <w:rPr>
                <w:rFonts w:hint="eastAsia" w:cs="Times New Roman"/>
                <w:i w:val="0"/>
                <w:color w:val="auto"/>
                <w:kern w:val="2"/>
                <w:sz w:val="18"/>
                <w:szCs w:val="18"/>
                <w:highlight w:val="none"/>
                <w:u w:val="none"/>
                <w:lang w:val="en-US" w:eastAsia="zh-CN" w:bidi="ar-SA"/>
              </w:rPr>
              <w:t>40</w:t>
            </w:r>
          </w:p>
        </w:tc>
        <w:tc>
          <w:tcPr>
            <w:tcW w:w="484" w:type="pct"/>
            <w:tcBorders>
              <w:tl2br w:val="nil"/>
              <w:tr2bl w:val="nil"/>
            </w:tcBorders>
            <w:noWrap/>
            <w:tcMar>
              <w:top w:w="15" w:type="dxa"/>
              <w:left w:w="15" w:type="dxa"/>
              <w:right w:w="15" w:type="dxa"/>
            </w:tcMar>
            <w:vAlign w:val="center"/>
          </w:tcPr>
          <w:p w14:paraId="4A44E50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2"/>
                <w:sz w:val="18"/>
                <w:szCs w:val="18"/>
                <w:highlight w:val="none"/>
                <w:u w:val="none"/>
                <w:lang w:val="en-US" w:eastAsia="zh-CN" w:bidi="ar-SA"/>
              </w:rPr>
            </w:pPr>
            <w:r>
              <w:rPr>
                <w:rFonts w:hint="eastAsia" w:cs="Times New Roman"/>
                <w:i w:val="0"/>
                <w:color w:val="auto"/>
                <w:sz w:val="18"/>
                <w:szCs w:val="18"/>
                <w:highlight w:val="none"/>
                <w:u w:val="none"/>
                <w:lang w:val="en-US" w:eastAsia="zh-CN"/>
              </w:rPr>
              <w:t>11</w:t>
            </w:r>
          </w:p>
        </w:tc>
        <w:tc>
          <w:tcPr>
            <w:tcW w:w="495" w:type="pct"/>
            <w:tcBorders>
              <w:tl2br w:val="nil"/>
              <w:tr2bl w:val="nil"/>
            </w:tcBorders>
            <w:noWrap/>
            <w:tcMar>
              <w:top w:w="15" w:type="dxa"/>
              <w:left w:w="15" w:type="dxa"/>
              <w:right w:w="15" w:type="dxa"/>
            </w:tcMar>
            <w:vAlign w:val="center"/>
          </w:tcPr>
          <w:p w14:paraId="2602AD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7200</w:t>
            </w:r>
          </w:p>
        </w:tc>
        <w:tc>
          <w:tcPr>
            <w:tcW w:w="374" w:type="pct"/>
            <w:tcBorders>
              <w:tl2br w:val="nil"/>
              <w:tr2bl w:val="nil"/>
            </w:tcBorders>
            <w:noWrap/>
            <w:tcMar>
              <w:top w:w="15" w:type="dxa"/>
              <w:left w:w="15" w:type="dxa"/>
              <w:right w:w="15" w:type="dxa"/>
            </w:tcMar>
            <w:vAlign w:val="center"/>
          </w:tcPr>
          <w:p w14:paraId="70F8A419">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0.0016</w:t>
            </w:r>
          </w:p>
        </w:tc>
        <w:tc>
          <w:tcPr>
            <w:tcW w:w="938" w:type="pct"/>
            <w:tcBorders>
              <w:tl2br w:val="nil"/>
              <w:tr2bl w:val="nil"/>
            </w:tcBorders>
            <w:noWrap/>
            <w:tcMar>
              <w:top w:w="15" w:type="dxa"/>
              <w:left w:w="15" w:type="dxa"/>
              <w:right w:w="15" w:type="dxa"/>
            </w:tcMar>
            <w:vAlign w:val="center"/>
          </w:tcPr>
          <w:p w14:paraId="2E8AB419">
            <w:pPr>
              <w:keepNext w:val="0"/>
              <w:keepLines w:val="0"/>
              <w:suppressLineNumbers w:val="0"/>
              <w:spacing w:before="0" w:beforeLines="0" w:beforeAutospacing="0" w:after="0" w:afterLines="0" w:afterAutospacing="0" w:line="281" w:lineRule="exact"/>
              <w:ind w:left="0" w:right="0"/>
              <w:jc w:val="center"/>
              <w:rPr>
                <w:rFonts w:hint="eastAsia" w:eastAsia="宋体" w:cs="Times New Roman"/>
                <w:color w:val="auto"/>
                <w:spacing w:val="8"/>
                <w:position w:val="1"/>
                <w:sz w:val="21"/>
                <w:szCs w:val="21"/>
                <w:highlight w:val="none"/>
                <w:lang w:val="en-US" w:eastAsia="zh-CN"/>
              </w:rPr>
            </w:pPr>
            <w:r>
              <w:rPr>
                <w:rFonts w:hint="eastAsia" w:eastAsia="宋体" w:cs="Times New Roman"/>
                <w:color w:val="auto"/>
                <w:spacing w:val="8"/>
                <w:position w:val="1"/>
                <w:sz w:val="21"/>
                <w:szCs w:val="21"/>
                <w:highlight w:val="none"/>
                <w:lang w:val="en-US" w:eastAsia="zh-CN"/>
              </w:rPr>
              <w:t>2.0</w:t>
            </w:r>
            <w:r>
              <w:rPr>
                <w:rFonts w:hint="default" w:ascii="Times New Roman" w:hAnsi="Times New Roman" w:eastAsia="Times New Roman" w:cs="Times New Roman"/>
                <w:color w:val="auto"/>
                <w:position w:val="1"/>
                <w:sz w:val="21"/>
                <w:szCs w:val="21"/>
                <w:highlight w:val="none"/>
              </w:rPr>
              <w:t>mg</w:t>
            </w:r>
            <w:r>
              <w:rPr>
                <w:rFonts w:hint="default" w:ascii="Times New Roman" w:hAnsi="Times New Roman" w:eastAsia="Times New Roman" w:cs="Times New Roman"/>
                <w:color w:val="auto"/>
                <w:spacing w:val="6"/>
                <w:position w:val="1"/>
                <w:sz w:val="21"/>
                <w:szCs w:val="21"/>
                <w:highlight w:val="none"/>
              </w:rPr>
              <w:t>/</w:t>
            </w:r>
            <w:r>
              <w:rPr>
                <w:rFonts w:hint="default" w:ascii="Times New Roman" w:hAnsi="Times New Roman" w:eastAsia="Times New Roman" w:cs="Times New Roman"/>
                <w:color w:val="auto"/>
                <w:position w:val="1"/>
                <w:sz w:val="21"/>
                <w:szCs w:val="21"/>
                <w:highlight w:val="none"/>
              </w:rPr>
              <w:t>m</w:t>
            </w:r>
            <w:r>
              <w:rPr>
                <w:rFonts w:hint="eastAsia" w:ascii="Times New Roman" w:hAnsi="Times New Roman" w:eastAsia="宋体" w:cs="Times New Roman"/>
                <w:color w:val="auto"/>
                <w:position w:val="1"/>
                <w:sz w:val="21"/>
                <w:szCs w:val="21"/>
                <w:highlight w:val="none"/>
                <w:vertAlign w:val="superscript"/>
                <w:lang w:val="en-US" w:eastAsia="zh-CN"/>
              </w:rPr>
              <w:t>3</w:t>
            </w:r>
          </w:p>
        </w:tc>
      </w:tr>
    </w:tbl>
    <w:p w14:paraId="7B25ACEF">
      <w:pPr>
        <w:pStyle w:val="30"/>
        <w:jc w:val="center"/>
        <w:outlineLvl w:val="0"/>
        <w:rPr>
          <w:rFonts w:hint="eastAsia" w:ascii="黑体" w:hAnsi="黑体" w:eastAsia="黑体"/>
          <w:snapToGrid w:val="0"/>
          <w:color w:val="auto"/>
          <w:sz w:val="30"/>
          <w:szCs w:val="30"/>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4"/>
        <w:tblW w:w="90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40"/>
        <w:gridCol w:w="8717"/>
      </w:tblGrid>
      <w:tr w14:paraId="17FCD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68" w:hRule="atLeast"/>
          <w:jc w:val="center"/>
        </w:trPr>
        <w:tc>
          <w:tcPr>
            <w:tcW w:w="340" w:type="dxa"/>
            <w:noWrap w:val="0"/>
            <w:tcMar>
              <w:left w:w="28" w:type="dxa"/>
              <w:right w:w="28" w:type="dxa"/>
            </w:tcMar>
            <w:vAlign w:val="center"/>
          </w:tcPr>
          <w:p w14:paraId="7ADEB052">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运营</w:t>
            </w:r>
          </w:p>
          <w:p w14:paraId="22667EDB">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期环</w:t>
            </w:r>
          </w:p>
          <w:p w14:paraId="5D166101">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境影</w:t>
            </w:r>
          </w:p>
          <w:p w14:paraId="2F896582">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响和</w:t>
            </w:r>
          </w:p>
          <w:p w14:paraId="4EC4BA21">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保护</w:t>
            </w:r>
          </w:p>
          <w:p w14:paraId="0F2C7DD2">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zCs w:val="21"/>
              </w:rPr>
            </w:pPr>
            <w:r>
              <w:rPr>
                <w:rFonts w:hint="eastAsia" w:ascii="Times New Roman" w:hAnsi="Times New Roman" w:cs="宋体"/>
                <w:color w:val="auto"/>
                <w:kern w:val="2"/>
                <w:sz w:val="24"/>
                <w:szCs w:val="24"/>
                <w:lang w:eastAsia="zh-CN"/>
              </w:rPr>
              <w:t>措施</w:t>
            </w:r>
          </w:p>
        </w:tc>
        <w:tc>
          <w:tcPr>
            <w:tcW w:w="8717" w:type="dxa"/>
            <w:noWrap w:val="0"/>
            <w:vAlign w:val="top"/>
          </w:tcPr>
          <w:p w14:paraId="2F8E1FA2">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宋体"/>
                <w:b/>
                <w:bCs/>
                <w:color w:val="auto"/>
                <w:kern w:val="2"/>
                <w:sz w:val="24"/>
                <w:szCs w:val="32"/>
                <w:highlight w:val="none"/>
                <w:lang w:val="en-US" w:eastAsia="zh-CN" w:bidi="ar"/>
              </w:rPr>
            </w:pPr>
            <w:r>
              <w:rPr>
                <w:rFonts w:hint="eastAsia" w:ascii="Times New Roman" w:hAnsi="Times New Roman" w:eastAsia="宋体" w:cs="宋体"/>
                <w:b/>
                <w:bCs/>
                <w:color w:val="auto"/>
                <w:kern w:val="2"/>
                <w:sz w:val="24"/>
                <w:szCs w:val="32"/>
                <w:highlight w:val="none"/>
                <w:lang w:val="en-US" w:eastAsia="zh-CN" w:bidi="ar"/>
              </w:rPr>
              <w:t>1.2废气治理设施可行性分析：</w:t>
            </w:r>
          </w:p>
          <w:p w14:paraId="4B4923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投料过程产生的颗粒物采用布袋除尘器处理后达标排放，烘干过程中产生的VOCs采用活性炭吸附后达标排放。</w:t>
            </w:r>
            <w:r>
              <w:rPr>
                <w:rFonts w:hint="eastAsia" w:ascii="Times New Roman" w:hAnsi="Times New Roman" w:eastAsia="宋体" w:cs="Times New Roman"/>
                <w:color w:val="auto"/>
                <w:sz w:val="24"/>
                <w:szCs w:val="24"/>
                <w:highlight w:val="none"/>
                <w:lang w:val="en-US" w:eastAsia="zh-CN"/>
              </w:rPr>
              <w:t>对照参照《排污许可证申请与核发技术规范总则》（HJ942-2018）4.5.2.1，本项目废气处理技术</w:t>
            </w:r>
            <w:r>
              <w:rPr>
                <w:rFonts w:hint="eastAsia" w:cs="Times New Roman"/>
                <w:color w:val="auto"/>
                <w:sz w:val="24"/>
                <w:szCs w:val="24"/>
                <w:highlight w:val="none"/>
                <w:lang w:val="en-US" w:eastAsia="zh-CN"/>
              </w:rPr>
              <w:t>均</w:t>
            </w:r>
            <w:r>
              <w:rPr>
                <w:rFonts w:hint="eastAsia" w:ascii="Times New Roman" w:hAnsi="Times New Roman" w:eastAsia="宋体" w:cs="Times New Roman"/>
                <w:color w:val="auto"/>
                <w:sz w:val="24"/>
                <w:szCs w:val="24"/>
                <w:highlight w:val="none"/>
                <w:lang w:val="en-US" w:eastAsia="zh-CN"/>
              </w:rPr>
              <w:t>为可行技术</w:t>
            </w:r>
            <w:r>
              <w:rPr>
                <w:rFonts w:hint="eastAsia" w:ascii="Times New Roman" w:hAnsi="Times New Roman" w:eastAsia="宋体" w:cs="Times New Roman"/>
                <w:b w:val="0"/>
                <w:bCs w:val="0"/>
                <w:color w:val="auto"/>
                <w:kern w:val="2"/>
                <w:sz w:val="24"/>
                <w:szCs w:val="32"/>
                <w:highlight w:val="none"/>
                <w:lang w:val="en-US" w:eastAsia="zh-CN" w:bidi="ar-SA"/>
              </w:rPr>
              <w:t>。</w:t>
            </w:r>
            <w:r>
              <w:rPr>
                <w:rFonts w:hint="eastAsia" w:eastAsia="宋体" w:cs="Times New Roman"/>
                <w:b w:val="0"/>
                <w:bCs w:val="0"/>
                <w:color w:val="auto"/>
                <w:kern w:val="2"/>
                <w:sz w:val="24"/>
                <w:szCs w:val="32"/>
                <w:highlight w:val="none"/>
                <w:lang w:val="en-US" w:eastAsia="zh-CN" w:bidi="ar-SA"/>
              </w:rPr>
              <w:t>不属于《国家污染防治技术指导目录》（2025年版）中的低效类技术。</w:t>
            </w:r>
          </w:p>
          <w:p w14:paraId="60273A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8" w:firstLineChars="200"/>
              <w:jc w:val="left"/>
              <w:textAlignment w:val="auto"/>
              <w:rPr>
                <w:rFonts w:hint="default" w:ascii="Times New Roman" w:hAnsi="Times New Roman" w:eastAsia="宋体" w:cs="宋体"/>
                <w:b/>
                <w:bCs w:val="0"/>
                <w:color w:val="auto"/>
                <w:spacing w:val="-11"/>
                <w:sz w:val="24"/>
                <w:szCs w:val="24"/>
                <w:lang w:val="en-US" w:eastAsia="zh-CN"/>
              </w:rPr>
            </w:pPr>
            <w:r>
              <w:rPr>
                <w:rFonts w:hint="eastAsia" w:ascii="Times New Roman" w:hAnsi="Times New Roman" w:eastAsia="宋体" w:cs="宋体"/>
                <w:b/>
                <w:bCs w:val="0"/>
                <w:color w:val="auto"/>
                <w:spacing w:val="-11"/>
                <w:sz w:val="24"/>
                <w:szCs w:val="24"/>
                <w:lang w:val="en-US" w:eastAsia="zh-CN"/>
              </w:rPr>
              <w:t>1.3正常工况下废气达标分析</w:t>
            </w:r>
          </w:p>
          <w:p w14:paraId="6A3B0B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8" w:firstLineChars="200"/>
              <w:jc w:val="left"/>
              <w:textAlignment w:val="auto"/>
              <w:rPr>
                <w:rFonts w:hint="eastAsia" w:ascii="Times New Roman" w:hAnsi="Times New Roman" w:cs="宋体"/>
                <w:b/>
                <w:bCs w:val="0"/>
                <w:color w:val="auto"/>
                <w:spacing w:val="-11"/>
                <w:sz w:val="24"/>
                <w:szCs w:val="24"/>
                <w:lang w:val="en-US" w:eastAsia="zh-CN"/>
              </w:rPr>
            </w:pPr>
            <w:r>
              <w:rPr>
                <w:rFonts w:hint="eastAsia" w:ascii="Times New Roman" w:hAnsi="Times New Roman" w:cs="宋体"/>
                <w:b/>
                <w:bCs w:val="0"/>
                <w:color w:val="auto"/>
                <w:spacing w:val="-11"/>
                <w:sz w:val="24"/>
                <w:szCs w:val="24"/>
                <w:lang w:val="en-US" w:eastAsia="zh-CN"/>
              </w:rPr>
              <w:t>（1）排气筒达标分析</w:t>
            </w:r>
          </w:p>
          <w:p w14:paraId="4C4AEC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cs="Times New Roman"/>
                <w:color w:val="auto"/>
                <w:sz w:val="24"/>
                <w:szCs w:val="24"/>
                <w:lang w:val="en-US" w:eastAsia="zh-CN"/>
              </w:rPr>
            </w:pPr>
            <w:r>
              <w:rPr>
                <w:rFonts w:hint="eastAsia" w:cs="Times New Roman"/>
                <w:color w:val="auto"/>
                <w:sz w:val="24"/>
                <w:szCs w:val="24"/>
                <w:lang w:val="en-US" w:eastAsia="zh-CN"/>
              </w:rPr>
              <w:t>本项目</w:t>
            </w:r>
            <w:r>
              <w:rPr>
                <w:rFonts w:hint="eastAsia"/>
                <w:color w:val="auto"/>
                <w:sz w:val="24"/>
                <w:szCs w:val="22"/>
                <w:lang w:eastAsia="zh-CN"/>
              </w:rPr>
              <w:t>投料、搅拌过程粉尘产生量为</w:t>
            </w:r>
            <w:r>
              <w:rPr>
                <w:rFonts w:hint="eastAsia"/>
                <w:color w:val="auto"/>
                <w:sz w:val="24"/>
                <w:szCs w:val="22"/>
                <w:lang w:val="en-US" w:eastAsia="zh-CN"/>
              </w:rPr>
              <w:t>2.88</w:t>
            </w:r>
            <w:r>
              <w:rPr>
                <w:rFonts w:hint="eastAsia"/>
                <w:color w:val="auto"/>
                <w:sz w:val="24"/>
                <w:szCs w:val="22"/>
              </w:rPr>
              <w:t>t/a</w:t>
            </w:r>
            <w:r>
              <w:rPr>
                <w:rFonts w:hint="eastAsia"/>
                <w:color w:val="auto"/>
                <w:sz w:val="24"/>
                <w:szCs w:val="22"/>
                <w:lang w:eastAsia="zh-CN"/>
              </w:rPr>
              <w:t>，</w:t>
            </w:r>
            <w:r>
              <w:rPr>
                <w:rFonts w:hint="eastAsia"/>
                <w:sz w:val="24"/>
                <w:szCs w:val="24"/>
              </w:rPr>
              <w:t>工作时间为</w:t>
            </w:r>
            <w:r>
              <w:rPr>
                <w:rFonts w:hint="eastAsia"/>
                <w:sz w:val="24"/>
                <w:szCs w:val="24"/>
                <w:lang w:val="en-US" w:eastAsia="zh-CN"/>
              </w:rPr>
              <w:t>7</w:t>
            </w:r>
            <w:r>
              <w:rPr>
                <w:rFonts w:hint="eastAsia"/>
                <w:sz w:val="24"/>
                <w:szCs w:val="24"/>
              </w:rPr>
              <w:t>200h/a，</w:t>
            </w:r>
            <w:r>
              <w:rPr>
                <w:rFonts w:hint="eastAsia"/>
                <w:color w:val="auto"/>
                <w:sz w:val="24"/>
                <w:szCs w:val="22"/>
                <w:lang w:eastAsia="zh-CN"/>
              </w:rPr>
              <w:t>产生速率为</w:t>
            </w:r>
            <w:r>
              <w:rPr>
                <w:rFonts w:hint="eastAsia"/>
                <w:color w:val="auto"/>
                <w:sz w:val="24"/>
                <w:szCs w:val="22"/>
                <w:lang w:val="en-US" w:eastAsia="zh-CN"/>
              </w:rPr>
              <w:t>0.4</w:t>
            </w:r>
            <w:r>
              <w:rPr>
                <w:rFonts w:hint="eastAsia"/>
                <w:color w:val="auto"/>
                <w:sz w:val="24"/>
                <w:szCs w:val="22"/>
              </w:rPr>
              <w:t>kg/h</w:t>
            </w:r>
            <w:r>
              <w:rPr>
                <w:rFonts w:hint="eastAsia"/>
                <w:sz w:val="24"/>
                <w:szCs w:val="28"/>
                <w:lang w:eastAsia="zh-CN"/>
              </w:rPr>
              <w:t>。</w:t>
            </w:r>
            <w:r>
              <w:rPr>
                <w:rFonts w:hint="eastAsia"/>
                <w:sz w:val="24"/>
                <w:szCs w:val="28"/>
              </w:rPr>
              <w:t>车间配料过程加盖密闭，企业拟在混料设备上料口、搅拌机顶部设置集气罩，</w:t>
            </w:r>
            <w:r>
              <w:rPr>
                <w:rFonts w:hint="eastAsia"/>
                <w:sz w:val="24"/>
                <w:szCs w:val="28"/>
                <w:lang w:val="en-US" w:eastAsia="zh-CN"/>
              </w:rPr>
              <w:t>风机风量3000m³/h，</w:t>
            </w:r>
            <w:r>
              <w:rPr>
                <w:rFonts w:hint="eastAsia"/>
                <w:sz w:val="24"/>
                <w:szCs w:val="28"/>
              </w:rPr>
              <w:t>车间内</w:t>
            </w:r>
            <w:r>
              <w:rPr>
                <w:rFonts w:hint="eastAsia"/>
                <w:sz w:val="24"/>
                <w:szCs w:val="28"/>
                <w:lang w:val="en-US" w:eastAsia="zh-CN"/>
              </w:rPr>
              <w:t>投料</w:t>
            </w:r>
            <w:r>
              <w:rPr>
                <w:rFonts w:hint="eastAsia"/>
                <w:sz w:val="24"/>
                <w:szCs w:val="28"/>
              </w:rPr>
              <w:t>、搅拌过程产生的粉尘</w:t>
            </w:r>
            <w:r>
              <w:rPr>
                <w:rFonts w:hint="eastAsia"/>
                <w:sz w:val="24"/>
              </w:rPr>
              <w:t>收集后</w:t>
            </w:r>
            <w:r>
              <w:rPr>
                <w:rFonts w:hint="eastAsia"/>
                <w:sz w:val="24"/>
                <w:lang w:val="en-US" w:eastAsia="zh-CN"/>
              </w:rPr>
              <w:t>经</w:t>
            </w:r>
            <w:r>
              <w:rPr>
                <w:rFonts w:hint="eastAsia"/>
                <w:sz w:val="24"/>
                <w:szCs w:val="28"/>
              </w:rPr>
              <w:t>袋式除尘器</w:t>
            </w:r>
            <w:r>
              <w:rPr>
                <w:rFonts w:hint="default"/>
                <w:sz w:val="24"/>
              </w:rPr>
              <w:t>（处理效率9</w:t>
            </w:r>
            <w:r>
              <w:rPr>
                <w:rFonts w:hint="eastAsia"/>
                <w:sz w:val="24"/>
              </w:rPr>
              <w:t>0</w:t>
            </w:r>
            <w:r>
              <w:rPr>
                <w:rFonts w:hint="eastAsia"/>
                <w:sz w:val="24"/>
                <w:lang w:val="en-US" w:eastAsia="zh-CN"/>
              </w:rPr>
              <w:t>.6</w:t>
            </w:r>
            <w:r>
              <w:rPr>
                <w:rFonts w:hint="default"/>
                <w:sz w:val="24"/>
              </w:rPr>
              <w:t>%）</w:t>
            </w:r>
            <w:r>
              <w:rPr>
                <w:rFonts w:hint="eastAsia"/>
                <w:sz w:val="24"/>
                <w:szCs w:val="28"/>
              </w:rPr>
              <w:t>处理，</w:t>
            </w:r>
            <w:r>
              <w:rPr>
                <w:rFonts w:hint="eastAsia"/>
                <w:sz w:val="24"/>
                <w:szCs w:val="28"/>
                <w:lang w:val="en-US" w:eastAsia="zh-CN"/>
              </w:rPr>
              <w:t>通过</w:t>
            </w:r>
            <w:r>
              <w:rPr>
                <w:rFonts w:hint="eastAsia"/>
                <w:sz w:val="24"/>
                <w:szCs w:val="28"/>
              </w:rPr>
              <w:t>DA001排气筒高空排放。</w:t>
            </w:r>
            <w:r>
              <w:rPr>
                <w:rFonts w:hint="eastAsia"/>
                <w:color w:val="auto"/>
                <w:sz w:val="24"/>
                <w:szCs w:val="28"/>
                <w:lang w:val="en-US" w:eastAsia="zh-CN"/>
              </w:rPr>
              <w:t>则有组织颗粒物</w:t>
            </w:r>
            <w:r>
              <w:rPr>
                <w:rFonts w:hint="eastAsia"/>
                <w:bCs/>
                <w:color w:val="auto"/>
                <w:sz w:val="24"/>
              </w:rPr>
              <w:t>排放量0.</w:t>
            </w:r>
            <w:r>
              <w:rPr>
                <w:rFonts w:hint="eastAsia"/>
                <w:bCs/>
                <w:color w:val="auto"/>
                <w:sz w:val="24"/>
                <w:lang w:val="en-US" w:eastAsia="zh-CN"/>
              </w:rPr>
              <w:t>27</w:t>
            </w:r>
            <w:r>
              <w:rPr>
                <w:rFonts w:hint="eastAsia"/>
                <w:bCs/>
                <w:color w:val="auto"/>
                <w:sz w:val="24"/>
              </w:rPr>
              <w:t>t/a，排放速率0.0</w:t>
            </w:r>
            <w:r>
              <w:rPr>
                <w:rFonts w:hint="eastAsia"/>
                <w:bCs/>
                <w:color w:val="auto"/>
                <w:sz w:val="24"/>
                <w:lang w:val="en-US" w:eastAsia="zh-CN"/>
              </w:rPr>
              <w:t>4</w:t>
            </w:r>
            <w:r>
              <w:rPr>
                <w:rFonts w:hint="eastAsia"/>
                <w:bCs/>
                <w:color w:val="auto"/>
                <w:sz w:val="24"/>
              </w:rPr>
              <w:t>kg/h，排放浓度</w:t>
            </w:r>
            <w:r>
              <w:rPr>
                <w:rFonts w:hint="eastAsia"/>
                <w:bCs/>
                <w:color w:val="auto"/>
                <w:sz w:val="24"/>
                <w:lang w:val="en-US" w:eastAsia="zh-CN"/>
              </w:rPr>
              <w:t>12.8</w:t>
            </w:r>
            <w:r>
              <w:rPr>
                <w:rFonts w:hint="eastAsia"/>
                <w:bCs/>
                <w:color w:val="auto"/>
                <w:sz w:val="24"/>
              </w:rPr>
              <w:t>mg/m</w:t>
            </w:r>
            <w:r>
              <w:rPr>
                <w:rFonts w:hint="eastAsia"/>
                <w:bCs/>
                <w:color w:val="auto"/>
                <w:sz w:val="24"/>
                <w:vertAlign w:val="superscript"/>
              </w:rPr>
              <w:t>3</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lang w:val="en-US" w:eastAsia="zh-CN"/>
              </w:rPr>
              <w:t>有组织</w:t>
            </w:r>
            <w:r>
              <w:rPr>
                <w:rFonts w:hint="eastAsia" w:ascii="Times New Roman" w:hAnsi="Times New Roman" w:cs="Times New Roman"/>
                <w:color w:val="auto"/>
                <w:sz w:val="24"/>
                <w:szCs w:val="22"/>
                <w:lang w:val="en-US" w:eastAsia="zh-CN"/>
              </w:rPr>
              <w:t>颗粒物</w:t>
            </w:r>
            <w:r>
              <w:rPr>
                <w:rFonts w:hint="default" w:ascii="Times New Roman" w:hAnsi="Times New Roman" w:cs="Times New Roman"/>
                <w:color w:val="auto"/>
                <w:sz w:val="24"/>
                <w:szCs w:val="22"/>
                <w:lang w:val="en-US" w:eastAsia="zh-CN"/>
              </w:rPr>
              <w:t>排放满足</w:t>
            </w:r>
            <w:r>
              <w:rPr>
                <w:rFonts w:hint="default" w:ascii="Times New Roman" w:hAnsi="Times New Roman" w:cs="Times New Roman"/>
                <w:bCs/>
                <w:color w:val="000000"/>
                <w:sz w:val="24"/>
              </w:rPr>
              <w:t>《区域性大气污染物综合排放标准》（DB37/2376-2019）表1</w:t>
            </w:r>
            <w:r>
              <w:rPr>
                <w:rFonts w:hint="eastAsia" w:ascii="Times New Roman" w:hAnsi="Times New Roman" w:cs="Times New Roman"/>
                <w:bCs/>
                <w:color w:val="000000"/>
                <w:sz w:val="24"/>
                <w:lang w:val="en-US" w:eastAsia="zh-CN"/>
              </w:rPr>
              <w:t>一般</w:t>
            </w:r>
            <w:r>
              <w:rPr>
                <w:rFonts w:hint="default" w:ascii="Times New Roman" w:hAnsi="Times New Roman" w:cs="Times New Roman"/>
                <w:bCs/>
                <w:color w:val="000000"/>
                <w:sz w:val="24"/>
              </w:rPr>
              <w:t>控制区大气污染物排放浓度限值要求</w:t>
            </w:r>
            <w:r>
              <w:rPr>
                <w:rFonts w:hint="eastAsia" w:ascii="Times New Roman" w:hAnsi="Times New Roman" w:cs="Times New Roman"/>
                <w:sz w:val="24"/>
                <w:lang w:val="en-US" w:eastAsia="zh-CN"/>
              </w:rPr>
              <w:t>。</w:t>
            </w:r>
          </w:p>
          <w:p w14:paraId="2C70A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宋体"/>
                <w:b/>
                <w:bCs w:val="0"/>
                <w:color w:val="auto"/>
                <w:spacing w:val="-11"/>
                <w:sz w:val="24"/>
                <w:szCs w:val="24"/>
                <w:lang w:val="en-US" w:eastAsia="zh-CN"/>
              </w:rPr>
            </w:pPr>
            <w:r>
              <w:rPr>
                <w:rFonts w:hint="eastAsia"/>
                <w:sz w:val="24"/>
                <w:szCs w:val="24"/>
              </w:rPr>
              <w:t>项目</w:t>
            </w:r>
            <w:r>
              <w:rPr>
                <w:rFonts w:hint="eastAsia"/>
                <w:sz w:val="24"/>
                <w:szCs w:val="24"/>
                <w:lang w:val="en-US" w:eastAsia="zh-CN"/>
              </w:rPr>
              <w:t>烘干、</w:t>
            </w:r>
            <w:r>
              <w:rPr>
                <w:rFonts w:hint="eastAsia"/>
                <w:sz w:val="24"/>
                <w:szCs w:val="24"/>
              </w:rPr>
              <w:t>印刷、胶钉过程中VOCs产生量总计</w:t>
            </w:r>
            <w:r>
              <w:rPr>
                <w:rFonts w:hint="eastAsia"/>
                <w:sz w:val="24"/>
                <w:szCs w:val="24"/>
                <w:lang w:val="en-US" w:eastAsia="zh-CN"/>
              </w:rPr>
              <w:t>1.0816</w:t>
            </w:r>
            <w:r>
              <w:rPr>
                <w:rFonts w:hint="eastAsia"/>
                <w:sz w:val="24"/>
                <w:szCs w:val="24"/>
              </w:rPr>
              <w:t>t/a，本环评要求生产过程在封闭车间进行，</w:t>
            </w:r>
            <w:r>
              <w:rPr>
                <w:rFonts w:hint="eastAsia"/>
                <w:sz w:val="24"/>
                <w:szCs w:val="24"/>
                <w:lang w:val="en-US" w:eastAsia="zh-CN"/>
              </w:rPr>
              <w:t>烘干设备进出口设置集气罩，</w:t>
            </w:r>
            <w:r>
              <w:rPr>
                <w:rFonts w:hint="eastAsia"/>
                <w:sz w:val="24"/>
                <w:szCs w:val="24"/>
              </w:rPr>
              <w:t>印刷机和胶钉机上方均设置集气罩，收集效率为90%，则收集的有组织废气为</w:t>
            </w:r>
            <w:r>
              <w:rPr>
                <w:rFonts w:hint="eastAsia"/>
                <w:sz w:val="24"/>
                <w:szCs w:val="24"/>
                <w:lang w:val="en-US" w:eastAsia="zh-CN"/>
              </w:rPr>
              <w:t>0.97</w:t>
            </w:r>
            <w:r>
              <w:rPr>
                <w:rFonts w:hint="eastAsia"/>
                <w:sz w:val="24"/>
                <w:szCs w:val="24"/>
              </w:rPr>
              <w:t>t/a，经风机抽送至二级活性炭吸附装置处理后通过DA002排气筒排放。二级活性炭吸附处理效率为9</w:t>
            </w:r>
            <w:r>
              <w:rPr>
                <w:rFonts w:hint="eastAsia"/>
                <w:sz w:val="24"/>
                <w:szCs w:val="24"/>
                <w:lang w:val="en-US" w:eastAsia="zh-CN"/>
              </w:rPr>
              <w:t>0</w:t>
            </w:r>
            <w:r>
              <w:rPr>
                <w:rFonts w:hint="eastAsia"/>
                <w:sz w:val="24"/>
                <w:szCs w:val="24"/>
              </w:rPr>
              <w:t>%，设计风机风量为</w:t>
            </w:r>
            <w:r>
              <w:rPr>
                <w:rFonts w:hint="eastAsia"/>
                <w:sz w:val="24"/>
                <w:szCs w:val="24"/>
                <w:lang w:val="en-US" w:eastAsia="zh-CN"/>
              </w:rPr>
              <w:t>3</w:t>
            </w:r>
            <w:r>
              <w:rPr>
                <w:rFonts w:hint="eastAsia"/>
                <w:sz w:val="24"/>
                <w:szCs w:val="24"/>
              </w:rPr>
              <w:t>000m</w:t>
            </w:r>
            <w:r>
              <w:rPr>
                <w:rFonts w:hint="eastAsia"/>
                <w:sz w:val="24"/>
                <w:szCs w:val="24"/>
                <w:vertAlign w:val="superscript"/>
              </w:rPr>
              <w:t>3</w:t>
            </w:r>
            <w:r>
              <w:rPr>
                <w:rFonts w:hint="eastAsia"/>
                <w:sz w:val="24"/>
                <w:szCs w:val="24"/>
              </w:rPr>
              <w:t>/h，工作时间为</w:t>
            </w:r>
            <w:r>
              <w:rPr>
                <w:rFonts w:hint="eastAsia"/>
                <w:sz w:val="24"/>
                <w:szCs w:val="24"/>
                <w:lang w:val="en-US" w:eastAsia="zh-CN"/>
              </w:rPr>
              <w:t>7</w:t>
            </w:r>
            <w:r>
              <w:rPr>
                <w:rFonts w:hint="eastAsia"/>
                <w:sz w:val="24"/>
                <w:szCs w:val="24"/>
              </w:rPr>
              <w:t>200h/a，处理后有组织VOCs排放量为0.</w:t>
            </w:r>
            <w:r>
              <w:rPr>
                <w:rFonts w:hint="eastAsia"/>
                <w:sz w:val="24"/>
                <w:szCs w:val="24"/>
                <w:lang w:val="en-US" w:eastAsia="zh-CN"/>
              </w:rPr>
              <w:t>1</w:t>
            </w:r>
            <w:r>
              <w:rPr>
                <w:rFonts w:hint="eastAsia"/>
                <w:sz w:val="24"/>
                <w:szCs w:val="24"/>
              </w:rPr>
              <w:t>t/a</w:t>
            </w:r>
            <w:r>
              <w:rPr>
                <w:rFonts w:hint="eastAsia"/>
                <w:sz w:val="24"/>
                <w:szCs w:val="24"/>
                <w:highlight w:val="none"/>
              </w:rPr>
              <w:t>，排放浓度为</w:t>
            </w:r>
            <w:r>
              <w:rPr>
                <w:rFonts w:hint="eastAsia"/>
                <w:sz w:val="24"/>
                <w:szCs w:val="24"/>
                <w:highlight w:val="none"/>
                <w:lang w:val="en-US" w:eastAsia="zh-CN"/>
              </w:rPr>
              <w:t>4.51</w:t>
            </w:r>
            <w:r>
              <w:rPr>
                <w:rFonts w:hint="eastAsia"/>
                <w:sz w:val="24"/>
                <w:szCs w:val="24"/>
                <w:highlight w:val="none"/>
              </w:rPr>
              <w:t>mg/m</w:t>
            </w:r>
            <w:r>
              <w:rPr>
                <w:rFonts w:hint="eastAsia"/>
                <w:sz w:val="24"/>
                <w:szCs w:val="24"/>
                <w:highlight w:val="none"/>
                <w:vertAlign w:val="superscript"/>
              </w:rPr>
              <w:t>3</w:t>
            </w:r>
            <w:r>
              <w:rPr>
                <w:rFonts w:hint="eastAsia"/>
                <w:sz w:val="24"/>
                <w:szCs w:val="24"/>
                <w:highlight w:val="none"/>
              </w:rPr>
              <w:t>，</w:t>
            </w:r>
            <w:r>
              <w:rPr>
                <w:rFonts w:hint="eastAsia"/>
                <w:sz w:val="24"/>
                <w:szCs w:val="24"/>
              </w:rPr>
              <w:t>排放速率为</w:t>
            </w:r>
            <w:r>
              <w:rPr>
                <w:rFonts w:hint="eastAsia"/>
                <w:sz w:val="24"/>
                <w:szCs w:val="24"/>
                <w:lang w:val="en-US" w:eastAsia="zh-CN"/>
              </w:rPr>
              <w:t>0.01</w:t>
            </w:r>
            <w:r>
              <w:rPr>
                <w:rFonts w:hint="eastAsia"/>
                <w:sz w:val="24"/>
                <w:szCs w:val="24"/>
              </w:rPr>
              <w:t>kg/h</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lang w:val="en-US" w:eastAsia="zh-CN"/>
              </w:rPr>
              <w:t>有组织VOCs排放满足</w:t>
            </w:r>
            <w:r>
              <w:rPr>
                <w:rFonts w:hint="eastAsia"/>
                <w:sz w:val="24"/>
                <w:lang w:eastAsia="zh-CN"/>
              </w:rPr>
              <w:t>《挥发性有机物排放标准 第4部分：印刷业》（DB37/2801.</w:t>
            </w:r>
            <w:r>
              <w:rPr>
                <w:rFonts w:hint="eastAsia"/>
                <w:sz w:val="24"/>
                <w:lang w:val="en-US" w:eastAsia="zh-CN"/>
              </w:rPr>
              <w:t>4</w:t>
            </w:r>
            <w:r>
              <w:rPr>
                <w:rFonts w:hint="eastAsia"/>
                <w:sz w:val="24"/>
                <w:lang w:eastAsia="zh-CN"/>
              </w:rPr>
              <w:t>-201</w:t>
            </w:r>
            <w:r>
              <w:rPr>
                <w:rFonts w:hint="eastAsia"/>
                <w:sz w:val="24"/>
                <w:lang w:val="en-US" w:eastAsia="zh-CN"/>
              </w:rPr>
              <w:t>7</w:t>
            </w:r>
            <w:r>
              <w:rPr>
                <w:rFonts w:hint="eastAsia"/>
                <w:sz w:val="24"/>
                <w:lang w:eastAsia="zh-CN"/>
              </w:rPr>
              <w:t>）</w:t>
            </w:r>
            <w:r>
              <w:rPr>
                <w:rFonts w:hint="default" w:ascii="Times New Roman" w:hAnsi="Times New Roman" w:cs="Times New Roman"/>
                <w:color w:val="auto"/>
                <w:sz w:val="24"/>
              </w:rPr>
              <w:t>表</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标准</w:t>
            </w:r>
            <w:r>
              <w:rPr>
                <w:rFonts w:hint="default" w:ascii="Times New Roman" w:hAnsi="Times New Roman" w:cs="Times New Roman"/>
                <w:color w:val="auto"/>
                <w:sz w:val="24"/>
                <w:lang w:val="en-US" w:eastAsia="zh-CN"/>
              </w:rPr>
              <w:t>要求</w:t>
            </w:r>
            <w:r>
              <w:rPr>
                <w:rFonts w:hint="eastAsia" w:ascii="Times New Roman" w:hAnsi="Times New Roman" w:cs="Times New Roman"/>
                <w:color w:val="auto"/>
                <w:sz w:val="24"/>
                <w:lang w:val="en-US" w:eastAsia="zh-CN"/>
              </w:rPr>
              <w:t>。</w:t>
            </w:r>
          </w:p>
          <w:p w14:paraId="19F3E7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8" w:firstLineChars="200"/>
              <w:jc w:val="left"/>
              <w:textAlignment w:val="auto"/>
              <w:rPr>
                <w:rFonts w:hint="eastAsia" w:ascii="Times New Roman" w:hAnsi="Times New Roman" w:cs="宋体"/>
                <w:b/>
                <w:bCs w:val="0"/>
                <w:color w:val="auto"/>
                <w:spacing w:val="-11"/>
                <w:sz w:val="24"/>
                <w:szCs w:val="24"/>
                <w:lang w:val="en-US" w:eastAsia="zh-CN"/>
              </w:rPr>
            </w:pPr>
            <w:r>
              <w:rPr>
                <w:rFonts w:hint="eastAsia" w:ascii="Times New Roman" w:hAnsi="Times New Roman" w:cs="宋体"/>
                <w:b/>
                <w:bCs w:val="0"/>
                <w:color w:val="auto"/>
                <w:spacing w:val="-11"/>
                <w:sz w:val="24"/>
                <w:szCs w:val="24"/>
                <w:lang w:val="en-US" w:eastAsia="zh-CN"/>
              </w:rPr>
              <w:t>（2）厂界废气达标分析</w:t>
            </w:r>
          </w:p>
          <w:p w14:paraId="5960CA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6" w:firstLineChars="200"/>
              <w:jc w:val="both"/>
              <w:textAlignment w:val="auto"/>
              <w:rPr>
                <w:rFonts w:hint="default" w:ascii="Times New Roman" w:hAnsi="Times New Roman" w:cs="宋体"/>
                <w:bCs/>
                <w:color w:val="auto"/>
                <w:spacing w:val="-11"/>
                <w:sz w:val="24"/>
                <w:szCs w:val="24"/>
                <w:lang w:val="en-US" w:eastAsia="zh-CN"/>
              </w:rPr>
            </w:pPr>
            <w:r>
              <w:rPr>
                <w:rFonts w:hint="eastAsia" w:ascii="Times New Roman" w:hAnsi="Times New Roman" w:cs="宋体"/>
                <w:bCs/>
                <w:color w:val="auto"/>
                <w:spacing w:val="-11"/>
                <w:sz w:val="24"/>
                <w:szCs w:val="24"/>
                <w:lang w:val="en-US" w:eastAsia="zh-CN"/>
              </w:rPr>
              <w:t>据《环境影响评价技术导则 大气环境》（HJ2.2-2018）中推荐的 AERSCREEN（不考虑地形）模型对正常工况下</w:t>
            </w:r>
            <w:r>
              <w:rPr>
                <w:rFonts w:hint="eastAsia" w:cs="宋体"/>
                <w:bCs/>
                <w:color w:val="auto"/>
                <w:spacing w:val="-11"/>
                <w:sz w:val="24"/>
                <w:szCs w:val="24"/>
                <w:lang w:val="en-US" w:eastAsia="zh-CN"/>
              </w:rPr>
              <w:t>颗粒物、VOCs</w:t>
            </w:r>
            <w:r>
              <w:rPr>
                <w:rFonts w:hint="eastAsia" w:ascii="Times New Roman" w:hAnsi="Times New Roman" w:cs="宋体"/>
                <w:bCs/>
                <w:color w:val="auto"/>
                <w:spacing w:val="-11"/>
                <w:sz w:val="24"/>
                <w:szCs w:val="24"/>
                <w:lang w:val="en-US" w:eastAsia="zh-CN"/>
              </w:rPr>
              <w:t>的环境影响计算结果，本项目</w:t>
            </w:r>
            <w:r>
              <w:rPr>
                <w:rFonts w:hint="eastAsia" w:cs="宋体"/>
                <w:bCs/>
                <w:color w:val="auto"/>
                <w:spacing w:val="-11"/>
                <w:sz w:val="24"/>
                <w:szCs w:val="24"/>
                <w:lang w:val="en-US" w:eastAsia="zh-CN"/>
              </w:rPr>
              <w:t>颗粒物、VOCs</w:t>
            </w:r>
            <w:r>
              <w:rPr>
                <w:rFonts w:hint="eastAsia" w:ascii="Times New Roman" w:hAnsi="Times New Roman" w:cs="宋体"/>
                <w:bCs/>
                <w:color w:val="auto"/>
                <w:spacing w:val="-11"/>
                <w:sz w:val="24"/>
                <w:szCs w:val="24"/>
                <w:lang w:val="en-US" w:eastAsia="zh-CN"/>
              </w:rPr>
              <w:t>最大落地浓度值见表4-</w:t>
            </w:r>
            <w:r>
              <w:rPr>
                <w:rFonts w:hint="eastAsia" w:cs="宋体"/>
                <w:bCs/>
                <w:color w:val="auto"/>
                <w:spacing w:val="-11"/>
                <w:sz w:val="24"/>
                <w:szCs w:val="24"/>
                <w:lang w:val="en-US" w:eastAsia="zh-CN"/>
              </w:rPr>
              <w:t>3</w:t>
            </w:r>
            <w:r>
              <w:rPr>
                <w:rFonts w:hint="eastAsia" w:ascii="Times New Roman" w:hAnsi="Times New Roman" w:cs="宋体"/>
                <w:bCs/>
                <w:color w:val="auto"/>
                <w:spacing w:val="-11"/>
                <w:sz w:val="24"/>
                <w:szCs w:val="24"/>
                <w:lang w:val="en-US" w:eastAsia="zh-CN"/>
              </w:rPr>
              <w:t>。</w:t>
            </w:r>
          </w:p>
          <w:p w14:paraId="498F7A6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szCs w:val="24"/>
                <w:highlight w:val="yellow"/>
                <w:lang w:val="en-US" w:eastAsia="zh-CN"/>
              </w:rPr>
            </w:pPr>
            <w:r>
              <w:rPr>
                <w:rFonts w:hint="eastAsia" w:ascii="Times New Roman" w:hAnsi="Times New Roman" w:eastAsia="宋体" w:cs="Times New Roman"/>
                <w:b/>
                <w:color w:val="auto"/>
                <w:sz w:val="24"/>
                <w:szCs w:val="24"/>
                <w:highlight w:val="none"/>
                <w:lang w:val="en-US" w:eastAsia="zh-CN"/>
              </w:rPr>
              <w:t>表4-</w:t>
            </w:r>
            <w:r>
              <w:rPr>
                <w:rFonts w:hint="eastAsia"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lang w:val="en-US" w:eastAsia="zh-CN"/>
              </w:rPr>
              <w:t xml:space="preserve">  厂界污染物排放达标分析</w:t>
            </w:r>
          </w:p>
          <w:tbl>
            <w:tblPr>
              <w:tblStyle w:val="35"/>
              <w:tblW w:w="476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396"/>
              <w:gridCol w:w="1635"/>
              <w:gridCol w:w="3371"/>
              <w:gridCol w:w="777"/>
            </w:tblGrid>
            <w:tr w14:paraId="369FD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tcBorders>
                    <w:tl2br w:val="nil"/>
                    <w:tr2bl w:val="nil"/>
                  </w:tcBorders>
                  <w:noWrap w:val="0"/>
                  <w:vAlign w:val="center"/>
                </w:tcPr>
                <w:p w14:paraId="7D33C3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宋体"/>
                      <w:b/>
                      <w:bCs w:val="0"/>
                      <w:color w:val="auto"/>
                      <w:spacing w:val="-11"/>
                      <w:sz w:val="21"/>
                      <w:szCs w:val="21"/>
                      <w:highlight w:val="none"/>
                      <w:vertAlign w:val="baseline"/>
                      <w:lang w:val="en-US" w:eastAsia="zh-CN"/>
                    </w:rPr>
                  </w:pPr>
                  <w:r>
                    <w:rPr>
                      <w:rFonts w:hint="eastAsia" w:ascii="Times New Roman" w:hAnsi="Times New Roman" w:cs="宋体"/>
                      <w:b/>
                      <w:bCs w:val="0"/>
                      <w:color w:val="auto"/>
                      <w:spacing w:val="-11"/>
                      <w:sz w:val="21"/>
                      <w:szCs w:val="21"/>
                      <w:highlight w:val="none"/>
                      <w:vertAlign w:val="baseline"/>
                      <w:lang w:val="en-US" w:eastAsia="zh-CN"/>
                    </w:rPr>
                    <w:t>污染物名称</w:t>
                  </w:r>
                </w:p>
              </w:tc>
              <w:tc>
                <w:tcPr>
                  <w:tcW w:w="864" w:type="pct"/>
                  <w:tcBorders>
                    <w:tl2br w:val="nil"/>
                    <w:tr2bl w:val="nil"/>
                  </w:tcBorders>
                  <w:noWrap w:val="0"/>
                  <w:vAlign w:val="center"/>
                </w:tcPr>
                <w:p w14:paraId="63DA48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宋体"/>
                      <w:b/>
                      <w:bCs w:val="0"/>
                      <w:color w:val="auto"/>
                      <w:spacing w:val="-11"/>
                      <w:sz w:val="21"/>
                      <w:szCs w:val="21"/>
                      <w:highlight w:val="none"/>
                      <w:vertAlign w:val="baseline"/>
                      <w:lang w:val="en-US" w:eastAsia="zh-CN"/>
                    </w:rPr>
                  </w:pPr>
                  <w:r>
                    <w:rPr>
                      <w:rFonts w:hint="eastAsia" w:ascii="Times New Roman" w:hAnsi="Times New Roman" w:cs="宋体"/>
                      <w:b/>
                      <w:bCs w:val="0"/>
                      <w:color w:val="auto"/>
                      <w:spacing w:val="-11"/>
                      <w:sz w:val="21"/>
                      <w:szCs w:val="21"/>
                      <w:highlight w:val="none"/>
                      <w:vertAlign w:val="baseline"/>
                      <w:lang w:val="en-US" w:eastAsia="zh-CN"/>
                    </w:rPr>
                    <w:t>最大落地浓度（mg/m</w:t>
                  </w:r>
                  <w:r>
                    <w:rPr>
                      <w:rFonts w:hint="eastAsia" w:ascii="Times New Roman" w:hAnsi="Times New Roman" w:cs="宋体"/>
                      <w:b/>
                      <w:bCs w:val="0"/>
                      <w:color w:val="auto"/>
                      <w:spacing w:val="-11"/>
                      <w:sz w:val="21"/>
                      <w:szCs w:val="21"/>
                      <w:highlight w:val="none"/>
                      <w:vertAlign w:val="superscript"/>
                      <w:lang w:val="en-US" w:eastAsia="zh-CN"/>
                    </w:rPr>
                    <w:t>3</w:t>
                  </w:r>
                  <w:r>
                    <w:rPr>
                      <w:rFonts w:hint="eastAsia" w:ascii="Times New Roman" w:hAnsi="Times New Roman" w:cs="宋体"/>
                      <w:b/>
                      <w:bCs w:val="0"/>
                      <w:color w:val="auto"/>
                      <w:spacing w:val="-11"/>
                      <w:sz w:val="21"/>
                      <w:szCs w:val="21"/>
                      <w:highlight w:val="none"/>
                      <w:vertAlign w:val="baseline"/>
                      <w:lang w:val="en-US" w:eastAsia="zh-CN"/>
                    </w:rPr>
                    <w:t>）</w:t>
                  </w:r>
                </w:p>
              </w:tc>
              <w:tc>
                <w:tcPr>
                  <w:tcW w:w="1012" w:type="pct"/>
                  <w:tcBorders>
                    <w:tl2br w:val="nil"/>
                    <w:tr2bl w:val="nil"/>
                  </w:tcBorders>
                  <w:noWrap w:val="0"/>
                  <w:vAlign w:val="center"/>
                </w:tcPr>
                <w:p w14:paraId="6A46DE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宋体"/>
                      <w:b/>
                      <w:bCs w:val="0"/>
                      <w:color w:val="auto"/>
                      <w:spacing w:val="-11"/>
                      <w:sz w:val="21"/>
                      <w:szCs w:val="21"/>
                      <w:highlight w:val="none"/>
                      <w:vertAlign w:val="baseline"/>
                      <w:lang w:val="en-US" w:eastAsia="zh-CN"/>
                    </w:rPr>
                  </w:pPr>
                  <w:r>
                    <w:rPr>
                      <w:rFonts w:hint="eastAsia" w:ascii="Times New Roman" w:hAnsi="Times New Roman" w:cs="宋体"/>
                      <w:b/>
                      <w:bCs w:val="0"/>
                      <w:color w:val="auto"/>
                      <w:spacing w:val="-11"/>
                      <w:sz w:val="21"/>
                      <w:szCs w:val="21"/>
                      <w:highlight w:val="none"/>
                      <w:vertAlign w:val="baseline"/>
                      <w:lang w:val="en-US" w:eastAsia="zh-CN"/>
                    </w:rPr>
                    <w:t>厂界监控浓度限值（mg/m</w:t>
                  </w:r>
                  <w:r>
                    <w:rPr>
                      <w:rFonts w:hint="eastAsia" w:ascii="Times New Roman" w:hAnsi="Times New Roman" w:cs="宋体"/>
                      <w:b/>
                      <w:bCs w:val="0"/>
                      <w:color w:val="auto"/>
                      <w:spacing w:val="-11"/>
                      <w:sz w:val="21"/>
                      <w:szCs w:val="21"/>
                      <w:highlight w:val="none"/>
                      <w:vertAlign w:val="superscript"/>
                      <w:lang w:val="en-US" w:eastAsia="zh-CN"/>
                    </w:rPr>
                    <w:t>3</w:t>
                  </w:r>
                  <w:r>
                    <w:rPr>
                      <w:rFonts w:hint="eastAsia" w:ascii="Times New Roman" w:hAnsi="Times New Roman" w:cs="宋体"/>
                      <w:b/>
                      <w:bCs w:val="0"/>
                      <w:color w:val="auto"/>
                      <w:spacing w:val="-11"/>
                      <w:sz w:val="21"/>
                      <w:szCs w:val="21"/>
                      <w:highlight w:val="none"/>
                      <w:vertAlign w:val="baseline"/>
                      <w:lang w:val="en-US" w:eastAsia="zh-CN"/>
                    </w:rPr>
                    <w:t>）</w:t>
                  </w:r>
                </w:p>
              </w:tc>
              <w:tc>
                <w:tcPr>
                  <w:tcW w:w="2087" w:type="pct"/>
                  <w:tcBorders>
                    <w:tl2br w:val="nil"/>
                    <w:tr2bl w:val="nil"/>
                  </w:tcBorders>
                  <w:noWrap w:val="0"/>
                  <w:vAlign w:val="center"/>
                </w:tcPr>
                <w:p w14:paraId="7C73B3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宋体"/>
                      <w:b/>
                      <w:bCs w:val="0"/>
                      <w:color w:val="auto"/>
                      <w:spacing w:val="-11"/>
                      <w:sz w:val="21"/>
                      <w:szCs w:val="21"/>
                      <w:highlight w:val="none"/>
                      <w:vertAlign w:val="baseline"/>
                      <w:lang w:val="en-US" w:eastAsia="zh-CN"/>
                    </w:rPr>
                  </w:pPr>
                  <w:r>
                    <w:rPr>
                      <w:rFonts w:hint="eastAsia" w:ascii="Times New Roman" w:hAnsi="Times New Roman" w:cs="宋体"/>
                      <w:b/>
                      <w:bCs w:val="0"/>
                      <w:color w:val="auto"/>
                      <w:spacing w:val="-11"/>
                      <w:sz w:val="21"/>
                      <w:szCs w:val="21"/>
                      <w:highlight w:val="none"/>
                      <w:vertAlign w:val="baseline"/>
                      <w:lang w:val="en-US" w:eastAsia="zh-CN"/>
                    </w:rPr>
                    <w:t>标准来源</w:t>
                  </w:r>
                </w:p>
              </w:tc>
              <w:tc>
                <w:tcPr>
                  <w:tcW w:w="481" w:type="pct"/>
                  <w:tcBorders>
                    <w:tl2br w:val="nil"/>
                    <w:tr2bl w:val="nil"/>
                  </w:tcBorders>
                  <w:noWrap w:val="0"/>
                  <w:vAlign w:val="center"/>
                </w:tcPr>
                <w:p w14:paraId="4D3DEA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宋体"/>
                      <w:b/>
                      <w:bCs w:val="0"/>
                      <w:color w:val="auto"/>
                      <w:spacing w:val="-11"/>
                      <w:sz w:val="21"/>
                      <w:szCs w:val="21"/>
                      <w:highlight w:val="none"/>
                      <w:vertAlign w:val="baseline"/>
                      <w:lang w:val="en-US" w:eastAsia="zh-CN"/>
                    </w:rPr>
                  </w:pPr>
                  <w:r>
                    <w:rPr>
                      <w:rFonts w:hint="eastAsia" w:ascii="Times New Roman" w:hAnsi="Times New Roman" w:cs="宋体"/>
                      <w:b/>
                      <w:bCs w:val="0"/>
                      <w:color w:val="auto"/>
                      <w:spacing w:val="-11"/>
                      <w:sz w:val="21"/>
                      <w:szCs w:val="21"/>
                      <w:highlight w:val="none"/>
                      <w:vertAlign w:val="baseline"/>
                      <w:lang w:val="en-US" w:eastAsia="zh-CN"/>
                    </w:rPr>
                    <w:t>达标分析</w:t>
                  </w:r>
                </w:p>
              </w:tc>
            </w:tr>
            <w:tr w14:paraId="253A2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tcBorders>
                    <w:tl2br w:val="nil"/>
                    <w:tr2bl w:val="nil"/>
                  </w:tcBorders>
                  <w:noWrap w:val="0"/>
                  <w:vAlign w:val="center"/>
                </w:tcPr>
                <w:p w14:paraId="79692163">
                  <w:pPr>
                    <w:keepNext w:val="0"/>
                    <w:keepLines w:val="0"/>
                    <w:widowControl/>
                    <w:suppressLineNumbers w:val="0"/>
                    <w:spacing w:before="0" w:beforeAutospacing="0" w:after="0" w:afterAutospacing="0"/>
                    <w:ind w:left="0" w:right="0"/>
                    <w:jc w:val="center"/>
                    <w:textAlignment w:val="center"/>
                    <w:rPr>
                      <w:rFonts w:hint="default" w:cs="Times New Roman"/>
                      <w:bCs/>
                      <w:color w:val="auto"/>
                      <w:spacing w:val="-11"/>
                      <w:sz w:val="21"/>
                      <w:szCs w:val="21"/>
                      <w:vertAlign w:val="baseline"/>
                      <w:lang w:val="en-US" w:eastAsia="zh-CN"/>
                    </w:rPr>
                  </w:pPr>
                  <w:r>
                    <w:rPr>
                      <w:rFonts w:hint="eastAsia" w:cs="Times New Roman"/>
                      <w:bCs/>
                      <w:color w:val="auto"/>
                      <w:spacing w:val="-11"/>
                      <w:sz w:val="21"/>
                      <w:szCs w:val="21"/>
                      <w:vertAlign w:val="baseline"/>
                      <w:lang w:val="en-US" w:eastAsia="zh-CN"/>
                    </w:rPr>
                    <w:t>颗粒物</w:t>
                  </w:r>
                </w:p>
              </w:tc>
              <w:tc>
                <w:tcPr>
                  <w:tcW w:w="864" w:type="pct"/>
                  <w:tcBorders>
                    <w:tl2br w:val="nil"/>
                    <w:tr2bl w:val="nil"/>
                  </w:tcBorders>
                  <w:noWrap w:val="0"/>
                  <w:vAlign w:val="center"/>
                </w:tcPr>
                <w:p w14:paraId="70E418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宋体"/>
                      <w:bCs/>
                      <w:color w:val="auto"/>
                      <w:spacing w:val="-11"/>
                      <w:sz w:val="21"/>
                      <w:szCs w:val="21"/>
                      <w:highlight w:val="yellow"/>
                      <w:vertAlign w:val="baseline"/>
                      <w:lang w:val="en-US" w:eastAsia="zh-CN"/>
                    </w:rPr>
                  </w:pPr>
                  <w:r>
                    <w:rPr>
                      <w:rFonts w:hint="eastAsia" w:cs="宋体"/>
                      <w:bCs/>
                      <w:color w:val="auto"/>
                      <w:spacing w:val="-11"/>
                      <w:sz w:val="21"/>
                      <w:szCs w:val="21"/>
                      <w:highlight w:val="none"/>
                      <w:vertAlign w:val="baseline"/>
                      <w:lang w:val="en-US" w:eastAsia="zh-CN"/>
                    </w:rPr>
                    <w:t>0.00478</w:t>
                  </w:r>
                </w:p>
              </w:tc>
              <w:tc>
                <w:tcPr>
                  <w:tcW w:w="1012" w:type="pct"/>
                  <w:tcBorders>
                    <w:tl2br w:val="nil"/>
                    <w:tr2bl w:val="nil"/>
                  </w:tcBorders>
                  <w:noWrap w:val="0"/>
                  <w:vAlign w:val="center"/>
                </w:tcPr>
                <w:p w14:paraId="62306FEB">
                  <w:pPr>
                    <w:pStyle w:val="27"/>
                    <w:keepNext w:val="0"/>
                    <w:keepLines w:val="0"/>
                    <w:suppressLineNumbers w:val="0"/>
                    <w:spacing w:before="0" w:beforeAutospacing="0" w:after="0" w:afterAutospacing="0" w:line="240" w:lineRule="auto"/>
                    <w:ind w:left="0" w:right="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2087" w:type="pct"/>
                  <w:tcBorders>
                    <w:tl2br w:val="nil"/>
                    <w:tr2bl w:val="nil"/>
                  </w:tcBorders>
                  <w:noWrap w:val="0"/>
                  <w:vAlign w:val="center"/>
                </w:tcPr>
                <w:p w14:paraId="6329E8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rPr>
                  </w:pPr>
                  <w:r>
                    <w:rPr>
                      <w:rFonts w:hint="default" w:ascii="Times New Roman" w:hAnsi="Times New Roman" w:eastAsia="宋体" w:cs="Times New Roman"/>
                      <w:color w:val="auto"/>
                      <w:sz w:val="21"/>
                      <w:szCs w:val="21"/>
                      <w:lang w:val="en-US" w:eastAsia="zh-CN"/>
                    </w:rPr>
                    <w:t>《大气污染物综合排放标准》（GB16297-1996）</w:t>
                  </w:r>
                </w:p>
              </w:tc>
              <w:tc>
                <w:tcPr>
                  <w:tcW w:w="481" w:type="pct"/>
                  <w:tcBorders>
                    <w:tl2br w:val="nil"/>
                    <w:tr2bl w:val="nil"/>
                  </w:tcBorders>
                  <w:noWrap w:val="0"/>
                  <w:vAlign w:val="center"/>
                </w:tcPr>
                <w:p w14:paraId="1B99C3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宋体"/>
                      <w:bCs/>
                      <w:color w:val="auto"/>
                      <w:spacing w:val="-11"/>
                      <w:sz w:val="21"/>
                      <w:szCs w:val="21"/>
                      <w:highlight w:val="none"/>
                      <w:vertAlign w:val="baseline"/>
                      <w:lang w:val="en-US" w:eastAsia="zh-CN"/>
                    </w:rPr>
                  </w:pPr>
                  <w:r>
                    <w:rPr>
                      <w:rFonts w:hint="eastAsia" w:cs="宋体"/>
                      <w:bCs/>
                      <w:color w:val="auto"/>
                      <w:spacing w:val="-11"/>
                      <w:sz w:val="21"/>
                      <w:szCs w:val="21"/>
                      <w:highlight w:val="none"/>
                      <w:vertAlign w:val="baseline"/>
                      <w:lang w:val="en-US" w:eastAsia="zh-CN"/>
                    </w:rPr>
                    <w:t>达标</w:t>
                  </w:r>
                </w:p>
              </w:tc>
            </w:tr>
            <w:tr w14:paraId="26C24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vMerge w:val="restart"/>
                  <w:tcBorders>
                    <w:tl2br w:val="nil"/>
                    <w:tr2bl w:val="nil"/>
                  </w:tcBorders>
                  <w:noWrap w:val="0"/>
                  <w:vAlign w:val="center"/>
                </w:tcPr>
                <w:p w14:paraId="2FB649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pacing w:val="-11"/>
                      <w:sz w:val="21"/>
                      <w:szCs w:val="21"/>
                      <w:vertAlign w:val="baseline"/>
                      <w:lang w:val="en-US" w:eastAsia="zh-CN"/>
                    </w:rPr>
                  </w:pPr>
                  <w:r>
                    <w:rPr>
                      <w:rFonts w:hint="eastAsia" w:cs="Times New Roman"/>
                      <w:bCs/>
                      <w:color w:val="auto"/>
                      <w:spacing w:val="-11"/>
                      <w:sz w:val="21"/>
                      <w:szCs w:val="21"/>
                      <w:vertAlign w:val="baseline"/>
                      <w:lang w:val="en-US" w:eastAsia="zh-CN"/>
                    </w:rPr>
                    <w:t>VOCs</w:t>
                  </w:r>
                </w:p>
              </w:tc>
              <w:tc>
                <w:tcPr>
                  <w:tcW w:w="864" w:type="pct"/>
                  <w:vMerge w:val="restart"/>
                  <w:tcBorders>
                    <w:tl2br w:val="nil"/>
                    <w:tr2bl w:val="nil"/>
                  </w:tcBorders>
                  <w:noWrap w:val="0"/>
                  <w:vAlign w:val="center"/>
                </w:tcPr>
                <w:p w14:paraId="3A440E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宋体"/>
                      <w:bCs/>
                      <w:color w:val="auto"/>
                      <w:spacing w:val="-11"/>
                      <w:sz w:val="21"/>
                      <w:szCs w:val="21"/>
                      <w:highlight w:val="yellow"/>
                      <w:vertAlign w:val="baseline"/>
                      <w:lang w:val="en-US" w:eastAsia="zh-CN"/>
                    </w:rPr>
                  </w:pPr>
                  <w:r>
                    <w:rPr>
                      <w:rFonts w:hint="eastAsia" w:cs="宋体"/>
                      <w:bCs/>
                      <w:color w:val="auto"/>
                      <w:spacing w:val="-11"/>
                      <w:sz w:val="21"/>
                      <w:szCs w:val="21"/>
                      <w:highlight w:val="none"/>
                      <w:vertAlign w:val="baseline"/>
                      <w:lang w:val="en-US" w:eastAsia="zh-CN"/>
                    </w:rPr>
                    <w:t>0.000364</w:t>
                  </w:r>
                </w:p>
              </w:tc>
              <w:tc>
                <w:tcPr>
                  <w:tcW w:w="1012" w:type="pct"/>
                  <w:tcBorders>
                    <w:tl2br w:val="nil"/>
                    <w:tr2bl w:val="nil"/>
                  </w:tcBorders>
                  <w:noWrap w:val="0"/>
                  <w:vAlign w:val="center"/>
                </w:tcPr>
                <w:p w14:paraId="008FB1DD">
                  <w:pPr>
                    <w:pStyle w:val="27"/>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087" w:type="pct"/>
                  <w:tcBorders>
                    <w:tl2br w:val="nil"/>
                    <w:tr2bl w:val="nil"/>
                  </w:tcBorders>
                  <w:noWrap w:val="0"/>
                  <w:vAlign w:val="center"/>
                </w:tcPr>
                <w:p w14:paraId="04131E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rPr>
                    <w:t>《挥发性有机物排放标准 第4部分：印刷业》（DB37/2801.4-2017）表</w:t>
                  </w:r>
                  <w:r>
                    <w:rPr>
                      <w:rFonts w:hint="eastAsia" w:cs="Times New Roman"/>
                      <w:lang w:val="en-US" w:eastAsia="zh-CN"/>
                    </w:rPr>
                    <w:t>3</w:t>
                  </w:r>
                </w:p>
              </w:tc>
              <w:tc>
                <w:tcPr>
                  <w:tcW w:w="481" w:type="pct"/>
                  <w:tcBorders>
                    <w:tl2br w:val="nil"/>
                    <w:tr2bl w:val="nil"/>
                  </w:tcBorders>
                  <w:noWrap w:val="0"/>
                  <w:vAlign w:val="center"/>
                </w:tcPr>
                <w:p w14:paraId="1BD7ED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宋体"/>
                      <w:bCs/>
                      <w:color w:val="auto"/>
                      <w:spacing w:val="-11"/>
                      <w:sz w:val="21"/>
                      <w:szCs w:val="21"/>
                      <w:highlight w:val="none"/>
                      <w:vertAlign w:val="baseline"/>
                      <w:lang w:val="en-US" w:eastAsia="zh-CN"/>
                    </w:rPr>
                  </w:pPr>
                  <w:r>
                    <w:rPr>
                      <w:rFonts w:hint="eastAsia" w:ascii="Times New Roman" w:hAnsi="Times New Roman" w:cs="宋体"/>
                      <w:bCs/>
                      <w:color w:val="auto"/>
                      <w:spacing w:val="-11"/>
                      <w:sz w:val="21"/>
                      <w:szCs w:val="21"/>
                      <w:highlight w:val="none"/>
                      <w:vertAlign w:val="baseline"/>
                      <w:lang w:val="en-US" w:eastAsia="zh-CN"/>
                    </w:rPr>
                    <w:t>达标</w:t>
                  </w:r>
                </w:p>
              </w:tc>
            </w:tr>
            <w:tr w14:paraId="3F1E9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vMerge w:val="continue"/>
                  <w:tcBorders>
                    <w:tl2br w:val="nil"/>
                    <w:tr2bl w:val="nil"/>
                  </w:tcBorders>
                  <w:noWrap w:val="0"/>
                  <w:vAlign w:val="center"/>
                </w:tcPr>
                <w:p w14:paraId="5C6E9A46">
                  <w:pPr>
                    <w:keepNext w:val="0"/>
                    <w:keepLines w:val="0"/>
                    <w:widowControl/>
                    <w:suppressLineNumbers w:val="0"/>
                    <w:spacing w:before="0" w:beforeAutospacing="0" w:after="0" w:afterAutospacing="0"/>
                    <w:ind w:left="0" w:right="0"/>
                    <w:jc w:val="center"/>
                    <w:textAlignment w:val="center"/>
                    <w:rPr>
                      <w:rFonts w:hint="eastAsia" w:cs="Times New Roman"/>
                      <w:bCs/>
                      <w:color w:val="auto"/>
                      <w:spacing w:val="-11"/>
                      <w:sz w:val="21"/>
                      <w:szCs w:val="21"/>
                      <w:vertAlign w:val="baseline"/>
                      <w:lang w:val="en-US" w:eastAsia="zh-CN"/>
                    </w:rPr>
                  </w:pPr>
                </w:p>
              </w:tc>
              <w:tc>
                <w:tcPr>
                  <w:tcW w:w="864" w:type="pct"/>
                  <w:vMerge w:val="continue"/>
                  <w:tcBorders>
                    <w:tl2br w:val="nil"/>
                    <w:tr2bl w:val="nil"/>
                  </w:tcBorders>
                  <w:noWrap w:val="0"/>
                  <w:vAlign w:val="center"/>
                </w:tcPr>
                <w:p w14:paraId="6048E6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宋体"/>
                      <w:bCs/>
                      <w:color w:val="auto"/>
                      <w:spacing w:val="-11"/>
                      <w:sz w:val="21"/>
                      <w:szCs w:val="21"/>
                      <w:highlight w:val="none"/>
                      <w:vertAlign w:val="baseline"/>
                      <w:lang w:val="en-US" w:eastAsia="zh-CN"/>
                    </w:rPr>
                  </w:pPr>
                </w:p>
              </w:tc>
              <w:tc>
                <w:tcPr>
                  <w:tcW w:w="1012" w:type="pct"/>
                  <w:tcBorders>
                    <w:tl2br w:val="nil"/>
                    <w:tr2bl w:val="nil"/>
                  </w:tcBorders>
                  <w:noWrap w:val="0"/>
                  <w:vAlign w:val="center"/>
                </w:tcPr>
                <w:p w14:paraId="67B66952">
                  <w:pPr>
                    <w:pStyle w:val="27"/>
                    <w:keepNext w:val="0"/>
                    <w:keepLines w:val="0"/>
                    <w:suppressLineNumbers w:val="0"/>
                    <w:spacing w:before="0" w:beforeAutospacing="0" w:after="0" w:afterAutospacing="0" w:line="240" w:lineRule="auto"/>
                    <w:ind w:left="0" w:right="0"/>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厂区内，监控点处1h平均浓度值：6</w:t>
                  </w:r>
                </w:p>
              </w:tc>
              <w:tc>
                <w:tcPr>
                  <w:tcW w:w="2087" w:type="pct"/>
                  <w:vMerge w:val="restart"/>
                  <w:tcBorders>
                    <w:tl2br w:val="nil"/>
                    <w:tr2bl w:val="nil"/>
                  </w:tcBorders>
                  <w:noWrap w:val="0"/>
                  <w:vAlign w:val="center"/>
                </w:tcPr>
                <w:p w14:paraId="33B5FA13">
                  <w:pPr>
                    <w:keepNext w:val="0"/>
                    <w:keepLines w:val="0"/>
                    <w:pageBreakBefore w:val="0"/>
                    <w:widowControl w:val="0"/>
                    <w:suppressLineNumbers w:val="0"/>
                    <w:tabs>
                      <w:tab w:val="left" w:pos="829"/>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t>厂区内VOCs无组织排放执行《挥发性有机物无组织排放控制标准》（GB37822-2019）中表A.1中特别排放限值要求</w:t>
                  </w:r>
                </w:p>
              </w:tc>
              <w:tc>
                <w:tcPr>
                  <w:tcW w:w="481" w:type="pct"/>
                  <w:vMerge w:val="restart"/>
                  <w:tcBorders>
                    <w:tl2br w:val="nil"/>
                    <w:tr2bl w:val="nil"/>
                  </w:tcBorders>
                  <w:noWrap w:val="0"/>
                  <w:vAlign w:val="center"/>
                </w:tcPr>
                <w:p w14:paraId="02B9A1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宋体"/>
                      <w:bCs/>
                      <w:color w:val="auto"/>
                      <w:spacing w:val="-11"/>
                      <w:sz w:val="21"/>
                      <w:szCs w:val="21"/>
                      <w:highlight w:val="none"/>
                      <w:vertAlign w:val="baseline"/>
                      <w:lang w:val="en-US" w:eastAsia="zh-CN"/>
                    </w:rPr>
                  </w:pPr>
                  <w:r>
                    <w:rPr>
                      <w:rFonts w:hint="eastAsia" w:ascii="Times New Roman" w:hAnsi="Times New Roman" w:cs="宋体"/>
                      <w:bCs/>
                      <w:color w:val="auto"/>
                      <w:spacing w:val="-11"/>
                      <w:sz w:val="21"/>
                      <w:szCs w:val="21"/>
                      <w:highlight w:val="none"/>
                      <w:vertAlign w:val="baseline"/>
                      <w:lang w:val="en-US" w:eastAsia="zh-CN"/>
                    </w:rPr>
                    <w:t>达标</w:t>
                  </w:r>
                </w:p>
              </w:tc>
            </w:tr>
            <w:tr w14:paraId="6CC4E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vMerge w:val="continue"/>
                  <w:tcBorders>
                    <w:tl2br w:val="nil"/>
                    <w:tr2bl w:val="nil"/>
                  </w:tcBorders>
                  <w:noWrap w:val="0"/>
                  <w:vAlign w:val="center"/>
                </w:tcPr>
                <w:p w14:paraId="5191C085">
                  <w:pPr>
                    <w:keepNext w:val="0"/>
                    <w:keepLines w:val="0"/>
                    <w:widowControl/>
                    <w:suppressLineNumbers w:val="0"/>
                    <w:spacing w:before="0" w:beforeAutospacing="0" w:after="0" w:afterAutospacing="0"/>
                    <w:ind w:left="0" w:right="0"/>
                    <w:jc w:val="center"/>
                    <w:textAlignment w:val="center"/>
                    <w:rPr>
                      <w:rFonts w:hint="eastAsia" w:cs="Times New Roman"/>
                      <w:bCs/>
                      <w:color w:val="auto"/>
                      <w:spacing w:val="-11"/>
                      <w:sz w:val="21"/>
                      <w:szCs w:val="21"/>
                      <w:vertAlign w:val="baseline"/>
                      <w:lang w:val="en-US" w:eastAsia="zh-CN"/>
                    </w:rPr>
                  </w:pPr>
                </w:p>
              </w:tc>
              <w:tc>
                <w:tcPr>
                  <w:tcW w:w="864" w:type="pct"/>
                  <w:vMerge w:val="continue"/>
                  <w:tcBorders>
                    <w:tl2br w:val="nil"/>
                    <w:tr2bl w:val="nil"/>
                  </w:tcBorders>
                  <w:noWrap w:val="0"/>
                  <w:vAlign w:val="center"/>
                </w:tcPr>
                <w:p w14:paraId="7C187B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宋体"/>
                      <w:bCs/>
                      <w:color w:val="auto"/>
                      <w:spacing w:val="-11"/>
                      <w:sz w:val="21"/>
                      <w:szCs w:val="21"/>
                      <w:highlight w:val="none"/>
                      <w:vertAlign w:val="baseline"/>
                      <w:lang w:val="en-US" w:eastAsia="zh-CN"/>
                    </w:rPr>
                  </w:pPr>
                </w:p>
              </w:tc>
              <w:tc>
                <w:tcPr>
                  <w:tcW w:w="1012" w:type="pct"/>
                  <w:tcBorders>
                    <w:tl2br w:val="nil"/>
                    <w:tr2bl w:val="nil"/>
                  </w:tcBorders>
                  <w:noWrap w:val="0"/>
                  <w:vAlign w:val="center"/>
                </w:tcPr>
                <w:p w14:paraId="2949C4A4">
                  <w:pPr>
                    <w:pStyle w:val="27"/>
                    <w:keepNext w:val="0"/>
                    <w:keepLines w:val="0"/>
                    <w:suppressLineNumbers w:val="0"/>
                    <w:spacing w:before="0" w:beforeAutospacing="0" w:after="0" w:afterAutospacing="0" w:line="240" w:lineRule="auto"/>
                    <w:ind w:left="0" w:right="0"/>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厂区内，监控点处任意一次浓度值：20</w:t>
                  </w:r>
                </w:p>
              </w:tc>
              <w:tc>
                <w:tcPr>
                  <w:tcW w:w="2087" w:type="pct"/>
                  <w:vMerge w:val="continue"/>
                  <w:tcBorders>
                    <w:tl2br w:val="nil"/>
                    <w:tr2bl w:val="nil"/>
                  </w:tcBorders>
                  <w:noWrap w:val="0"/>
                  <w:vAlign w:val="center"/>
                </w:tcPr>
                <w:p w14:paraId="33B616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rPr>
                  </w:pPr>
                </w:p>
              </w:tc>
              <w:tc>
                <w:tcPr>
                  <w:tcW w:w="481" w:type="pct"/>
                  <w:vMerge w:val="continue"/>
                  <w:tcBorders>
                    <w:tl2br w:val="nil"/>
                    <w:tr2bl w:val="nil"/>
                  </w:tcBorders>
                  <w:noWrap w:val="0"/>
                  <w:vAlign w:val="center"/>
                </w:tcPr>
                <w:p w14:paraId="06E007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宋体"/>
                      <w:bCs/>
                      <w:color w:val="auto"/>
                      <w:spacing w:val="-11"/>
                      <w:sz w:val="21"/>
                      <w:szCs w:val="21"/>
                      <w:highlight w:val="none"/>
                      <w:vertAlign w:val="baseline"/>
                      <w:lang w:val="en-US" w:eastAsia="zh-CN"/>
                    </w:rPr>
                  </w:pPr>
                </w:p>
              </w:tc>
            </w:tr>
          </w:tbl>
          <w:p w14:paraId="7E6270A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38" w:firstLineChars="200"/>
              <w:jc w:val="left"/>
              <w:textAlignment w:val="auto"/>
              <w:rPr>
                <w:rFonts w:hint="default" w:ascii="Times New Roman" w:hAnsi="Times New Roman" w:eastAsia="宋体" w:cs="宋体"/>
                <w:b/>
                <w:bCs w:val="0"/>
                <w:color w:val="auto"/>
                <w:spacing w:val="-11"/>
                <w:sz w:val="24"/>
                <w:szCs w:val="24"/>
                <w:lang w:val="en-US" w:eastAsia="zh-CN"/>
              </w:rPr>
            </w:pPr>
            <w:r>
              <w:rPr>
                <w:rFonts w:hint="eastAsia" w:ascii="Times New Roman" w:hAnsi="Times New Roman" w:eastAsia="宋体" w:cs="宋体"/>
                <w:b/>
                <w:bCs w:val="0"/>
                <w:color w:val="auto"/>
                <w:spacing w:val="-11"/>
                <w:sz w:val="24"/>
                <w:szCs w:val="24"/>
                <w:lang w:val="en-US" w:eastAsia="zh-CN"/>
              </w:rPr>
              <w:t>1.4非正常工况</w:t>
            </w:r>
          </w:p>
          <w:p w14:paraId="0AEF2834">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本项目非正常工况主要是</w:t>
            </w:r>
            <w:r>
              <w:rPr>
                <w:rFonts w:hint="eastAsia" w:ascii="Times New Roman" w:cs="Times New Roman"/>
                <w:bCs/>
                <w:color w:val="auto"/>
                <w:kern w:val="2"/>
                <w:sz w:val="24"/>
                <w:szCs w:val="24"/>
                <w:highlight w:val="none"/>
                <w:lang w:val="en-US" w:eastAsia="zh-CN" w:bidi="ar-SA"/>
              </w:rPr>
              <w:t>布袋除尘器和活性炭吸附装置</w:t>
            </w:r>
            <w:r>
              <w:rPr>
                <w:rFonts w:hint="default" w:ascii="Times New Roman" w:hAnsi="Times New Roman" w:eastAsia="宋体" w:cs="Times New Roman"/>
                <w:bCs/>
                <w:color w:val="auto"/>
                <w:kern w:val="2"/>
                <w:sz w:val="24"/>
                <w:szCs w:val="24"/>
                <w:highlight w:val="none"/>
                <w:lang w:val="en-US" w:eastAsia="zh-CN" w:bidi="ar-SA"/>
              </w:rPr>
              <w:t>出现故障时，处理效率为0%，发生频次按每年一次</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bCs/>
                <w:color w:val="auto"/>
                <w:kern w:val="2"/>
                <w:sz w:val="24"/>
                <w:szCs w:val="24"/>
                <w:highlight w:val="none"/>
                <w:lang w:val="en-US" w:eastAsia="zh-CN" w:bidi="ar-SA"/>
              </w:rPr>
              <w:t>根据分析，本项目</w:t>
            </w:r>
            <w:r>
              <w:rPr>
                <w:rFonts w:hint="default" w:ascii="Times New Roman" w:hAnsi="Times New Roman" w:eastAsia="宋体" w:cs="Times New Roman"/>
                <w:bCs/>
                <w:color w:val="auto"/>
                <w:kern w:val="2"/>
                <w:sz w:val="24"/>
                <w:szCs w:val="24"/>
                <w:highlight w:val="none"/>
                <w:lang w:val="en-US" w:eastAsia="zh-CN" w:bidi="ar-SA"/>
              </w:rPr>
              <w:t>污染源非正常</w:t>
            </w:r>
            <w:r>
              <w:rPr>
                <w:rFonts w:hint="eastAsia" w:ascii="Times New Roman" w:hAnsi="Times New Roman" w:eastAsia="宋体" w:cs="Times New Roman"/>
                <w:bCs/>
                <w:color w:val="auto"/>
                <w:kern w:val="2"/>
                <w:sz w:val="24"/>
                <w:szCs w:val="24"/>
                <w:highlight w:val="none"/>
                <w:lang w:val="en-US" w:eastAsia="zh-CN" w:bidi="ar-SA"/>
              </w:rPr>
              <w:t>工况下的</w:t>
            </w:r>
            <w:r>
              <w:rPr>
                <w:rFonts w:hint="default" w:ascii="Times New Roman" w:hAnsi="Times New Roman" w:eastAsia="宋体" w:cs="Times New Roman"/>
                <w:bCs/>
                <w:color w:val="auto"/>
                <w:kern w:val="2"/>
                <w:sz w:val="24"/>
                <w:szCs w:val="24"/>
                <w:highlight w:val="none"/>
                <w:lang w:val="en-US" w:eastAsia="zh-CN" w:bidi="ar-SA"/>
              </w:rPr>
              <w:t>排放量</w:t>
            </w:r>
            <w:r>
              <w:rPr>
                <w:rFonts w:hint="eastAsia" w:ascii="Times New Roman" w:hAnsi="Times New Roman" w:eastAsia="宋体" w:cs="Times New Roman"/>
                <w:bCs/>
                <w:color w:val="auto"/>
                <w:kern w:val="2"/>
                <w:sz w:val="24"/>
                <w:szCs w:val="24"/>
                <w:highlight w:val="none"/>
                <w:lang w:val="en-US" w:eastAsia="zh-CN" w:bidi="ar-SA"/>
              </w:rPr>
              <w:t>详见表4-</w:t>
            </w:r>
            <w:r>
              <w:rPr>
                <w:rFonts w:hint="eastAsia" w:ascii="Times New Roman" w:cs="Times New Roman"/>
                <w:bCs/>
                <w:color w:val="auto"/>
                <w:kern w:val="2"/>
                <w:sz w:val="24"/>
                <w:szCs w:val="24"/>
                <w:highlight w:val="none"/>
                <w:lang w:val="en-US" w:eastAsia="zh-CN" w:bidi="ar-SA"/>
              </w:rPr>
              <w:t>4</w:t>
            </w:r>
            <w:r>
              <w:rPr>
                <w:rFonts w:hint="eastAsia" w:ascii="Times New Roman" w:hAnsi="Times New Roman" w:eastAsia="宋体" w:cs="Times New Roman"/>
                <w:bCs/>
                <w:color w:val="auto"/>
                <w:kern w:val="2"/>
                <w:sz w:val="24"/>
                <w:szCs w:val="24"/>
                <w:highlight w:val="none"/>
                <w:lang w:val="en-US" w:eastAsia="zh-CN" w:bidi="ar-SA"/>
              </w:rPr>
              <w:t>。</w:t>
            </w:r>
          </w:p>
          <w:p w14:paraId="778BC14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表</w:t>
            </w:r>
            <w:r>
              <w:rPr>
                <w:rFonts w:hint="eastAsia" w:ascii="Times New Roman" w:hAnsi="Times New Roman" w:eastAsia="宋体" w:cs="Times New Roman"/>
                <w:b/>
                <w:color w:val="auto"/>
                <w:sz w:val="24"/>
                <w:szCs w:val="24"/>
                <w:lang w:val="en-US" w:eastAsia="zh-CN"/>
              </w:rPr>
              <w:t>4-</w:t>
            </w:r>
            <w:r>
              <w:rPr>
                <w:rFonts w:hint="eastAsia" w:cs="Times New Roman"/>
                <w:b/>
                <w:color w:val="auto"/>
                <w:sz w:val="24"/>
                <w:szCs w:val="24"/>
                <w:lang w:val="en-US" w:eastAsia="zh-CN"/>
              </w:rPr>
              <w:t>4</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lang w:val="en-US" w:eastAsia="zh-CN"/>
              </w:rPr>
              <w:t xml:space="preserve"> 污染源非正常排放量核算表</w:t>
            </w:r>
          </w:p>
          <w:tbl>
            <w:tblPr>
              <w:tblStyle w:val="34"/>
              <w:tblW w:w="849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64"/>
              <w:gridCol w:w="804"/>
              <w:gridCol w:w="1150"/>
              <w:gridCol w:w="1108"/>
              <w:gridCol w:w="846"/>
              <w:gridCol w:w="846"/>
              <w:gridCol w:w="817"/>
              <w:gridCol w:w="907"/>
              <w:gridCol w:w="1254"/>
            </w:tblGrid>
            <w:tr w14:paraId="01DC3F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4" w:type="dxa"/>
                  <w:tcBorders>
                    <w:tl2br w:val="nil"/>
                    <w:tr2bl w:val="nil"/>
                  </w:tcBorders>
                  <w:noWrap w:val="0"/>
                  <w:tcMar>
                    <w:top w:w="15" w:type="dxa"/>
                    <w:left w:w="15" w:type="dxa"/>
                    <w:right w:w="15" w:type="dxa"/>
                  </w:tcMar>
                  <w:vAlign w:val="center"/>
                </w:tcPr>
                <w:p w14:paraId="70E91A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污染源</w:t>
                  </w:r>
                </w:p>
              </w:tc>
              <w:tc>
                <w:tcPr>
                  <w:tcW w:w="804" w:type="dxa"/>
                  <w:tcBorders>
                    <w:tl2br w:val="nil"/>
                    <w:tr2bl w:val="nil"/>
                  </w:tcBorders>
                  <w:noWrap w:val="0"/>
                  <w:tcMar>
                    <w:top w:w="15" w:type="dxa"/>
                    <w:left w:w="15" w:type="dxa"/>
                    <w:right w:w="15" w:type="dxa"/>
                  </w:tcMar>
                  <w:vAlign w:val="center"/>
                </w:tcPr>
                <w:p w14:paraId="54B0A9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污染物</w:t>
                  </w:r>
                </w:p>
              </w:tc>
              <w:tc>
                <w:tcPr>
                  <w:tcW w:w="1150" w:type="dxa"/>
                  <w:tcBorders>
                    <w:tl2br w:val="nil"/>
                    <w:tr2bl w:val="nil"/>
                  </w:tcBorders>
                  <w:noWrap w:val="0"/>
                  <w:tcMar>
                    <w:top w:w="15" w:type="dxa"/>
                    <w:left w:w="15" w:type="dxa"/>
                    <w:right w:w="15" w:type="dxa"/>
                  </w:tcMar>
                  <w:vAlign w:val="center"/>
                </w:tcPr>
                <w:p w14:paraId="1568CF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非正常排放浓度</w:t>
                  </w:r>
                  <w:r>
                    <w:rPr>
                      <w:rFonts w:hint="eastAsia" w:cs="Times New Roman"/>
                      <w:b/>
                      <w:bCs/>
                      <w:i w:val="0"/>
                      <w:color w:val="auto"/>
                      <w:kern w:val="0"/>
                      <w:sz w:val="21"/>
                      <w:szCs w:val="21"/>
                      <w:u w:val="none"/>
                      <w:lang w:val="en-US" w:eastAsia="zh-CN" w:bidi="ar"/>
                    </w:rPr>
                    <w:t>（</w:t>
                  </w:r>
                  <w:r>
                    <w:rPr>
                      <w:rFonts w:hint="default" w:ascii="Times New Roman" w:hAnsi="Times New Roman" w:eastAsia="宋体" w:cs="Times New Roman"/>
                      <w:b/>
                      <w:color w:val="auto"/>
                      <w:sz w:val="21"/>
                      <w:szCs w:val="21"/>
                      <w:highlight w:val="none"/>
                    </w:rPr>
                    <w:t>mg/m</w:t>
                  </w:r>
                  <w:r>
                    <w:rPr>
                      <w:rFonts w:hint="default" w:ascii="Times New Roman" w:hAnsi="Times New Roman" w:eastAsia="宋体" w:cs="Times New Roman"/>
                      <w:b/>
                      <w:color w:val="auto"/>
                      <w:sz w:val="21"/>
                      <w:szCs w:val="21"/>
                      <w:highlight w:val="none"/>
                      <w:vertAlign w:val="superscript"/>
                    </w:rPr>
                    <w:t>3</w:t>
                  </w:r>
                  <w:r>
                    <w:rPr>
                      <w:rFonts w:hint="eastAsia" w:cs="Times New Roman"/>
                      <w:b/>
                      <w:color w:val="auto"/>
                      <w:sz w:val="21"/>
                      <w:szCs w:val="21"/>
                      <w:highlight w:val="none"/>
                      <w:vertAlign w:val="superscript"/>
                      <w:lang w:eastAsia="zh-CN"/>
                    </w:rPr>
                    <w:t>）</w:t>
                  </w:r>
                </w:p>
              </w:tc>
              <w:tc>
                <w:tcPr>
                  <w:tcW w:w="1108" w:type="dxa"/>
                  <w:tcBorders>
                    <w:tl2br w:val="nil"/>
                    <w:tr2bl w:val="nil"/>
                  </w:tcBorders>
                  <w:noWrap w:val="0"/>
                  <w:tcMar>
                    <w:top w:w="15" w:type="dxa"/>
                    <w:left w:w="15" w:type="dxa"/>
                    <w:right w:w="15" w:type="dxa"/>
                  </w:tcMar>
                  <w:vAlign w:val="center"/>
                </w:tcPr>
                <w:p w14:paraId="15E1DC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非正常排放速率</w:t>
                  </w:r>
                  <w:r>
                    <w:rPr>
                      <w:rFonts w:hint="eastAsia" w:cs="Times New Roman"/>
                      <w:b/>
                      <w:bCs/>
                      <w:i w:val="0"/>
                      <w:color w:val="auto"/>
                      <w:kern w:val="0"/>
                      <w:sz w:val="21"/>
                      <w:szCs w:val="21"/>
                      <w:u w:val="none"/>
                      <w:lang w:val="en-US" w:eastAsia="zh-CN" w:bidi="ar"/>
                    </w:rPr>
                    <w:t>（</w:t>
                  </w:r>
                  <w:r>
                    <w:rPr>
                      <w:rFonts w:hint="default" w:ascii="Times New Roman" w:hAnsi="Times New Roman" w:eastAsia="宋体" w:cs="Times New Roman"/>
                      <w:b/>
                      <w:color w:val="auto"/>
                      <w:sz w:val="21"/>
                      <w:szCs w:val="21"/>
                      <w:highlight w:val="none"/>
                    </w:rPr>
                    <w:t>kg/h</w:t>
                  </w:r>
                  <w:r>
                    <w:rPr>
                      <w:rFonts w:hint="eastAsia" w:cs="Times New Roman"/>
                      <w:b/>
                      <w:color w:val="auto"/>
                      <w:sz w:val="21"/>
                      <w:szCs w:val="21"/>
                      <w:highlight w:val="none"/>
                      <w:lang w:eastAsia="zh-CN"/>
                    </w:rPr>
                    <w:t>）</w:t>
                  </w:r>
                </w:p>
              </w:tc>
              <w:tc>
                <w:tcPr>
                  <w:tcW w:w="846" w:type="dxa"/>
                  <w:tcBorders>
                    <w:tl2br w:val="nil"/>
                    <w:tr2bl w:val="nil"/>
                  </w:tcBorders>
                  <w:noWrap w:val="0"/>
                  <w:tcMar>
                    <w:top w:w="15" w:type="dxa"/>
                    <w:left w:w="15" w:type="dxa"/>
                    <w:right w:w="15" w:type="dxa"/>
                  </w:tcMar>
                  <w:vAlign w:val="center"/>
                </w:tcPr>
                <w:p w14:paraId="4C7625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达标情况</w:t>
                  </w:r>
                </w:p>
              </w:tc>
              <w:tc>
                <w:tcPr>
                  <w:tcW w:w="846" w:type="dxa"/>
                  <w:tcBorders>
                    <w:tl2br w:val="nil"/>
                    <w:tr2bl w:val="nil"/>
                  </w:tcBorders>
                  <w:noWrap w:val="0"/>
                  <w:tcMar>
                    <w:top w:w="15" w:type="dxa"/>
                    <w:left w:w="15" w:type="dxa"/>
                    <w:right w:w="15" w:type="dxa"/>
                  </w:tcMar>
                  <w:vAlign w:val="center"/>
                </w:tcPr>
                <w:p w14:paraId="27C432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单次持续时间</w:t>
                  </w:r>
                </w:p>
              </w:tc>
              <w:tc>
                <w:tcPr>
                  <w:tcW w:w="817" w:type="dxa"/>
                  <w:tcBorders>
                    <w:tl2br w:val="nil"/>
                    <w:tr2bl w:val="nil"/>
                  </w:tcBorders>
                  <w:noWrap w:val="0"/>
                  <w:tcMar>
                    <w:top w:w="15" w:type="dxa"/>
                    <w:left w:w="15" w:type="dxa"/>
                    <w:right w:w="15" w:type="dxa"/>
                  </w:tcMar>
                  <w:vAlign w:val="center"/>
                </w:tcPr>
                <w:p w14:paraId="323343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年发生频次</w:t>
                  </w:r>
                </w:p>
              </w:tc>
              <w:tc>
                <w:tcPr>
                  <w:tcW w:w="907" w:type="dxa"/>
                  <w:tcBorders>
                    <w:tl2br w:val="nil"/>
                    <w:tr2bl w:val="nil"/>
                  </w:tcBorders>
                  <w:noWrap w:val="0"/>
                  <w:tcMar>
                    <w:top w:w="15" w:type="dxa"/>
                    <w:left w:w="15" w:type="dxa"/>
                    <w:right w:w="15" w:type="dxa"/>
                  </w:tcMar>
                  <w:vAlign w:val="center"/>
                </w:tcPr>
                <w:p w14:paraId="30A89E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非正常排放原因</w:t>
                  </w:r>
                </w:p>
              </w:tc>
              <w:tc>
                <w:tcPr>
                  <w:tcW w:w="1254" w:type="dxa"/>
                  <w:tcBorders>
                    <w:tl2br w:val="nil"/>
                    <w:tr2bl w:val="nil"/>
                  </w:tcBorders>
                  <w:noWrap w:val="0"/>
                  <w:tcMar>
                    <w:top w:w="15" w:type="dxa"/>
                    <w:left w:w="15" w:type="dxa"/>
                    <w:right w:w="15" w:type="dxa"/>
                  </w:tcMar>
                  <w:vAlign w:val="center"/>
                </w:tcPr>
                <w:p w14:paraId="33AF5C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应对措施</w:t>
                  </w:r>
                </w:p>
              </w:tc>
            </w:tr>
            <w:tr w14:paraId="04A211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4" w:type="dxa"/>
                  <w:tcBorders>
                    <w:tl2br w:val="nil"/>
                    <w:tr2bl w:val="nil"/>
                  </w:tcBorders>
                  <w:noWrap w:val="0"/>
                  <w:tcMar>
                    <w:top w:w="15" w:type="dxa"/>
                    <w:left w:w="15" w:type="dxa"/>
                    <w:right w:w="15" w:type="dxa"/>
                  </w:tcMar>
                  <w:vAlign w:val="center"/>
                </w:tcPr>
                <w:p w14:paraId="76545CB3">
                  <w:pPr>
                    <w:keepNext w:val="0"/>
                    <w:keepLines w:val="0"/>
                    <w:widowControl/>
                    <w:suppressLineNumbers w:val="0"/>
                    <w:spacing w:before="0" w:beforeAutospacing="0" w:after="0" w:afterAutospacing="0"/>
                    <w:ind w:left="0" w:right="0"/>
                    <w:jc w:val="center"/>
                    <w:textAlignment w:val="center"/>
                    <w:rPr>
                      <w:rFonts w:hint="eastAsia"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DA001</w:t>
                  </w:r>
                </w:p>
              </w:tc>
              <w:tc>
                <w:tcPr>
                  <w:tcW w:w="804" w:type="dxa"/>
                  <w:tcBorders>
                    <w:tl2br w:val="nil"/>
                    <w:tr2bl w:val="nil"/>
                  </w:tcBorders>
                  <w:noWrap w:val="0"/>
                  <w:tcMar>
                    <w:top w:w="15" w:type="dxa"/>
                    <w:left w:w="15" w:type="dxa"/>
                    <w:right w:w="15" w:type="dxa"/>
                  </w:tcMar>
                  <w:vAlign w:val="center"/>
                </w:tcPr>
                <w:p w14:paraId="3556C0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bCs/>
                      <w:color w:val="auto"/>
                      <w:spacing w:val="-11"/>
                      <w:sz w:val="21"/>
                      <w:szCs w:val="21"/>
                      <w:highlight w:val="none"/>
                      <w:vertAlign w:val="baseline"/>
                      <w:lang w:val="en-US" w:eastAsia="zh-CN"/>
                    </w:rPr>
                  </w:pPr>
                  <w:r>
                    <w:rPr>
                      <w:rFonts w:hint="eastAsia" w:cs="Times New Roman"/>
                      <w:bCs/>
                      <w:color w:val="auto"/>
                      <w:spacing w:val="-11"/>
                      <w:sz w:val="21"/>
                      <w:szCs w:val="21"/>
                      <w:highlight w:val="none"/>
                      <w:vertAlign w:val="baseline"/>
                      <w:lang w:val="en-US" w:eastAsia="zh-CN"/>
                    </w:rPr>
                    <w:t>颗粒物</w:t>
                  </w:r>
                </w:p>
              </w:tc>
              <w:tc>
                <w:tcPr>
                  <w:tcW w:w="1150" w:type="dxa"/>
                  <w:tcBorders>
                    <w:tl2br w:val="nil"/>
                    <w:tr2bl w:val="nil"/>
                  </w:tcBorders>
                  <w:noWrap w:val="0"/>
                  <w:tcMar>
                    <w:top w:w="15" w:type="dxa"/>
                    <w:left w:w="15" w:type="dxa"/>
                    <w:right w:w="15" w:type="dxa"/>
                  </w:tcMar>
                  <w:vAlign w:val="center"/>
                </w:tcPr>
                <w:p w14:paraId="0F5EE5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133.33</w:t>
                  </w:r>
                </w:p>
              </w:tc>
              <w:tc>
                <w:tcPr>
                  <w:tcW w:w="1108" w:type="dxa"/>
                  <w:tcBorders>
                    <w:tl2br w:val="nil"/>
                    <w:tr2bl w:val="nil"/>
                  </w:tcBorders>
                  <w:noWrap w:val="0"/>
                  <w:tcMar>
                    <w:top w:w="15" w:type="dxa"/>
                    <w:left w:w="15" w:type="dxa"/>
                    <w:right w:w="15" w:type="dxa"/>
                  </w:tcMar>
                  <w:vAlign w:val="center"/>
                </w:tcPr>
                <w:p w14:paraId="09B225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w:t>
                  </w:r>
                </w:p>
              </w:tc>
              <w:tc>
                <w:tcPr>
                  <w:tcW w:w="846" w:type="dxa"/>
                  <w:tcBorders>
                    <w:tl2br w:val="nil"/>
                    <w:tr2bl w:val="nil"/>
                  </w:tcBorders>
                  <w:noWrap w:val="0"/>
                  <w:tcMar>
                    <w:top w:w="15" w:type="dxa"/>
                    <w:left w:w="15" w:type="dxa"/>
                    <w:right w:w="15" w:type="dxa"/>
                  </w:tcMar>
                  <w:vAlign w:val="center"/>
                </w:tcPr>
                <w:p w14:paraId="3F2C6B1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color w:val="auto"/>
                      <w:sz w:val="21"/>
                      <w:szCs w:val="21"/>
                      <w:highlight w:val="none"/>
                      <w:u w:val="none"/>
                      <w:lang w:val="en-US" w:eastAsia="zh-CN"/>
                    </w:rPr>
                  </w:pPr>
                  <w:r>
                    <w:rPr>
                      <w:rFonts w:hint="eastAsia" w:ascii="Times New Roman" w:hAnsi="Times New Roman" w:eastAsia="宋体" w:cs="Times New Roman"/>
                      <w:i w:val="0"/>
                      <w:color w:val="auto"/>
                      <w:sz w:val="21"/>
                      <w:szCs w:val="21"/>
                      <w:highlight w:val="none"/>
                      <w:u w:val="none"/>
                      <w:lang w:val="en-US" w:eastAsia="zh-CN"/>
                    </w:rPr>
                    <w:t>不</w:t>
                  </w:r>
                  <w:r>
                    <w:rPr>
                      <w:rFonts w:hint="default" w:ascii="Times New Roman" w:hAnsi="Times New Roman" w:eastAsia="宋体" w:cs="Times New Roman"/>
                      <w:i w:val="0"/>
                      <w:color w:val="auto"/>
                      <w:sz w:val="21"/>
                      <w:szCs w:val="21"/>
                      <w:highlight w:val="none"/>
                      <w:u w:val="none"/>
                      <w:lang w:val="en-US" w:eastAsia="zh-CN"/>
                    </w:rPr>
                    <w:t>达标</w:t>
                  </w:r>
                </w:p>
              </w:tc>
              <w:tc>
                <w:tcPr>
                  <w:tcW w:w="846" w:type="dxa"/>
                  <w:tcBorders>
                    <w:tl2br w:val="nil"/>
                    <w:tr2bl w:val="nil"/>
                  </w:tcBorders>
                  <w:noWrap w:val="0"/>
                  <w:tcMar>
                    <w:top w:w="15" w:type="dxa"/>
                    <w:left w:w="15" w:type="dxa"/>
                    <w:right w:w="15" w:type="dxa"/>
                  </w:tcMar>
                  <w:vAlign w:val="center"/>
                </w:tcPr>
                <w:p w14:paraId="71E6656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&lt;</w:t>
                  </w:r>
                  <w:r>
                    <w:rPr>
                      <w:rFonts w:hint="default" w:ascii="Times New Roman" w:hAnsi="Times New Roman" w:eastAsia="宋体" w:cs="Times New Roman"/>
                      <w:i w:val="0"/>
                      <w:color w:val="auto"/>
                      <w:sz w:val="21"/>
                      <w:szCs w:val="21"/>
                      <w:highlight w:val="none"/>
                      <w:u w:val="none"/>
                      <w:lang w:val="en-US" w:eastAsia="zh-CN"/>
                    </w:rPr>
                    <w:t>1h</w:t>
                  </w:r>
                </w:p>
              </w:tc>
              <w:tc>
                <w:tcPr>
                  <w:tcW w:w="817" w:type="dxa"/>
                  <w:tcBorders>
                    <w:tl2br w:val="nil"/>
                    <w:tr2bl w:val="nil"/>
                  </w:tcBorders>
                  <w:noWrap w:val="0"/>
                  <w:tcMar>
                    <w:top w:w="15" w:type="dxa"/>
                    <w:left w:w="15" w:type="dxa"/>
                    <w:right w:w="15" w:type="dxa"/>
                  </w:tcMar>
                  <w:vAlign w:val="center"/>
                </w:tcPr>
                <w:p w14:paraId="5F737A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＜1次</w:t>
                  </w:r>
                </w:p>
              </w:tc>
              <w:tc>
                <w:tcPr>
                  <w:tcW w:w="907" w:type="dxa"/>
                  <w:tcBorders>
                    <w:tl2br w:val="nil"/>
                    <w:tr2bl w:val="nil"/>
                  </w:tcBorders>
                  <w:noWrap w:val="0"/>
                  <w:tcMar>
                    <w:top w:w="15" w:type="dxa"/>
                    <w:left w:w="15" w:type="dxa"/>
                    <w:right w:w="15" w:type="dxa"/>
                  </w:tcMar>
                  <w:vAlign w:val="center"/>
                </w:tcPr>
                <w:p w14:paraId="4B8F98F3">
                  <w:pPr>
                    <w:keepNext w:val="0"/>
                    <w:keepLines w:val="0"/>
                    <w:suppressLineNumbers w:val="0"/>
                    <w:spacing w:before="0" w:beforeAutospacing="0" w:after="0" w:afterAutospacing="0"/>
                    <w:ind w:left="0" w:leftChars="0" w:right="0" w:rightChars="0"/>
                    <w:jc w:val="center"/>
                    <w:rPr>
                      <w:rFonts w:hint="eastAsia"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布袋除尘器</w:t>
                  </w:r>
                  <w:r>
                    <w:rPr>
                      <w:rFonts w:hint="default" w:ascii="Times New Roman" w:hAnsi="Times New Roman" w:eastAsia="宋体" w:cs="Times New Roman"/>
                      <w:i w:val="0"/>
                      <w:color w:val="auto"/>
                      <w:sz w:val="21"/>
                      <w:szCs w:val="21"/>
                      <w:highlight w:val="none"/>
                      <w:u w:val="none"/>
                    </w:rPr>
                    <w:t>故障</w:t>
                  </w:r>
                </w:p>
              </w:tc>
              <w:tc>
                <w:tcPr>
                  <w:tcW w:w="1254" w:type="dxa"/>
                  <w:tcBorders>
                    <w:tl2br w:val="nil"/>
                    <w:tr2bl w:val="nil"/>
                  </w:tcBorders>
                  <w:noWrap w:val="0"/>
                  <w:tcMar>
                    <w:top w:w="15" w:type="dxa"/>
                    <w:left w:w="15" w:type="dxa"/>
                    <w:right w:w="15" w:type="dxa"/>
                  </w:tcMar>
                  <w:vAlign w:val="center"/>
                </w:tcPr>
                <w:p w14:paraId="1BEA272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rPr>
                    <w:t>专人负责，定期检查；发现故障立即停产检</w:t>
                  </w:r>
                  <w:r>
                    <w:rPr>
                      <w:rFonts w:hint="default" w:ascii="Times New Roman" w:hAnsi="Times New Roman" w:eastAsia="宋体" w:cs="Times New Roman"/>
                      <w:i w:val="0"/>
                      <w:color w:val="auto"/>
                      <w:sz w:val="21"/>
                      <w:szCs w:val="21"/>
                      <w:u w:val="none"/>
                      <w:lang w:val="en-US" w:eastAsia="zh-CN"/>
                    </w:rPr>
                    <w:t>修</w:t>
                  </w:r>
                </w:p>
              </w:tc>
            </w:tr>
            <w:tr w14:paraId="39154A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4" w:type="dxa"/>
                  <w:tcBorders>
                    <w:tl2br w:val="nil"/>
                    <w:tr2bl w:val="nil"/>
                  </w:tcBorders>
                  <w:noWrap w:val="0"/>
                  <w:tcMar>
                    <w:top w:w="15" w:type="dxa"/>
                    <w:left w:w="15" w:type="dxa"/>
                    <w:right w:w="15" w:type="dxa"/>
                  </w:tcMar>
                  <w:vAlign w:val="center"/>
                </w:tcPr>
                <w:p w14:paraId="1A113C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DA002</w:t>
                  </w:r>
                </w:p>
              </w:tc>
              <w:tc>
                <w:tcPr>
                  <w:tcW w:w="804" w:type="dxa"/>
                  <w:tcBorders>
                    <w:tl2br w:val="nil"/>
                    <w:tr2bl w:val="nil"/>
                  </w:tcBorders>
                  <w:noWrap w:val="0"/>
                  <w:tcMar>
                    <w:top w:w="15" w:type="dxa"/>
                    <w:left w:w="15" w:type="dxa"/>
                    <w:right w:w="15" w:type="dxa"/>
                  </w:tcMar>
                  <w:vAlign w:val="center"/>
                </w:tcPr>
                <w:p w14:paraId="41B515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spacing w:val="-11"/>
                      <w:kern w:val="2"/>
                      <w:sz w:val="21"/>
                      <w:szCs w:val="21"/>
                      <w:highlight w:val="none"/>
                      <w:vertAlign w:val="baseline"/>
                      <w:lang w:val="en-US" w:eastAsia="zh-CN" w:bidi="ar-SA"/>
                    </w:rPr>
                  </w:pPr>
                  <w:r>
                    <w:rPr>
                      <w:rFonts w:hint="eastAsia" w:cs="Times New Roman"/>
                      <w:bCs/>
                      <w:color w:val="auto"/>
                      <w:spacing w:val="-11"/>
                      <w:sz w:val="21"/>
                      <w:szCs w:val="21"/>
                      <w:highlight w:val="none"/>
                      <w:vertAlign w:val="baseline"/>
                      <w:lang w:val="en-US" w:eastAsia="zh-CN"/>
                    </w:rPr>
                    <w:t>VOCs</w:t>
                  </w:r>
                </w:p>
              </w:tc>
              <w:tc>
                <w:tcPr>
                  <w:tcW w:w="1150" w:type="dxa"/>
                  <w:tcBorders>
                    <w:tl2br w:val="nil"/>
                    <w:tr2bl w:val="nil"/>
                  </w:tcBorders>
                  <w:noWrap w:val="0"/>
                  <w:tcMar>
                    <w:top w:w="15" w:type="dxa"/>
                    <w:left w:w="15" w:type="dxa"/>
                    <w:right w:w="15" w:type="dxa"/>
                  </w:tcMar>
                  <w:vAlign w:val="center"/>
                </w:tcPr>
                <w:p w14:paraId="7ECD4B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2"/>
                      <w:sz w:val="21"/>
                      <w:szCs w:val="21"/>
                      <w:highlight w:val="none"/>
                      <w:u w:val="none"/>
                      <w:lang w:val="en-US" w:eastAsia="zh-CN" w:bidi="ar-SA"/>
                    </w:rPr>
                    <w:t>45.07</w:t>
                  </w:r>
                </w:p>
              </w:tc>
              <w:tc>
                <w:tcPr>
                  <w:tcW w:w="1108" w:type="dxa"/>
                  <w:tcBorders>
                    <w:tl2br w:val="nil"/>
                    <w:tr2bl w:val="nil"/>
                  </w:tcBorders>
                  <w:noWrap w:val="0"/>
                  <w:tcMar>
                    <w:top w:w="15" w:type="dxa"/>
                    <w:left w:w="15" w:type="dxa"/>
                    <w:right w:w="15" w:type="dxa"/>
                  </w:tcMar>
                  <w:vAlign w:val="center"/>
                </w:tcPr>
                <w:p w14:paraId="7E5295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2"/>
                      <w:sz w:val="21"/>
                      <w:szCs w:val="21"/>
                      <w:highlight w:val="none"/>
                      <w:u w:val="none"/>
                      <w:lang w:val="en-US" w:eastAsia="zh-CN" w:bidi="ar-SA"/>
                    </w:rPr>
                    <w:t>/</w:t>
                  </w:r>
                </w:p>
              </w:tc>
              <w:tc>
                <w:tcPr>
                  <w:tcW w:w="846" w:type="dxa"/>
                  <w:tcBorders>
                    <w:tl2br w:val="nil"/>
                    <w:tr2bl w:val="nil"/>
                  </w:tcBorders>
                  <w:noWrap w:val="0"/>
                  <w:tcMar>
                    <w:top w:w="15" w:type="dxa"/>
                    <w:left w:w="15" w:type="dxa"/>
                    <w:right w:w="15" w:type="dxa"/>
                  </w:tcMar>
                  <w:vAlign w:val="center"/>
                </w:tcPr>
                <w:p w14:paraId="66185CB8">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lang w:val="en-US" w:eastAsia="zh-CN"/>
                    </w:rPr>
                    <w:t>达标</w:t>
                  </w:r>
                </w:p>
              </w:tc>
              <w:tc>
                <w:tcPr>
                  <w:tcW w:w="846" w:type="dxa"/>
                  <w:tcBorders>
                    <w:tl2br w:val="nil"/>
                    <w:tr2bl w:val="nil"/>
                  </w:tcBorders>
                  <w:noWrap w:val="0"/>
                  <w:tcMar>
                    <w:top w:w="15" w:type="dxa"/>
                    <w:left w:w="15" w:type="dxa"/>
                    <w:right w:w="15" w:type="dxa"/>
                  </w:tcMar>
                  <w:vAlign w:val="center"/>
                </w:tcPr>
                <w:p w14:paraId="5BF0CB4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sz w:val="21"/>
                      <w:szCs w:val="21"/>
                      <w:highlight w:val="none"/>
                      <w:u w:val="none"/>
                      <w:lang w:val="en-US" w:eastAsia="zh-CN"/>
                    </w:rPr>
                    <w:t>&lt;</w:t>
                  </w:r>
                  <w:r>
                    <w:rPr>
                      <w:rFonts w:hint="default" w:ascii="Times New Roman" w:hAnsi="Times New Roman" w:eastAsia="宋体" w:cs="Times New Roman"/>
                      <w:i w:val="0"/>
                      <w:color w:val="auto"/>
                      <w:sz w:val="21"/>
                      <w:szCs w:val="21"/>
                      <w:highlight w:val="none"/>
                      <w:u w:val="none"/>
                      <w:lang w:val="en-US" w:eastAsia="zh-CN"/>
                    </w:rPr>
                    <w:t>1h</w:t>
                  </w:r>
                </w:p>
              </w:tc>
              <w:tc>
                <w:tcPr>
                  <w:tcW w:w="817" w:type="dxa"/>
                  <w:tcBorders>
                    <w:tl2br w:val="nil"/>
                    <w:tr2bl w:val="nil"/>
                  </w:tcBorders>
                  <w:noWrap w:val="0"/>
                  <w:tcMar>
                    <w:top w:w="15" w:type="dxa"/>
                    <w:left w:w="15" w:type="dxa"/>
                    <w:right w:w="15" w:type="dxa"/>
                  </w:tcMar>
                  <w:vAlign w:val="center"/>
                </w:tcPr>
                <w:p w14:paraId="295ECA6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lang w:val="en-US" w:eastAsia="zh-CN"/>
                    </w:rPr>
                    <w:t>＜1次</w:t>
                  </w:r>
                </w:p>
              </w:tc>
              <w:tc>
                <w:tcPr>
                  <w:tcW w:w="907" w:type="dxa"/>
                  <w:tcBorders>
                    <w:tl2br w:val="nil"/>
                    <w:tr2bl w:val="nil"/>
                  </w:tcBorders>
                  <w:noWrap w:val="0"/>
                  <w:tcMar>
                    <w:top w:w="15" w:type="dxa"/>
                    <w:left w:w="15" w:type="dxa"/>
                    <w:right w:w="15" w:type="dxa"/>
                  </w:tcMar>
                  <w:vAlign w:val="center"/>
                </w:tcPr>
                <w:p w14:paraId="238E729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sz w:val="21"/>
                      <w:szCs w:val="21"/>
                      <w:highlight w:val="none"/>
                      <w:u w:val="none"/>
                      <w:lang w:val="en-US" w:eastAsia="zh-CN"/>
                    </w:rPr>
                    <w:t>活性炭吸附装置</w:t>
                  </w:r>
                  <w:r>
                    <w:rPr>
                      <w:rFonts w:hint="default" w:ascii="Times New Roman" w:hAnsi="Times New Roman" w:eastAsia="宋体" w:cs="Times New Roman"/>
                      <w:i w:val="0"/>
                      <w:color w:val="auto"/>
                      <w:sz w:val="21"/>
                      <w:szCs w:val="21"/>
                      <w:highlight w:val="none"/>
                      <w:u w:val="none"/>
                    </w:rPr>
                    <w:t>故障</w:t>
                  </w:r>
                </w:p>
              </w:tc>
              <w:tc>
                <w:tcPr>
                  <w:tcW w:w="1254" w:type="dxa"/>
                  <w:tcBorders>
                    <w:tl2br w:val="nil"/>
                    <w:tr2bl w:val="nil"/>
                  </w:tcBorders>
                  <w:noWrap w:val="0"/>
                  <w:tcMar>
                    <w:top w:w="15" w:type="dxa"/>
                    <w:left w:w="15" w:type="dxa"/>
                    <w:right w:w="15" w:type="dxa"/>
                  </w:tcMar>
                  <w:vAlign w:val="center"/>
                </w:tcPr>
                <w:p w14:paraId="45ECE25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sz w:val="21"/>
                      <w:szCs w:val="21"/>
                      <w:u w:val="none"/>
                    </w:rPr>
                    <w:t>专人负责，定期检查；发现故障立即停产检</w:t>
                  </w:r>
                  <w:r>
                    <w:rPr>
                      <w:rFonts w:hint="default" w:ascii="Times New Roman" w:hAnsi="Times New Roman" w:eastAsia="宋体" w:cs="Times New Roman"/>
                      <w:i w:val="0"/>
                      <w:color w:val="auto"/>
                      <w:sz w:val="21"/>
                      <w:szCs w:val="21"/>
                      <w:u w:val="none"/>
                      <w:lang w:val="en-US" w:eastAsia="zh-CN"/>
                    </w:rPr>
                    <w:t>修</w:t>
                  </w:r>
                </w:p>
              </w:tc>
            </w:tr>
          </w:tbl>
          <w:p w14:paraId="30ADDD8F">
            <w:pPr>
              <w:pStyle w:val="52"/>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right="0" w:firstLine="480" w:firstLineChars="200"/>
              <w:textAlignment w:val="auto"/>
              <w:rPr>
                <w:rFonts w:hint="eastAsia" w:ascii="Times New Roman" w:hAnsi="Times New Roman" w:cs="Times New Roman"/>
                <w:b w:val="0"/>
                <w:bCs w:val="0"/>
                <w:color w:val="auto"/>
                <w:sz w:val="24"/>
                <w:highlight w:val="none"/>
                <w:u w:val="none"/>
                <w:lang w:val="en-US" w:eastAsia="zh-CN"/>
              </w:rPr>
            </w:pPr>
            <w:r>
              <w:rPr>
                <w:rFonts w:hint="default" w:ascii="Times New Roman" w:hAnsi="Times New Roman" w:cs="Times New Roman"/>
                <w:b w:val="0"/>
                <w:bCs w:val="0"/>
                <w:color w:val="auto"/>
                <w:sz w:val="24"/>
                <w:highlight w:val="none"/>
                <w:u w:val="none"/>
                <w:lang w:val="en-US" w:eastAsia="zh-CN"/>
              </w:rPr>
              <w:t>由上表可知</w:t>
            </w:r>
            <w:r>
              <w:rPr>
                <w:rFonts w:hint="eastAsia" w:ascii="Times New Roman" w:hAnsi="Times New Roman" w:cs="Times New Roman"/>
                <w:b w:val="0"/>
                <w:bCs w:val="0"/>
                <w:color w:val="auto"/>
                <w:sz w:val="24"/>
                <w:highlight w:val="none"/>
                <w:u w:val="none"/>
                <w:lang w:val="en-US" w:eastAsia="zh-CN"/>
              </w:rPr>
              <w:t>当环保设施故障，导致非正常排放时，非正常排放时的污染物对周围环境短时贡献值明显高于正常工况。</w:t>
            </w:r>
          </w:p>
          <w:p w14:paraId="2A18C049">
            <w:pPr>
              <w:pStyle w:val="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cs="Times New Roman"/>
                <w:b w:val="0"/>
                <w:bCs w:val="0"/>
                <w:color w:val="auto"/>
                <w:sz w:val="24"/>
                <w:highlight w:val="none"/>
                <w:u w:val="none"/>
                <w:lang w:val="en-US" w:eastAsia="zh-CN"/>
              </w:rPr>
              <w:t>为避免或减少出现非正常排放情况，本次环评建议采取以下措施及对策：</w:t>
            </w:r>
          </w:p>
          <w:p w14:paraId="1E949049">
            <w:pPr>
              <w:pStyle w:val="52"/>
              <w:keepNext w:val="0"/>
              <w:keepLines w:val="0"/>
              <w:suppressLineNumbers w:val="0"/>
              <w:spacing w:before="0" w:beforeAutospacing="0" w:after="0" w:afterAutospacing="0" w:line="360" w:lineRule="auto"/>
              <w:ind w:left="0" w:right="0" w:firstLine="456" w:firstLineChars="200"/>
              <w:rPr>
                <w:rFonts w:hint="default" w:ascii="Times New Roman" w:hAnsi="Times New Roman" w:cs="Times New Roman"/>
                <w:b w:val="0"/>
                <w:bCs w:val="0"/>
                <w:color w:val="auto"/>
                <w:spacing w:val="-6"/>
                <w:sz w:val="24"/>
                <w:highlight w:val="none"/>
                <w:u w:val="none"/>
                <w:lang w:val="en-US" w:eastAsia="zh-CN"/>
              </w:rPr>
            </w:pPr>
            <w:r>
              <w:rPr>
                <w:rFonts w:hint="eastAsia" w:ascii="宋体" w:hAnsi="宋体" w:eastAsia="宋体" w:cs="宋体"/>
                <w:b w:val="0"/>
                <w:bCs w:val="0"/>
                <w:color w:val="auto"/>
                <w:spacing w:val="-6"/>
                <w:sz w:val="24"/>
                <w:highlight w:val="none"/>
                <w:u w:val="none"/>
                <w:lang w:val="en-US" w:eastAsia="zh-CN"/>
              </w:rPr>
              <w:t>①</w:t>
            </w:r>
            <w:r>
              <w:rPr>
                <w:rFonts w:hint="default" w:ascii="Times New Roman" w:hAnsi="Times New Roman" w:cs="Times New Roman"/>
                <w:b w:val="0"/>
                <w:bCs w:val="0"/>
                <w:color w:val="auto"/>
                <w:spacing w:val="-6"/>
                <w:sz w:val="24"/>
                <w:highlight w:val="none"/>
                <w:u w:val="none"/>
                <w:lang w:val="en-US" w:eastAsia="zh-CN"/>
              </w:rPr>
              <w:t>加强管理，制定严格的规章制度，增强操作人员的责任心和紧迫感，精心操作。</w:t>
            </w:r>
          </w:p>
          <w:p w14:paraId="64754445">
            <w:pPr>
              <w:pStyle w:val="52"/>
              <w:keepNext w:val="0"/>
              <w:keepLines w:val="0"/>
              <w:suppressLineNumbers w:val="0"/>
              <w:spacing w:before="0" w:beforeAutospacing="0" w:after="0" w:afterAutospacing="0" w:line="360" w:lineRule="auto"/>
              <w:ind w:left="0" w:right="0" w:firstLine="456" w:firstLineChars="200"/>
              <w:rPr>
                <w:rFonts w:hint="default" w:ascii="Times New Roman" w:hAnsi="Times New Roman" w:cs="Times New Roman"/>
                <w:b w:val="0"/>
                <w:bCs w:val="0"/>
                <w:color w:val="auto"/>
                <w:spacing w:val="-6"/>
                <w:sz w:val="24"/>
                <w:highlight w:val="none"/>
                <w:u w:val="none"/>
                <w:lang w:val="en-US" w:eastAsia="zh-CN"/>
              </w:rPr>
            </w:pPr>
            <w:r>
              <w:rPr>
                <w:rFonts w:hint="eastAsia" w:ascii="宋体" w:hAnsi="宋体" w:eastAsia="宋体" w:cs="宋体"/>
                <w:b w:val="0"/>
                <w:bCs w:val="0"/>
                <w:color w:val="auto"/>
                <w:spacing w:val="-6"/>
                <w:sz w:val="24"/>
                <w:highlight w:val="none"/>
                <w:u w:val="none"/>
                <w:lang w:val="en-US" w:eastAsia="zh-CN"/>
              </w:rPr>
              <w:t>②</w:t>
            </w:r>
            <w:r>
              <w:rPr>
                <w:rFonts w:hint="default" w:ascii="Times New Roman" w:hAnsi="Times New Roman" w:cs="Times New Roman"/>
                <w:b w:val="0"/>
                <w:bCs w:val="0"/>
                <w:color w:val="auto"/>
                <w:spacing w:val="-6"/>
                <w:sz w:val="24"/>
                <w:highlight w:val="none"/>
                <w:u w:val="none"/>
                <w:lang w:val="en-US" w:eastAsia="zh-CN"/>
              </w:rPr>
              <w:t>对设备进行定</w:t>
            </w:r>
            <w:r>
              <w:rPr>
                <w:rFonts w:hint="eastAsia" w:ascii="Times New Roman" w:hAnsi="Times New Roman" w:cs="Times New Roman"/>
                <w:b w:val="0"/>
                <w:bCs w:val="0"/>
                <w:color w:val="auto"/>
                <w:spacing w:val="-6"/>
                <w:sz w:val="24"/>
                <w:highlight w:val="none"/>
                <w:u w:val="none"/>
                <w:lang w:val="en-US" w:eastAsia="zh-CN"/>
              </w:rPr>
              <w:t>期</w:t>
            </w:r>
            <w:r>
              <w:rPr>
                <w:rFonts w:hint="default" w:ascii="Times New Roman" w:hAnsi="Times New Roman" w:cs="Times New Roman"/>
                <w:b w:val="0"/>
                <w:bCs w:val="0"/>
                <w:color w:val="auto"/>
                <w:spacing w:val="-6"/>
                <w:sz w:val="24"/>
                <w:highlight w:val="none"/>
                <w:u w:val="none"/>
                <w:lang w:val="en-US" w:eastAsia="zh-CN"/>
              </w:rPr>
              <w:t>维护保养，及时检修，确保各设备始终处于正常运行状态。</w:t>
            </w:r>
          </w:p>
          <w:p w14:paraId="58C68D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宋体"/>
                <w:b w:val="0"/>
                <w:bCs w:val="0"/>
                <w:color w:val="0000FF"/>
                <w:kern w:val="0"/>
                <w:sz w:val="24"/>
                <w:szCs w:val="32"/>
                <w:lang w:val="en-US" w:eastAsia="zh-CN" w:bidi="ar-SA"/>
              </w:rPr>
            </w:pPr>
            <w:r>
              <w:rPr>
                <w:rFonts w:hint="eastAsia" w:ascii="宋体" w:hAnsi="宋体" w:eastAsia="宋体" w:cs="宋体"/>
                <w:b w:val="0"/>
                <w:bCs w:val="0"/>
                <w:color w:val="auto"/>
                <w:sz w:val="24"/>
                <w:highlight w:val="none"/>
                <w:u w:val="none"/>
                <w:lang w:val="en-US" w:eastAsia="zh-CN"/>
              </w:rPr>
              <w:t>③</w:t>
            </w:r>
            <w:r>
              <w:rPr>
                <w:rFonts w:hint="default" w:ascii="Times New Roman" w:hAnsi="Times New Roman" w:cs="Times New Roman"/>
                <w:b w:val="0"/>
                <w:bCs w:val="0"/>
                <w:color w:val="auto"/>
                <w:sz w:val="24"/>
                <w:highlight w:val="none"/>
                <w:u w:val="none"/>
                <w:lang w:val="en-US" w:eastAsia="zh-CN"/>
              </w:rPr>
              <w:t>如发现设备故障应及时进行修理，必要时应停止运行，待检修完毕正常运行后再投入</w:t>
            </w:r>
            <w:r>
              <w:rPr>
                <w:rFonts w:hint="eastAsia" w:ascii="Times New Roman" w:hAnsi="Times New Roman" w:cs="Times New Roman"/>
                <w:b w:val="0"/>
                <w:bCs w:val="0"/>
                <w:color w:val="auto"/>
                <w:sz w:val="24"/>
                <w:highlight w:val="none"/>
                <w:u w:val="none"/>
                <w:lang w:val="en-US" w:eastAsia="zh-CN"/>
              </w:rPr>
              <w:t>运行</w:t>
            </w:r>
            <w:r>
              <w:rPr>
                <w:rFonts w:hint="default" w:ascii="Times New Roman" w:hAnsi="Times New Roman" w:cs="Times New Roman"/>
                <w:b w:val="0"/>
                <w:bCs w:val="0"/>
                <w:color w:val="auto"/>
                <w:sz w:val="24"/>
                <w:highlight w:val="none"/>
                <w:u w:val="none"/>
                <w:lang w:val="en-US" w:eastAsia="zh-CN"/>
              </w:rPr>
              <w:t>。</w:t>
            </w:r>
          </w:p>
          <w:p w14:paraId="559DF0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8" w:firstLineChars="200"/>
              <w:jc w:val="left"/>
              <w:textAlignment w:val="auto"/>
              <w:rPr>
                <w:rFonts w:hint="eastAsia" w:ascii="Times New Roman" w:hAnsi="Times New Roman" w:cs="宋体"/>
                <w:b/>
                <w:bCs w:val="0"/>
                <w:color w:val="auto"/>
                <w:spacing w:val="-11"/>
                <w:sz w:val="24"/>
                <w:szCs w:val="24"/>
                <w:lang w:val="en-US" w:eastAsia="zh-CN"/>
              </w:rPr>
            </w:pPr>
            <w:r>
              <w:rPr>
                <w:rFonts w:hint="eastAsia" w:ascii="Times New Roman" w:hAnsi="Times New Roman" w:cs="宋体"/>
                <w:b/>
                <w:bCs w:val="0"/>
                <w:color w:val="auto"/>
                <w:spacing w:val="-11"/>
                <w:sz w:val="24"/>
                <w:szCs w:val="24"/>
                <w:lang w:val="en-US" w:eastAsia="zh-CN"/>
              </w:rPr>
              <w:t>1.5监测计划</w:t>
            </w:r>
          </w:p>
          <w:p w14:paraId="7493B70A">
            <w:pPr>
              <w:keepNext w:val="0"/>
              <w:keepLines w:val="0"/>
              <w:pageBreakBefore w:val="0"/>
              <w:widowControl/>
              <w:suppressLineNumbers w:val="0"/>
              <w:kinsoku/>
              <w:wordWrap/>
              <w:overflowPunct/>
              <w:topLinePunct w:val="0"/>
              <w:autoSpaceDE/>
              <w:autoSpaceDN/>
              <w:bidi w:val="0"/>
              <w:adjustRightInd/>
              <w:snapToGrid/>
              <w:spacing w:before="0" w:beforeAutospacing="0" w:after="157" w:afterLines="50" w:afterAutospacing="0" w:line="360" w:lineRule="auto"/>
              <w:ind w:left="0" w:leftChars="0" w:right="0" w:rightChars="0" w:firstLine="480" w:firstLineChars="200"/>
              <w:jc w:val="both"/>
              <w:textAlignment w:val="auto"/>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val="0"/>
                <w:bCs w:val="0"/>
                <w:color w:val="auto"/>
                <w:kern w:val="2"/>
                <w:sz w:val="24"/>
                <w:szCs w:val="32"/>
                <w:highlight w:val="none"/>
                <w:lang w:val="en-US" w:eastAsia="zh-CN" w:bidi="ar-SA"/>
              </w:rPr>
              <w:t>参照根据《</w:t>
            </w:r>
            <w:r>
              <w:rPr>
                <w:rFonts w:hint="eastAsia" w:cs="Times New Roman"/>
                <w:b w:val="0"/>
                <w:bCs w:val="0"/>
                <w:color w:val="auto"/>
                <w:kern w:val="2"/>
                <w:sz w:val="24"/>
                <w:szCs w:val="32"/>
                <w:highlight w:val="none"/>
                <w:lang w:val="en-US" w:eastAsia="zh-CN" w:bidi="ar-SA"/>
              </w:rPr>
              <w:t>排污单位自行监测技术指南 总则</w:t>
            </w:r>
            <w:r>
              <w:rPr>
                <w:rFonts w:hint="eastAsia" w:ascii="Times New Roman" w:hAnsi="Times New Roman" w:eastAsia="宋体" w:cs="Times New Roman"/>
                <w:b w:val="0"/>
                <w:bCs w:val="0"/>
                <w:color w:val="auto"/>
                <w:kern w:val="2"/>
                <w:sz w:val="24"/>
                <w:szCs w:val="32"/>
                <w:highlight w:val="none"/>
                <w:lang w:val="en-US" w:eastAsia="zh-CN" w:bidi="ar-SA"/>
              </w:rPr>
              <w:t>》（HJ</w:t>
            </w:r>
            <w:r>
              <w:rPr>
                <w:rFonts w:hint="eastAsia" w:cs="Times New Roman"/>
                <w:b w:val="0"/>
                <w:bCs w:val="0"/>
                <w:color w:val="auto"/>
                <w:kern w:val="2"/>
                <w:sz w:val="24"/>
                <w:szCs w:val="32"/>
                <w:highlight w:val="none"/>
                <w:lang w:val="en-US" w:eastAsia="zh-CN" w:bidi="ar-SA"/>
              </w:rPr>
              <w:t>819</w:t>
            </w:r>
            <w:r>
              <w:rPr>
                <w:rFonts w:hint="eastAsia" w:ascii="Times New Roman" w:hAnsi="Times New Roman" w:eastAsia="宋体" w:cs="Times New Roman"/>
                <w:b w:val="0"/>
                <w:bCs w:val="0"/>
                <w:color w:val="auto"/>
                <w:kern w:val="2"/>
                <w:sz w:val="24"/>
                <w:szCs w:val="32"/>
                <w:highlight w:val="none"/>
                <w:lang w:val="en-US" w:eastAsia="zh-CN" w:bidi="ar-SA"/>
              </w:rPr>
              <w:t>-20</w:t>
            </w:r>
            <w:r>
              <w:rPr>
                <w:rFonts w:hint="eastAsia" w:cs="Times New Roman"/>
                <w:b w:val="0"/>
                <w:bCs w:val="0"/>
                <w:color w:val="auto"/>
                <w:kern w:val="2"/>
                <w:sz w:val="24"/>
                <w:szCs w:val="32"/>
                <w:highlight w:val="none"/>
                <w:lang w:val="en-US" w:eastAsia="zh-CN" w:bidi="ar-SA"/>
              </w:rPr>
              <w:t>17</w:t>
            </w:r>
            <w:r>
              <w:rPr>
                <w:rFonts w:hint="eastAsia" w:ascii="Times New Roman" w:hAnsi="Times New Roman" w:eastAsia="宋体" w:cs="Times New Roman"/>
                <w:b w:val="0"/>
                <w:bCs w:val="0"/>
                <w:color w:val="auto"/>
                <w:kern w:val="2"/>
                <w:sz w:val="24"/>
                <w:szCs w:val="32"/>
                <w:highlight w:val="none"/>
                <w:lang w:val="en-US" w:eastAsia="zh-CN" w:bidi="ar-SA"/>
              </w:rPr>
              <w:t>）</w:t>
            </w:r>
            <w:r>
              <w:rPr>
                <w:rFonts w:hint="eastAsia" w:cs="Times New Roman"/>
                <w:b w:val="0"/>
                <w:bCs w:val="0"/>
                <w:color w:val="auto"/>
                <w:kern w:val="2"/>
                <w:sz w:val="24"/>
                <w:szCs w:val="32"/>
                <w:highlight w:val="none"/>
                <w:lang w:val="en-US" w:eastAsia="zh-CN" w:bidi="ar-SA"/>
              </w:rPr>
              <w:t>及</w:t>
            </w:r>
            <w:r>
              <w:rPr>
                <w:rFonts w:hint="default"/>
                <w:sz w:val="24"/>
              </w:rPr>
              <w:t>《排污许可证申请与核发技术规范 印刷工业》（HJ 1066－2019）</w:t>
            </w:r>
            <w:r>
              <w:rPr>
                <w:rFonts w:hint="eastAsia" w:ascii="Times New Roman" w:hAnsi="Times New Roman" w:eastAsia="宋体" w:cs="Times New Roman"/>
                <w:b w:val="0"/>
                <w:bCs w:val="0"/>
                <w:color w:val="auto"/>
                <w:kern w:val="2"/>
                <w:sz w:val="24"/>
                <w:szCs w:val="32"/>
                <w:highlight w:val="none"/>
                <w:lang w:val="en-US" w:eastAsia="zh-CN" w:bidi="ar-SA"/>
              </w:rPr>
              <w:t>要求，本项目大气污染源监测计划见下表。</w:t>
            </w:r>
          </w:p>
          <w:p w14:paraId="2806E15E">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表</w:t>
            </w:r>
            <w:r>
              <w:rPr>
                <w:rFonts w:hint="default" w:ascii="Times New Roman" w:hAnsi="Times New Roman" w:eastAsia="宋体" w:cs="Times New Roman"/>
                <w:b/>
                <w:color w:val="auto"/>
                <w:sz w:val="24"/>
                <w:szCs w:val="24"/>
                <w:lang w:val="en-US" w:eastAsia="zh-CN"/>
              </w:rPr>
              <w:t>4</w:t>
            </w:r>
            <w:r>
              <w:rPr>
                <w:rFonts w:hint="eastAsia" w:ascii="Times New Roman" w:hAnsi="Times New Roman" w:eastAsia="宋体" w:cs="Times New Roman"/>
                <w:b/>
                <w:color w:val="auto"/>
                <w:sz w:val="24"/>
                <w:szCs w:val="24"/>
                <w:lang w:val="en-US" w:eastAsia="zh-CN"/>
              </w:rPr>
              <w:t>-</w:t>
            </w:r>
            <w:r>
              <w:rPr>
                <w:rFonts w:hint="eastAsia" w:cs="Times New Roman"/>
                <w:b/>
                <w:color w:val="auto"/>
                <w:sz w:val="24"/>
                <w:szCs w:val="24"/>
                <w:lang w:val="en-US" w:eastAsia="zh-CN"/>
              </w:rPr>
              <w:t>5</w:t>
            </w:r>
            <w:r>
              <w:rPr>
                <w:rFonts w:hint="default" w:ascii="Times New Roman" w:hAnsi="Times New Roman" w:eastAsia="宋体" w:cs="Times New Roman"/>
                <w:b/>
                <w:color w:val="auto"/>
                <w:sz w:val="24"/>
                <w:szCs w:val="24"/>
                <w:lang w:val="en-US" w:eastAsia="zh-CN"/>
              </w:rPr>
              <w:t xml:space="preserve"> </w:t>
            </w:r>
            <w:r>
              <w:rPr>
                <w:rFonts w:hint="eastAsia" w:ascii="Times New Roman" w:hAnsi="Times New Roman" w:eastAsia="宋体" w:cs="Times New Roman"/>
                <w:b/>
                <w:color w:val="auto"/>
                <w:sz w:val="24"/>
                <w:szCs w:val="24"/>
                <w:lang w:val="en-US" w:eastAsia="zh-CN"/>
              </w:rPr>
              <w:t xml:space="preserve"> 本项目废气监测工作计划</w:t>
            </w:r>
          </w:p>
          <w:tbl>
            <w:tblPr>
              <w:tblStyle w:val="35"/>
              <w:tblW w:w="5000"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210"/>
              <w:gridCol w:w="932"/>
              <w:gridCol w:w="1130"/>
              <w:gridCol w:w="4691"/>
            </w:tblGrid>
            <w:tr w14:paraId="61576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tcBorders>
                    <w:tl2br w:val="nil"/>
                    <w:tr2bl w:val="nil"/>
                  </w:tcBorders>
                  <w:noWrap w:val="0"/>
                  <w:vAlign w:val="center"/>
                </w:tcPr>
                <w:p w14:paraId="4F4768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auto"/>
                      <w:spacing w:val="-11"/>
                      <w:sz w:val="21"/>
                      <w:szCs w:val="21"/>
                      <w:vertAlign w:val="baseline"/>
                      <w:lang w:val="en-US" w:eastAsia="zh-CN"/>
                    </w:rPr>
                  </w:pPr>
                  <w:r>
                    <w:rPr>
                      <w:rFonts w:hint="default" w:ascii="Times New Roman" w:hAnsi="Times New Roman" w:cs="Times New Roman"/>
                      <w:b/>
                      <w:bCs w:val="0"/>
                      <w:color w:val="auto"/>
                      <w:spacing w:val="-11"/>
                      <w:sz w:val="21"/>
                      <w:szCs w:val="21"/>
                      <w:vertAlign w:val="baseline"/>
                      <w:lang w:val="en-US" w:eastAsia="zh-CN"/>
                    </w:rPr>
                    <w:t>类型</w:t>
                  </w:r>
                </w:p>
              </w:tc>
              <w:tc>
                <w:tcPr>
                  <w:tcW w:w="714" w:type="pct"/>
                  <w:tcBorders>
                    <w:tl2br w:val="nil"/>
                    <w:tr2bl w:val="nil"/>
                  </w:tcBorders>
                  <w:noWrap w:val="0"/>
                  <w:vAlign w:val="center"/>
                </w:tcPr>
                <w:p w14:paraId="33C901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auto"/>
                      <w:spacing w:val="-11"/>
                      <w:sz w:val="21"/>
                      <w:szCs w:val="21"/>
                      <w:vertAlign w:val="baseline"/>
                      <w:lang w:val="en-US" w:eastAsia="zh-CN"/>
                    </w:rPr>
                  </w:pPr>
                  <w:r>
                    <w:rPr>
                      <w:rFonts w:hint="default" w:ascii="Times New Roman" w:hAnsi="Times New Roman" w:cs="Times New Roman"/>
                      <w:b/>
                      <w:bCs w:val="0"/>
                      <w:color w:val="auto"/>
                      <w:spacing w:val="-11"/>
                      <w:sz w:val="21"/>
                      <w:szCs w:val="21"/>
                      <w:vertAlign w:val="baseline"/>
                      <w:lang w:val="en-US" w:eastAsia="zh-CN"/>
                    </w:rPr>
                    <w:t>监测点位</w:t>
                  </w:r>
                </w:p>
              </w:tc>
              <w:tc>
                <w:tcPr>
                  <w:tcW w:w="550" w:type="pct"/>
                  <w:tcBorders>
                    <w:tl2br w:val="nil"/>
                    <w:tr2bl w:val="nil"/>
                  </w:tcBorders>
                  <w:noWrap w:val="0"/>
                  <w:vAlign w:val="center"/>
                </w:tcPr>
                <w:p w14:paraId="046BA6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auto"/>
                      <w:spacing w:val="-11"/>
                      <w:sz w:val="21"/>
                      <w:szCs w:val="21"/>
                      <w:vertAlign w:val="baseline"/>
                      <w:lang w:val="en-US" w:eastAsia="zh-CN"/>
                    </w:rPr>
                  </w:pPr>
                  <w:r>
                    <w:rPr>
                      <w:rFonts w:hint="default" w:ascii="Times New Roman" w:hAnsi="Times New Roman" w:cs="Times New Roman"/>
                      <w:b/>
                      <w:bCs w:val="0"/>
                      <w:color w:val="auto"/>
                      <w:spacing w:val="-11"/>
                      <w:sz w:val="21"/>
                      <w:szCs w:val="21"/>
                      <w:vertAlign w:val="baseline"/>
                      <w:lang w:val="en-US" w:eastAsia="zh-CN"/>
                    </w:rPr>
                    <w:t>检测</w:t>
                  </w:r>
                </w:p>
                <w:p w14:paraId="16BBC9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auto"/>
                      <w:spacing w:val="-11"/>
                      <w:sz w:val="21"/>
                      <w:szCs w:val="21"/>
                      <w:vertAlign w:val="baseline"/>
                      <w:lang w:val="en-US" w:eastAsia="zh-CN"/>
                    </w:rPr>
                  </w:pPr>
                  <w:r>
                    <w:rPr>
                      <w:rFonts w:hint="default" w:ascii="Times New Roman" w:hAnsi="Times New Roman" w:cs="Times New Roman"/>
                      <w:b/>
                      <w:bCs w:val="0"/>
                      <w:color w:val="auto"/>
                      <w:spacing w:val="-11"/>
                      <w:sz w:val="21"/>
                      <w:szCs w:val="21"/>
                      <w:vertAlign w:val="baseline"/>
                      <w:lang w:val="en-US" w:eastAsia="zh-CN"/>
                    </w:rPr>
                    <w:t>项目</w:t>
                  </w:r>
                </w:p>
              </w:tc>
              <w:tc>
                <w:tcPr>
                  <w:tcW w:w="666" w:type="pct"/>
                  <w:tcBorders>
                    <w:tl2br w:val="nil"/>
                    <w:tr2bl w:val="nil"/>
                  </w:tcBorders>
                  <w:noWrap w:val="0"/>
                  <w:vAlign w:val="center"/>
                </w:tcPr>
                <w:p w14:paraId="138A9A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auto"/>
                      <w:spacing w:val="-11"/>
                      <w:sz w:val="21"/>
                      <w:szCs w:val="21"/>
                      <w:vertAlign w:val="baseline"/>
                      <w:lang w:val="en-US" w:eastAsia="zh-CN"/>
                    </w:rPr>
                  </w:pPr>
                  <w:r>
                    <w:rPr>
                      <w:rFonts w:hint="default" w:ascii="Times New Roman" w:hAnsi="Times New Roman" w:cs="Times New Roman"/>
                      <w:b/>
                      <w:bCs w:val="0"/>
                      <w:color w:val="auto"/>
                      <w:spacing w:val="-11"/>
                      <w:sz w:val="21"/>
                      <w:szCs w:val="21"/>
                      <w:vertAlign w:val="baseline"/>
                      <w:lang w:val="en-US" w:eastAsia="zh-CN"/>
                    </w:rPr>
                    <w:t>监测频次</w:t>
                  </w:r>
                </w:p>
              </w:tc>
              <w:tc>
                <w:tcPr>
                  <w:tcW w:w="2768" w:type="pct"/>
                  <w:tcBorders>
                    <w:tl2br w:val="nil"/>
                    <w:tr2bl w:val="nil"/>
                  </w:tcBorders>
                  <w:noWrap w:val="0"/>
                  <w:vAlign w:val="center"/>
                </w:tcPr>
                <w:p w14:paraId="5733EF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宋体"/>
                      <w:b/>
                      <w:bCs w:val="0"/>
                      <w:color w:val="auto"/>
                      <w:spacing w:val="-11"/>
                      <w:sz w:val="21"/>
                      <w:szCs w:val="21"/>
                      <w:vertAlign w:val="baseline"/>
                      <w:lang w:val="en-US" w:eastAsia="zh-CN"/>
                    </w:rPr>
                  </w:pPr>
                  <w:r>
                    <w:rPr>
                      <w:rFonts w:hint="eastAsia" w:ascii="Times New Roman" w:hAnsi="Times New Roman" w:cs="宋体"/>
                      <w:b/>
                      <w:bCs w:val="0"/>
                      <w:color w:val="auto"/>
                      <w:spacing w:val="-11"/>
                      <w:sz w:val="21"/>
                      <w:szCs w:val="21"/>
                      <w:vertAlign w:val="baseline"/>
                      <w:lang w:val="en-US" w:eastAsia="zh-CN"/>
                    </w:rPr>
                    <w:t>排放标准</w:t>
                  </w:r>
                </w:p>
              </w:tc>
            </w:tr>
            <w:tr w14:paraId="7A84B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Merge w:val="restart"/>
                  <w:tcBorders>
                    <w:tl2br w:val="nil"/>
                    <w:tr2bl w:val="nil"/>
                  </w:tcBorders>
                  <w:noWrap w:val="0"/>
                  <w:vAlign w:val="center"/>
                </w:tcPr>
                <w:p w14:paraId="64DA79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r>
                    <w:rPr>
                      <w:rFonts w:hint="default" w:ascii="Times New Roman" w:hAnsi="Times New Roman" w:cs="Times New Roman"/>
                      <w:b w:val="0"/>
                      <w:bCs/>
                      <w:color w:val="auto"/>
                      <w:spacing w:val="-11"/>
                      <w:sz w:val="21"/>
                      <w:szCs w:val="21"/>
                      <w:vertAlign w:val="baseline"/>
                      <w:lang w:val="en-US" w:eastAsia="zh-CN"/>
                    </w:rPr>
                    <w:t>废气</w:t>
                  </w:r>
                </w:p>
              </w:tc>
              <w:tc>
                <w:tcPr>
                  <w:tcW w:w="714" w:type="pct"/>
                  <w:tcBorders>
                    <w:tl2br w:val="nil"/>
                    <w:tr2bl w:val="nil"/>
                  </w:tcBorders>
                  <w:noWrap w:val="0"/>
                  <w:vAlign w:val="center"/>
                </w:tcPr>
                <w:p w14:paraId="56D1B3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color w:val="auto"/>
                      <w:spacing w:val="-11"/>
                      <w:sz w:val="21"/>
                      <w:szCs w:val="21"/>
                      <w:vertAlign w:val="baseline"/>
                      <w:lang w:val="en-US" w:eastAsia="zh-CN"/>
                    </w:rPr>
                  </w:pPr>
                  <w:r>
                    <w:rPr>
                      <w:rFonts w:hint="eastAsia" w:cs="Times New Roman"/>
                      <w:b w:val="0"/>
                      <w:bCs/>
                      <w:color w:val="auto"/>
                      <w:spacing w:val="-11"/>
                      <w:sz w:val="21"/>
                      <w:szCs w:val="21"/>
                      <w:vertAlign w:val="baseline"/>
                      <w:lang w:val="en-US" w:eastAsia="zh-CN"/>
                    </w:rPr>
                    <w:t>DA00</w:t>
                  </w:r>
                  <w:r>
                    <w:rPr>
                      <w:rFonts w:hint="eastAsia" w:ascii="Times New Roman" w:hAnsi="Times New Roman" w:cs="Times New Roman"/>
                      <w:b w:val="0"/>
                      <w:bCs/>
                      <w:color w:val="auto"/>
                      <w:spacing w:val="-11"/>
                      <w:sz w:val="21"/>
                      <w:szCs w:val="21"/>
                      <w:vertAlign w:val="baseline"/>
                      <w:lang w:val="en-US" w:eastAsia="zh-CN"/>
                    </w:rPr>
                    <w:t>1</w:t>
                  </w:r>
                </w:p>
              </w:tc>
              <w:tc>
                <w:tcPr>
                  <w:tcW w:w="550" w:type="pct"/>
                  <w:tcBorders>
                    <w:tl2br w:val="nil"/>
                    <w:tr2bl w:val="nil"/>
                  </w:tcBorders>
                  <w:noWrap w:val="0"/>
                  <w:vAlign w:val="center"/>
                </w:tcPr>
                <w:p w14:paraId="0BE2AEDE">
                  <w:pPr>
                    <w:keepNext w:val="0"/>
                    <w:keepLines w:val="0"/>
                    <w:widowControl/>
                    <w:suppressLineNumbers w:val="0"/>
                    <w:spacing w:before="0" w:beforeAutospacing="0" w:after="0" w:afterAutospacing="0"/>
                    <w:ind w:left="0" w:right="0"/>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颗粒物</w:t>
                  </w:r>
                </w:p>
              </w:tc>
              <w:tc>
                <w:tcPr>
                  <w:tcW w:w="666" w:type="pct"/>
                  <w:tcBorders>
                    <w:tl2br w:val="nil"/>
                    <w:tr2bl w:val="nil"/>
                  </w:tcBorders>
                  <w:noWrap w:val="0"/>
                  <w:vAlign w:val="center"/>
                </w:tcPr>
                <w:p w14:paraId="09A834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highlight w:val="none"/>
                      <w:vertAlign w:val="baseline"/>
                      <w:lang w:val="en-US" w:eastAsia="zh-CN"/>
                    </w:rPr>
                  </w:pPr>
                  <w:r>
                    <w:rPr>
                      <w:rFonts w:hint="default" w:ascii="Times New Roman" w:hAnsi="Times New Roman" w:cs="Times New Roman"/>
                      <w:b w:val="0"/>
                      <w:bCs/>
                      <w:color w:val="auto"/>
                      <w:spacing w:val="-11"/>
                      <w:sz w:val="21"/>
                      <w:szCs w:val="21"/>
                      <w:highlight w:val="none"/>
                      <w:vertAlign w:val="baseline"/>
                      <w:lang w:val="en-US" w:eastAsia="zh-CN"/>
                    </w:rPr>
                    <w:t>1次</w:t>
                  </w:r>
                  <w:r>
                    <w:rPr>
                      <w:rFonts w:hint="eastAsia" w:ascii="Times New Roman" w:hAnsi="Times New Roman" w:cs="Times New Roman"/>
                      <w:b w:val="0"/>
                      <w:bCs/>
                      <w:color w:val="auto"/>
                      <w:spacing w:val="-11"/>
                      <w:sz w:val="21"/>
                      <w:szCs w:val="21"/>
                      <w:highlight w:val="none"/>
                      <w:vertAlign w:val="baseline"/>
                      <w:lang w:val="en-US" w:eastAsia="zh-CN"/>
                    </w:rPr>
                    <w:t>/</w:t>
                  </w:r>
                  <w:r>
                    <w:rPr>
                      <w:rFonts w:hint="default" w:ascii="Times New Roman" w:hAnsi="Times New Roman" w:cs="Times New Roman"/>
                      <w:b w:val="0"/>
                      <w:bCs/>
                      <w:color w:val="auto"/>
                      <w:spacing w:val="-11"/>
                      <w:sz w:val="21"/>
                      <w:szCs w:val="21"/>
                      <w:highlight w:val="none"/>
                      <w:vertAlign w:val="baseline"/>
                      <w:lang w:val="en-US" w:eastAsia="zh-CN"/>
                    </w:rPr>
                    <w:t>年</w:t>
                  </w:r>
                </w:p>
              </w:tc>
              <w:tc>
                <w:tcPr>
                  <w:tcW w:w="2768" w:type="pct"/>
                  <w:tcBorders>
                    <w:tl2br w:val="nil"/>
                    <w:tr2bl w:val="nil"/>
                  </w:tcBorders>
                  <w:noWrap w:val="0"/>
                  <w:vAlign w:val="center"/>
                </w:tcPr>
                <w:p w14:paraId="6CD1877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区域性大气污染物综合排放标准》（DB37/2376-2019）</w:t>
                  </w:r>
                </w:p>
              </w:tc>
            </w:tr>
            <w:tr w14:paraId="40BA1E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Merge w:val="continue"/>
                  <w:tcBorders>
                    <w:tl2br w:val="nil"/>
                    <w:tr2bl w:val="nil"/>
                  </w:tcBorders>
                  <w:noWrap w:val="0"/>
                  <w:vAlign w:val="center"/>
                </w:tcPr>
                <w:p w14:paraId="2CBA35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p>
              </w:tc>
              <w:tc>
                <w:tcPr>
                  <w:tcW w:w="714" w:type="pct"/>
                  <w:tcBorders>
                    <w:tl2br w:val="nil"/>
                    <w:tr2bl w:val="nil"/>
                  </w:tcBorders>
                  <w:noWrap w:val="0"/>
                  <w:vAlign w:val="center"/>
                </w:tcPr>
                <w:p w14:paraId="3D1412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kern w:val="2"/>
                      <w:sz w:val="21"/>
                      <w:szCs w:val="21"/>
                      <w:vertAlign w:val="baseline"/>
                      <w:lang w:val="en-US" w:eastAsia="zh-CN" w:bidi="ar-SA"/>
                    </w:rPr>
                  </w:pPr>
                  <w:r>
                    <w:rPr>
                      <w:rFonts w:hint="eastAsia" w:cs="Times New Roman"/>
                      <w:b w:val="0"/>
                      <w:bCs/>
                      <w:color w:val="auto"/>
                      <w:spacing w:val="-11"/>
                      <w:sz w:val="21"/>
                      <w:szCs w:val="21"/>
                      <w:vertAlign w:val="baseline"/>
                      <w:lang w:val="en-US" w:eastAsia="zh-CN"/>
                    </w:rPr>
                    <w:t>DA002</w:t>
                  </w:r>
                </w:p>
              </w:tc>
              <w:tc>
                <w:tcPr>
                  <w:tcW w:w="550" w:type="pct"/>
                  <w:tcBorders>
                    <w:tl2br w:val="nil"/>
                    <w:tr2bl w:val="nil"/>
                  </w:tcBorders>
                  <w:noWrap w:val="0"/>
                  <w:vAlign w:val="center"/>
                </w:tcPr>
                <w:p w14:paraId="50FAE04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11"/>
                      <w:kern w:val="2"/>
                      <w:sz w:val="21"/>
                      <w:szCs w:val="21"/>
                      <w:vertAlign w:val="baseline"/>
                      <w:lang w:val="en-US" w:eastAsia="zh-CN" w:bidi="ar-SA"/>
                    </w:rPr>
                  </w:pPr>
                  <w:r>
                    <w:rPr>
                      <w:rFonts w:hint="eastAsia" w:cs="Times New Roman"/>
                      <w:i w:val="0"/>
                      <w:color w:val="auto"/>
                      <w:kern w:val="0"/>
                      <w:sz w:val="21"/>
                      <w:szCs w:val="21"/>
                      <w:highlight w:val="none"/>
                      <w:u w:val="none"/>
                      <w:lang w:val="en-US" w:eastAsia="zh-CN" w:bidi="ar"/>
                    </w:rPr>
                    <w:t>VOCs</w:t>
                  </w:r>
                </w:p>
              </w:tc>
              <w:tc>
                <w:tcPr>
                  <w:tcW w:w="666" w:type="pct"/>
                  <w:tcBorders>
                    <w:tl2br w:val="nil"/>
                    <w:tr2bl w:val="nil"/>
                  </w:tcBorders>
                  <w:noWrap w:val="0"/>
                  <w:vAlign w:val="center"/>
                </w:tcPr>
                <w:p w14:paraId="7B9774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kern w:val="2"/>
                      <w:sz w:val="21"/>
                      <w:szCs w:val="21"/>
                      <w:highlight w:val="none"/>
                      <w:vertAlign w:val="baseline"/>
                      <w:lang w:val="en-US" w:eastAsia="zh-CN" w:bidi="ar-SA"/>
                    </w:rPr>
                  </w:pPr>
                  <w:r>
                    <w:rPr>
                      <w:rFonts w:hint="default" w:ascii="Times New Roman" w:hAnsi="Times New Roman" w:cs="Times New Roman"/>
                      <w:b w:val="0"/>
                      <w:bCs/>
                      <w:color w:val="auto"/>
                      <w:spacing w:val="-11"/>
                      <w:sz w:val="21"/>
                      <w:szCs w:val="21"/>
                      <w:highlight w:val="none"/>
                      <w:vertAlign w:val="baseline"/>
                      <w:lang w:val="en-US" w:eastAsia="zh-CN"/>
                    </w:rPr>
                    <w:t>1次</w:t>
                  </w:r>
                  <w:r>
                    <w:rPr>
                      <w:rFonts w:hint="eastAsia" w:ascii="Times New Roman" w:hAnsi="Times New Roman" w:cs="Times New Roman"/>
                      <w:b w:val="0"/>
                      <w:bCs/>
                      <w:color w:val="auto"/>
                      <w:spacing w:val="-11"/>
                      <w:sz w:val="21"/>
                      <w:szCs w:val="21"/>
                      <w:highlight w:val="none"/>
                      <w:vertAlign w:val="baseline"/>
                      <w:lang w:val="en-US" w:eastAsia="zh-CN"/>
                    </w:rPr>
                    <w:t>/</w:t>
                  </w:r>
                  <w:r>
                    <w:rPr>
                      <w:rFonts w:hint="default" w:ascii="Times New Roman" w:hAnsi="Times New Roman" w:cs="Times New Roman"/>
                      <w:b w:val="0"/>
                      <w:bCs/>
                      <w:color w:val="auto"/>
                      <w:spacing w:val="-11"/>
                      <w:sz w:val="21"/>
                      <w:szCs w:val="21"/>
                      <w:highlight w:val="none"/>
                      <w:vertAlign w:val="baseline"/>
                      <w:lang w:val="en-US" w:eastAsia="zh-CN"/>
                    </w:rPr>
                    <w:t>年</w:t>
                  </w:r>
                </w:p>
              </w:tc>
              <w:tc>
                <w:tcPr>
                  <w:tcW w:w="2768" w:type="pct"/>
                  <w:vMerge w:val="restart"/>
                  <w:tcBorders>
                    <w:tl2br w:val="nil"/>
                    <w:tr2bl w:val="nil"/>
                  </w:tcBorders>
                  <w:noWrap w:val="0"/>
                  <w:vAlign w:val="center"/>
                </w:tcPr>
                <w:p w14:paraId="7AE41E3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rPr>
                    <w:t>《挥发性有机物排放标准 第4部分：印刷业》（DB37/2801.4-2017）</w:t>
                  </w:r>
                </w:p>
              </w:tc>
            </w:tr>
            <w:tr w14:paraId="12B05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Merge w:val="continue"/>
                  <w:tcBorders>
                    <w:tl2br w:val="nil"/>
                    <w:tr2bl w:val="nil"/>
                  </w:tcBorders>
                  <w:noWrap w:val="0"/>
                  <w:vAlign w:val="center"/>
                </w:tcPr>
                <w:p w14:paraId="05CD00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p>
              </w:tc>
              <w:tc>
                <w:tcPr>
                  <w:tcW w:w="714" w:type="pct"/>
                  <w:vMerge w:val="restart"/>
                  <w:tcBorders>
                    <w:tl2br w:val="nil"/>
                    <w:tr2bl w:val="nil"/>
                  </w:tcBorders>
                  <w:noWrap w:val="0"/>
                  <w:vAlign w:val="center"/>
                </w:tcPr>
                <w:p w14:paraId="0FF6E2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r>
                    <w:rPr>
                      <w:rFonts w:hint="eastAsia" w:cs="Times New Roman"/>
                      <w:b w:val="0"/>
                      <w:bCs/>
                      <w:color w:val="auto"/>
                      <w:spacing w:val="-11"/>
                      <w:sz w:val="21"/>
                      <w:szCs w:val="21"/>
                      <w:vertAlign w:val="baseline"/>
                      <w:lang w:val="en-US" w:eastAsia="zh-CN"/>
                    </w:rPr>
                    <w:t>厂界</w:t>
                  </w:r>
                </w:p>
              </w:tc>
              <w:tc>
                <w:tcPr>
                  <w:tcW w:w="550" w:type="pct"/>
                  <w:tcBorders>
                    <w:tl2br w:val="nil"/>
                    <w:tr2bl w:val="nil"/>
                  </w:tcBorders>
                  <w:noWrap w:val="0"/>
                  <w:vAlign w:val="center"/>
                </w:tcPr>
                <w:p w14:paraId="4FBB82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r>
                    <w:rPr>
                      <w:rFonts w:hint="eastAsia" w:cs="Times New Roman"/>
                      <w:i w:val="0"/>
                      <w:color w:val="auto"/>
                      <w:kern w:val="0"/>
                      <w:sz w:val="21"/>
                      <w:szCs w:val="21"/>
                      <w:highlight w:val="none"/>
                      <w:u w:val="none"/>
                      <w:lang w:val="en-US" w:eastAsia="zh-CN" w:bidi="ar"/>
                    </w:rPr>
                    <w:t>VOCs</w:t>
                  </w:r>
                </w:p>
              </w:tc>
              <w:tc>
                <w:tcPr>
                  <w:tcW w:w="666" w:type="pct"/>
                  <w:tcBorders>
                    <w:tl2br w:val="nil"/>
                    <w:tr2bl w:val="nil"/>
                  </w:tcBorders>
                  <w:noWrap w:val="0"/>
                  <w:vAlign w:val="center"/>
                </w:tcPr>
                <w:p w14:paraId="22AD57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highlight w:val="none"/>
                      <w:vertAlign w:val="baseline"/>
                      <w:lang w:val="en-US" w:eastAsia="zh-CN"/>
                    </w:rPr>
                  </w:pPr>
                  <w:r>
                    <w:rPr>
                      <w:rFonts w:hint="default" w:ascii="Times New Roman" w:hAnsi="Times New Roman" w:cs="Times New Roman"/>
                      <w:b w:val="0"/>
                      <w:bCs/>
                      <w:color w:val="auto"/>
                      <w:spacing w:val="-11"/>
                      <w:sz w:val="21"/>
                      <w:szCs w:val="21"/>
                      <w:highlight w:val="none"/>
                      <w:vertAlign w:val="baseline"/>
                      <w:lang w:val="en-US" w:eastAsia="zh-CN"/>
                    </w:rPr>
                    <w:t>1次</w:t>
                  </w:r>
                  <w:r>
                    <w:rPr>
                      <w:rFonts w:hint="eastAsia" w:ascii="Times New Roman" w:hAnsi="Times New Roman" w:cs="Times New Roman"/>
                      <w:b w:val="0"/>
                      <w:bCs/>
                      <w:color w:val="auto"/>
                      <w:spacing w:val="-11"/>
                      <w:sz w:val="21"/>
                      <w:szCs w:val="21"/>
                      <w:highlight w:val="none"/>
                      <w:vertAlign w:val="baseline"/>
                      <w:lang w:val="en-US" w:eastAsia="zh-CN"/>
                    </w:rPr>
                    <w:t>/</w:t>
                  </w:r>
                  <w:r>
                    <w:rPr>
                      <w:rFonts w:hint="eastAsia" w:cs="Times New Roman"/>
                      <w:b w:val="0"/>
                      <w:bCs/>
                      <w:color w:val="auto"/>
                      <w:spacing w:val="-11"/>
                      <w:sz w:val="21"/>
                      <w:szCs w:val="21"/>
                      <w:highlight w:val="none"/>
                      <w:vertAlign w:val="baseline"/>
                      <w:lang w:val="en-US" w:eastAsia="zh-CN"/>
                    </w:rPr>
                    <w:t>年</w:t>
                  </w:r>
                </w:p>
              </w:tc>
              <w:tc>
                <w:tcPr>
                  <w:tcW w:w="2768" w:type="pct"/>
                  <w:vMerge w:val="continue"/>
                  <w:tcBorders>
                    <w:tl2br w:val="nil"/>
                    <w:tr2bl w:val="nil"/>
                  </w:tcBorders>
                  <w:noWrap w:val="0"/>
                  <w:vAlign w:val="center"/>
                </w:tcPr>
                <w:p w14:paraId="772CA94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r>
            <w:tr w14:paraId="71A69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Merge w:val="continue"/>
                  <w:tcBorders>
                    <w:tl2br w:val="nil"/>
                    <w:tr2bl w:val="nil"/>
                  </w:tcBorders>
                  <w:noWrap w:val="0"/>
                  <w:vAlign w:val="center"/>
                </w:tcPr>
                <w:p w14:paraId="0BD99E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p>
              </w:tc>
              <w:tc>
                <w:tcPr>
                  <w:tcW w:w="714" w:type="pct"/>
                  <w:vMerge w:val="continue"/>
                  <w:tcBorders>
                    <w:tl2br w:val="nil"/>
                    <w:tr2bl w:val="nil"/>
                  </w:tcBorders>
                  <w:noWrap w:val="0"/>
                  <w:vAlign w:val="center"/>
                </w:tcPr>
                <w:p w14:paraId="153C5D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p>
              </w:tc>
              <w:tc>
                <w:tcPr>
                  <w:tcW w:w="550" w:type="pct"/>
                  <w:tcBorders>
                    <w:tl2br w:val="nil"/>
                    <w:tr2bl w:val="nil"/>
                  </w:tcBorders>
                  <w:noWrap w:val="0"/>
                  <w:vAlign w:val="center"/>
                </w:tcPr>
                <w:p w14:paraId="642819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val="0"/>
                      <w:bCs/>
                      <w:color w:val="auto"/>
                      <w:spacing w:val="-11"/>
                      <w:sz w:val="21"/>
                      <w:szCs w:val="21"/>
                      <w:vertAlign w:val="baseline"/>
                      <w:lang w:val="en-US" w:eastAsia="zh-CN"/>
                    </w:rPr>
                  </w:pPr>
                  <w:r>
                    <w:rPr>
                      <w:rFonts w:hint="eastAsia" w:cs="Times New Roman"/>
                      <w:b w:val="0"/>
                      <w:bCs/>
                      <w:color w:val="auto"/>
                      <w:spacing w:val="-11"/>
                      <w:sz w:val="21"/>
                      <w:szCs w:val="21"/>
                      <w:vertAlign w:val="baseline"/>
                      <w:lang w:val="en-US" w:eastAsia="zh-CN"/>
                    </w:rPr>
                    <w:t>颗粒物</w:t>
                  </w:r>
                </w:p>
              </w:tc>
              <w:tc>
                <w:tcPr>
                  <w:tcW w:w="666" w:type="pct"/>
                  <w:tcBorders>
                    <w:tl2br w:val="nil"/>
                    <w:tr2bl w:val="nil"/>
                  </w:tcBorders>
                  <w:noWrap w:val="0"/>
                  <w:vAlign w:val="center"/>
                </w:tcPr>
                <w:p w14:paraId="3B032D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highlight w:val="none"/>
                      <w:vertAlign w:val="baseline"/>
                      <w:lang w:val="en-US" w:eastAsia="zh-CN"/>
                    </w:rPr>
                  </w:pPr>
                  <w:r>
                    <w:rPr>
                      <w:rFonts w:hint="default" w:ascii="Times New Roman" w:hAnsi="Times New Roman" w:cs="Times New Roman"/>
                      <w:b w:val="0"/>
                      <w:bCs/>
                      <w:color w:val="auto"/>
                      <w:spacing w:val="-11"/>
                      <w:sz w:val="21"/>
                      <w:szCs w:val="21"/>
                      <w:highlight w:val="none"/>
                      <w:vertAlign w:val="baseline"/>
                      <w:lang w:val="en-US" w:eastAsia="zh-CN"/>
                    </w:rPr>
                    <w:t>1次</w:t>
                  </w:r>
                  <w:r>
                    <w:rPr>
                      <w:rFonts w:hint="eastAsia" w:ascii="Times New Roman" w:hAnsi="Times New Roman" w:cs="Times New Roman"/>
                      <w:b w:val="0"/>
                      <w:bCs/>
                      <w:color w:val="auto"/>
                      <w:spacing w:val="-11"/>
                      <w:sz w:val="21"/>
                      <w:szCs w:val="21"/>
                      <w:highlight w:val="none"/>
                      <w:vertAlign w:val="baseline"/>
                      <w:lang w:val="en-US" w:eastAsia="zh-CN"/>
                    </w:rPr>
                    <w:t>/</w:t>
                  </w:r>
                  <w:r>
                    <w:rPr>
                      <w:rFonts w:hint="eastAsia" w:cs="Times New Roman"/>
                      <w:b w:val="0"/>
                      <w:bCs/>
                      <w:color w:val="auto"/>
                      <w:spacing w:val="-11"/>
                      <w:sz w:val="21"/>
                      <w:szCs w:val="21"/>
                      <w:highlight w:val="none"/>
                      <w:vertAlign w:val="baseline"/>
                      <w:lang w:val="en-US" w:eastAsia="zh-CN"/>
                    </w:rPr>
                    <w:t>年</w:t>
                  </w:r>
                </w:p>
              </w:tc>
              <w:tc>
                <w:tcPr>
                  <w:tcW w:w="2768" w:type="pct"/>
                  <w:tcBorders>
                    <w:tl2br w:val="nil"/>
                    <w:tr2bl w:val="nil"/>
                  </w:tcBorders>
                  <w:noWrap w:val="0"/>
                  <w:vAlign w:val="center"/>
                </w:tcPr>
                <w:p w14:paraId="6CF5B23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《大气污染物综合排放标准》（GB16297-1996）</w:t>
                  </w:r>
                </w:p>
              </w:tc>
            </w:tr>
            <w:tr w14:paraId="01BEF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Merge w:val="continue"/>
                  <w:tcBorders>
                    <w:tl2br w:val="nil"/>
                    <w:tr2bl w:val="nil"/>
                  </w:tcBorders>
                  <w:noWrap w:val="0"/>
                  <w:vAlign w:val="center"/>
                </w:tcPr>
                <w:p w14:paraId="529293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p>
              </w:tc>
              <w:tc>
                <w:tcPr>
                  <w:tcW w:w="714" w:type="pct"/>
                  <w:vMerge w:val="continue"/>
                  <w:tcBorders>
                    <w:tl2br w:val="nil"/>
                    <w:tr2bl w:val="nil"/>
                  </w:tcBorders>
                  <w:noWrap w:val="0"/>
                  <w:vAlign w:val="center"/>
                </w:tcPr>
                <w:p w14:paraId="6D1EBD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p>
              </w:tc>
              <w:tc>
                <w:tcPr>
                  <w:tcW w:w="550" w:type="pct"/>
                  <w:tcBorders>
                    <w:tl2br w:val="nil"/>
                    <w:tr2bl w:val="nil"/>
                  </w:tcBorders>
                  <w:noWrap w:val="0"/>
                  <w:vAlign w:val="center"/>
                </w:tcPr>
                <w:p w14:paraId="20465C31">
                  <w:pPr>
                    <w:pStyle w:val="1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cs="Times New Roman"/>
                      <w:b w:val="0"/>
                      <w:bCs/>
                      <w:color w:val="auto"/>
                      <w:spacing w:val="-11"/>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p>
              </w:tc>
              <w:tc>
                <w:tcPr>
                  <w:tcW w:w="666" w:type="pct"/>
                  <w:tcBorders>
                    <w:tl2br w:val="nil"/>
                    <w:tr2bl w:val="nil"/>
                  </w:tcBorders>
                  <w:noWrap w:val="0"/>
                  <w:vAlign w:val="center"/>
                </w:tcPr>
                <w:p w14:paraId="71B8E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highlight w:val="none"/>
                      <w:vertAlign w:val="baseline"/>
                      <w:lang w:val="en-US" w:eastAsia="zh-CN"/>
                    </w:rPr>
                  </w:pPr>
                  <w:r>
                    <w:rPr>
                      <w:rFonts w:hint="default" w:ascii="Times New Roman" w:hAnsi="Times New Roman" w:cs="Times New Roman"/>
                      <w:b w:val="0"/>
                      <w:bCs/>
                      <w:color w:val="auto"/>
                      <w:spacing w:val="-11"/>
                      <w:sz w:val="21"/>
                      <w:szCs w:val="21"/>
                      <w:highlight w:val="none"/>
                      <w:vertAlign w:val="baseline"/>
                      <w:lang w:val="en-US" w:eastAsia="zh-CN"/>
                    </w:rPr>
                    <w:t>1次</w:t>
                  </w:r>
                  <w:r>
                    <w:rPr>
                      <w:rFonts w:hint="eastAsia" w:ascii="Times New Roman" w:hAnsi="Times New Roman" w:cs="Times New Roman"/>
                      <w:b w:val="0"/>
                      <w:bCs/>
                      <w:color w:val="auto"/>
                      <w:spacing w:val="-11"/>
                      <w:sz w:val="21"/>
                      <w:szCs w:val="21"/>
                      <w:highlight w:val="none"/>
                      <w:vertAlign w:val="baseline"/>
                      <w:lang w:val="en-US" w:eastAsia="zh-CN"/>
                    </w:rPr>
                    <w:t>/</w:t>
                  </w:r>
                  <w:r>
                    <w:rPr>
                      <w:rFonts w:hint="default" w:ascii="Times New Roman" w:hAnsi="Times New Roman" w:cs="Times New Roman"/>
                      <w:b w:val="0"/>
                      <w:bCs/>
                      <w:color w:val="auto"/>
                      <w:spacing w:val="-11"/>
                      <w:sz w:val="21"/>
                      <w:szCs w:val="21"/>
                      <w:highlight w:val="none"/>
                      <w:vertAlign w:val="baseline"/>
                      <w:lang w:val="en-US" w:eastAsia="zh-CN"/>
                    </w:rPr>
                    <w:t>年</w:t>
                  </w:r>
                </w:p>
              </w:tc>
              <w:tc>
                <w:tcPr>
                  <w:tcW w:w="2768" w:type="pct"/>
                  <w:vMerge w:val="restart"/>
                  <w:tcBorders>
                    <w:tl2br w:val="nil"/>
                    <w:tr2bl w:val="nil"/>
                  </w:tcBorders>
                  <w:noWrap w:val="0"/>
                  <w:vAlign w:val="center"/>
                </w:tcPr>
                <w:p w14:paraId="4C552D8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《恶臭污染物排放标准》（</w:t>
                  </w:r>
                  <w:r>
                    <w:rPr>
                      <w:rFonts w:hint="eastAsia" w:cs="Times New Roman"/>
                      <w:color w:val="auto"/>
                      <w:sz w:val="21"/>
                      <w:szCs w:val="21"/>
                      <w:lang w:eastAsia="zh-CN"/>
                    </w:rPr>
                    <w:t>GB 14554-1993</w:t>
                  </w:r>
                  <w:r>
                    <w:rPr>
                      <w:rFonts w:hint="eastAsia" w:ascii="Times New Roman" w:hAnsi="Times New Roman" w:cs="Times New Roman"/>
                      <w:color w:val="auto"/>
                      <w:sz w:val="21"/>
                      <w:szCs w:val="21"/>
                      <w:lang w:eastAsia="zh-CN"/>
                    </w:rPr>
                    <w:t>）中表1标准。</w:t>
                  </w:r>
                </w:p>
              </w:tc>
            </w:tr>
            <w:tr w14:paraId="6BF74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Merge w:val="continue"/>
                  <w:tcBorders>
                    <w:tl2br w:val="nil"/>
                    <w:tr2bl w:val="nil"/>
                  </w:tcBorders>
                  <w:noWrap w:val="0"/>
                  <w:vAlign w:val="center"/>
                </w:tcPr>
                <w:p w14:paraId="473D39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p>
              </w:tc>
              <w:tc>
                <w:tcPr>
                  <w:tcW w:w="714" w:type="pct"/>
                  <w:vMerge w:val="continue"/>
                  <w:tcBorders>
                    <w:tl2br w:val="nil"/>
                    <w:tr2bl w:val="nil"/>
                  </w:tcBorders>
                  <w:noWrap w:val="0"/>
                  <w:vAlign w:val="center"/>
                </w:tcPr>
                <w:p w14:paraId="1076E7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p>
              </w:tc>
              <w:tc>
                <w:tcPr>
                  <w:tcW w:w="550" w:type="pct"/>
                  <w:tcBorders>
                    <w:tl2br w:val="nil"/>
                    <w:tr2bl w:val="nil"/>
                  </w:tcBorders>
                  <w:noWrap w:val="0"/>
                  <w:vAlign w:val="center"/>
                </w:tcPr>
                <w:p w14:paraId="62B92772">
                  <w:pPr>
                    <w:pStyle w:val="1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cs="Times New Roman"/>
                      <w:b w:val="0"/>
                      <w:bCs/>
                      <w:color w:val="auto"/>
                      <w:spacing w:val="-11"/>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S</w:t>
                  </w:r>
                </w:p>
              </w:tc>
              <w:tc>
                <w:tcPr>
                  <w:tcW w:w="666" w:type="pct"/>
                  <w:tcBorders>
                    <w:tl2br w:val="nil"/>
                    <w:tr2bl w:val="nil"/>
                  </w:tcBorders>
                  <w:noWrap w:val="0"/>
                  <w:vAlign w:val="center"/>
                </w:tcPr>
                <w:p w14:paraId="1B7D8B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highlight w:val="none"/>
                      <w:vertAlign w:val="baseline"/>
                      <w:lang w:val="en-US" w:eastAsia="zh-CN"/>
                    </w:rPr>
                  </w:pPr>
                  <w:r>
                    <w:rPr>
                      <w:rFonts w:hint="default" w:ascii="Times New Roman" w:hAnsi="Times New Roman" w:cs="Times New Roman"/>
                      <w:b w:val="0"/>
                      <w:bCs/>
                      <w:color w:val="auto"/>
                      <w:spacing w:val="-11"/>
                      <w:sz w:val="21"/>
                      <w:szCs w:val="21"/>
                      <w:highlight w:val="none"/>
                      <w:vertAlign w:val="baseline"/>
                      <w:lang w:val="en-US" w:eastAsia="zh-CN"/>
                    </w:rPr>
                    <w:t>1次</w:t>
                  </w:r>
                  <w:r>
                    <w:rPr>
                      <w:rFonts w:hint="eastAsia" w:ascii="Times New Roman" w:hAnsi="Times New Roman" w:cs="Times New Roman"/>
                      <w:b w:val="0"/>
                      <w:bCs/>
                      <w:color w:val="auto"/>
                      <w:spacing w:val="-11"/>
                      <w:sz w:val="21"/>
                      <w:szCs w:val="21"/>
                      <w:highlight w:val="none"/>
                      <w:vertAlign w:val="baseline"/>
                      <w:lang w:val="en-US" w:eastAsia="zh-CN"/>
                    </w:rPr>
                    <w:t>/</w:t>
                  </w:r>
                  <w:r>
                    <w:rPr>
                      <w:rFonts w:hint="default" w:ascii="Times New Roman" w:hAnsi="Times New Roman" w:cs="Times New Roman"/>
                      <w:b w:val="0"/>
                      <w:bCs/>
                      <w:color w:val="auto"/>
                      <w:spacing w:val="-11"/>
                      <w:sz w:val="21"/>
                      <w:szCs w:val="21"/>
                      <w:highlight w:val="none"/>
                      <w:vertAlign w:val="baseline"/>
                      <w:lang w:val="en-US" w:eastAsia="zh-CN"/>
                    </w:rPr>
                    <w:t>年</w:t>
                  </w:r>
                </w:p>
              </w:tc>
              <w:tc>
                <w:tcPr>
                  <w:tcW w:w="2768" w:type="pct"/>
                  <w:vMerge w:val="continue"/>
                  <w:tcBorders>
                    <w:tl2br w:val="nil"/>
                    <w:tr2bl w:val="nil"/>
                  </w:tcBorders>
                  <w:noWrap w:val="0"/>
                  <w:vAlign w:val="center"/>
                </w:tcPr>
                <w:p w14:paraId="27C1CE8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lang w:eastAsia="zh-CN"/>
                    </w:rPr>
                  </w:pPr>
                </w:p>
              </w:tc>
            </w:tr>
            <w:tr w14:paraId="784D29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Merge w:val="continue"/>
                  <w:tcBorders>
                    <w:tl2br w:val="nil"/>
                    <w:tr2bl w:val="nil"/>
                  </w:tcBorders>
                  <w:noWrap w:val="0"/>
                  <w:vAlign w:val="center"/>
                </w:tcPr>
                <w:p w14:paraId="1B3881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p>
              </w:tc>
              <w:tc>
                <w:tcPr>
                  <w:tcW w:w="714" w:type="pct"/>
                  <w:vMerge w:val="continue"/>
                  <w:tcBorders>
                    <w:tl2br w:val="nil"/>
                    <w:tr2bl w:val="nil"/>
                  </w:tcBorders>
                  <w:noWrap w:val="0"/>
                  <w:vAlign w:val="center"/>
                </w:tcPr>
                <w:p w14:paraId="47FD14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p>
              </w:tc>
              <w:tc>
                <w:tcPr>
                  <w:tcW w:w="550" w:type="pct"/>
                  <w:tcBorders>
                    <w:tl2br w:val="nil"/>
                    <w:tr2bl w:val="nil"/>
                  </w:tcBorders>
                  <w:noWrap w:val="0"/>
                  <w:vAlign w:val="center"/>
                </w:tcPr>
                <w:p w14:paraId="2DDD80DC">
                  <w:pPr>
                    <w:pStyle w:val="1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cs="Times New Roman"/>
                      <w:b w:val="0"/>
                      <w:bCs/>
                      <w:color w:val="auto"/>
                      <w:spacing w:val="-11"/>
                      <w:sz w:val="21"/>
                      <w:szCs w:val="21"/>
                      <w:vertAlign w:val="baseline"/>
                      <w:lang w:val="en-US" w:eastAsia="zh-CN"/>
                    </w:rPr>
                  </w:pPr>
                  <w:r>
                    <w:rPr>
                      <w:rFonts w:hint="eastAsia" w:ascii="Times New Roman" w:hAnsi="Times New Roman" w:eastAsia="宋体" w:cs="Times New Roman"/>
                      <w:color w:val="auto"/>
                      <w:kern w:val="2"/>
                      <w:sz w:val="21"/>
                      <w:szCs w:val="21"/>
                      <w:highlight w:val="none"/>
                      <w:u w:val="none" w:color="000000"/>
                      <w:lang w:val="en-US" w:eastAsia="zh-CN" w:bidi="ar-SA"/>
                    </w:rPr>
                    <w:t>臭气浓度</w:t>
                  </w:r>
                </w:p>
              </w:tc>
              <w:tc>
                <w:tcPr>
                  <w:tcW w:w="666" w:type="pct"/>
                  <w:tcBorders>
                    <w:tl2br w:val="nil"/>
                    <w:tr2bl w:val="nil"/>
                  </w:tcBorders>
                  <w:noWrap w:val="0"/>
                  <w:vAlign w:val="center"/>
                </w:tcPr>
                <w:p w14:paraId="2925B8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highlight w:val="none"/>
                      <w:vertAlign w:val="baseline"/>
                      <w:lang w:val="en-US" w:eastAsia="zh-CN"/>
                    </w:rPr>
                  </w:pPr>
                  <w:r>
                    <w:rPr>
                      <w:rFonts w:hint="default" w:ascii="Times New Roman" w:hAnsi="Times New Roman" w:cs="Times New Roman"/>
                      <w:b w:val="0"/>
                      <w:bCs/>
                      <w:color w:val="auto"/>
                      <w:spacing w:val="-11"/>
                      <w:sz w:val="21"/>
                      <w:szCs w:val="21"/>
                      <w:highlight w:val="none"/>
                      <w:vertAlign w:val="baseline"/>
                      <w:lang w:val="en-US" w:eastAsia="zh-CN"/>
                    </w:rPr>
                    <w:t>1次</w:t>
                  </w:r>
                  <w:r>
                    <w:rPr>
                      <w:rFonts w:hint="eastAsia" w:ascii="Times New Roman" w:hAnsi="Times New Roman" w:cs="Times New Roman"/>
                      <w:b w:val="0"/>
                      <w:bCs/>
                      <w:color w:val="auto"/>
                      <w:spacing w:val="-11"/>
                      <w:sz w:val="21"/>
                      <w:szCs w:val="21"/>
                      <w:highlight w:val="none"/>
                      <w:vertAlign w:val="baseline"/>
                      <w:lang w:val="en-US" w:eastAsia="zh-CN"/>
                    </w:rPr>
                    <w:t>/</w:t>
                  </w:r>
                  <w:r>
                    <w:rPr>
                      <w:rFonts w:hint="default" w:ascii="Times New Roman" w:hAnsi="Times New Roman" w:cs="Times New Roman"/>
                      <w:b w:val="0"/>
                      <w:bCs/>
                      <w:color w:val="auto"/>
                      <w:spacing w:val="-11"/>
                      <w:sz w:val="21"/>
                      <w:szCs w:val="21"/>
                      <w:highlight w:val="none"/>
                      <w:vertAlign w:val="baseline"/>
                      <w:lang w:val="en-US" w:eastAsia="zh-CN"/>
                    </w:rPr>
                    <w:t>年</w:t>
                  </w:r>
                </w:p>
              </w:tc>
              <w:tc>
                <w:tcPr>
                  <w:tcW w:w="2768" w:type="pct"/>
                  <w:tcBorders>
                    <w:tl2br w:val="nil"/>
                    <w:tr2bl w:val="nil"/>
                  </w:tcBorders>
                  <w:noWrap w:val="0"/>
                  <w:vAlign w:val="center"/>
                </w:tcPr>
                <w:p w14:paraId="493F537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《挥发性有机物排放标准第7部分：其他行业（DB37/2801.7-2019）》</w:t>
                  </w:r>
                </w:p>
              </w:tc>
            </w:tr>
            <w:tr w14:paraId="703FF3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Merge w:val="continue"/>
                  <w:tcBorders>
                    <w:tl2br w:val="nil"/>
                    <w:tr2bl w:val="nil"/>
                  </w:tcBorders>
                  <w:noWrap w:val="0"/>
                  <w:vAlign w:val="center"/>
                </w:tcPr>
                <w:p w14:paraId="58AD56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p>
              </w:tc>
              <w:tc>
                <w:tcPr>
                  <w:tcW w:w="714" w:type="pct"/>
                  <w:tcBorders>
                    <w:tl2br w:val="nil"/>
                    <w:tr2bl w:val="nil"/>
                  </w:tcBorders>
                  <w:noWrap w:val="0"/>
                  <w:vAlign w:val="center"/>
                </w:tcPr>
                <w:p w14:paraId="0AC12D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vertAlign w:val="baseline"/>
                      <w:lang w:val="en-US" w:eastAsia="zh-CN"/>
                    </w:rPr>
                  </w:pPr>
                  <w:r>
                    <w:rPr>
                      <w:rFonts w:hint="eastAsia" w:ascii="Times New Roman" w:hAnsi="Times New Roman" w:cs="Times New Roman"/>
                      <w:b w:val="0"/>
                      <w:bCs/>
                      <w:color w:val="auto"/>
                      <w:spacing w:val="-11"/>
                      <w:sz w:val="21"/>
                      <w:szCs w:val="21"/>
                      <w:vertAlign w:val="baseline"/>
                      <w:lang w:val="en-US" w:eastAsia="zh-CN"/>
                    </w:rPr>
                    <w:t>厂内</w:t>
                  </w:r>
                </w:p>
              </w:tc>
              <w:tc>
                <w:tcPr>
                  <w:tcW w:w="550" w:type="pct"/>
                  <w:tcBorders>
                    <w:tl2br w:val="nil"/>
                    <w:tr2bl w:val="nil"/>
                  </w:tcBorders>
                  <w:noWrap w:val="0"/>
                  <w:vAlign w:val="center"/>
                </w:tcPr>
                <w:p w14:paraId="7DFD04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color="000000"/>
                      <w:lang w:val="en-US" w:eastAsia="zh-CN" w:bidi="ar-SA"/>
                    </w:rPr>
                  </w:pPr>
                  <w:r>
                    <w:rPr>
                      <w:rFonts w:hint="eastAsia" w:ascii="Times New Roman" w:hAnsi="Times New Roman" w:cs="Times New Roman"/>
                      <w:b w:val="0"/>
                      <w:bCs/>
                      <w:color w:val="auto"/>
                      <w:spacing w:val="-11"/>
                      <w:sz w:val="21"/>
                      <w:szCs w:val="21"/>
                      <w:vertAlign w:val="baseline"/>
                      <w:lang w:val="en-US" w:eastAsia="zh-CN"/>
                    </w:rPr>
                    <w:t>VOCs</w:t>
                  </w:r>
                </w:p>
              </w:tc>
              <w:tc>
                <w:tcPr>
                  <w:tcW w:w="666" w:type="pct"/>
                  <w:tcBorders>
                    <w:tl2br w:val="nil"/>
                    <w:tr2bl w:val="nil"/>
                  </w:tcBorders>
                  <w:noWrap w:val="0"/>
                  <w:vAlign w:val="center"/>
                </w:tcPr>
                <w:p w14:paraId="66C826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color w:val="auto"/>
                      <w:spacing w:val="-11"/>
                      <w:sz w:val="21"/>
                      <w:szCs w:val="21"/>
                      <w:highlight w:val="none"/>
                      <w:vertAlign w:val="baseline"/>
                      <w:lang w:val="en-US" w:eastAsia="zh-CN"/>
                    </w:rPr>
                  </w:pPr>
                  <w:r>
                    <w:rPr>
                      <w:rFonts w:hint="default" w:ascii="Times New Roman" w:hAnsi="Times New Roman" w:cs="Times New Roman"/>
                      <w:b w:val="0"/>
                      <w:bCs/>
                      <w:color w:val="auto"/>
                      <w:spacing w:val="-11"/>
                      <w:sz w:val="21"/>
                      <w:szCs w:val="21"/>
                      <w:highlight w:val="none"/>
                      <w:vertAlign w:val="baseline"/>
                      <w:lang w:val="en-US" w:eastAsia="zh-CN"/>
                    </w:rPr>
                    <w:t>1次</w:t>
                  </w:r>
                  <w:r>
                    <w:rPr>
                      <w:rFonts w:hint="eastAsia" w:ascii="Times New Roman" w:hAnsi="Times New Roman" w:cs="Times New Roman"/>
                      <w:b w:val="0"/>
                      <w:bCs/>
                      <w:color w:val="auto"/>
                      <w:spacing w:val="-11"/>
                      <w:sz w:val="21"/>
                      <w:szCs w:val="21"/>
                      <w:highlight w:val="none"/>
                      <w:vertAlign w:val="baseline"/>
                      <w:lang w:val="en-US" w:eastAsia="zh-CN"/>
                    </w:rPr>
                    <w:t>/</w:t>
                  </w:r>
                  <w:r>
                    <w:rPr>
                      <w:rFonts w:hint="default" w:ascii="Times New Roman" w:hAnsi="Times New Roman" w:cs="Times New Roman"/>
                      <w:b w:val="0"/>
                      <w:bCs/>
                      <w:color w:val="auto"/>
                      <w:spacing w:val="-11"/>
                      <w:sz w:val="21"/>
                      <w:szCs w:val="21"/>
                      <w:highlight w:val="none"/>
                      <w:vertAlign w:val="baseline"/>
                      <w:lang w:val="en-US" w:eastAsia="zh-CN"/>
                    </w:rPr>
                    <w:t>年</w:t>
                  </w:r>
                </w:p>
              </w:tc>
              <w:tc>
                <w:tcPr>
                  <w:tcW w:w="2768" w:type="pct"/>
                  <w:tcBorders>
                    <w:tl2br w:val="nil"/>
                    <w:tr2bl w:val="nil"/>
                  </w:tcBorders>
                  <w:noWrap w:val="0"/>
                  <w:vAlign w:val="center"/>
                </w:tcPr>
                <w:p w14:paraId="3A9338FA">
                  <w:pPr>
                    <w:keepNext w:val="0"/>
                    <w:keepLines w:val="0"/>
                    <w:pageBreakBefore w:val="0"/>
                    <w:widowControl/>
                    <w:suppressLineNumbers w:val="0"/>
                    <w:kinsoku/>
                    <w:wordWrap w:val="0"/>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《挥发性有机物无组织排放控制标准》（GB37822-2019）中表A.1</w:t>
                  </w:r>
                  <w:r>
                    <w:rPr>
                      <w:rFonts w:hint="eastAsia" w:ascii="Times New Roman" w:hAnsi="Times New Roman" w:cs="Times New Roman"/>
                      <w:color w:val="auto"/>
                      <w:sz w:val="21"/>
                      <w:szCs w:val="21"/>
                      <w:highlight w:val="none"/>
                      <w:lang w:val="en-US" w:eastAsia="zh-CN"/>
                    </w:rPr>
                    <w:t>特别</w:t>
                  </w:r>
                  <w:r>
                    <w:rPr>
                      <w:rFonts w:hint="eastAsia" w:ascii="Times New Roman" w:hAnsi="Times New Roman" w:cs="Times New Roman"/>
                      <w:color w:val="auto"/>
                      <w:sz w:val="21"/>
                      <w:szCs w:val="21"/>
                      <w:highlight w:val="none"/>
                      <w:lang w:eastAsia="zh-CN"/>
                    </w:rPr>
                    <w:t>排放限值要求。</w:t>
                  </w:r>
                </w:p>
              </w:tc>
            </w:tr>
          </w:tbl>
          <w:p w14:paraId="4137257B">
            <w:pPr>
              <w:pStyle w:val="30"/>
              <w:keepNext w:val="0"/>
              <w:keepLines w:val="0"/>
              <w:pageBreakBefore w:val="0"/>
              <w:widowControl w:val="0"/>
              <w:suppressLineNumbers w:val="0"/>
              <w:kinsoku/>
              <w:wordWrap/>
              <w:overflowPunct/>
              <w:topLinePunct w:val="0"/>
              <w:autoSpaceDE w:val="0"/>
              <w:autoSpaceDN/>
              <w:bidi w:val="0"/>
              <w:adjustRightInd w:val="0"/>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pacing w:val="0"/>
                <w:kern w:val="2"/>
                <w:sz w:val="24"/>
                <w:szCs w:val="24"/>
                <w:highlight w:val="none"/>
                <w:lang w:val="en-US" w:eastAsia="zh-CN" w:bidi="ar-SA"/>
              </w:rPr>
              <w:t>建设单位应当根据《固定污染源废气监测点位设置技术规范》（DB37/T 3535—2019）等监测标准规范的具体要求进行排污口的规范化设置，以便于采样、监测，保证监测人员安全。并且按照《</w:t>
            </w:r>
            <w:r>
              <w:rPr>
                <w:rFonts w:hint="eastAsia" w:ascii="Times New Roman" w:hAnsi="Times New Roman" w:cs="Times New Roman"/>
                <w:color w:val="auto"/>
                <w:spacing w:val="0"/>
                <w:kern w:val="2"/>
                <w:sz w:val="24"/>
                <w:szCs w:val="24"/>
                <w:highlight w:val="none"/>
                <w:lang w:val="en-US" w:eastAsia="zh-CN" w:bidi="ar-SA"/>
              </w:rPr>
              <w:t>环境保护图形标志－排放口（源）</w:t>
            </w:r>
            <w:r>
              <w:rPr>
                <w:rFonts w:hint="default" w:ascii="Times New Roman" w:hAnsi="Times New Roman" w:eastAsia="宋体" w:cs="Times New Roman"/>
                <w:color w:val="auto"/>
                <w:spacing w:val="0"/>
                <w:kern w:val="2"/>
                <w:sz w:val="24"/>
                <w:szCs w:val="24"/>
                <w:highlight w:val="none"/>
                <w:lang w:val="en-US" w:eastAsia="zh-CN" w:bidi="ar-SA"/>
              </w:rPr>
              <w:t>》（GB15562.1-1995）的规定设置与之相适应的环境保护图形标志牌。设置规范化的排污口，应包括：采样平台（平台面积不小于1.5m</w:t>
            </w:r>
            <w:r>
              <w:rPr>
                <w:rFonts w:hint="default" w:ascii="Times New Roman" w:hAnsi="Times New Roman" w:eastAsia="宋体" w:cs="Times New Roman"/>
                <w:color w:val="auto"/>
                <w:spacing w:val="0"/>
                <w:kern w:val="2"/>
                <w:sz w:val="24"/>
                <w:szCs w:val="24"/>
                <w:highlight w:val="none"/>
                <w:vertAlign w:val="superscript"/>
                <w:lang w:val="en-US" w:eastAsia="zh-CN" w:bidi="ar-SA"/>
              </w:rPr>
              <w:t>2</w:t>
            </w:r>
            <w:r>
              <w:rPr>
                <w:rFonts w:hint="default" w:ascii="Times New Roman" w:hAnsi="Times New Roman" w:eastAsia="宋体" w:cs="Times New Roman"/>
                <w:color w:val="auto"/>
                <w:spacing w:val="0"/>
                <w:kern w:val="2"/>
                <w:sz w:val="24"/>
                <w:szCs w:val="24"/>
                <w:highlight w:val="none"/>
                <w:lang w:val="en-US" w:eastAsia="zh-CN" w:bidi="ar-SA"/>
              </w:rPr>
              <w:t>，并设有1.1m高的护栏和不低于10cm的脚部挡板、采样平台的承重不小于200kg/m</w:t>
            </w:r>
            <w:r>
              <w:rPr>
                <w:rFonts w:hint="default" w:ascii="Times New Roman" w:hAnsi="Times New Roman" w:eastAsia="宋体" w:cs="Times New Roman"/>
                <w:color w:val="auto"/>
                <w:spacing w:val="0"/>
                <w:kern w:val="2"/>
                <w:sz w:val="24"/>
                <w:szCs w:val="24"/>
                <w:highlight w:val="none"/>
                <w:vertAlign w:val="superscript"/>
                <w:lang w:val="en-US" w:eastAsia="zh-CN" w:bidi="ar-SA"/>
              </w:rPr>
              <w:t>2</w:t>
            </w:r>
            <w:r>
              <w:rPr>
                <w:rFonts w:hint="default" w:ascii="Times New Roman" w:hAnsi="Times New Roman" w:eastAsia="宋体" w:cs="Times New Roman"/>
                <w:color w:val="auto"/>
                <w:spacing w:val="0"/>
                <w:kern w:val="2"/>
                <w:sz w:val="24"/>
                <w:szCs w:val="24"/>
                <w:highlight w:val="none"/>
                <w:lang w:val="en-US" w:eastAsia="zh-CN" w:bidi="ar-SA"/>
              </w:rPr>
              <w:t>，采样孔距平台面1.2</w:t>
            </w:r>
            <w:r>
              <w:rPr>
                <w:rFonts w:hint="eastAsia" w:ascii="Times New Roman" w:hAnsi="Times New Roman" w:cs="Times New Roman"/>
                <w:color w:val="auto"/>
                <w:spacing w:val="0"/>
                <w:kern w:val="2"/>
                <w:sz w:val="24"/>
                <w:szCs w:val="24"/>
                <w:highlight w:val="none"/>
                <w:lang w:val="en-US" w:eastAsia="zh-CN" w:bidi="ar-SA"/>
              </w:rPr>
              <w:t>—</w:t>
            </w:r>
            <w:r>
              <w:rPr>
                <w:rFonts w:hint="default" w:ascii="Times New Roman" w:hAnsi="Times New Roman" w:eastAsia="宋体" w:cs="Times New Roman"/>
                <w:color w:val="auto"/>
                <w:spacing w:val="0"/>
                <w:kern w:val="2"/>
                <w:sz w:val="24"/>
                <w:szCs w:val="24"/>
                <w:highlight w:val="none"/>
                <w:lang w:val="en-US" w:eastAsia="zh-CN" w:bidi="ar-SA"/>
              </w:rPr>
              <w:t>1.3m）、采样孔（内径不小于80mm，采样孔管长度不大于50mm，不使用时应用盖板、管堵或管帽封闭）、通往监测平台的通道（应设置不低于1.2m高，宽度不小于0.9m的安全防护栏）、固定的永久性电源（具备220V三孔插座）等。排污的规范化设置，应综合考虑自动监测与手动监测的要求。监测任务由公司委托第三方具有资质的单位进行，企业应及时对监测结果进行统计汇总，上报有关领导和上级主管部门，监测结果如有异常，应及时反馈生产管理部门，查找原因，及时解决。</w:t>
            </w:r>
          </w:p>
          <w:p w14:paraId="66C2CB2C">
            <w:pPr>
              <w:pStyle w:val="30"/>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color w:val="0000FF"/>
                <w:kern w:val="2"/>
                <w:sz w:val="24"/>
                <w:szCs w:val="32"/>
              </w:rPr>
            </w:pPr>
            <w:r>
              <w:rPr>
                <w:rFonts w:hint="eastAsia" w:ascii="Times New Roman" w:hAnsi="Times New Roman" w:eastAsia="宋体" w:cs="Times New Roman"/>
                <w:b/>
                <w:color w:val="auto"/>
                <w:kern w:val="2"/>
                <w:sz w:val="24"/>
                <w:szCs w:val="32"/>
                <w:lang w:val="en-US" w:eastAsia="zh-CN" w:bidi="ar"/>
              </w:rPr>
              <w:t>2</w:t>
            </w:r>
            <w:r>
              <w:rPr>
                <w:rFonts w:hint="eastAsia" w:ascii="Times New Roman" w:hAnsi="Times New Roman" w:eastAsia="宋体" w:cs="宋体"/>
                <w:b/>
                <w:color w:val="auto"/>
                <w:kern w:val="2"/>
                <w:sz w:val="24"/>
                <w:szCs w:val="32"/>
                <w:lang w:val="en-US" w:eastAsia="zh-CN" w:bidi="ar"/>
              </w:rPr>
              <w:t>、废水</w:t>
            </w:r>
          </w:p>
          <w:p w14:paraId="19A344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0000FF"/>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2.1产污环节及类别</w:t>
            </w:r>
          </w:p>
          <w:p w14:paraId="3A14B7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本项目蒸汽采用间接加热，冷凝水通过管道回流供热单位，废水主要为员工生活污水和设备清洗废水</w:t>
            </w:r>
            <w:r>
              <w:rPr>
                <w:rFonts w:hint="eastAsia" w:cs="Times New Roman"/>
                <w:color w:val="auto"/>
                <w:sz w:val="24"/>
                <w:szCs w:val="24"/>
                <w:highlight w:val="none"/>
                <w:lang w:val="en-US" w:eastAsia="zh-CN"/>
              </w:rPr>
              <w:t>，清洗废水经自建污水处理站处理后与经化粪池收集的生活污水一同通过市政污水管网进入泗水国祯水务有限公司深度处理</w:t>
            </w:r>
            <w:r>
              <w:rPr>
                <w:rFonts w:hint="eastAsia" w:ascii="Times New Roman" w:hAnsi="Times New Roman" w:eastAsia="宋体" w:cs="Times New Roman"/>
                <w:color w:val="auto"/>
                <w:sz w:val="24"/>
                <w:szCs w:val="24"/>
                <w:highlight w:val="none"/>
                <w:lang w:val="en-US" w:eastAsia="zh-CN"/>
              </w:rPr>
              <w:t>。</w:t>
            </w:r>
          </w:p>
          <w:p w14:paraId="06AA2C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0000FF"/>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2.2废水源强估算</w:t>
            </w:r>
          </w:p>
          <w:p w14:paraId="0F1E5283">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82" w:firstLineChars="200"/>
              <w:jc w:val="center"/>
              <w:textAlignment w:val="auto"/>
              <w:rPr>
                <w:rFonts w:hint="eastAsia" w:ascii="Times New Roman" w:hAnsi="Times New Roman" w:eastAsia="宋体" w:cs="宋体"/>
                <w:b/>
                <w:bCs w:val="0"/>
                <w:color w:val="auto"/>
                <w:spacing w:val="-11"/>
                <w:kern w:val="2"/>
                <w:sz w:val="24"/>
                <w:szCs w:val="24"/>
                <w:lang w:val="en-US" w:eastAsia="zh-CN" w:bidi="ar-SA"/>
              </w:rPr>
            </w:pPr>
            <w:r>
              <w:rPr>
                <w:rFonts w:hint="default" w:ascii="Times New Roman" w:hAnsi="Times New Roman" w:eastAsia="宋体" w:cs="Times New Roman"/>
                <w:b/>
                <w:color w:val="auto"/>
                <w:sz w:val="24"/>
                <w:szCs w:val="24"/>
                <w:highlight w:val="none"/>
                <w:lang w:val="en-US" w:eastAsia="zh-CN"/>
              </w:rPr>
              <w:t>表4-</w:t>
            </w:r>
            <w:r>
              <w:rPr>
                <w:rFonts w:hint="eastAsia" w:ascii="Times New Roman" w:cs="Times New Roman"/>
                <w:b/>
                <w:color w:val="auto"/>
                <w:sz w:val="24"/>
                <w:szCs w:val="24"/>
                <w:highlight w:val="none"/>
                <w:lang w:val="en-US" w:eastAsia="zh-CN"/>
              </w:rPr>
              <w:t>6</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lang w:val="en-US" w:eastAsia="zh-CN"/>
              </w:rPr>
              <w:t xml:space="preserve"> 项目</w:t>
            </w:r>
            <w:r>
              <w:rPr>
                <w:rFonts w:hint="eastAsia" w:ascii="Times New Roman" w:hAnsi="Times New Roman" w:eastAsia="宋体" w:cs="Times New Roman"/>
                <w:b/>
                <w:color w:val="auto"/>
                <w:sz w:val="24"/>
                <w:szCs w:val="24"/>
                <w:highlight w:val="none"/>
                <w:lang w:val="en-US" w:eastAsia="zh-CN"/>
              </w:rPr>
              <w:t>废水</w:t>
            </w:r>
            <w:r>
              <w:rPr>
                <w:rFonts w:hint="default" w:ascii="Times New Roman" w:hAnsi="Times New Roman" w:eastAsia="宋体" w:cs="Times New Roman"/>
                <w:b/>
                <w:color w:val="auto"/>
                <w:sz w:val="24"/>
                <w:szCs w:val="24"/>
                <w:highlight w:val="none"/>
                <w:lang w:val="en-US" w:eastAsia="zh-CN"/>
              </w:rPr>
              <w:t>产生</w:t>
            </w:r>
            <w:r>
              <w:rPr>
                <w:rFonts w:hint="eastAsia" w:ascii="Times New Roman" w:hAnsi="Times New Roman" w:eastAsia="宋体" w:cs="Times New Roman"/>
                <w:b/>
                <w:color w:val="auto"/>
                <w:sz w:val="24"/>
                <w:szCs w:val="24"/>
                <w:highlight w:val="none"/>
                <w:lang w:val="en-US" w:eastAsia="zh-CN"/>
              </w:rPr>
              <w:t>及排放</w:t>
            </w:r>
            <w:r>
              <w:rPr>
                <w:rFonts w:hint="default" w:ascii="Times New Roman" w:hAnsi="Times New Roman" w:eastAsia="宋体" w:cs="Times New Roman"/>
                <w:b/>
                <w:color w:val="auto"/>
                <w:sz w:val="24"/>
                <w:szCs w:val="24"/>
                <w:highlight w:val="none"/>
                <w:lang w:val="en-US" w:eastAsia="zh-CN"/>
              </w:rPr>
              <w:t>情况一览表</w:t>
            </w:r>
          </w:p>
          <w:tbl>
            <w:tblPr>
              <w:tblStyle w:val="97"/>
              <w:tblW w:w="79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86"/>
              <w:gridCol w:w="1126"/>
              <w:gridCol w:w="1035"/>
              <w:gridCol w:w="1183"/>
              <w:gridCol w:w="1024"/>
              <w:gridCol w:w="1024"/>
              <w:gridCol w:w="1024"/>
              <w:gridCol w:w="1027"/>
            </w:tblGrid>
            <w:tr w14:paraId="79369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1612" w:type="dxa"/>
                  <w:gridSpan w:val="2"/>
                  <w:tcBorders>
                    <w:tl2br w:val="nil"/>
                    <w:tr2bl w:val="nil"/>
                  </w:tcBorders>
                  <w:noWrap w:val="0"/>
                  <w:vAlign w:val="center"/>
                </w:tcPr>
                <w:p w14:paraId="12DC1F22">
                  <w:pPr>
                    <w:keepNext w:val="0"/>
                    <w:keepLines w:val="0"/>
                    <w:pageBreakBefore w:val="0"/>
                    <w:widowControl/>
                    <w:kinsoku w:val="0"/>
                    <w:wordWrap/>
                    <w:overflowPunct/>
                    <w:topLinePunct w:val="0"/>
                    <w:autoSpaceDE w:val="0"/>
                    <w:autoSpaceDN w:val="0"/>
                    <w:bidi w:val="0"/>
                    <w:adjustRightInd/>
                    <w:snapToGrid/>
                    <w:spacing w:line="228" w:lineRule="auto"/>
                    <w:ind w:left="0" w:right="0" w:firstLine="0"/>
                    <w:jc w:val="center"/>
                    <w:textAlignment w:val="baseline"/>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pacing w:val="7"/>
                      <w:sz w:val="21"/>
                      <w:szCs w:val="21"/>
                      <w:lang w:val="en-US" w:eastAsia="zh-CN"/>
                    </w:rPr>
                    <w:t>类别</w:t>
                  </w:r>
                </w:p>
              </w:tc>
              <w:tc>
                <w:tcPr>
                  <w:tcW w:w="1035" w:type="dxa"/>
                  <w:tcBorders>
                    <w:tl2br w:val="nil"/>
                    <w:tr2bl w:val="nil"/>
                  </w:tcBorders>
                  <w:noWrap w:val="0"/>
                  <w:vAlign w:val="center"/>
                </w:tcPr>
                <w:p w14:paraId="3BA43E2B">
                  <w:pPr>
                    <w:keepNext w:val="0"/>
                    <w:keepLines w:val="0"/>
                    <w:pageBreakBefore w:val="0"/>
                    <w:widowControl/>
                    <w:kinsoku w:val="0"/>
                    <w:wordWrap/>
                    <w:overflowPunct/>
                    <w:topLinePunct w:val="0"/>
                    <w:autoSpaceDE w:val="0"/>
                    <w:autoSpaceDN w:val="0"/>
                    <w:bidi w:val="0"/>
                    <w:adjustRightInd/>
                    <w:snapToGrid/>
                    <w:spacing w:line="228" w:lineRule="auto"/>
                    <w:ind w:left="0" w:right="0" w:firstLine="0"/>
                    <w:jc w:val="center"/>
                    <w:textAlignment w:val="baseline"/>
                    <w:rPr>
                      <w:rFonts w:hint="eastAsia" w:ascii="Times New Roman" w:hAnsi="Times New Roman" w:eastAsia="宋体" w:cs="Times New Roman"/>
                      <w:b/>
                      <w:bCs/>
                      <w:spacing w:val="4"/>
                      <w:sz w:val="21"/>
                      <w:szCs w:val="21"/>
                      <w:lang w:val="en-US" w:eastAsia="zh-CN"/>
                    </w:rPr>
                  </w:pPr>
                  <w:r>
                    <w:rPr>
                      <w:rFonts w:hint="eastAsia" w:ascii="Times New Roman" w:hAnsi="Times New Roman" w:eastAsia="宋体" w:cs="Times New Roman"/>
                      <w:b/>
                      <w:bCs/>
                      <w:spacing w:val="4"/>
                      <w:sz w:val="21"/>
                      <w:szCs w:val="21"/>
                      <w:lang w:val="en-US" w:eastAsia="zh-CN"/>
                    </w:rPr>
                    <w:t>产生量</w:t>
                  </w:r>
                </w:p>
                <w:p w14:paraId="7348647F">
                  <w:pPr>
                    <w:keepNext w:val="0"/>
                    <w:keepLines w:val="0"/>
                    <w:pageBreakBefore w:val="0"/>
                    <w:widowControl/>
                    <w:kinsoku w:val="0"/>
                    <w:wordWrap/>
                    <w:overflowPunct/>
                    <w:topLinePunct w:val="0"/>
                    <w:autoSpaceDE w:val="0"/>
                    <w:autoSpaceDN w:val="0"/>
                    <w:bidi w:val="0"/>
                    <w:adjustRightInd/>
                    <w:snapToGrid/>
                    <w:spacing w:line="228" w:lineRule="auto"/>
                    <w:ind w:left="0" w:right="0" w:firstLine="0"/>
                    <w:jc w:val="center"/>
                    <w:textAlignment w:val="baseline"/>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pacing w:val="4"/>
                      <w:sz w:val="21"/>
                      <w:szCs w:val="21"/>
                      <w:lang w:val="en-US" w:eastAsia="zh-CN"/>
                    </w:rPr>
                    <w:t>m³/a</w:t>
                  </w:r>
                </w:p>
              </w:tc>
              <w:tc>
                <w:tcPr>
                  <w:tcW w:w="1183" w:type="dxa"/>
                  <w:tcBorders>
                    <w:tl2br w:val="nil"/>
                    <w:tr2bl w:val="nil"/>
                  </w:tcBorders>
                  <w:noWrap w:val="0"/>
                  <w:vAlign w:val="center"/>
                </w:tcPr>
                <w:p w14:paraId="0F5B877A">
                  <w:pPr>
                    <w:keepNext w:val="0"/>
                    <w:keepLines w:val="0"/>
                    <w:pageBreakBefore w:val="0"/>
                    <w:widowControl/>
                    <w:kinsoku w:val="0"/>
                    <w:wordWrap/>
                    <w:overflowPunct/>
                    <w:topLinePunct w:val="0"/>
                    <w:autoSpaceDE w:val="0"/>
                    <w:autoSpaceDN w:val="0"/>
                    <w:bidi w:val="0"/>
                    <w:adjustRightInd/>
                    <w:snapToGrid/>
                    <w:spacing w:line="202" w:lineRule="auto"/>
                    <w:ind w:left="0" w:right="0" w:firstLine="0"/>
                    <w:jc w:val="center"/>
                    <w:textAlignment w:val="baseline"/>
                    <w:rPr>
                      <w:rFonts w:hint="default" w:ascii="Times New Roman" w:hAnsi="Times New Roman" w:eastAsia="宋体" w:cs="Times New Roman"/>
                      <w:b/>
                      <w:bCs/>
                      <w:spacing w:val="4"/>
                      <w:position w:val="-1"/>
                      <w:sz w:val="21"/>
                      <w:szCs w:val="21"/>
                    </w:rPr>
                  </w:pPr>
                  <w:r>
                    <w:rPr>
                      <w:rFonts w:hint="default" w:ascii="Times New Roman" w:hAnsi="Times New Roman" w:eastAsia="宋体" w:cs="Times New Roman"/>
                      <w:b/>
                      <w:bCs/>
                      <w:spacing w:val="5"/>
                      <w:sz w:val="21"/>
                      <w:szCs w:val="21"/>
                    </w:rPr>
                    <w:t>C</w:t>
                  </w:r>
                  <w:r>
                    <w:rPr>
                      <w:rFonts w:hint="default" w:ascii="Times New Roman" w:hAnsi="Times New Roman" w:eastAsia="宋体" w:cs="Times New Roman"/>
                      <w:b/>
                      <w:bCs/>
                      <w:spacing w:val="4"/>
                      <w:sz w:val="21"/>
                      <w:szCs w:val="21"/>
                    </w:rPr>
                    <w:t>OD</w:t>
                  </w:r>
                  <w:r>
                    <w:rPr>
                      <w:rFonts w:hint="eastAsia" w:ascii="Times New Roman" w:hAnsi="Times New Roman" w:eastAsia="宋体" w:cs="Times New Roman"/>
                      <w:b/>
                      <w:bCs/>
                      <w:spacing w:val="4"/>
                      <w:position w:val="-1"/>
                      <w:sz w:val="21"/>
                      <w:szCs w:val="21"/>
                      <w:lang w:val="en-US" w:eastAsia="zh-CN"/>
                    </w:rPr>
                    <w:t>c</w:t>
                  </w:r>
                  <w:r>
                    <w:rPr>
                      <w:rFonts w:hint="default" w:ascii="Times New Roman" w:hAnsi="Times New Roman" w:eastAsia="宋体" w:cs="Times New Roman"/>
                      <w:b/>
                      <w:bCs/>
                      <w:spacing w:val="4"/>
                      <w:position w:val="-1"/>
                      <w:sz w:val="21"/>
                      <w:szCs w:val="21"/>
                    </w:rPr>
                    <w:t>r</w:t>
                  </w:r>
                </w:p>
                <w:p w14:paraId="60664507">
                  <w:pPr>
                    <w:keepNext w:val="0"/>
                    <w:keepLines w:val="0"/>
                    <w:pageBreakBefore w:val="0"/>
                    <w:widowControl/>
                    <w:kinsoku w:val="0"/>
                    <w:wordWrap/>
                    <w:overflowPunct/>
                    <w:topLinePunct w:val="0"/>
                    <w:autoSpaceDE w:val="0"/>
                    <w:autoSpaceDN w:val="0"/>
                    <w:bidi w:val="0"/>
                    <w:adjustRightInd/>
                    <w:snapToGrid/>
                    <w:spacing w:line="202" w:lineRule="auto"/>
                    <w:ind w:left="0" w:right="0" w:firstLine="0"/>
                    <w:jc w:val="center"/>
                    <w:textAlignment w:val="baseline"/>
                    <w:rPr>
                      <w:rFonts w:hint="default" w:ascii="Times New Roman" w:hAnsi="Times New Roman" w:eastAsia="宋体" w:cs="Times New Roman"/>
                      <w:b/>
                      <w:bCs/>
                      <w:sz w:val="21"/>
                      <w:szCs w:val="21"/>
                      <w:lang w:val="en-US" w:eastAsia="zh-CN"/>
                    </w:rPr>
                  </w:pPr>
                  <w:r>
                    <w:rPr>
                      <w:rFonts w:hint="eastAsia" w:cs="Times New Roman"/>
                      <w:b/>
                      <w:bCs/>
                      <w:spacing w:val="4"/>
                      <w:position w:val="-1"/>
                      <w:sz w:val="21"/>
                      <w:szCs w:val="21"/>
                      <w:lang w:eastAsia="zh-CN"/>
                    </w:rPr>
                    <w:t>(</w:t>
                  </w:r>
                  <w:r>
                    <w:rPr>
                      <w:rFonts w:hint="eastAsia" w:ascii="Times New Roman" w:hAnsi="Times New Roman" w:eastAsia="宋体" w:cs="Times New Roman"/>
                      <w:b/>
                      <w:bCs/>
                      <w:spacing w:val="4"/>
                      <w:position w:val="-1"/>
                      <w:sz w:val="21"/>
                      <w:szCs w:val="21"/>
                      <w:lang w:val="en-US" w:eastAsia="zh-CN"/>
                    </w:rPr>
                    <w:t>mg/L</w:t>
                  </w:r>
                  <w:r>
                    <w:rPr>
                      <w:rFonts w:hint="eastAsia" w:cs="Times New Roman"/>
                      <w:b/>
                      <w:bCs/>
                      <w:spacing w:val="4"/>
                      <w:position w:val="-1"/>
                      <w:sz w:val="21"/>
                      <w:szCs w:val="21"/>
                      <w:lang w:val="en-US" w:eastAsia="zh-CN"/>
                    </w:rPr>
                    <w:t>)</w:t>
                  </w:r>
                </w:p>
              </w:tc>
              <w:tc>
                <w:tcPr>
                  <w:tcW w:w="1024" w:type="dxa"/>
                  <w:tcBorders>
                    <w:tl2br w:val="nil"/>
                    <w:tr2bl w:val="nil"/>
                  </w:tcBorders>
                  <w:noWrap w:val="0"/>
                  <w:vAlign w:val="center"/>
                </w:tcPr>
                <w:p w14:paraId="49CB4182">
                  <w:pPr>
                    <w:keepNext w:val="0"/>
                    <w:keepLines w:val="0"/>
                    <w:pageBreakBefore w:val="0"/>
                    <w:widowControl/>
                    <w:kinsoku w:val="0"/>
                    <w:wordWrap/>
                    <w:overflowPunct/>
                    <w:topLinePunct w:val="0"/>
                    <w:autoSpaceDE w:val="0"/>
                    <w:autoSpaceDN w:val="0"/>
                    <w:bidi w:val="0"/>
                    <w:adjustRightInd/>
                    <w:snapToGrid/>
                    <w:spacing w:line="202" w:lineRule="auto"/>
                    <w:ind w:left="0" w:right="0" w:firstLine="0"/>
                    <w:jc w:val="center"/>
                    <w:textAlignment w:val="baseline"/>
                    <w:rPr>
                      <w:rFonts w:hint="default" w:ascii="Times New Roman" w:hAnsi="Times New Roman" w:eastAsia="宋体" w:cs="Times New Roman"/>
                      <w:b/>
                      <w:bCs/>
                      <w:spacing w:val="19"/>
                      <w:position w:val="-1"/>
                      <w:sz w:val="21"/>
                      <w:szCs w:val="21"/>
                      <w:vertAlign w:val="subscript"/>
                    </w:rPr>
                  </w:pPr>
                  <w:r>
                    <w:rPr>
                      <w:rFonts w:hint="default" w:ascii="Times New Roman" w:hAnsi="Times New Roman" w:eastAsia="宋体" w:cs="Times New Roman"/>
                      <w:b/>
                      <w:bCs/>
                      <w:sz w:val="21"/>
                      <w:szCs w:val="21"/>
                    </w:rPr>
                    <w:t>BOD</w:t>
                  </w:r>
                  <w:r>
                    <w:rPr>
                      <w:rFonts w:hint="default" w:ascii="Times New Roman" w:hAnsi="Times New Roman" w:eastAsia="宋体" w:cs="Times New Roman"/>
                      <w:b/>
                      <w:bCs/>
                      <w:spacing w:val="19"/>
                      <w:position w:val="-1"/>
                      <w:sz w:val="21"/>
                      <w:szCs w:val="21"/>
                      <w:vertAlign w:val="subscript"/>
                    </w:rPr>
                    <w:t>5</w:t>
                  </w:r>
                </w:p>
                <w:p w14:paraId="5769DD9A">
                  <w:pPr>
                    <w:keepNext w:val="0"/>
                    <w:keepLines w:val="0"/>
                    <w:pageBreakBefore w:val="0"/>
                    <w:widowControl/>
                    <w:kinsoku w:val="0"/>
                    <w:wordWrap/>
                    <w:overflowPunct/>
                    <w:topLinePunct w:val="0"/>
                    <w:autoSpaceDE w:val="0"/>
                    <w:autoSpaceDN w:val="0"/>
                    <w:bidi w:val="0"/>
                    <w:adjustRightInd/>
                    <w:snapToGrid/>
                    <w:spacing w:line="202" w:lineRule="auto"/>
                    <w:ind w:left="0" w:right="0" w:firstLine="0"/>
                    <w:jc w:val="center"/>
                    <w:textAlignment w:val="baseline"/>
                    <w:rPr>
                      <w:rFonts w:hint="default" w:ascii="Times New Roman" w:hAnsi="Times New Roman" w:eastAsia="宋体" w:cs="Times New Roman"/>
                      <w:b/>
                      <w:bCs/>
                      <w:sz w:val="21"/>
                      <w:szCs w:val="21"/>
                    </w:rPr>
                  </w:pPr>
                  <w:r>
                    <w:rPr>
                      <w:rFonts w:hint="eastAsia" w:cs="Times New Roman"/>
                      <w:b/>
                      <w:bCs/>
                      <w:spacing w:val="4"/>
                      <w:position w:val="-1"/>
                      <w:sz w:val="21"/>
                      <w:szCs w:val="21"/>
                      <w:lang w:eastAsia="zh-CN"/>
                    </w:rPr>
                    <w:t>(</w:t>
                  </w:r>
                  <w:r>
                    <w:rPr>
                      <w:rFonts w:hint="eastAsia" w:ascii="Times New Roman" w:hAnsi="Times New Roman" w:eastAsia="宋体" w:cs="Times New Roman"/>
                      <w:b/>
                      <w:bCs/>
                      <w:spacing w:val="4"/>
                      <w:position w:val="-1"/>
                      <w:sz w:val="21"/>
                      <w:szCs w:val="21"/>
                      <w:lang w:val="en-US" w:eastAsia="zh-CN"/>
                    </w:rPr>
                    <w:t>mg/L</w:t>
                  </w:r>
                  <w:r>
                    <w:rPr>
                      <w:rFonts w:hint="eastAsia" w:cs="Times New Roman"/>
                      <w:b/>
                      <w:bCs/>
                      <w:spacing w:val="4"/>
                      <w:position w:val="-1"/>
                      <w:sz w:val="21"/>
                      <w:szCs w:val="21"/>
                      <w:lang w:val="en-US" w:eastAsia="zh-CN"/>
                    </w:rPr>
                    <w:t>)</w:t>
                  </w:r>
                </w:p>
              </w:tc>
              <w:tc>
                <w:tcPr>
                  <w:tcW w:w="1024" w:type="dxa"/>
                  <w:tcBorders>
                    <w:tl2br w:val="nil"/>
                    <w:tr2bl w:val="nil"/>
                  </w:tcBorders>
                  <w:noWrap w:val="0"/>
                  <w:vAlign w:val="center"/>
                </w:tcPr>
                <w:p w14:paraId="76D4468B">
                  <w:pPr>
                    <w:keepNext w:val="0"/>
                    <w:keepLines w:val="0"/>
                    <w:pageBreakBefore w:val="0"/>
                    <w:widowControl/>
                    <w:kinsoku w:val="0"/>
                    <w:wordWrap/>
                    <w:overflowPunct/>
                    <w:topLinePunct w:val="0"/>
                    <w:autoSpaceDE w:val="0"/>
                    <w:autoSpaceDN w:val="0"/>
                    <w:bidi w:val="0"/>
                    <w:adjustRightInd/>
                    <w:snapToGrid/>
                    <w:spacing w:line="227" w:lineRule="auto"/>
                    <w:ind w:left="0" w:right="0" w:firstLine="0"/>
                    <w:jc w:val="center"/>
                    <w:textAlignment w:val="baseline"/>
                    <w:rPr>
                      <w:rFonts w:hint="default" w:ascii="Times New Roman" w:hAnsi="Times New Roman" w:eastAsia="宋体" w:cs="Times New Roman"/>
                      <w:b/>
                      <w:bCs/>
                      <w:spacing w:val="4"/>
                      <w:sz w:val="21"/>
                      <w:szCs w:val="21"/>
                    </w:rPr>
                  </w:pPr>
                  <w:r>
                    <w:rPr>
                      <w:rFonts w:hint="default" w:ascii="Times New Roman" w:hAnsi="Times New Roman" w:eastAsia="宋体" w:cs="Times New Roman"/>
                      <w:b/>
                      <w:bCs/>
                      <w:spacing w:val="5"/>
                      <w:sz w:val="21"/>
                      <w:szCs w:val="21"/>
                    </w:rPr>
                    <w:t>氨</w:t>
                  </w:r>
                  <w:r>
                    <w:rPr>
                      <w:rFonts w:hint="default" w:ascii="Times New Roman" w:hAnsi="Times New Roman" w:eastAsia="宋体" w:cs="Times New Roman"/>
                      <w:b/>
                      <w:bCs/>
                      <w:spacing w:val="4"/>
                      <w:sz w:val="21"/>
                      <w:szCs w:val="21"/>
                    </w:rPr>
                    <w:t>氮</w:t>
                  </w:r>
                </w:p>
                <w:p w14:paraId="74C1DF3B">
                  <w:pPr>
                    <w:keepNext w:val="0"/>
                    <w:keepLines w:val="0"/>
                    <w:pageBreakBefore w:val="0"/>
                    <w:widowControl/>
                    <w:kinsoku w:val="0"/>
                    <w:wordWrap/>
                    <w:overflowPunct/>
                    <w:topLinePunct w:val="0"/>
                    <w:autoSpaceDE w:val="0"/>
                    <w:autoSpaceDN w:val="0"/>
                    <w:bidi w:val="0"/>
                    <w:adjustRightInd/>
                    <w:snapToGrid/>
                    <w:spacing w:line="227" w:lineRule="auto"/>
                    <w:ind w:left="0" w:right="0" w:firstLine="0"/>
                    <w:jc w:val="center"/>
                    <w:textAlignment w:val="baseline"/>
                    <w:rPr>
                      <w:rFonts w:hint="default" w:ascii="Times New Roman" w:hAnsi="Times New Roman" w:eastAsia="宋体" w:cs="Times New Roman"/>
                      <w:b/>
                      <w:bCs/>
                      <w:sz w:val="21"/>
                      <w:szCs w:val="21"/>
                    </w:rPr>
                  </w:pPr>
                  <w:r>
                    <w:rPr>
                      <w:rFonts w:hint="eastAsia" w:cs="Times New Roman"/>
                      <w:b/>
                      <w:bCs/>
                      <w:spacing w:val="4"/>
                      <w:position w:val="-1"/>
                      <w:sz w:val="21"/>
                      <w:szCs w:val="21"/>
                      <w:lang w:eastAsia="zh-CN"/>
                    </w:rPr>
                    <w:t>(</w:t>
                  </w:r>
                  <w:r>
                    <w:rPr>
                      <w:rFonts w:hint="eastAsia" w:ascii="Times New Roman" w:hAnsi="Times New Roman" w:eastAsia="宋体" w:cs="Times New Roman"/>
                      <w:b/>
                      <w:bCs/>
                      <w:spacing w:val="4"/>
                      <w:position w:val="-1"/>
                      <w:sz w:val="21"/>
                      <w:szCs w:val="21"/>
                      <w:lang w:val="en-US" w:eastAsia="zh-CN"/>
                    </w:rPr>
                    <w:t>mg/L</w:t>
                  </w:r>
                  <w:r>
                    <w:rPr>
                      <w:rFonts w:hint="eastAsia" w:cs="Times New Roman"/>
                      <w:b/>
                      <w:bCs/>
                      <w:spacing w:val="4"/>
                      <w:position w:val="-1"/>
                      <w:sz w:val="21"/>
                      <w:szCs w:val="21"/>
                      <w:lang w:val="en-US" w:eastAsia="zh-CN"/>
                    </w:rPr>
                    <w:t>)</w:t>
                  </w:r>
                </w:p>
              </w:tc>
              <w:tc>
                <w:tcPr>
                  <w:tcW w:w="1024" w:type="dxa"/>
                  <w:tcBorders>
                    <w:tl2br w:val="nil"/>
                    <w:tr2bl w:val="nil"/>
                  </w:tcBorders>
                  <w:noWrap w:val="0"/>
                  <w:vAlign w:val="center"/>
                </w:tcPr>
                <w:p w14:paraId="369C6482">
                  <w:pPr>
                    <w:keepNext w:val="0"/>
                    <w:keepLines w:val="0"/>
                    <w:pageBreakBefore w:val="0"/>
                    <w:widowControl/>
                    <w:kinsoku w:val="0"/>
                    <w:wordWrap/>
                    <w:overflowPunct/>
                    <w:topLinePunct w:val="0"/>
                    <w:autoSpaceDE w:val="0"/>
                    <w:autoSpaceDN w:val="0"/>
                    <w:bidi w:val="0"/>
                    <w:adjustRightInd/>
                    <w:snapToGrid/>
                    <w:spacing w:line="195" w:lineRule="auto"/>
                    <w:ind w:left="0" w:right="0" w:firstLine="0"/>
                    <w:jc w:val="center"/>
                    <w:textAlignment w:val="baseline"/>
                    <w:rPr>
                      <w:rFonts w:hint="default" w:ascii="Times New Roman" w:hAnsi="Times New Roman" w:eastAsia="宋体" w:cs="Times New Roman"/>
                      <w:b/>
                      <w:bCs/>
                      <w:spacing w:val="-2"/>
                      <w:sz w:val="21"/>
                      <w:szCs w:val="21"/>
                    </w:rPr>
                  </w:pPr>
                  <w:r>
                    <w:rPr>
                      <w:rFonts w:hint="default" w:ascii="Times New Roman" w:hAnsi="Times New Roman" w:eastAsia="宋体" w:cs="Times New Roman"/>
                      <w:b/>
                      <w:bCs/>
                      <w:spacing w:val="-3"/>
                      <w:sz w:val="21"/>
                      <w:szCs w:val="21"/>
                    </w:rPr>
                    <w:t>S</w:t>
                  </w:r>
                  <w:r>
                    <w:rPr>
                      <w:rFonts w:hint="default" w:ascii="Times New Roman" w:hAnsi="Times New Roman" w:eastAsia="宋体" w:cs="Times New Roman"/>
                      <w:b/>
                      <w:bCs/>
                      <w:spacing w:val="-2"/>
                      <w:sz w:val="21"/>
                      <w:szCs w:val="21"/>
                    </w:rPr>
                    <w:t>S</w:t>
                  </w:r>
                </w:p>
                <w:p w14:paraId="72B72175">
                  <w:pPr>
                    <w:keepNext w:val="0"/>
                    <w:keepLines w:val="0"/>
                    <w:pageBreakBefore w:val="0"/>
                    <w:widowControl/>
                    <w:kinsoku w:val="0"/>
                    <w:wordWrap/>
                    <w:overflowPunct/>
                    <w:topLinePunct w:val="0"/>
                    <w:autoSpaceDE w:val="0"/>
                    <w:autoSpaceDN w:val="0"/>
                    <w:bidi w:val="0"/>
                    <w:adjustRightInd/>
                    <w:snapToGrid/>
                    <w:spacing w:line="195" w:lineRule="auto"/>
                    <w:ind w:left="0" w:right="0" w:firstLine="0"/>
                    <w:jc w:val="center"/>
                    <w:textAlignment w:val="baseline"/>
                    <w:rPr>
                      <w:rFonts w:hint="default" w:ascii="Times New Roman" w:hAnsi="Times New Roman" w:eastAsia="宋体" w:cs="Times New Roman"/>
                      <w:b/>
                      <w:bCs/>
                      <w:sz w:val="21"/>
                      <w:szCs w:val="21"/>
                    </w:rPr>
                  </w:pPr>
                  <w:r>
                    <w:rPr>
                      <w:rFonts w:hint="eastAsia" w:cs="Times New Roman"/>
                      <w:b/>
                      <w:bCs/>
                      <w:spacing w:val="4"/>
                      <w:position w:val="-1"/>
                      <w:sz w:val="21"/>
                      <w:szCs w:val="21"/>
                      <w:lang w:eastAsia="zh-CN"/>
                    </w:rPr>
                    <w:t>(</w:t>
                  </w:r>
                  <w:r>
                    <w:rPr>
                      <w:rFonts w:hint="eastAsia" w:ascii="Times New Roman" w:hAnsi="Times New Roman" w:eastAsia="宋体" w:cs="Times New Roman"/>
                      <w:b/>
                      <w:bCs/>
                      <w:spacing w:val="4"/>
                      <w:position w:val="-1"/>
                      <w:sz w:val="21"/>
                      <w:szCs w:val="21"/>
                      <w:lang w:val="en-US" w:eastAsia="zh-CN"/>
                    </w:rPr>
                    <w:t>mg/L</w:t>
                  </w:r>
                  <w:r>
                    <w:rPr>
                      <w:rFonts w:hint="eastAsia" w:cs="Times New Roman"/>
                      <w:b/>
                      <w:bCs/>
                      <w:spacing w:val="4"/>
                      <w:position w:val="-1"/>
                      <w:sz w:val="21"/>
                      <w:szCs w:val="21"/>
                      <w:lang w:val="en-US" w:eastAsia="zh-CN"/>
                    </w:rPr>
                    <w:t>)</w:t>
                  </w:r>
                </w:p>
              </w:tc>
              <w:tc>
                <w:tcPr>
                  <w:tcW w:w="1027" w:type="dxa"/>
                  <w:tcBorders>
                    <w:tl2br w:val="nil"/>
                    <w:tr2bl w:val="nil"/>
                  </w:tcBorders>
                  <w:noWrap w:val="0"/>
                  <w:vAlign w:val="center"/>
                </w:tcPr>
                <w:p w14:paraId="6AD94300">
                  <w:pPr>
                    <w:keepNext w:val="0"/>
                    <w:keepLines w:val="0"/>
                    <w:pageBreakBefore w:val="0"/>
                    <w:widowControl/>
                    <w:kinsoku w:val="0"/>
                    <w:wordWrap/>
                    <w:overflowPunct/>
                    <w:topLinePunct w:val="0"/>
                    <w:autoSpaceDE w:val="0"/>
                    <w:autoSpaceDN w:val="0"/>
                    <w:bidi w:val="0"/>
                    <w:adjustRightInd/>
                    <w:snapToGrid/>
                    <w:spacing w:line="227" w:lineRule="auto"/>
                    <w:ind w:left="0" w:right="0" w:firstLine="0"/>
                    <w:jc w:val="center"/>
                    <w:textAlignment w:val="baseline"/>
                    <w:rPr>
                      <w:rFonts w:hint="eastAsia" w:cs="Times New Roman"/>
                      <w:b/>
                      <w:bCs/>
                      <w:spacing w:val="7"/>
                      <w:sz w:val="21"/>
                      <w:szCs w:val="21"/>
                      <w:lang w:val="en-US" w:eastAsia="zh-CN"/>
                    </w:rPr>
                  </w:pPr>
                  <w:r>
                    <w:rPr>
                      <w:rFonts w:hint="eastAsia" w:cs="Times New Roman"/>
                      <w:b/>
                      <w:bCs/>
                      <w:spacing w:val="7"/>
                      <w:sz w:val="21"/>
                      <w:szCs w:val="21"/>
                      <w:lang w:val="en-US" w:eastAsia="zh-CN"/>
                    </w:rPr>
                    <w:t>石油类</w:t>
                  </w:r>
                </w:p>
                <w:p w14:paraId="6C102997">
                  <w:pPr>
                    <w:keepNext w:val="0"/>
                    <w:keepLines w:val="0"/>
                    <w:pageBreakBefore w:val="0"/>
                    <w:widowControl/>
                    <w:kinsoku w:val="0"/>
                    <w:wordWrap/>
                    <w:overflowPunct/>
                    <w:topLinePunct w:val="0"/>
                    <w:autoSpaceDE w:val="0"/>
                    <w:autoSpaceDN w:val="0"/>
                    <w:bidi w:val="0"/>
                    <w:adjustRightInd/>
                    <w:snapToGrid/>
                    <w:spacing w:line="227" w:lineRule="auto"/>
                    <w:ind w:left="0" w:right="0" w:firstLine="0"/>
                    <w:jc w:val="center"/>
                    <w:textAlignment w:val="baseline"/>
                    <w:rPr>
                      <w:rFonts w:hint="default" w:ascii="Times New Roman" w:hAnsi="Times New Roman" w:eastAsia="宋体" w:cs="Times New Roman"/>
                      <w:b/>
                      <w:bCs/>
                      <w:sz w:val="21"/>
                      <w:szCs w:val="21"/>
                    </w:rPr>
                  </w:pPr>
                  <w:r>
                    <w:rPr>
                      <w:rFonts w:hint="eastAsia" w:cs="Times New Roman"/>
                      <w:b/>
                      <w:bCs/>
                      <w:spacing w:val="4"/>
                      <w:position w:val="-1"/>
                      <w:sz w:val="21"/>
                      <w:szCs w:val="21"/>
                      <w:lang w:eastAsia="zh-CN"/>
                    </w:rPr>
                    <w:t>(</w:t>
                  </w:r>
                  <w:r>
                    <w:rPr>
                      <w:rFonts w:hint="eastAsia" w:ascii="Times New Roman" w:hAnsi="Times New Roman" w:eastAsia="宋体" w:cs="Times New Roman"/>
                      <w:b/>
                      <w:bCs/>
                      <w:spacing w:val="4"/>
                      <w:position w:val="-1"/>
                      <w:sz w:val="21"/>
                      <w:szCs w:val="21"/>
                      <w:lang w:val="en-US" w:eastAsia="zh-CN"/>
                    </w:rPr>
                    <w:t>mg/L</w:t>
                  </w:r>
                  <w:r>
                    <w:rPr>
                      <w:rFonts w:hint="eastAsia" w:cs="Times New Roman"/>
                      <w:b/>
                      <w:bCs/>
                      <w:spacing w:val="4"/>
                      <w:position w:val="-1"/>
                      <w:sz w:val="21"/>
                      <w:szCs w:val="21"/>
                      <w:lang w:val="en-US" w:eastAsia="zh-CN"/>
                    </w:rPr>
                    <w:t>)</w:t>
                  </w:r>
                </w:p>
              </w:tc>
            </w:tr>
            <w:tr w14:paraId="7352A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53" w:hRule="atLeast"/>
                <w:jc w:val="center"/>
              </w:trPr>
              <w:tc>
                <w:tcPr>
                  <w:tcW w:w="1612" w:type="dxa"/>
                  <w:gridSpan w:val="2"/>
                  <w:tcBorders>
                    <w:tl2br w:val="nil"/>
                    <w:tr2bl w:val="nil"/>
                  </w:tcBorders>
                  <w:noWrap w:val="0"/>
                  <w:vAlign w:val="center"/>
                </w:tcPr>
                <w:p w14:paraId="210BE196">
                  <w:pPr>
                    <w:keepNext w:val="0"/>
                    <w:keepLines w:val="0"/>
                    <w:widowControl/>
                    <w:suppressLineNumbers w:val="0"/>
                    <w:jc w:val="center"/>
                    <w:textAlignment w:val="center"/>
                    <w:rPr>
                      <w:rFonts w:hint="default" w:ascii="Times New Roman" w:hAnsi="Times New Roman" w:eastAsia="宋体" w:cs="Times New Roman"/>
                      <w:spacing w:val="8"/>
                      <w:sz w:val="21"/>
                      <w:szCs w:val="21"/>
                    </w:rPr>
                  </w:pPr>
                  <w:r>
                    <w:rPr>
                      <w:rFonts w:hint="eastAsia" w:ascii="宋体" w:hAnsi="宋体" w:eastAsia="宋体" w:cs="宋体"/>
                      <w:i w:val="0"/>
                      <w:iCs w:val="0"/>
                      <w:color w:val="000000"/>
                      <w:kern w:val="0"/>
                      <w:sz w:val="21"/>
                      <w:szCs w:val="21"/>
                      <w:u w:val="none"/>
                      <w:lang w:val="en-US" w:eastAsia="zh-CN" w:bidi="ar"/>
                    </w:rPr>
                    <w:t>员工生活污水</w:t>
                  </w:r>
                </w:p>
              </w:tc>
              <w:tc>
                <w:tcPr>
                  <w:tcW w:w="1035" w:type="dxa"/>
                  <w:tcBorders>
                    <w:tl2br w:val="nil"/>
                    <w:tr2bl w:val="nil"/>
                  </w:tcBorders>
                  <w:noWrap w:val="0"/>
                  <w:vAlign w:val="center"/>
                </w:tcPr>
                <w:p w14:paraId="308025D4">
                  <w:pPr>
                    <w:keepNext w:val="0"/>
                    <w:keepLines w:val="0"/>
                    <w:widowControl/>
                    <w:suppressLineNumbers w:val="0"/>
                    <w:jc w:val="center"/>
                    <w:textAlignment w:val="center"/>
                    <w:rPr>
                      <w:rFonts w:hint="default" w:ascii="Times New Roman" w:hAnsi="Times New Roman" w:eastAsia="宋体" w:cs="Times New Roman"/>
                      <w:spacing w:val="8"/>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183" w:type="dxa"/>
                  <w:tcBorders>
                    <w:tl2br w:val="nil"/>
                    <w:tr2bl w:val="nil"/>
                  </w:tcBorders>
                  <w:noWrap w:val="0"/>
                  <w:vAlign w:val="center"/>
                </w:tcPr>
                <w:p w14:paraId="4F4437AC">
                  <w:pPr>
                    <w:keepNext w:val="0"/>
                    <w:keepLines w:val="0"/>
                    <w:widowControl/>
                    <w:suppressLineNumbers w:val="0"/>
                    <w:jc w:val="center"/>
                    <w:textAlignment w:val="center"/>
                    <w:rPr>
                      <w:rFonts w:hint="default" w:ascii="Times New Roman" w:hAnsi="Times New Roman" w:eastAsia="宋体" w:cs="Times New Roman"/>
                      <w:spacing w:val="3"/>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024" w:type="dxa"/>
                  <w:tcBorders>
                    <w:tl2br w:val="nil"/>
                    <w:tr2bl w:val="nil"/>
                  </w:tcBorders>
                  <w:noWrap w:val="0"/>
                  <w:vAlign w:val="center"/>
                </w:tcPr>
                <w:p w14:paraId="0848ED1F">
                  <w:pPr>
                    <w:keepNext w:val="0"/>
                    <w:keepLines w:val="0"/>
                    <w:widowControl/>
                    <w:suppressLineNumbers w:val="0"/>
                    <w:jc w:val="center"/>
                    <w:textAlignment w:val="center"/>
                    <w:rPr>
                      <w:rFonts w:hint="default" w:ascii="Times New Roman" w:hAnsi="Times New Roman" w:eastAsia="宋体" w:cs="Times New Roman"/>
                      <w:spacing w:val="-3"/>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024" w:type="dxa"/>
                  <w:tcBorders>
                    <w:tl2br w:val="nil"/>
                    <w:tr2bl w:val="nil"/>
                  </w:tcBorders>
                  <w:noWrap w:val="0"/>
                  <w:vAlign w:val="center"/>
                </w:tcPr>
                <w:p w14:paraId="25093757">
                  <w:pPr>
                    <w:keepNext w:val="0"/>
                    <w:keepLines w:val="0"/>
                    <w:widowControl/>
                    <w:suppressLineNumbers w:val="0"/>
                    <w:jc w:val="center"/>
                    <w:textAlignment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024" w:type="dxa"/>
                  <w:tcBorders>
                    <w:tl2br w:val="nil"/>
                    <w:tr2bl w:val="nil"/>
                  </w:tcBorders>
                  <w:noWrap w:val="0"/>
                  <w:vAlign w:val="center"/>
                </w:tcPr>
                <w:p w14:paraId="7CF5C69A">
                  <w:pPr>
                    <w:keepNext w:val="0"/>
                    <w:keepLines w:val="0"/>
                    <w:widowControl/>
                    <w:suppressLineNumbers w:val="0"/>
                    <w:jc w:val="center"/>
                    <w:textAlignment w:val="center"/>
                    <w:rPr>
                      <w:rFonts w:hint="default" w:ascii="Times New Roman" w:hAnsi="Times New Roman" w:eastAsia="宋体" w:cs="Times New Roman"/>
                      <w:spacing w:val="-3"/>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027" w:type="dxa"/>
                  <w:tcBorders>
                    <w:tl2br w:val="nil"/>
                    <w:tr2bl w:val="nil"/>
                  </w:tcBorders>
                  <w:noWrap w:val="0"/>
                  <w:vAlign w:val="center"/>
                </w:tcPr>
                <w:p w14:paraId="69B85164">
                  <w:pPr>
                    <w:keepNext w:val="0"/>
                    <w:keepLines w:val="0"/>
                    <w:widowControl/>
                    <w:suppressLineNumbers w:val="0"/>
                    <w:jc w:val="center"/>
                    <w:textAlignment w:val="center"/>
                    <w:rPr>
                      <w:rFonts w:hint="default" w:ascii="Times New Roman" w:hAnsi="Times New Roman" w:eastAsia="宋体" w:cs="Times New Roman"/>
                      <w:spacing w:val="3"/>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14:paraId="245D5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53" w:hRule="atLeast"/>
                <w:jc w:val="center"/>
              </w:trPr>
              <w:tc>
                <w:tcPr>
                  <w:tcW w:w="486" w:type="dxa"/>
                  <w:vMerge w:val="restart"/>
                  <w:tcBorders>
                    <w:tl2br w:val="nil"/>
                    <w:tr2bl w:val="nil"/>
                  </w:tcBorders>
                  <w:noWrap w:val="0"/>
                  <w:vAlign w:val="center"/>
                </w:tcPr>
                <w:p w14:paraId="2DDDBE19">
                  <w:pPr>
                    <w:keepNext w:val="0"/>
                    <w:keepLines w:val="0"/>
                    <w:widowControl/>
                    <w:suppressLineNumbers w:val="0"/>
                    <w:jc w:val="center"/>
                    <w:textAlignment w:val="center"/>
                    <w:rPr>
                      <w:rFonts w:hint="default" w:ascii="Times New Roman" w:hAnsi="Times New Roman" w:eastAsia="宋体" w:cs="Times New Roman"/>
                      <w:spacing w:val="8"/>
                      <w:sz w:val="21"/>
                      <w:szCs w:val="21"/>
                      <w:lang w:val="en-US"/>
                    </w:rPr>
                  </w:pPr>
                  <w:r>
                    <w:rPr>
                      <w:rFonts w:hint="eastAsia" w:ascii="宋体" w:hAnsi="宋体" w:cs="宋体"/>
                      <w:i w:val="0"/>
                      <w:iCs w:val="0"/>
                      <w:color w:val="000000"/>
                      <w:kern w:val="0"/>
                      <w:sz w:val="21"/>
                      <w:szCs w:val="21"/>
                      <w:u w:val="none"/>
                      <w:lang w:val="en-US" w:eastAsia="zh-CN" w:bidi="ar"/>
                    </w:rPr>
                    <w:t>设备清洗废水</w:t>
                  </w:r>
                </w:p>
              </w:tc>
              <w:tc>
                <w:tcPr>
                  <w:tcW w:w="1126" w:type="dxa"/>
                  <w:tcBorders>
                    <w:tl2br w:val="nil"/>
                    <w:tr2bl w:val="nil"/>
                  </w:tcBorders>
                  <w:noWrap w:val="0"/>
                  <w:vAlign w:val="center"/>
                </w:tcPr>
                <w:p w14:paraId="0BEDB5FD">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产生浓度</w:t>
                  </w:r>
                </w:p>
              </w:tc>
              <w:tc>
                <w:tcPr>
                  <w:tcW w:w="1035" w:type="dxa"/>
                  <w:vMerge w:val="restart"/>
                  <w:tcBorders>
                    <w:tl2br w:val="nil"/>
                    <w:tr2bl w:val="nil"/>
                  </w:tcBorders>
                  <w:noWrap w:val="0"/>
                  <w:vAlign w:val="center"/>
                </w:tcPr>
                <w:p w14:paraId="4BC95126">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76.8</w:t>
                  </w:r>
                </w:p>
              </w:tc>
              <w:tc>
                <w:tcPr>
                  <w:tcW w:w="1183" w:type="dxa"/>
                  <w:tcBorders>
                    <w:tl2br w:val="nil"/>
                    <w:tr2bl w:val="nil"/>
                  </w:tcBorders>
                  <w:noWrap w:val="0"/>
                  <w:vAlign w:val="center"/>
                </w:tcPr>
                <w:p w14:paraId="0388D5D8">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2082</w:t>
                  </w:r>
                </w:p>
              </w:tc>
              <w:tc>
                <w:tcPr>
                  <w:tcW w:w="1024" w:type="dxa"/>
                  <w:tcBorders>
                    <w:tl2br w:val="nil"/>
                    <w:tr2bl w:val="nil"/>
                  </w:tcBorders>
                  <w:noWrap w:val="0"/>
                  <w:vAlign w:val="center"/>
                </w:tcPr>
                <w:p w14:paraId="3480B7DC">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1024" w:type="dxa"/>
                  <w:tcBorders>
                    <w:tl2br w:val="nil"/>
                    <w:tr2bl w:val="nil"/>
                  </w:tcBorders>
                  <w:noWrap w:val="0"/>
                  <w:vAlign w:val="center"/>
                </w:tcPr>
                <w:p w14:paraId="7604868C">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24" w:type="dxa"/>
                  <w:tcBorders>
                    <w:tl2br w:val="nil"/>
                    <w:tr2bl w:val="nil"/>
                  </w:tcBorders>
                  <w:noWrap w:val="0"/>
                  <w:vAlign w:val="center"/>
                </w:tcPr>
                <w:p w14:paraId="501FB03E">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8489</w:t>
                  </w:r>
                </w:p>
              </w:tc>
              <w:tc>
                <w:tcPr>
                  <w:tcW w:w="1027" w:type="dxa"/>
                  <w:tcBorders>
                    <w:tl2br w:val="nil"/>
                    <w:tr2bl w:val="nil"/>
                  </w:tcBorders>
                  <w:noWrap w:val="0"/>
                  <w:vAlign w:val="center"/>
                </w:tcPr>
                <w:p w14:paraId="5D01E52E">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578</w:t>
                  </w:r>
                </w:p>
              </w:tc>
            </w:tr>
            <w:tr w14:paraId="2E93B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486" w:type="dxa"/>
                  <w:vMerge w:val="continue"/>
                  <w:tcBorders>
                    <w:tl2br w:val="nil"/>
                    <w:tr2bl w:val="nil"/>
                  </w:tcBorders>
                  <w:noWrap w:val="0"/>
                  <w:vAlign w:val="center"/>
                </w:tcPr>
                <w:p w14:paraId="19564F2D">
                  <w:pPr>
                    <w:keepNext w:val="0"/>
                    <w:keepLines w:val="0"/>
                    <w:widowControl/>
                    <w:suppressLineNumbers w:val="0"/>
                    <w:jc w:val="center"/>
                    <w:textAlignment w:val="center"/>
                    <w:rPr>
                      <w:rFonts w:hint="default" w:ascii="Times New Roman" w:hAnsi="Times New Roman" w:eastAsia="宋体" w:cs="Times New Roman"/>
                      <w:sz w:val="21"/>
                      <w:szCs w:val="21"/>
                    </w:rPr>
                  </w:pPr>
                </w:p>
              </w:tc>
              <w:tc>
                <w:tcPr>
                  <w:tcW w:w="1126" w:type="dxa"/>
                  <w:tcBorders>
                    <w:tl2br w:val="nil"/>
                    <w:tr2bl w:val="nil"/>
                  </w:tcBorders>
                  <w:noWrap w:val="0"/>
                  <w:vAlign w:val="center"/>
                </w:tcPr>
                <w:p w14:paraId="488E1E8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处理效率</w:t>
                  </w:r>
                </w:p>
              </w:tc>
              <w:tc>
                <w:tcPr>
                  <w:tcW w:w="1035" w:type="dxa"/>
                  <w:vMerge w:val="continue"/>
                  <w:tcBorders>
                    <w:tl2br w:val="nil"/>
                    <w:tr2bl w:val="nil"/>
                  </w:tcBorders>
                  <w:noWrap w:val="0"/>
                  <w:vAlign w:val="center"/>
                </w:tcPr>
                <w:p w14:paraId="24D97640">
                  <w:pPr>
                    <w:jc w:val="center"/>
                    <w:rPr>
                      <w:rFonts w:hint="default" w:ascii="Times New Roman" w:hAnsi="Times New Roman" w:eastAsia="宋体" w:cs="Times New Roman"/>
                      <w:sz w:val="21"/>
                      <w:szCs w:val="21"/>
                    </w:rPr>
                  </w:pPr>
                </w:p>
              </w:tc>
              <w:tc>
                <w:tcPr>
                  <w:tcW w:w="1183" w:type="dxa"/>
                  <w:tcBorders>
                    <w:tl2br w:val="nil"/>
                    <w:tr2bl w:val="nil"/>
                  </w:tcBorders>
                  <w:noWrap w:val="0"/>
                  <w:vAlign w:val="center"/>
                </w:tcPr>
                <w:p w14:paraId="3573F865">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024" w:type="dxa"/>
                  <w:tcBorders>
                    <w:tl2br w:val="nil"/>
                    <w:tr2bl w:val="nil"/>
                  </w:tcBorders>
                  <w:noWrap w:val="0"/>
                  <w:vAlign w:val="center"/>
                </w:tcPr>
                <w:p w14:paraId="5232EB7C">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024" w:type="dxa"/>
                  <w:tcBorders>
                    <w:tl2br w:val="nil"/>
                    <w:tr2bl w:val="nil"/>
                  </w:tcBorders>
                  <w:noWrap w:val="0"/>
                  <w:vAlign w:val="center"/>
                </w:tcPr>
                <w:p w14:paraId="1BFF3045">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24" w:type="dxa"/>
                  <w:tcBorders>
                    <w:tl2br w:val="nil"/>
                    <w:tr2bl w:val="nil"/>
                  </w:tcBorders>
                  <w:noWrap w:val="0"/>
                  <w:vAlign w:val="center"/>
                </w:tcPr>
                <w:p w14:paraId="7719299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1027" w:type="dxa"/>
                  <w:tcBorders>
                    <w:tl2br w:val="nil"/>
                    <w:tr2bl w:val="nil"/>
                  </w:tcBorders>
                  <w:noWrap w:val="0"/>
                  <w:vAlign w:val="center"/>
                </w:tcPr>
                <w:p w14:paraId="35629B4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90%</w:t>
                  </w:r>
                </w:p>
              </w:tc>
            </w:tr>
            <w:tr w14:paraId="6ACA3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86" w:type="dxa"/>
                  <w:vMerge w:val="continue"/>
                  <w:tcBorders>
                    <w:tl2br w:val="nil"/>
                    <w:tr2bl w:val="nil"/>
                  </w:tcBorders>
                  <w:noWrap w:val="0"/>
                  <w:vAlign w:val="center"/>
                </w:tcPr>
                <w:p w14:paraId="2B60E475">
                  <w:pPr>
                    <w:keepNext w:val="0"/>
                    <w:keepLines w:val="0"/>
                    <w:widowControl/>
                    <w:suppressLineNumbers w:val="0"/>
                    <w:jc w:val="center"/>
                    <w:textAlignment w:val="center"/>
                    <w:rPr>
                      <w:rFonts w:hint="default" w:ascii="Times New Roman" w:hAnsi="Times New Roman" w:eastAsia="宋体" w:cs="Times New Roman"/>
                      <w:sz w:val="21"/>
                      <w:szCs w:val="21"/>
                    </w:rPr>
                  </w:pPr>
                </w:p>
              </w:tc>
              <w:tc>
                <w:tcPr>
                  <w:tcW w:w="1126" w:type="dxa"/>
                  <w:tcBorders>
                    <w:tl2br w:val="nil"/>
                    <w:tr2bl w:val="nil"/>
                  </w:tcBorders>
                  <w:noWrap w:val="0"/>
                  <w:vAlign w:val="center"/>
                </w:tcPr>
                <w:p w14:paraId="4CDA55C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处理后浓度</w:t>
                  </w:r>
                </w:p>
              </w:tc>
              <w:tc>
                <w:tcPr>
                  <w:tcW w:w="1035" w:type="dxa"/>
                  <w:vMerge w:val="continue"/>
                  <w:tcBorders>
                    <w:tl2br w:val="nil"/>
                    <w:tr2bl w:val="nil"/>
                  </w:tcBorders>
                  <w:noWrap w:val="0"/>
                  <w:vAlign w:val="center"/>
                </w:tcPr>
                <w:p w14:paraId="494B7C7D">
                  <w:pPr>
                    <w:jc w:val="center"/>
                    <w:rPr>
                      <w:rFonts w:hint="default" w:ascii="Times New Roman" w:hAnsi="Times New Roman" w:eastAsia="宋体" w:cs="Times New Roman"/>
                      <w:sz w:val="21"/>
                      <w:szCs w:val="21"/>
                    </w:rPr>
                  </w:pPr>
                </w:p>
              </w:tc>
              <w:tc>
                <w:tcPr>
                  <w:tcW w:w="1183" w:type="dxa"/>
                  <w:tcBorders>
                    <w:tl2br w:val="nil"/>
                    <w:tr2bl w:val="nil"/>
                  </w:tcBorders>
                  <w:noWrap w:val="0"/>
                  <w:vAlign w:val="center"/>
                </w:tcPr>
                <w:p w14:paraId="6516B6B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624.60 </w:t>
                  </w:r>
                </w:p>
              </w:tc>
              <w:tc>
                <w:tcPr>
                  <w:tcW w:w="1024" w:type="dxa"/>
                  <w:tcBorders>
                    <w:tl2br w:val="nil"/>
                    <w:tr2bl w:val="nil"/>
                  </w:tcBorders>
                  <w:noWrap w:val="0"/>
                  <w:vAlign w:val="center"/>
                </w:tcPr>
                <w:p w14:paraId="5F5385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320.00 </w:t>
                  </w:r>
                </w:p>
              </w:tc>
              <w:tc>
                <w:tcPr>
                  <w:tcW w:w="1024" w:type="dxa"/>
                  <w:tcBorders>
                    <w:tl2br w:val="nil"/>
                    <w:tr2bl w:val="nil"/>
                  </w:tcBorders>
                  <w:noWrap w:val="0"/>
                  <w:vAlign w:val="center"/>
                </w:tcPr>
                <w:p w14:paraId="3B36B1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25.00 </w:t>
                  </w:r>
                </w:p>
              </w:tc>
              <w:tc>
                <w:tcPr>
                  <w:tcW w:w="1024" w:type="dxa"/>
                  <w:tcBorders>
                    <w:tl2br w:val="nil"/>
                    <w:tr2bl w:val="nil"/>
                  </w:tcBorders>
                  <w:noWrap w:val="0"/>
                  <w:vAlign w:val="center"/>
                </w:tcPr>
                <w:p w14:paraId="4010AAF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339.56 </w:t>
                  </w:r>
                </w:p>
              </w:tc>
              <w:tc>
                <w:tcPr>
                  <w:tcW w:w="1027" w:type="dxa"/>
                  <w:tcBorders>
                    <w:tl2br w:val="nil"/>
                    <w:tr2bl w:val="nil"/>
                  </w:tcBorders>
                  <w:noWrap w:val="0"/>
                  <w:vAlign w:val="center"/>
                </w:tcPr>
                <w:p w14:paraId="7DCAD1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57.80 </w:t>
                  </w:r>
                </w:p>
              </w:tc>
            </w:tr>
            <w:tr w14:paraId="1CFFF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0" w:hRule="atLeast"/>
                <w:jc w:val="center"/>
              </w:trPr>
              <w:tc>
                <w:tcPr>
                  <w:tcW w:w="1612" w:type="dxa"/>
                  <w:gridSpan w:val="2"/>
                  <w:tcBorders>
                    <w:tl2br w:val="nil"/>
                    <w:tr2bl w:val="nil"/>
                  </w:tcBorders>
                  <w:noWrap w:val="0"/>
                  <w:vAlign w:val="center"/>
                </w:tcPr>
                <w:p w14:paraId="7409F45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ascii="宋体" w:hAnsi="宋体" w:cs="宋体"/>
                      <w:i w:val="0"/>
                      <w:iCs w:val="0"/>
                      <w:color w:val="000000"/>
                      <w:kern w:val="0"/>
                      <w:sz w:val="21"/>
                      <w:szCs w:val="21"/>
                      <w:u w:val="none"/>
                      <w:lang w:val="en-US" w:eastAsia="zh-CN" w:bidi="ar"/>
                    </w:rPr>
                    <w:t>综合</w:t>
                  </w:r>
                  <w:r>
                    <w:rPr>
                      <w:rFonts w:hint="eastAsia" w:ascii="宋体" w:hAnsi="宋体" w:eastAsia="宋体" w:cs="宋体"/>
                      <w:i w:val="0"/>
                      <w:iCs w:val="0"/>
                      <w:color w:val="000000"/>
                      <w:kern w:val="0"/>
                      <w:sz w:val="21"/>
                      <w:szCs w:val="21"/>
                      <w:u w:val="none"/>
                      <w:lang w:val="en-US" w:eastAsia="zh-CN" w:bidi="ar"/>
                    </w:rPr>
                    <w:t>排放浓度</w:t>
                  </w:r>
                </w:p>
              </w:tc>
              <w:tc>
                <w:tcPr>
                  <w:tcW w:w="1035" w:type="dxa"/>
                  <w:vMerge w:val="restart"/>
                  <w:tcBorders>
                    <w:tl2br w:val="nil"/>
                    <w:tr2bl w:val="nil"/>
                  </w:tcBorders>
                  <w:noWrap w:val="0"/>
                  <w:vAlign w:val="center"/>
                </w:tcPr>
                <w:p w14:paraId="149208C1">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196.8</w:t>
                  </w:r>
                </w:p>
              </w:tc>
              <w:tc>
                <w:tcPr>
                  <w:tcW w:w="1183" w:type="dxa"/>
                  <w:tcBorders>
                    <w:tl2br w:val="nil"/>
                    <w:tr2bl w:val="nil"/>
                  </w:tcBorders>
                  <w:noWrap w:val="0"/>
                  <w:vAlign w:val="center"/>
                </w:tcPr>
                <w:p w14:paraId="0675565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426.67 </w:t>
                  </w:r>
                </w:p>
              </w:tc>
              <w:tc>
                <w:tcPr>
                  <w:tcW w:w="1024" w:type="dxa"/>
                  <w:tcBorders>
                    <w:tl2br w:val="nil"/>
                    <w:tr2bl w:val="nil"/>
                  </w:tcBorders>
                  <w:noWrap w:val="0"/>
                  <w:vAlign w:val="center"/>
                </w:tcPr>
                <w:p w14:paraId="1775243D">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198.05 </w:t>
                  </w:r>
                </w:p>
              </w:tc>
              <w:tc>
                <w:tcPr>
                  <w:tcW w:w="1024" w:type="dxa"/>
                  <w:tcBorders>
                    <w:tl2br w:val="nil"/>
                    <w:tr2bl w:val="nil"/>
                  </w:tcBorders>
                  <w:noWrap w:val="0"/>
                  <w:vAlign w:val="center"/>
                </w:tcPr>
                <w:p w14:paraId="4FA2B78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25.00 </w:t>
                  </w:r>
                </w:p>
              </w:tc>
              <w:tc>
                <w:tcPr>
                  <w:tcW w:w="1024" w:type="dxa"/>
                  <w:tcBorders>
                    <w:tl2br w:val="nil"/>
                    <w:tr2bl w:val="nil"/>
                  </w:tcBorders>
                  <w:noWrap w:val="0"/>
                  <w:vAlign w:val="center"/>
                </w:tcPr>
                <w:p w14:paraId="3C477523">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205.68 </w:t>
                  </w:r>
                </w:p>
              </w:tc>
              <w:tc>
                <w:tcPr>
                  <w:tcW w:w="1027" w:type="dxa"/>
                  <w:tcBorders>
                    <w:tl2br w:val="nil"/>
                    <w:tr2bl w:val="nil"/>
                  </w:tcBorders>
                  <w:noWrap w:val="0"/>
                  <w:vAlign w:val="center"/>
                </w:tcPr>
                <w:p w14:paraId="531392FA">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22.56 </w:t>
                  </w:r>
                </w:p>
              </w:tc>
            </w:tr>
            <w:tr w14:paraId="4D9FF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1612" w:type="dxa"/>
                  <w:gridSpan w:val="2"/>
                  <w:tcBorders>
                    <w:tl2br w:val="nil"/>
                    <w:tr2bl w:val="nil"/>
                  </w:tcBorders>
                  <w:noWrap w:val="0"/>
                  <w:vAlign w:val="center"/>
                </w:tcPr>
                <w:p w14:paraId="4B80F85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eastAsia" w:ascii="宋体" w:hAnsi="宋体" w:cs="宋体"/>
                      <w:i w:val="0"/>
                      <w:iCs w:val="0"/>
                      <w:color w:val="000000"/>
                      <w:kern w:val="0"/>
                      <w:sz w:val="21"/>
                      <w:szCs w:val="21"/>
                      <w:u w:val="none"/>
                      <w:lang w:val="en-US" w:eastAsia="zh-CN" w:bidi="ar"/>
                    </w:rPr>
                    <w:t>综合</w:t>
                  </w:r>
                  <w:r>
                    <w:rPr>
                      <w:rFonts w:hint="eastAsia" w:ascii="宋体" w:hAnsi="宋体" w:eastAsia="宋体" w:cs="宋体"/>
                      <w:i w:val="0"/>
                      <w:iCs w:val="0"/>
                      <w:color w:val="000000"/>
                      <w:kern w:val="0"/>
                      <w:sz w:val="21"/>
                      <w:szCs w:val="21"/>
                      <w:u w:val="none"/>
                      <w:lang w:val="en-US" w:eastAsia="zh-CN" w:bidi="ar"/>
                    </w:rPr>
                    <w:t>排放量</w:t>
                  </w:r>
                  <w:r>
                    <w:rPr>
                      <w:rFonts w:hint="eastAsia" w:ascii="宋体" w:hAnsi="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cs="Times New Roman"/>
                      <w:i w:val="0"/>
                      <w:iCs w:val="0"/>
                      <w:color w:val="000000"/>
                      <w:kern w:val="0"/>
                      <w:sz w:val="21"/>
                      <w:szCs w:val="21"/>
                      <w:u w:val="none"/>
                      <w:lang w:val="en-US" w:eastAsia="zh-CN" w:bidi="ar"/>
                    </w:rPr>
                    <w:t>）</w:t>
                  </w:r>
                </w:p>
              </w:tc>
              <w:tc>
                <w:tcPr>
                  <w:tcW w:w="1035" w:type="dxa"/>
                  <w:vMerge w:val="continue"/>
                  <w:tcBorders>
                    <w:tl2br w:val="nil"/>
                    <w:tr2bl w:val="nil"/>
                  </w:tcBorders>
                  <w:noWrap w:val="0"/>
                  <w:vAlign w:val="center"/>
                </w:tcPr>
                <w:p w14:paraId="50108D02">
                  <w:pPr>
                    <w:jc w:val="center"/>
                    <w:rPr>
                      <w:rFonts w:hint="default" w:ascii="Times New Roman" w:hAnsi="Times New Roman" w:eastAsia="宋体" w:cs="Times New Roman"/>
                      <w:sz w:val="21"/>
                      <w:szCs w:val="21"/>
                      <w:lang w:val="en-US" w:eastAsia="zh-CN"/>
                    </w:rPr>
                  </w:pPr>
                </w:p>
              </w:tc>
              <w:tc>
                <w:tcPr>
                  <w:tcW w:w="1183" w:type="dxa"/>
                  <w:tcBorders>
                    <w:tl2br w:val="nil"/>
                    <w:tr2bl w:val="nil"/>
                  </w:tcBorders>
                  <w:noWrap w:val="0"/>
                  <w:vAlign w:val="center"/>
                </w:tcPr>
                <w:p w14:paraId="6E34E465">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0.084 </w:t>
                  </w:r>
                </w:p>
              </w:tc>
              <w:tc>
                <w:tcPr>
                  <w:tcW w:w="1024" w:type="dxa"/>
                  <w:tcBorders>
                    <w:tl2br w:val="nil"/>
                    <w:tr2bl w:val="nil"/>
                  </w:tcBorders>
                  <w:noWrap w:val="0"/>
                  <w:vAlign w:val="center"/>
                </w:tcPr>
                <w:p w14:paraId="09C9EEE1">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0.039 </w:t>
                  </w:r>
                </w:p>
              </w:tc>
              <w:tc>
                <w:tcPr>
                  <w:tcW w:w="1024" w:type="dxa"/>
                  <w:tcBorders>
                    <w:tl2br w:val="nil"/>
                    <w:tr2bl w:val="nil"/>
                  </w:tcBorders>
                  <w:noWrap w:val="0"/>
                  <w:vAlign w:val="center"/>
                </w:tcPr>
                <w:p w14:paraId="4EDD5E1F">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0.005 </w:t>
                  </w:r>
                </w:p>
              </w:tc>
              <w:tc>
                <w:tcPr>
                  <w:tcW w:w="1024" w:type="dxa"/>
                  <w:tcBorders>
                    <w:tl2br w:val="nil"/>
                    <w:tr2bl w:val="nil"/>
                  </w:tcBorders>
                  <w:noWrap w:val="0"/>
                  <w:vAlign w:val="center"/>
                </w:tcPr>
                <w:p w14:paraId="1ACC17A2">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0.040 </w:t>
                  </w:r>
                </w:p>
              </w:tc>
              <w:tc>
                <w:tcPr>
                  <w:tcW w:w="1027" w:type="dxa"/>
                  <w:tcBorders>
                    <w:tl2br w:val="nil"/>
                    <w:tr2bl w:val="nil"/>
                  </w:tcBorders>
                  <w:noWrap w:val="0"/>
                  <w:vAlign w:val="center"/>
                </w:tcPr>
                <w:p w14:paraId="6F5A69E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0.004 </w:t>
                  </w:r>
                </w:p>
              </w:tc>
            </w:tr>
            <w:tr w14:paraId="20B17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2647" w:type="dxa"/>
                  <w:gridSpan w:val="3"/>
                  <w:tcBorders>
                    <w:tl2br w:val="nil"/>
                    <w:tr2bl w:val="nil"/>
                  </w:tcBorders>
                  <w:noWrap w:val="0"/>
                  <w:vAlign w:val="center"/>
                </w:tcPr>
                <w:p w14:paraId="0146C88C">
                  <w:pPr>
                    <w:keepNext w:val="0"/>
                    <w:keepLines w:val="0"/>
                    <w:pageBreakBefore w:val="0"/>
                    <w:widowControl/>
                    <w:kinsoku w:val="0"/>
                    <w:wordWrap/>
                    <w:overflowPunct/>
                    <w:topLinePunct w:val="0"/>
                    <w:autoSpaceDE w:val="0"/>
                    <w:autoSpaceDN w:val="0"/>
                    <w:bidi w:val="0"/>
                    <w:adjustRightInd/>
                    <w:snapToGrid/>
                    <w:spacing w:line="250" w:lineRule="auto"/>
                    <w:ind w:left="0" w:right="0" w:firstLine="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排放标准要求</w:t>
                  </w:r>
                </w:p>
              </w:tc>
              <w:tc>
                <w:tcPr>
                  <w:tcW w:w="1183" w:type="dxa"/>
                  <w:tcBorders>
                    <w:tl2br w:val="nil"/>
                    <w:tr2bl w:val="nil"/>
                  </w:tcBorders>
                  <w:noWrap w:val="0"/>
                  <w:vAlign w:val="center"/>
                </w:tcPr>
                <w:p w14:paraId="309438D7">
                  <w:pPr>
                    <w:keepNext w:val="0"/>
                    <w:keepLines w:val="0"/>
                    <w:pageBreakBefore w:val="0"/>
                    <w:widowControl/>
                    <w:kinsoku w:val="0"/>
                    <w:wordWrap/>
                    <w:overflowPunct/>
                    <w:topLinePunct w:val="0"/>
                    <w:autoSpaceDE w:val="0"/>
                    <w:autoSpaceDN w:val="0"/>
                    <w:bidi w:val="0"/>
                    <w:adjustRightInd/>
                    <w:snapToGrid/>
                    <w:spacing w:line="195" w:lineRule="auto"/>
                    <w:ind w:left="0" w:right="0" w:firstLine="0"/>
                    <w:jc w:val="center"/>
                    <w:textAlignment w:val="baseline"/>
                    <w:rPr>
                      <w:rFonts w:hint="default" w:ascii="Times New Roman" w:hAnsi="Times New Roman" w:eastAsia="宋体" w:cs="Times New Roman"/>
                      <w:sz w:val="21"/>
                      <w:szCs w:val="21"/>
                      <w:lang w:val="en-US" w:eastAsia="zh-CN"/>
                    </w:rPr>
                  </w:pPr>
                  <w:r>
                    <w:rPr>
                      <w:rFonts w:hint="eastAsia" w:cs="Times New Roman"/>
                      <w:spacing w:val="-3"/>
                      <w:sz w:val="21"/>
                      <w:szCs w:val="21"/>
                      <w:lang w:val="en-US" w:eastAsia="zh-CN"/>
                    </w:rPr>
                    <w:t>500</w:t>
                  </w:r>
                </w:p>
              </w:tc>
              <w:tc>
                <w:tcPr>
                  <w:tcW w:w="1024" w:type="dxa"/>
                  <w:tcBorders>
                    <w:tl2br w:val="nil"/>
                    <w:tr2bl w:val="nil"/>
                  </w:tcBorders>
                  <w:noWrap w:val="0"/>
                  <w:vAlign w:val="center"/>
                </w:tcPr>
                <w:p w14:paraId="6DD01332">
                  <w:pPr>
                    <w:keepNext w:val="0"/>
                    <w:keepLines w:val="0"/>
                    <w:pageBreakBefore w:val="0"/>
                    <w:widowControl/>
                    <w:kinsoku w:val="0"/>
                    <w:wordWrap/>
                    <w:overflowPunct/>
                    <w:topLinePunct w:val="0"/>
                    <w:autoSpaceDE w:val="0"/>
                    <w:autoSpaceDN w:val="0"/>
                    <w:bidi w:val="0"/>
                    <w:adjustRightInd/>
                    <w:snapToGrid/>
                    <w:spacing w:line="195" w:lineRule="auto"/>
                    <w:ind w:left="0" w:right="0" w:firstLine="0"/>
                    <w:jc w:val="center"/>
                    <w:textAlignment w:val="baseline"/>
                    <w:rPr>
                      <w:rFonts w:hint="default" w:ascii="Times New Roman" w:hAnsi="Times New Roman" w:eastAsia="宋体" w:cs="Times New Roman"/>
                      <w:sz w:val="21"/>
                      <w:szCs w:val="21"/>
                      <w:lang w:val="en-US" w:eastAsia="zh-CN"/>
                    </w:rPr>
                  </w:pPr>
                  <w:r>
                    <w:rPr>
                      <w:rFonts w:hint="eastAsia" w:cs="Times New Roman"/>
                      <w:spacing w:val="1"/>
                      <w:sz w:val="21"/>
                      <w:szCs w:val="21"/>
                      <w:lang w:val="en-US" w:eastAsia="zh-CN"/>
                    </w:rPr>
                    <w:t>250</w:t>
                  </w:r>
                </w:p>
              </w:tc>
              <w:tc>
                <w:tcPr>
                  <w:tcW w:w="1024" w:type="dxa"/>
                  <w:tcBorders>
                    <w:tl2br w:val="nil"/>
                    <w:tr2bl w:val="nil"/>
                  </w:tcBorders>
                  <w:noWrap w:val="0"/>
                  <w:vAlign w:val="center"/>
                </w:tcPr>
                <w:p w14:paraId="6D7A03FB">
                  <w:pPr>
                    <w:keepNext w:val="0"/>
                    <w:keepLines w:val="0"/>
                    <w:pageBreakBefore w:val="0"/>
                    <w:widowControl/>
                    <w:kinsoku w:val="0"/>
                    <w:wordWrap/>
                    <w:overflowPunct/>
                    <w:topLinePunct w:val="0"/>
                    <w:autoSpaceDE w:val="0"/>
                    <w:autoSpaceDN w:val="0"/>
                    <w:bidi w:val="0"/>
                    <w:adjustRightInd/>
                    <w:snapToGrid/>
                    <w:spacing w:line="195" w:lineRule="auto"/>
                    <w:ind w:left="0" w:right="0" w:firstLine="0"/>
                    <w:jc w:val="center"/>
                    <w:textAlignment w:val="baseline"/>
                    <w:rPr>
                      <w:rFonts w:hint="default" w:ascii="Times New Roman" w:hAnsi="Times New Roman" w:eastAsia="宋体" w:cs="Times New Roman"/>
                      <w:sz w:val="21"/>
                      <w:szCs w:val="21"/>
                      <w:lang w:val="en-US" w:eastAsia="zh-CN"/>
                    </w:rPr>
                  </w:pPr>
                  <w:r>
                    <w:rPr>
                      <w:rFonts w:hint="eastAsia" w:cs="Times New Roman"/>
                      <w:spacing w:val="3"/>
                      <w:sz w:val="21"/>
                      <w:szCs w:val="21"/>
                      <w:lang w:val="en-US" w:eastAsia="zh-CN"/>
                    </w:rPr>
                    <w:t>35</w:t>
                  </w:r>
                </w:p>
              </w:tc>
              <w:tc>
                <w:tcPr>
                  <w:tcW w:w="1024" w:type="dxa"/>
                  <w:tcBorders>
                    <w:tl2br w:val="nil"/>
                    <w:tr2bl w:val="nil"/>
                  </w:tcBorders>
                  <w:noWrap w:val="0"/>
                  <w:vAlign w:val="center"/>
                </w:tcPr>
                <w:p w14:paraId="67FB78CE">
                  <w:pPr>
                    <w:keepNext w:val="0"/>
                    <w:keepLines w:val="0"/>
                    <w:pageBreakBefore w:val="0"/>
                    <w:widowControl/>
                    <w:kinsoku w:val="0"/>
                    <w:wordWrap/>
                    <w:overflowPunct/>
                    <w:topLinePunct w:val="0"/>
                    <w:autoSpaceDE w:val="0"/>
                    <w:autoSpaceDN w:val="0"/>
                    <w:bidi w:val="0"/>
                    <w:adjustRightInd/>
                    <w:snapToGrid/>
                    <w:spacing w:line="195" w:lineRule="auto"/>
                    <w:ind w:left="0" w:right="0" w:firstLine="0"/>
                    <w:jc w:val="center"/>
                    <w:textAlignment w:val="baseline"/>
                    <w:rPr>
                      <w:rFonts w:hint="default" w:ascii="Times New Roman" w:hAnsi="Times New Roman" w:eastAsia="宋体" w:cs="Times New Roman"/>
                      <w:sz w:val="21"/>
                      <w:szCs w:val="21"/>
                      <w:lang w:val="en-US" w:eastAsia="zh-CN"/>
                    </w:rPr>
                  </w:pPr>
                  <w:r>
                    <w:rPr>
                      <w:rFonts w:hint="eastAsia" w:cs="Times New Roman"/>
                      <w:spacing w:val="1"/>
                      <w:sz w:val="21"/>
                      <w:szCs w:val="21"/>
                      <w:lang w:val="en-US" w:eastAsia="zh-CN"/>
                    </w:rPr>
                    <w:t>220</w:t>
                  </w:r>
                </w:p>
              </w:tc>
              <w:tc>
                <w:tcPr>
                  <w:tcW w:w="1027" w:type="dxa"/>
                  <w:tcBorders>
                    <w:tl2br w:val="nil"/>
                    <w:tr2bl w:val="nil"/>
                  </w:tcBorders>
                  <w:noWrap w:val="0"/>
                  <w:vAlign w:val="center"/>
                </w:tcPr>
                <w:p w14:paraId="51AFB6C3">
                  <w:pPr>
                    <w:keepNext w:val="0"/>
                    <w:keepLines w:val="0"/>
                    <w:pageBreakBefore w:val="0"/>
                    <w:widowControl/>
                    <w:kinsoku w:val="0"/>
                    <w:wordWrap/>
                    <w:overflowPunct/>
                    <w:topLinePunct w:val="0"/>
                    <w:autoSpaceDE w:val="0"/>
                    <w:autoSpaceDN w:val="0"/>
                    <w:bidi w:val="0"/>
                    <w:adjustRightInd/>
                    <w:snapToGrid/>
                    <w:spacing w:line="281" w:lineRule="exact"/>
                    <w:ind w:left="0" w:right="0" w:firstLine="0"/>
                    <w:jc w:val="center"/>
                    <w:textAlignment w:val="baseline"/>
                    <w:rPr>
                      <w:rFonts w:hint="default" w:ascii="Times New Roman" w:hAnsi="Times New Roman" w:eastAsia="宋体" w:cs="Times New Roman"/>
                      <w:sz w:val="21"/>
                      <w:szCs w:val="21"/>
                      <w:lang w:val="en-US" w:eastAsia="zh-CN"/>
                    </w:rPr>
                  </w:pPr>
                  <w:r>
                    <w:rPr>
                      <w:rFonts w:hint="eastAsia" w:cs="Times New Roman"/>
                      <w:spacing w:val="-8"/>
                      <w:sz w:val="21"/>
                      <w:szCs w:val="21"/>
                      <w:lang w:val="en-US" w:eastAsia="zh-CN"/>
                    </w:rPr>
                    <w:t>30</w:t>
                  </w:r>
                </w:p>
              </w:tc>
            </w:tr>
            <w:tr w14:paraId="2BDBA1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8" w:hRule="atLeast"/>
                <w:jc w:val="center"/>
              </w:trPr>
              <w:tc>
                <w:tcPr>
                  <w:tcW w:w="2647" w:type="dxa"/>
                  <w:gridSpan w:val="3"/>
                  <w:tcBorders>
                    <w:tl2br w:val="nil"/>
                    <w:tr2bl w:val="nil"/>
                  </w:tcBorders>
                  <w:noWrap w:val="0"/>
                  <w:vAlign w:val="center"/>
                </w:tcPr>
                <w:p w14:paraId="333D2962">
                  <w:pPr>
                    <w:keepNext w:val="0"/>
                    <w:keepLines w:val="0"/>
                    <w:pageBreakBefore w:val="0"/>
                    <w:widowControl/>
                    <w:kinsoku w:val="0"/>
                    <w:wordWrap/>
                    <w:overflowPunct/>
                    <w:topLinePunct w:val="0"/>
                    <w:autoSpaceDE w:val="0"/>
                    <w:autoSpaceDN w:val="0"/>
                    <w:bidi w:val="0"/>
                    <w:adjustRightInd/>
                    <w:snapToGrid/>
                    <w:spacing w:line="250" w:lineRule="auto"/>
                    <w:ind w:left="0" w:right="0" w:firstLine="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5282" w:type="dxa"/>
                  <w:gridSpan w:val="5"/>
                  <w:tcBorders>
                    <w:tl2br w:val="nil"/>
                    <w:tr2bl w:val="nil"/>
                  </w:tcBorders>
                  <w:noWrap w:val="0"/>
                  <w:vAlign w:val="center"/>
                </w:tcPr>
                <w:p w14:paraId="33E67A90">
                  <w:pPr>
                    <w:keepNext w:val="0"/>
                    <w:keepLines w:val="0"/>
                    <w:pageBreakBefore w:val="0"/>
                    <w:widowControl/>
                    <w:kinsoku w:val="0"/>
                    <w:wordWrap/>
                    <w:overflowPunct/>
                    <w:topLinePunct w:val="0"/>
                    <w:autoSpaceDE w:val="0"/>
                    <w:autoSpaceDN w:val="0"/>
                    <w:bidi w:val="0"/>
                    <w:adjustRightInd/>
                    <w:snapToGrid/>
                    <w:spacing w:line="281" w:lineRule="exact"/>
                    <w:ind w:left="0" w:right="0" w:firstLine="0"/>
                    <w:jc w:val="left"/>
                    <w:textAlignment w:val="baseline"/>
                    <w:rPr>
                      <w:rFonts w:hint="eastAsia" w:ascii="Times New Roman" w:hAnsi="Times New Roman" w:eastAsia="宋体" w:cs="Times New Roman"/>
                      <w:spacing w:val="2"/>
                      <w:position w:val="2"/>
                      <w:sz w:val="21"/>
                      <w:szCs w:val="21"/>
                      <w:lang w:val="en-US" w:eastAsia="zh-CN"/>
                    </w:rPr>
                  </w:pPr>
                  <w:r>
                    <w:rPr>
                      <w:rFonts w:hint="eastAsia" w:ascii="Times New Roman" w:hAnsi="Times New Roman" w:eastAsia="宋体" w:cs="Times New Roman"/>
                      <w:spacing w:val="2"/>
                      <w:position w:val="2"/>
                      <w:sz w:val="21"/>
                      <w:szCs w:val="21"/>
                      <w:lang w:val="en-US" w:eastAsia="zh-CN"/>
                    </w:rPr>
                    <w:t>废水排放同时满足</w:t>
                  </w:r>
                  <w:r>
                    <w:rPr>
                      <w:rFonts w:hint="eastAsia" w:cs="Times New Roman"/>
                      <w:spacing w:val="2"/>
                      <w:position w:val="2"/>
                      <w:sz w:val="21"/>
                      <w:szCs w:val="21"/>
                      <w:lang w:val="en-US" w:eastAsia="zh-CN"/>
                    </w:rPr>
                    <w:t>《污水综合排放标准》（GB8978-1996）及修改单表4中三级标准和泗水国祯水务有限公司</w:t>
                  </w:r>
                  <w:r>
                    <w:rPr>
                      <w:rFonts w:hint="eastAsia" w:ascii="Times New Roman" w:hAnsi="Times New Roman" w:eastAsia="宋体" w:cs="Times New Roman"/>
                      <w:spacing w:val="2"/>
                      <w:position w:val="2"/>
                      <w:sz w:val="21"/>
                      <w:szCs w:val="21"/>
                      <w:lang w:val="en-US" w:eastAsia="zh-CN"/>
                    </w:rPr>
                    <w:t>处理进水水质要求</w:t>
                  </w:r>
                  <w:r>
                    <w:rPr>
                      <w:rFonts w:hint="eastAsia" w:ascii="Times New Roman" w:hAnsi="Times New Roman" w:eastAsia="宋体" w:cs="Times New Roman"/>
                      <w:color w:val="auto"/>
                      <w:sz w:val="21"/>
                      <w:szCs w:val="21"/>
                      <w:highlight w:val="none"/>
                      <w:lang w:val="en-US" w:eastAsia="zh-CN"/>
                    </w:rPr>
                    <w:t>。</w:t>
                  </w:r>
                </w:p>
              </w:tc>
            </w:tr>
          </w:tbl>
          <w:p w14:paraId="75CBCC8A">
            <w:pPr>
              <w:pStyle w:val="21"/>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leftChars="0" w:right="0" w:firstLine="438" w:firstLineChars="200"/>
              <w:textAlignment w:val="auto"/>
              <w:rPr>
                <w:rFonts w:hint="eastAsia" w:ascii="Times New Roman" w:hAnsi="Times New Roman" w:eastAsia="宋体" w:cs="宋体"/>
                <w:bCs/>
                <w:color w:val="auto"/>
                <w:spacing w:val="-11"/>
                <w:kern w:val="2"/>
                <w:sz w:val="24"/>
                <w:szCs w:val="24"/>
                <w:lang w:val="en-US" w:eastAsia="zh-CN" w:bidi="ar-SA"/>
              </w:rPr>
            </w:pPr>
            <w:r>
              <w:rPr>
                <w:rFonts w:hint="eastAsia" w:ascii="Times New Roman" w:hAnsi="Times New Roman" w:eastAsia="宋体" w:cs="宋体"/>
                <w:b/>
                <w:bCs w:val="0"/>
                <w:color w:val="auto"/>
                <w:spacing w:val="-11"/>
                <w:kern w:val="2"/>
                <w:sz w:val="24"/>
                <w:szCs w:val="24"/>
                <w:lang w:val="en-US" w:eastAsia="zh-CN" w:bidi="ar-SA"/>
              </w:rPr>
              <w:t>2.3</w:t>
            </w:r>
            <w:r>
              <w:rPr>
                <w:rFonts w:hint="eastAsia" w:ascii="Times New Roman" w:cs="宋体"/>
                <w:b/>
                <w:bCs w:val="0"/>
                <w:color w:val="auto"/>
                <w:spacing w:val="-11"/>
                <w:kern w:val="2"/>
                <w:sz w:val="24"/>
                <w:szCs w:val="24"/>
                <w:lang w:val="en-US" w:eastAsia="zh-CN" w:bidi="ar-SA"/>
              </w:rPr>
              <w:t>现有污水处理站依托</w:t>
            </w:r>
            <w:r>
              <w:rPr>
                <w:rFonts w:hint="eastAsia" w:ascii="Times New Roman" w:hAnsi="Times New Roman" w:eastAsia="宋体" w:cs="宋体"/>
                <w:b/>
                <w:bCs w:val="0"/>
                <w:color w:val="auto"/>
                <w:spacing w:val="-11"/>
                <w:kern w:val="2"/>
                <w:sz w:val="24"/>
                <w:szCs w:val="24"/>
                <w:lang w:val="en-US" w:eastAsia="zh-CN" w:bidi="ar-SA"/>
              </w:rPr>
              <w:t>可行性分析</w:t>
            </w:r>
          </w:p>
          <w:p w14:paraId="710E33E4">
            <w:pPr>
              <w:pStyle w:val="77"/>
              <w:suppressLineNumbers w:val="0"/>
              <w:spacing w:beforeAutospacing="0" w:afterAutospacing="0" w:line="360" w:lineRule="auto"/>
              <w:ind w:left="0" w:right="0" w:firstLine="480"/>
              <w:jc w:val="left"/>
              <w:rPr>
                <w:rFonts w:hint="eastAsia" w:cs="宋体"/>
                <w:bCs/>
                <w:spacing w:val="-11"/>
                <w:kern w:val="2"/>
                <w:sz w:val="24"/>
                <w:szCs w:val="24"/>
                <w:lang w:val="en-US" w:eastAsia="zh-CN" w:bidi="ar-SA"/>
              </w:rPr>
            </w:pPr>
            <w:r>
              <w:rPr>
                <w:rFonts w:hint="eastAsia" w:ascii="Times New Roman" w:hAnsi="Times New Roman" w:eastAsia="宋体" w:cs="宋体"/>
                <w:bCs/>
                <w:spacing w:val="-11"/>
                <w:kern w:val="2"/>
                <w:sz w:val="24"/>
                <w:szCs w:val="24"/>
                <w:lang w:val="en-US" w:eastAsia="zh-CN" w:bidi="ar-SA"/>
              </w:rPr>
              <w:t>本项目拟建设一套处理能力</w:t>
            </w:r>
            <w:r>
              <w:rPr>
                <w:rFonts w:hint="eastAsia" w:eastAsia="宋体" w:cs="宋体"/>
                <w:bCs/>
                <w:spacing w:val="-11"/>
                <w:kern w:val="2"/>
                <w:sz w:val="24"/>
                <w:szCs w:val="24"/>
                <w:lang w:val="en-US" w:eastAsia="zh-CN" w:bidi="ar-SA"/>
              </w:rPr>
              <w:t>5</w:t>
            </w:r>
            <w:r>
              <w:rPr>
                <w:rFonts w:hint="eastAsia" w:ascii="Times New Roman" w:hAnsi="Times New Roman" w:eastAsia="宋体" w:cs="宋体"/>
                <w:bCs/>
                <w:spacing w:val="-11"/>
                <w:kern w:val="2"/>
                <w:sz w:val="24"/>
                <w:szCs w:val="24"/>
                <w:lang w:val="en-US" w:eastAsia="zh-CN" w:bidi="ar-SA"/>
              </w:rPr>
              <w:t>m³/</w:t>
            </w:r>
            <w:r>
              <w:rPr>
                <w:rFonts w:hint="eastAsia" w:eastAsia="宋体" w:cs="宋体"/>
                <w:bCs/>
                <w:spacing w:val="-11"/>
                <w:kern w:val="2"/>
                <w:sz w:val="24"/>
                <w:szCs w:val="24"/>
                <w:lang w:val="en-US" w:eastAsia="zh-CN" w:bidi="ar-SA"/>
              </w:rPr>
              <w:t>d</w:t>
            </w:r>
            <w:r>
              <w:rPr>
                <w:rFonts w:hint="eastAsia" w:ascii="Times New Roman" w:hAnsi="Times New Roman" w:eastAsia="宋体" w:cs="宋体"/>
                <w:bCs/>
                <w:spacing w:val="-11"/>
                <w:kern w:val="2"/>
                <w:sz w:val="24"/>
                <w:szCs w:val="24"/>
                <w:lang w:val="en-US" w:eastAsia="zh-CN" w:bidi="ar-SA"/>
              </w:rPr>
              <w:t>的污水处理系统处理</w:t>
            </w:r>
            <w:r>
              <w:rPr>
                <w:rFonts w:hint="eastAsia" w:cs="宋体"/>
                <w:bCs/>
                <w:spacing w:val="-11"/>
                <w:kern w:val="2"/>
                <w:sz w:val="24"/>
                <w:szCs w:val="24"/>
                <w:lang w:val="en-US" w:eastAsia="zh-CN" w:bidi="ar-SA"/>
              </w:rPr>
              <w:t>设备清洗废水</w:t>
            </w:r>
            <w:r>
              <w:rPr>
                <w:rFonts w:hint="eastAsia" w:ascii="Times New Roman" w:hAnsi="Times New Roman" w:eastAsia="宋体" w:cs="宋体"/>
                <w:bCs/>
                <w:spacing w:val="-11"/>
                <w:kern w:val="2"/>
                <w:sz w:val="24"/>
                <w:szCs w:val="24"/>
                <w:lang w:val="en-US" w:eastAsia="zh-CN" w:bidi="ar-SA"/>
              </w:rPr>
              <w:t>，处理后的尾水与生活污水排入泗水国祯水务有限公司深度处理。</w:t>
            </w:r>
          </w:p>
          <w:p w14:paraId="7F9D651D">
            <w:pPr>
              <w:keepNext w:val="0"/>
              <w:keepLines w:val="0"/>
              <w:suppressLineNumbers w:val="0"/>
              <w:spacing w:before="0" w:beforeAutospacing="0" w:after="0" w:afterAutospacing="0" w:line="360" w:lineRule="auto"/>
              <w:ind w:left="0" w:right="0" w:firstLine="480"/>
              <w:rPr>
                <w:rFonts w:hint="eastAsia" w:ascii="宋体" w:hAnsi="宋体" w:cs="宋体"/>
                <w:bCs/>
                <w:color w:val="000000"/>
                <w:sz w:val="24"/>
                <w:szCs w:val="22"/>
              </w:rPr>
            </w:pPr>
            <w:r>
              <w:rPr>
                <w:rFonts w:hint="eastAsia" w:ascii="宋体" w:hAnsi="宋体" w:cs="宋体"/>
                <w:bCs/>
                <w:color w:val="000000"/>
                <w:sz w:val="24"/>
                <w:szCs w:val="22"/>
              </w:rPr>
              <w:t>废水处理工艺流程：</w:t>
            </w:r>
          </w:p>
          <w:p w14:paraId="40BED9D5">
            <w:pPr>
              <w:keepNext w:val="0"/>
              <w:keepLines w:val="0"/>
              <w:suppressLineNumbers w:val="0"/>
              <w:spacing w:before="0" w:beforeAutospacing="0" w:after="0" w:afterAutospacing="0" w:line="360" w:lineRule="auto"/>
              <w:ind w:left="0" w:right="0"/>
              <w:rPr>
                <w:rFonts w:hint="default"/>
                <w:bCs/>
                <w:color w:val="000000"/>
                <w:sz w:val="24"/>
                <w:szCs w:val="22"/>
              </w:rPr>
            </w:pPr>
            <w:r>
              <w:rPr>
                <w:rFonts w:hint="eastAsia"/>
              </w:rPr>
              <w:object>
                <v:shape id="_x0000_i1025" o:spt="75" type="#_x0000_t75" style="height:343.5pt;width:421.5pt;" o:ole="t" filled="f" o:preferrelative="t" stroked="f" coordsize="21600,21600">
                  <v:path/>
                  <v:fill on="f" focussize="0,0"/>
                  <v:stroke on="f"/>
                  <v:imagedata r:id="rId17" cropleft="20064f" croptop="15019f" cropright="20115f" cropbottom="8403f" o:title=""/>
                  <o:lock v:ext="edit" aspectratio="t"/>
                  <w10:wrap type="none"/>
                  <w10:anchorlock/>
                </v:shape>
                <o:OLEObject Type="Embed" ProgID="AutoCAD.Drawing.17" ShapeID="_x0000_i1025" DrawAspect="Content" ObjectID="_1468075726" r:id="rId16">
                  <o:LockedField>false</o:LockedField>
                </o:OLEObject>
              </w:object>
            </w:r>
            <w:r>
              <w:rPr>
                <w:rFonts w:hint="default" w:hAnsi="宋体"/>
                <w:bCs/>
                <w:color w:val="000000"/>
                <w:sz w:val="24"/>
                <w:szCs w:val="22"/>
              </w:rPr>
              <w:t>废水处理工艺描述</w:t>
            </w:r>
          </w:p>
          <w:p w14:paraId="3C192246">
            <w:pPr>
              <w:keepNext w:val="0"/>
              <w:keepLines w:val="0"/>
              <w:suppressLineNumbers w:val="0"/>
              <w:spacing w:before="0" w:beforeAutospacing="0" w:after="0" w:afterAutospacing="0" w:line="360" w:lineRule="auto"/>
              <w:ind w:left="0" w:right="0" w:firstLine="480"/>
              <w:rPr>
                <w:rFonts w:hint="default" w:hAnsi="宋体"/>
                <w:bCs/>
                <w:color w:val="000000"/>
                <w:sz w:val="24"/>
                <w:szCs w:val="22"/>
              </w:rPr>
            </w:pPr>
            <w:r>
              <w:rPr>
                <w:rFonts w:hint="default" w:hAnsi="宋体"/>
                <w:bCs/>
                <w:color w:val="000000"/>
                <w:sz w:val="24"/>
                <w:szCs w:val="22"/>
              </w:rPr>
              <w:t>废水呈现酸性，在混凝沉淀阶段，先调节为碱性环境，加药混凝沉淀，去除大部分</w:t>
            </w:r>
            <w:r>
              <w:rPr>
                <w:rFonts w:hint="default"/>
                <w:bCs/>
                <w:color w:val="000000"/>
                <w:sz w:val="24"/>
                <w:szCs w:val="22"/>
              </w:rPr>
              <w:t>COD</w:t>
            </w:r>
            <w:r>
              <w:rPr>
                <w:rFonts w:hint="default" w:hAnsi="宋体"/>
                <w:bCs/>
                <w:color w:val="000000"/>
                <w:sz w:val="24"/>
                <w:szCs w:val="22"/>
              </w:rPr>
              <w:t>、胶质物质；沉淀上清液进入后端</w:t>
            </w:r>
            <w:r>
              <w:rPr>
                <w:rFonts w:hint="default"/>
                <w:bCs/>
                <w:color w:val="000000"/>
                <w:sz w:val="24"/>
                <w:szCs w:val="22"/>
              </w:rPr>
              <w:t>Fenton</w:t>
            </w:r>
            <w:r>
              <w:rPr>
                <w:rFonts w:hint="default" w:hAnsi="宋体"/>
                <w:bCs/>
                <w:color w:val="000000"/>
                <w:sz w:val="24"/>
                <w:szCs w:val="22"/>
              </w:rPr>
              <w:t>反应阶段，污泥排入污泥干化池，沉淀上清液呈现弱碱性，</w:t>
            </w:r>
            <w:r>
              <w:rPr>
                <w:rFonts w:hint="default"/>
                <w:bCs/>
                <w:color w:val="000000"/>
                <w:sz w:val="24"/>
                <w:szCs w:val="22"/>
              </w:rPr>
              <w:t>Fenton</w:t>
            </w:r>
            <w:r>
              <w:rPr>
                <w:rFonts w:hint="default" w:hAnsi="宋体"/>
                <w:bCs/>
                <w:color w:val="000000"/>
                <w:sz w:val="24"/>
                <w:szCs w:val="22"/>
              </w:rPr>
              <w:t>最佳反应环境为</w:t>
            </w:r>
            <w:r>
              <w:rPr>
                <w:rFonts w:hint="default"/>
                <w:bCs/>
                <w:color w:val="000000"/>
                <w:sz w:val="24"/>
                <w:szCs w:val="22"/>
              </w:rPr>
              <w:t>PH=3</w:t>
            </w:r>
            <w:r>
              <w:rPr>
                <w:rFonts w:hint="default" w:hAnsi="宋体"/>
                <w:bCs/>
                <w:color w:val="000000"/>
                <w:sz w:val="24"/>
                <w:szCs w:val="22"/>
              </w:rPr>
              <w:t>左右，经过其氧化过程，色度明显下降，进入曝气除铁阶段，最后经过</w:t>
            </w:r>
            <w:r>
              <w:rPr>
                <w:rFonts w:hint="default"/>
                <w:bCs/>
                <w:color w:val="000000"/>
                <w:sz w:val="24"/>
                <w:szCs w:val="22"/>
              </w:rPr>
              <w:t>MBR</w:t>
            </w:r>
            <w:r>
              <w:rPr>
                <w:rFonts w:hint="default" w:hAnsi="宋体"/>
                <w:bCs/>
                <w:color w:val="000000"/>
                <w:sz w:val="24"/>
                <w:szCs w:val="22"/>
              </w:rPr>
              <w:t>膜处理后出水</w:t>
            </w:r>
            <w:r>
              <w:rPr>
                <w:rFonts w:hint="eastAsia" w:hAnsi="宋体"/>
                <w:bCs/>
                <w:color w:val="000000"/>
                <w:sz w:val="24"/>
                <w:szCs w:val="22"/>
              </w:rPr>
              <w:t>排放</w:t>
            </w:r>
            <w:r>
              <w:rPr>
                <w:rFonts w:hint="default" w:hAnsi="宋体"/>
                <w:bCs/>
                <w:color w:val="000000"/>
                <w:sz w:val="24"/>
                <w:szCs w:val="22"/>
              </w:rPr>
              <w:t>。</w:t>
            </w:r>
          </w:p>
          <w:p w14:paraId="43627EAF">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38" w:firstLineChars="200"/>
              <w:textAlignment w:val="auto"/>
              <w:rPr>
                <w:rFonts w:hint="eastAsia" w:ascii="Times New Roman" w:hAnsi="Times New Roman" w:eastAsia="宋体" w:cs="宋体"/>
                <w:bCs/>
                <w:color w:val="FF0000"/>
                <w:spacing w:val="-11"/>
                <w:kern w:val="2"/>
                <w:sz w:val="24"/>
                <w:szCs w:val="24"/>
                <w:highlight w:val="none"/>
                <w:lang w:val="en-US" w:eastAsia="zh-CN" w:bidi="ar-SA"/>
              </w:rPr>
            </w:pPr>
            <w:r>
              <w:rPr>
                <w:rFonts w:hint="eastAsia" w:ascii="Times New Roman" w:hAnsi="Times New Roman" w:eastAsia="宋体" w:cs="宋体"/>
                <w:b/>
                <w:bCs w:val="0"/>
                <w:color w:val="auto"/>
                <w:spacing w:val="-11"/>
                <w:kern w:val="2"/>
                <w:sz w:val="24"/>
                <w:szCs w:val="24"/>
                <w:highlight w:val="none"/>
                <w:lang w:val="en-US" w:eastAsia="zh-CN" w:bidi="ar-SA"/>
              </w:rPr>
              <w:t>2.4</w:t>
            </w:r>
            <w:r>
              <w:rPr>
                <w:rFonts w:hint="default" w:hAnsi="Times New Roman" w:cs="Times New Roman"/>
                <w:b/>
                <w:bCs/>
                <w:color w:val="auto"/>
                <w:sz w:val="24"/>
                <w:highlight w:val="none"/>
              </w:rPr>
              <w:t>泗水国祯水务有限公司依托可行性分析</w:t>
            </w:r>
          </w:p>
          <w:p w14:paraId="7847206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snapToGrid/>
                <w:color w:val="auto"/>
                <w:spacing w:val="0"/>
                <w:w w:val="100"/>
                <w:kern w:val="21"/>
                <w:position w:val="0"/>
                <w:sz w:val="24"/>
                <w:szCs w:val="24"/>
                <w:lang w:val="en-US" w:eastAsia="zh-CN"/>
              </w:rPr>
            </w:pPr>
            <w:r>
              <w:rPr>
                <w:rFonts w:hint="eastAsia" w:ascii="Times New Roman" w:hAnsi="Times New Roman" w:eastAsia="宋体" w:cs="Times New Roman"/>
                <w:caps w:val="0"/>
                <w:snapToGrid/>
                <w:color w:val="auto"/>
                <w:spacing w:val="0"/>
                <w:w w:val="100"/>
                <w:kern w:val="21"/>
                <w:position w:val="0"/>
                <w:sz w:val="24"/>
                <w:szCs w:val="24"/>
                <w:lang w:eastAsia="zh-CN"/>
              </w:rPr>
              <w:t>泗水国祯水务有限公司</w:t>
            </w:r>
            <w:r>
              <w:rPr>
                <w:rFonts w:hint="default" w:ascii="Times New Roman" w:hAnsi="Times New Roman" w:eastAsia="宋体" w:cs="Times New Roman"/>
                <w:caps w:val="0"/>
                <w:snapToGrid/>
                <w:color w:val="auto"/>
                <w:spacing w:val="0"/>
                <w:w w:val="100"/>
                <w:kern w:val="21"/>
                <w:position w:val="0"/>
                <w:sz w:val="24"/>
                <w:szCs w:val="24"/>
                <w:lang w:eastAsia="zh-CN"/>
              </w:rPr>
              <w:t>设计日处理规模4万吨/天，实际</w:t>
            </w:r>
            <w:r>
              <w:rPr>
                <w:rFonts w:hint="default" w:ascii="Times New Roman" w:hAnsi="Times New Roman" w:eastAsia="宋体" w:cs="Times New Roman"/>
                <w:caps w:val="0"/>
                <w:snapToGrid/>
                <w:color w:val="auto"/>
                <w:spacing w:val="0"/>
                <w:w w:val="100"/>
                <w:kern w:val="21"/>
                <w:position w:val="0"/>
                <w:sz w:val="24"/>
                <w:szCs w:val="24"/>
                <w:lang w:val="en-US" w:eastAsia="zh-CN"/>
              </w:rPr>
              <w:t>平均</w:t>
            </w:r>
            <w:r>
              <w:rPr>
                <w:rFonts w:hint="default" w:ascii="Times New Roman" w:hAnsi="Times New Roman" w:eastAsia="宋体" w:cs="Times New Roman"/>
                <w:caps w:val="0"/>
                <w:snapToGrid/>
                <w:color w:val="auto"/>
                <w:spacing w:val="0"/>
                <w:w w:val="100"/>
                <w:kern w:val="21"/>
                <w:position w:val="0"/>
                <w:sz w:val="24"/>
                <w:szCs w:val="24"/>
                <w:lang w:eastAsia="zh-CN"/>
              </w:rPr>
              <w:t>处理量约</w:t>
            </w:r>
            <w:r>
              <w:rPr>
                <w:rFonts w:hint="eastAsia" w:ascii="Times New Roman" w:hAnsi="Times New Roman" w:eastAsia="宋体" w:cs="Times New Roman"/>
                <w:caps w:val="0"/>
                <w:snapToGrid/>
                <w:color w:val="auto"/>
                <w:spacing w:val="0"/>
                <w:w w:val="100"/>
                <w:kern w:val="21"/>
                <w:position w:val="0"/>
                <w:sz w:val="24"/>
                <w:szCs w:val="24"/>
                <w:lang w:val="en-US" w:eastAsia="zh-CN"/>
              </w:rPr>
              <w:t>1.06万</w:t>
            </w:r>
            <w:r>
              <w:rPr>
                <w:rFonts w:hint="default" w:ascii="Times New Roman" w:hAnsi="Times New Roman" w:eastAsia="宋体" w:cs="Times New Roman"/>
                <w:caps w:val="0"/>
                <w:snapToGrid/>
                <w:color w:val="auto"/>
                <w:spacing w:val="0"/>
                <w:w w:val="100"/>
                <w:kern w:val="21"/>
                <w:position w:val="0"/>
                <w:sz w:val="24"/>
                <w:szCs w:val="24"/>
                <w:lang w:eastAsia="zh-CN"/>
              </w:rPr>
              <w:t>吨/日。厂址位于山东省济宁市泗水县金庄镇滨河路南、尹城路西。纳污范围为泗水县经济开发区西区与金庄片区</w:t>
            </w:r>
            <w:r>
              <w:rPr>
                <w:rFonts w:hint="default" w:ascii="Times New Roman" w:hAnsi="Times New Roman" w:cs="Times New Roman"/>
                <w:caps w:val="0"/>
                <w:snapToGrid/>
                <w:color w:val="auto"/>
                <w:spacing w:val="0"/>
                <w:w w:val="100"/>
                <w:kern w:val="21"/>
                <w:position w:val="0"/>
                <w:sz w:val="24"/>
                <w:szCs w:val="24"/>
                <w:lang w:eastAsia="zh-CN"/>
              </w:rPr>
              <w:t>，</w:t>
            </w:r>
            <w:r>
              <w:rPr>
                <w:rFonts w:hint="default" w:ascii="Times New Roman" w:hAnsi="Times New Roman" w:cs="Times New Roman"/>
                <w:caps w:val="0"/>
                <w:snapToGrid/>
                <w:color w:val="auto"/>
                <w:spacing w:val="0"/>
                <w:w w:val="100"/>
                <w:kern w:val="21"/>
                <w:position w:val="0"/>
                <w:sz w:val="24"/>
                <w:szCs w:val="24"/>
                <w:lang w:val="en-US" w:eastAsia="zh-CN"/>
              </w:rPr>
              <w:t>主要处理</w:t>
            </w:r>
            <w:r>
              <w:rPr>
                <w:rFonts w:hint="default" w:ascii="Times New Roman" w:hAnsi="Times New Roman" w:eastAsia="宋体" w:cs="Times New Roman"/>
                <w:caps w:val="0"/>
                <w:snapToGrid/>
                <w:color w:val="auto"/>
                <w:spacing w:val="0"/>
                <w:w w:val="100"/>
                <w:kern w:val="21"/>
                <w:position w:val="0"/>
                <w:sz w:val="24"/>
                <w:szCs w:val="24"/>
                <w:lang w:eastAsia="zh-CN"/>
              </w:rPr>
              <w:t>泗水县经济开发区西区</w:t>
            </w:r>
            <w:r>
              <w:rPr>
                <w:rFonts w:hint="default" w:ascii="Times New Roman" w:hAnsi="Times New Roman" w:cs="Times New Roman"/>
                <w:caps w:val="0"/>
                <w:snapToGrid/>
                <w:color w:val="auto"/>
                <w:spacing w:val="0"/>
                <w:w w:val="100"/>
                <w:kern w:val="21"/>
                <w:position w:val="0"/>
                <w:sz w:val="24"/>
                <w:szCs w:val="24"/>
                <w:lang w:val="en-US" w:eastAsia="zh-CN"/>
              </w:rPr>
              <w:t>的工业废水及</w:t>
            </w:r>
            <w:r>
              <w:rPr>
                <w:rFonts w:hint="default" w:ascii="Times New Roman" w:hAnsi="Times New Roman" w:eastAsia="宋体" w:cs="Times New Roman"/>
                <w:caps w:val="0"/>
                <w:snapToGrid/>
                <w:color w:val="auto"/>
                <w:spacing w:val="0"/>
                <w:w w:val="100"/>
                <w:kern w:val="21"/>
                <w:position w:val="0"/>
                <w:sz w:val="24"/>
                <w:szCs w:val="24"/>
                <w:lang w:eastAsia="zh-CN"/>
              </w:rPr>
              <w:t>金庄片区</w:t>
            </w:r>
            <w:r>
              <w:rPr>
                <w:rFonts w:hint="default" w:ascii="Times New Roman" w:hAnsi="Times New Roman" w:cs="Times New Roman"/>
                <w:caps w:val="0"/>
                <w:snapToGrid/>
                <w:color w:val="auto"/>
                <w:spacing w:val="0"/>
                <w:w w:val="100"/>
                <w:kern w:val="21"/>
                <w:position w:val="0"/>
                <w:sz w:val="24"/>
                <w:szCs w:val="24"/>
                <w:lang w:val="en-US" w:eastAsia="zh-CN"/>
              </w:rPr>
              <w:t>的工业废水、生活污水，尾水排入泗河</w:t>
            </w:r>
            <w:r>
              <w:rPr>
                <w:rFonts w:hint="default" w:ascii="Times New Roman" w:hAnsi="Times New Roman" w:eastAsia="宋体" w:cs="Times New Roman"/>
                <w:caps w:val="0"/>
                <w:snapToGrid/>
                <w:color w:val="auto"/>
                <w:spacing w:val="0"/>
                <w:w w:val="100"/>
                <w:kern w:val="21"/>
                <w:position w:val="0"/>
                <w:sz w:val="24"/>
                <w:szCs w:val="24"/>
                <w:lang w:eastAsia="zh-CN"/>
              </w:rPr>
              <w:t>。</w:t>
            </w:r>
          </w:p>
          <w:p w14:paraId="5C42AEA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snapToGrid/>
                <w:color w:val="auto"/>
                <w:spacing w:val="0"/>
                <w:w w:val="100"/>
                <w:kern w:val="21"/>
                <w:position w:val="0"/>
                <w:sz w:val="24"/>
                <w:szCs w:val="24"/>
                <w:lang w:val="en-US" w:eastAsia="zh-CN"/>
              </w:rPr>
            </w:pPr>
            <w:r>
              <w:rPr>
                <w:rFonts w:hint="default" w:ascii="Times New Roman" w:hAnsi="Times New Roman" w:eastAsia="宋体" w:cs="Times New Roman"/>
                <w:caps w:val="0"/>
                <w:snapToGrid/>
                <w:color w:val="auto"/>
                <w:spacing w:val="0"/>
                <w:w w:val="100"/>
                <w:kern w:val="21"/>
                <w:position w:val="0"/>
                <w:sz w:val="24"/>
                <w:szCs w:val="24"/>
                <w:lang w:val="en-US" w:eastAsia="zh-CN"/>
              </w:rPr>
              <w:t>《</w:t>
            </w:r>
            <w:r>
              <w:rPr>
                <w:rFonts w:hint="eastAsia" w:ascii="Times New Roman" w:hAnsi="Times New Roman" w:eastAsia="宋体" w:cs="Times New Roman"/>
                <w:caps w:val="0"/>
                <w:snapToGrid/>
                <w:color w:val="auto"/>
                <w:spacing w:val="0"/>
                <w:w w:val="100"/>
                <w:kern w:val="21"/>
                <w:position w:val="0"/>
                <w:sz w:val="24"/>
                <w:szCs w:val="24"/>
                <w:lang w:val="en-US" w:eastAsia="zh-CN"/>
              </w:rPr>
              <w:t>泗水国祯水务有限公司</w:t>
            </w:r>
            <w:r>
              <w:rPr>
                <w:rFonts w:hint="default" w:ascii="Times New Roman" w:hAnsi="Times New Roman" w:eastAsia="宋体" w:cs="Times New Roman"/>
                <w:caps w:val="0"/>
                <w:snapToGrid/>
                <w:color w:val="auto"/>
                <w:spacing w:val="0"/>
                <w:w w:val="100"/>
                <w:kern w:val="21"/>
                <w:position w:val="0"/>
                <w:sz w:val="24"/>
                <w:szCs w:val="24"/>
                <w:lang w:val="en-US" w:eastAsia="zh-CN"/>
              </w:rPr>
              <w:t>工程环境影响报告书》于 2016 年 5 月取得济宁市环境保护局的批复（文号：济环审【2016】19 号），2016年10月编制了《</w:t>
            </w:r>
            <w:r>
              <w:rPr>
                <w:rFonts w:hint="eastAsia" w:ascii="Times New Roman" w:hAnsi="Times New Roman" w:eastAsia="宋体" w:cs="Times New Roman"/>
                <w:caps w:val="0"/>
                <w:snapToGrid/>
                <w:color w:val="auto"/>
                <w:spacing w:val="0"/>
                <w:w w:val="100"/>
                <w:kern w:val="21"/>
                <w:position w:val="0"/>
                <w:sz w:val="24"/>
                <w:szCs w:val="24"/>
                <w:lang w:val="en-US" w:eastAsia="zh-CN"/>
              </w:rPr>
              <w:t>泗水国祯水务有限公司</w:t>
            </w:r>
            <w:r>
              <w:rPr>
                <w:rFonts w:hint="default" w:ascii="Times New Roman" w:hAnsi="Times New Roman" w:eastAsia="宋体" w:cs="Times New Roman"/>
                <w:caps w:val="0"/>
                <w:snapToGrid/>
                <w:color w:val="auto"/>
                <w:spacing w:val="0"/>
                <w:w w:val="100"/>
                <w:kern w:val="21"/>
                <w:position w:val="0"/>
                <w:sz w:val="24"/>
                <w:szCs w:val="24"/>
                <w:lang w:val="en-US" w:eastAsia="zh-CN"/>
              </w:rPr>
              <w:t>工程环评变更报告》，2019年9月通过了竣工环境保护验收。</w:t>
            </w:r>
          </w:p>
          <w:p w14:paraId="16B124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aps w:val="0"/>
                <w:snapToGrid/>
                <w:color w:val="auto"/>
                <w:spacing w:val="0"/>
                <w:w w:val="100"/>
                <w:kern w:val="21"/>
                <w:position w:val="0"/>
                <w:sz w:val="24"/>
                <w:szCs w:val="24"/>
                <w:lang w:eastAsia="zh-CN"/>
              </w:rPr>
            </w:pPr>
            <w:r>
              <w:rPr>
                <w:rFonts w:hint="default" w:ascii="Times New Roman" w:hAnsi="Times New Roman" w:cs="Times New Roman"/>
                <w:color w:val="auto"/>
                <w:kern w:val="2"/>
                <w:sz w:val="24"/>
                <w:szCs w:val="24"/>
                <w:lang w:val="en-US" w:eastAsia="zh-CN" w:bidi="ar-SA"/>
              </w:rPr>
              <w:t>根据</w:t>
            </w:r>
            <w:r>
              <w:rPr>
                <w:rFonts w:hint="default" w:ascii="Times New Roman" w:hAnsi="Times New Roman" w:eastAsia="宋体" w:cs="Times New Roman"/>
                <w:caps w:val="0"/>
                <w:snapToGrid/>
                <w:color w:val="auto"/>
                <w:spacing w:val="0"/>
                <w:w w:val="100"/>
                <w:kern w:val="21"/>
                <w:position w:val="0"/>
                <w:sz w:val="24"/>
                <w:szCs w:val="24"/>
              </w:rPr>
              <w:t>《山东省城市排水“两个清零、一个提标”工作方案》</w:t>
            </w:r>
            <w:r>
              <w:rPr>
                <w:rFonts w:hint="default" w:ascii="Times New Roman" w:hAnsi="Times New Roman" w:eastAsia="宋体" w:cs="Times New Roman"/>
                <w:caps w:val="0"/>
                <w:snapToGrid/>
                <w:color w:val="auto"/>
                <w:spacing w:val="0"/>
                <w:w w:val="100"/>
                <w:kern w:val="21"/>
                <w:position w:val="0"/>
                <w:sz w:val="24"/>
                <w:szCs w:val="24"/>
                <w:lang w:eastAsia="zh-CN"/>
              </w:rPr>
              <w:t>，城市污水处理厂出水水质提标及再生水资源化利用行动。按照地表水准Ⅳ类排放限值（其中总氮指标为10</w:t>
            </w:r>
            <w:r>
              <w:rPr>
                <w:rFonts w:hint="default" w:ascii="Times New Roman" w:hAnsi="Times New Roman" w:cs="Times New Roman"/>
                <w:caps w:val="0"/>
                <w:snapToGrid/>
                <w:color w:val="auto"/>
                <w:spacing w:val="0"/>
                <w:w w:val="100"/>
                <w:kern w:val="21"/>
                <w:position w:val="0"/>
                <w:sz w:val="24"/>
                <w:szCs w:val="24"/>
                <w:lang w:eastAsia="zh-CN"/>
              </w:rPr>
              <w:t>—</w:t>
            </w:r>
            <w:r>
              <w:rPr>
                <w:rFonts w:hint="default" w:ascii="Times New Roman" w:hAnsi="Times New Roman" w:eastAsia="宋体" w:cs="Times New Roman"/>
                <w:caps w:val="0"/>
                <w:snapToGrid/>
                <w:color w:val="auto"/>
                <w:spacing w:val="0"/>
                <w:w w:val="100"/>
                <w:kern w:val="21"/>
                <w:position w:val="0"/>
                <w:sz w:val="24"/>
                <w:szCs w:val="24"/>
                <w:lang w:eastAsia="zh-CN"/>
              </w:rPr>
              <w:t>12mg/L）要求，加快城市污水处理厂提标改造。新建城市污水处理厂严格执行地表水准Ⅳ类排放限值要求。到2023年，全市40%的城市污水处理厂出水水质达到地表水准Ⅳ类标准；到2025年，全市60%的城市污水处理厂出水水质达到地表水准Ⅳ类标准，再生水利用率达到50%以上。</w:t>
            </w:r>
          </w:p>
          <w:p w14:paraId="7274F84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snapToGrid/>
                <w:color w:val="auto"/>
                <w:spacing w:val="0"/>
                <w:w w:val="100"/>
                <w:kern w:val="21"/>
                <w:position w:val="0"/>
                <w:sz w:val="24"/>
                <w:szCs w:val="24"/>
                <w:lang w:val="en-US" w:eastAsia="zh-CN"/>
              </w:rPr>
            </w:pPr>
            <w:r>
              <w:rPr>
                <w:rFonts w:hint="default" w:ascii="Times New Roman" w:hAnsi="Times New Roman" w:cs="Times New Roman"/>
                <w:color w:val="auto"/>
                <w:kern w:val="2"/>
                <w:sz w:val="24"/>
                <w:szCs w:val="24"/>
                <w:lang w:val="en-US" w:eastAsia="zh-CN" w:bidi="ar-SA"/>
              </w:rPr>
              <w:t>根据</w:t>
            </w:r>
            <w:r>
              <w:rPr>
                <w:rFonts w:hint="default" w:ascii="Times New Roman" w:hAnsi="Times New Roman" w:eastAsia="宋体" w:cs="Times New Roman"/>
                <w:color w:val="auto"/>
                <w:kern w:val="2"/>
                <w:sz w:val="24"/>
                <w:szCs w:val="24"/>
                <w:lang w:val="en-US" w:eastAsia="zh-CN" w:bidi="ar-SA"/>
              </w:rPr>
              <w:t>《关于进一步规范城镇（园区）污水处理环境管理的通知》（环水体</w:t>
            </w:r>
            <w:r>
              <w:rPr>
                <w:rFonts w:hint="default" w:ascii="Times New Roman" w:hAnsi="Times New Roman" w:cs="Times New Roman"/>
                <w:color w:val="auto"/>
                <w:kern w:val="2"/>
                <w:sz w:val="24"/>
                <w:szCs w:val="24"/>
                <w:lang w:val="en-US" w:eastAsia="zh-CN" w:bidi="ar-SA"/>
              </w:rPr>
              <w:t>〔2020〕71号</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的要求，对入驻企业较少，主要产生生活污水，工业污水中不含有毒有害物质的园区，园区污水可就近依托城镇污水处理厂进行处理；对工业污水排放量较小的园区，可依托园区的企业治污设施处理后达标排放，或由园区管理机构按照“同时”原则 （污染治理设施与生产设施同步规划、同步建设、同步投运），分期建设、分组运行园区污水处理设施。</w:t>
            </w:r>
            <w:r>
              <w:rPr>
                <w:rFonts w:hint="default" w:ascii="Times New Roman" w:hAnsi="Times New Roman" w:cs="Times New Roman"/>
                <w:b w:val="0"/>
                <w:bCs w:val="0"/>
                <w:color w:val="auto"/>
                <w:sz w:val="24"/>
                <w:szCs w:val="24"/>
                <w:lang w:val="en-US" w:eastAsia="zh-CN"/>
              </w:rPr>
              <w:t>目前泗水国祯水务有限公司提标改造工程已完成。</w:t>
            </w:r>
          </w:p>
          <w:p w14:paraId="5811CE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12"/>
              <w:textAlignment w:val="auto"/>
              <w:rPr>
                <w:rFonts w:hint="default" w:ascii="Times New Roman" w:hAnsi="Times New Roman" w:cs="Times New Roman"/>
                <w:b w:val="0"/>
                <w:bCs/>
                <w:color w:val="auto"/>
                <w:spacing w:val="8"/>
                <w:sz w:val="24"/>
                <w:highlight w:val="none"/>
              </w:rPr>
            </w:pPr>
            <w:r>
              <w:rPr>
                <w:rFonts w:hint="default" w:ascii="Times New Roman" w:hAnsi="Times New Roman" w:cs="Times New Roman"/>
                <w:b w:val="0"/>
                <w:bCs/>
                <w:color w:val="auto"/>
                <w:spacing w:val="8"/>
                <w:sz w:val="24"/>
                <w:highlight w:val="none"/>
              </w:rPr>
              <w:t>（1）污水处理厂处理工艺</w:t>
            </w:r>
          </w:p>
          <w:p w14:paraId="56E9FC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aps w:val="0"/>
                <w:snapToGrid/>
                <w:color w:val="auto"/>
                <w:spacing w:val="0"/>
                <w:w w:val="100"/>
                <w:kern w:val="21"/>
                <w:position w:val="0"/>
                <w:sz w:val="24"/>
                <w:szCs w:val="24"/>
                <w:lang w:val="en-US" w:eastAsia="zh-CN"/>
              </w:rPr>
            </w:pPr>
            <w:r>
              <w:rPr>
                <w:rFonts w:hint="default" w:ascii="Times New Roman" w:hAnsi="Times New Roman" w:eastAsia="宋体" w:cs="Times New Roman"/>
                <w:caps w:val="0"/>
                <w:snapToGrid/>
                <w:color w:val="auto"/>
                <w:spacing w:val="0"/>
                <w:w w:val="100"/>
                <w:kern w:val="21"/>
                <w:position w:val="0"/>
                <w:sz w:val="24"/>
                <w:szCs w:val="24"/>
                <w:lang w:val="en-US" w:eastAsia="zh-CN"/>
              </w:rPr>
              <w:t xml:space="preserve">提标改造后工艺为“预处理+ </w:t>
            </w:r>
            <w:r>
              <w:rPr>
                <w:rFonts w:hint="default" w:ascii="Times New Roman" w:hAnsi="Times New Roman" w:eastAsia="宋体" w:cs="Times New Roman"/>
                <w:b w:val="0"/>
                <w:bCs w:val="0"/>
                <w:color w:val="auto"/>
                <w:sz w:val="24"/>
                <w:szCs w:val="24"/>
                <w:lang w:val="en-US" w:eastAsia="zh-CN"/>
              </w:rPr>
              <w:t>MBBR池</w:t>
            </w:r>
            <w:r>
              <w:rPr>
                <w:rFonts w:hint="default" w:ascii="Times New Roman" w:hAnsi="Times New Roman" w:eastAsia="宋体" w:cs="Times New Roman"/>
                <w:caps w:val="0"/>
                <w:snapToGrid/>
                <w:color w:val="auto"/>
                <w:spacing w:val="0"/>
                <w:w w:val="100"/>
                <w:kern w:val="21"/>
                <w:position w:val="0"/>
                <w:sz w:val="24"/>
                <w:szCs w:val="24"/>
                <w:lang w:val="en-US" w:eastAsia="zh-CN"/>
              </w:rPr>
              <w:t>+中间提升+絮凝沉淀</w:t>
            </w:r>
            <w:r>
              <w:rPr>
                <w:rFonts w:hint="eastAsia" w:ascii="宋体" w:hAnsi="宋体" w:eastAsia="宋体" w:cs="宋体"/>
                <w:caps w:val="0"/>
                <w:snapToGrid/>
                <w:color w:val="auto"/>
                <w:spacing w:val="0"/>
                <w:w w:val="100"/>
                <w:kern w:val="21"/>
                <w:position w:val="0"/>
                <w:sz w:val="24"/>
                <w:szCs w:val="24"/>
                <w:lang w:val="en-US" w:eastAsia="zh-CN"/>
              </w:rPr>
              <w:t>+</w:t>
            </w:r>
            <w:r>
              <w:rPr>
                <w:rFonts w:hint="eastAsia" w:ascii="宋体" w:hAnsi="宋体" w:eastAsia="宋体" w:cs="宋体"/>
                <w:b w:val="0"/>
                <w:bCs w:val="0"/>
                <w:color w:val="auto"/>
                <w:sz w:val="24"/>
                <w:szCs w:val="24"/>
                <w:lang w:val="en-US" w:eastAsia="zh-CN"/>
              </w:rPr>
              <w:t>深床滤池</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臭氧</w:t>
            </w:r>
            <w:r>
              <w:rPr>
                <w:rFonts w:hint="eastAsia" w:ascii="宋体" w:hAnsi="宋体" w:eastAsia="宋体" w:cs="宋体"/>
                <w:caps w:val="0"/>
                <w:snapToGrid/>
                <w:color w:val="auto"/>
                <w:spacing w:val="0"/>
                <w:w w:val="100"/>
                <w:kern w:val="21"/>
                <w:position w:val="0"/>
                <w:sz w:val="24"/>
                <w:szCs w:val="24"/>
                <w:lang w:val="en-US" w:eastAsia="zh-CN"/>
              </w:rPr>
              <w:t>消毒”。</w:t>
            </w:r>
          </w:p>
          <w:p w14:paraId="7776DD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aps w:val="0"/>
                <w:snapToGrid/>
                <w:color w:val="auto"/>
                <w:spacing w:val="0"/>
                <w:w w:val="100"/>
                <w:kern w:val="21"/>
                <w:position w:val="0"/>
                <w:sz w:val="24"/>
                <w:szCs w:val="24"/>
                <w:lang w:val="en-US" w:eastAsia="zh-CN"/>
              </w:rPr>
            </w:pPr>
            <w:r>
              <w:rPr>
                <w:rFonts w:hint="default" w:ascii="Times New Roman" w:hAnsi="Times New Roman" w:eastAsia="宋体" w:cs="Times New Roman"/>
                <w:caps w:val="0"/>
                <w:snapToGrid/>
                <w:color w:val="auto"/>
                <w:spacing w:val="0"/>
                <w:w w:val="100"/>
                <w:kern w:val="21"/>
                <w:position w:val="0"/>
                <w:sz w:val="24"/>
                <w:szCs w:val="24"/>
                <w:lang w:val="en-US" w:eastAsia="zh-CN"/>
              </w:rPr>
              <w:drawing>
                <wp:inline distT="0" distB="0" distL="114300" distR="114300">
                  <wp:extent cx="3835400" cy="5445125"/>
                  <wp:effectExtent l="0" t="0" r="12700" b="3175"/>
                  <wp:docPr id="48" name="图片 5" descr="168249261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1682492614224"/>
                          <pic:cNvPicPr>
                            <a:picLocks noChangeAspect="1"/>
                          </pic:cNvPicPr>
                        </pic:nvPicPr>
                        <pic:blipFill>
                          <a:blip r:embed="rId18">
                            <a:lum contrast="17998"/>
                          </a:blip>
                          <a:srcRect t="2254" b="2336"/>
                          <a:stretch>
                            <a:fillRect/>
                          </a:stretch>
                        </pic:blipFill>
                        <pic:spPr>
                          <a:xfrm>
                            <a:off x="0" y="0"/>
                            <a:ext cx="3835400" cy="5445125"/>
                          </a:xfrm>
                          <a:prstGeom prst="rect">
                            <a:avLst/>
                          </a:prstGeom>
                          <a:noFill/>
                          <a:ln>
                            <a:noFill/>
                          </a:ln>
                        </pic:spPr>
                      </pic:pic>
                    </a:graphicData>
                  </a:graphic>
                </wp:inline>
              </w:drawing>
            </w:r>
          </w:p>
          <w:p w14:paraId="1A1826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bCs/>
                <w:caps w:val="0"/>
                <w:snapToGrid/>
                <w:color w:val="auto"/>
                <w:spacing w:val="0"/>
                <w:w w:val="100"/>
                <w:kern w:val="21"/>
                <w:position w:val="0"/>
                <w:sz w:val="24"/>
                <w:szCs w:val="24"/>
                <w:lang w:val="en-US" w:eastAsia="zh-CN"/>
              </w:rPr>
            </w:pPr>
            <w:r>
              <w:rPr>
                <w:rFonts w:hint="default" w:ascii="Times New Roman" w:hAnsi="Times New Roman" w:eastAsia="宋体" w:cs="Times New Roman"/>
                <w:b/>
                <w:bCs/>
                <w:caps w:val="0"/>
                <w:snapToGrid/>
                <w:color w:val="auto"/>
                <w:spacing w:val="0"/>
                <w:w w:val="100"/>
                <w:kern w:val="21"/>
                <w:position w:val="0"/>
                <w:sz w:val="24"/>
                <w:szCs w:val="24"/>
                <w:lang w:val="en-US" w:eastAsia="zh-CN"/>
              </w:rPr>
              <w:t>图</w:t>
            </w:r>
            <w:r>
              <w:rPr>
                <w:rFonts w:hint="eastAsia" w:ascii="Times New Roman" w:hAnsi="Times New Roman" w:eastAsia="宋体" w:cs="Times New Roman"/>
                <w:b/>
                <w:bCs/>
                <w:caps w:val="0"/>
                <w:snapToGrid/>
                <w:color w:val="auto"/>
                <w:spacing w:val="0"/>
                <w:w w:val="100"/>
                <w:kern w:val="21"/>
                <w:position w:val="0"/>
                <w:sz w:val="24"/>
                <w:szCs w:val="24"/>
                <w:lang w:val="en-US" w:eastAsia="zh-CN"/>
              </w:rPr>
              <w:t>4-</w:t>
            </w:r>
            <w:r>
              <w:rPr>
                <w:rFonts w:hint="eastAsia" w:cs="Times New Roman"/>
                <w:b/>
                <w:bCs/>
                <w:caps w:val="0"/>
                <w:snapToGrid/>
                <w:color w:val="auto"/>
                <w:spacing w:val="0"/>
                <w:w w:val="100"/>
                <w:kern w:val="21"/>
                <w:position w:val="0"/>
                <w:sz w:val="24"/>
                <w:szCs w:val="24"/>
                <w:lang w:val="en-US" w:eastAsia="zh-CN"/>
              </w:rPr>
              <w:t>1</w:t>
            </w:r>
            <w:r>
              <w:rPr>
                <w:rFonts w:hint="default" w:ascii="Times New Roman" w:hAnsi="Times New Roman" w:eastAsia="宋体" w:cs="Times New Roman"/>
                <w:b/>
                <w:bCs/>
                <w:caps w:val="0"/>
                <w:snapToGrid/>
                <w:color w:val="auto"/>
                <w:spacing w:val="0"/>
                <w:w w:val="100"/>
                <w:kern w:val="21"/>
                <w:position w:val="0"/>
                <w:sz w:val="24"/>
                <w:szCs w:val="24"/>
                <w:lang w:val="en-US" w:eastAsia="zh-CN"/>
              </w:rPr>
              <w:t xml:space="preserve">  </w:t>
            </w:r>
            <w:r>
              <w:rPr>
                <w:rFonts w:hint="eastAsia" w:ascii="Times New Roman" w:hAnsi="Times New Roman" w:eastAsia="宋体" w:cs="Times New Roman"/>
                <w:b/>
                <w:bCs/>
                <w:caps w:val="0"/>
                <w:snapToGrid/>
                <w:color w:val="auto"/>
                <w:spacing w:val="0"/>
                <w:w w:val="100"/>
                <w:kern w:val="21"/>
                <w:position w:val="0"/>
                <w:sz w:val="24"/>
                <w:szCs w:val="24"/>
                <w:lang w:eastAsia="zh-CN"/>
              </w:rPr>
              <w:t>泗水国祯水务有限公司</w:t>
            </w:r>
            <w:r>
              <w:rPr>
                <w:rFonts w:hint="default" w:ascii="Times New Roman" w:hAnsi="Times New Roman" w:eastAsia="宋体" w:cs="Times New Roman"/>
                <w:b/>
                <w:bCs/>
                <w:caps w:val="0"/>
                <w:snapToGrid/>
                <w:color w:val="auto"/>
                <w:spacing w:val="0"/>
                <w:w w:val="100"/>
                <w:kern w:val="21"/>
                <w:position w:val="0"/>
                <w:sz w:val="24"/>
                <w:szCs w:val="24"/>
                <w:lang w:val="en-US" w:eastAsia="zh-CN"/>
              </w:rPr>
              <w:t>的污水处理工艺流程图</w:t>
            </w:r>
          </w:p>
          <w:p w14:paraId="14BCF83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hint="eastAsia" w:ascii="Times New Roman" w:hAnsi="Times New Roman" w:cs="Times New Roman"/>
                <w:color w:val="auto"/>
                <w:sz w:val="24"/>
                <w:highlight w:val="none"/>
                <w:lang w:val="en-US" w:eastAsia="zh-CN"/>
              </w:rPr>
              <w:t>废水</w:t>
            </w:r>
            <w:r>
              <w:rPr>
                <w:rFonts w:hint="eastAsia" w:ascii="Times New Roman" w:hAnsi="Times New Roman" w:cs="Times New Roman"/>
                <w:color w:val="auto"/>
                <w:sz w:val="24"/>
                <w:highlight w:val="none"/>
              </w:rPr>
              <w:t>排入污水处理厂的可行性分析</w:t>
            </w:r>
          </w:p>
          <w:p w14:paraId="51CFC1C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snapToGrid/>
                <w:color w:val="auto"/>
                <w:spacing w:val="0"/>
                <w:w w:val="100"/>
                <w:kern w:val="21"/>
                <w:position w:val="0"/>
                <w:sz w:val="24"/>
                <w:szCs w:val="24"/>
                <w:lang w:eastAsia="zh-CN"/>
              </w:rPr>
            </w:pPr>
            <w:r>
              <w:rPr>
                <w:rFonts w:hint="eastAsia" w:ascii="Times New Roman" w:hAnsi="Times New Roman" w:eastAsia="宋体" w:cs="Times New Roman"/>
                <w:caps w:val="0"/>
                <w:snapToGrid/>
                <w:color w:val="auto"/>
                <w:spacing w:val="0"/>
                <w:w w:val="100"/>
                <w:kern w:val="21"/>
                <w:position w:val="0"/>
                <w:sz w:val="24"/>
                <w:szCs w:val="24"/>
                <w:lang w:eastAsia="zh-CN"/>
              </w:rPr>
              <w:t>泗水国祯水务有限公司</w:t>
            </w:r>
            <w:r>
              <w:rPr>
                <w:rFonts w:hint="default" w:ascii="Times New Roman" w:hAnsi="Times New Roman" w:eastAsia="宋体" w:cs="Times New Roman"/>
                <w:caps w:val="0"/>
                <w:snapToGrid/>
                <w:color w:val="auto"/>
                <w:spacing w:val="0"/>
                <w:w w:val="100"/>
                <w:kern w:val="21"/>
                <w:position w:val="0"/>
                <w:sz w:val="24"/>
                <w:szCs w:val="24"/>
                <w:lang w:val="en-US" w:eastAsia="zh-CN"/>
              </w:rPr>
              <w:t>的</w:t>
            </w:r>
            <w:r>
              <w:rPr>
                <w:rFonts w:hint="default" w:ascii="Times New Roman" w:hAnsi="Times New Roman" w:eastAsia="宋体" w:cs="Times New Roman"/>
                <w:caps w:val="0"/>
                <w:snapToGrid/>
                <w:color w:val="auto"/>
                <w:spacing w:val="0"/>
                <w:w w:val="100"/>
                <w:kern w:val="21"/>
                <w:position w:val="0"/>
                <w:sz w:val="24"/>
                <w:szCs w:val="24"/>
              </w:rPr>
              <w:t>接管标准执行</w:t>
            </w:r>
            <w:r>
              <w:rPr>
                <w:rFonts w:hint="default" w:ascii="Times New Roman" w:hAnsi="Times New Roman" w:eastAsia="宋体" w:cs="Times New Roman"/>
                <w:b w:val="0"/>
                <w:bCs/>
                <w:caps w:val="0"/>
                <w:snapToGrid/>
                <w:color w:val="auto"/>
                <w:spacing w:val="0"/>
                <w:w w:val="100"/>
                <w:kern w:val="21"/>
                <w:position w:val="0"/>
                <w:sz w:val="24"/>
                <w:szCs w:val="24"/>
                <w:lang w:val="en-US" w:eastAsia="zh-CN"/>
              </w:rPr>
              <w:t>《污水排入城镇下水道水质标准》(GB/T31962-2015)，第一类污染物必须按照《污水综合排放标准》(GB8978-1996)、《流域水污染物综合排放标准 第1部分：南四湖东平湖流域》（DB37/3416.1-2023）所规定的在车间内实现达标排放，再排入</w:t>
            </w:r>
            <w:r>
              <w:rPr>
                <w:rFonts w:hint="eastAsia" w:ascii="Times New Roman" w:hAnsi="Times New Roman" w:eastAsia="宋体" w:cs="Times New Roman"/>
                <w:b w:val="0"/>
                <w:bCs/>
                <w:caps w:val="0"/>
                <w:snapToGrid/>
                <w:color w:val="auto"/>
                <w:spacing w:val="0"/>
                <w:w w:val="100"/>
                <w:kern w:val="21"/>
                <w:position w:val="0"/>
                <w:sz w:val="24"/>
                <w:szCs w:val="24"/>
                <w:lang w:val="en-US" w:eastAsia="zh-CN"/>
              </w:rPr>
              <w:t>泗水国祯水务有限公司</w:t>
            </w:r>
            <w:r>
              <w:rPr>
                <w:rFonts w:hint="default" w:ascii="Times New Roman" w:hAnsi="Times New Roman" w:eastAsia="宋体" w:cs="Times New Roman"/>
                <w:b w:val="0"/>
                <w:bCs/>
                <w:caps w:val="0"/>
                <w:snapToGrid/>
                <w:color w:val="auto"/>
                <w:spacing w:val="0"/>
                <w:w w:val="100"/>
                <w:kern w:val="21"/>
                <w:position w:val="0"/>
                <w:sz w:val="24"/>
                <w:szCs w:val="24"/>
                <w:lang w:val="en-US" w:eastAsia="zh-CN"/>
              </w:rPr>
              <w:t>。全盐量指标限制放宽到2</w:t>
            </w:r>
            <w:r>
              <w:rPr>
                <w:rFonts w:hint="eastAsia" w:ascii="Times New Roman" w:hAnsi="Times New Roman" w:eastAsia="宋体" w:cs="Times New Roman"/>
                <w:b w:val="0"/>
                <w:bCs/>
                <w:caps w:val="0"/>
                <w:snapToGrid/>
                <w:color w:val="auto"/>
                <w:spacing w:val="0"/>
                <w:w w:val="100"/>
                <w:kern w:val="21"/>
                <w:position w:val="0"/>
                <w:sz w:val="24"/>
                <w:szCs w:val="24"/>
                <w:lang w:val="en-US" w:eastAsia="zh-CN"/>
              </w:rPr>
              <w:t>5</w:t>
            </w:r>
            <w:r>
              <w:rPr>
                <w:rFonts w:hint="default" w:ascii="Times New Roman" w:hAnsi="Times New Roman" w:eastAsia="宋体" w:cs="Times New Roman"/>
                <w:b w:val="0"/>
                <w:bCs/>
                <w:caps w:val="0"/>
                <w:snapToGrid/>
                <w:color w:val="auto"/>
                <w:spacing w:val="0"/>
                <w:w w:val="100"/>
                <w:kern w:val="21"/>
                <w:position w:val="0"/>
                <w:sz w:val="24"/>
                <w:szCs w:val="24"/>
                <w:lang w:val="en-US" w:eastAsia="zh-CN"/>
              </w:rPr>
              <w:t>00mg/L。</w:t>
            </w:r>
          </w:p>
          <w:p w14:paraId="229314FD">
            <w:pPr>
              <w:pStyle w:val="3"/>
              <w:keepNext w:val="0"/>
              <w:keepLines w:val="0"/>
              <w:pageBreakBefore w:val="0"/>
              <w:widowControl w:val="0"/>
              <w:numPr>
                <w:ilvl w:val="8"/>
                <w:numId w:val="0"/>
              </w:numPr>
              <w:suppressLineNumbers w:val="0"/>
              <w:kinsoku w:val="0"/>
              <w:wordWrap/>
              <w:overflowPunct w:val="0"/>
              <w:topLinePunct w:val="0"/>
              <w:autoSpaceDE w:val="0"/>
              <w:autoSpaceDN w:val="0"/>
              <w:bidi w:val="0"/>
              <w:adjustRightInd/>
              <w:snapToGrid w:val="0"/>
              <w:spacing w:before="167" w:beforeLines="50" w:beforeAutospacing="0" w:after="0" w:afterAutospacing="0" w:line="240" w:lineRule="auto"/>
              <w:ind w:left="720" w:leftChars="0" w:right="0" w:firstLine="0" w:firstLineChars="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kern w:val="2"/>
                <w:sz w:val="24"/>
                <w:szCs w:val="24"/>
                <w:lang w:val="en-US" w:eastAsia="zh-CN" w:bidi="ar-SA"/>
              </w:rPr>
              <w:t>表4-</w:t>
            </w:r>
            <w:r>
              <w:rPr>
                <w:rFonts w:hint="eastAsia" w:cs="Times New Roman"/>
                <w:b/>
                <w:color w:val="auto"/>
                <w:kern w:val="2"/>
                <w:sz w:val="24"/>
                <w:szCs w:val="24"/>
                <w:lang w:val="en-US" w:eastAsia="zh-CN" w:bidi="ar-SA"/>
              </w:rPr>
              <w:t>7</w:t>
            </w:r>
            <w:r>
              <w:rPr>
                <w:rFonts w:hint="default" w:ascii="Times New Roman" w:hAnsi="Times New Roman" w:eastAsia="宋体" w:cs="Times New Roman"/>
                <w:b/>
                <w:color w:val="auto"/>
                <w:kern w:val="2"/>
                <w:sz w:val="24"/>
                <w:szCs w:val="24"/>
                <w:lang w:val="en-US" w:eastAsia="zh-CN" w:bidi="ar-SA"/>
              </w:rPr>
              <w:t xml:space="preserve"> </w:t>
            </w:r>
            <w:r>
              <w:rPr>
                <w:rFonts w:hint="default" w:ascii="Times New Roman" w:hAnsi="Times New Roman" w:eastAsia="宋体" w:cs="Times New Roman"/>
                <w:b/>
                <w:color w:val="auto"/>
                <w:sz w:val="24"/>
                <w:szCs w:val="24"/>
                <w:lang w:val="en-US" w:eastAsia="zh-CN"/>
              </w:rPr>
              <w:t xml:space="preserve"> 设计进水水质</w:t>
            </w:r>
          </w:p>
          <w:tbl>
            <w:tblPr>
              <w:tblStyle w:val="34"/>
              <w:tblW w:w="775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445"/>
              <w:gridCol w:w="4306"/>
            </w:tblGrid>
            <w:tr w14:paraId="4731BB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03AE55C9">
                  <w:pPr>
                    <w:pStyle w:val="65"/>
                    <w:keepNext w:val="0"/>
                    <w:keepLines w:val="0"/>
                    <w:suppressLineNumbers w:val="0"/>
                    <w:spacing w:before="0" w:beforeAutospacing="0" w:after="0" w:afterAutospacing="0" w:line="252" w:lineRule="exact"/>
                    <w:ind w:left="612" w:right="606"/>
                    <w:jc w:val="center"/>
                    <w:rPr>
                      <w:rFonts w:hint="default" w:ascii="Times New Roman" w:hAnsi="Times New Roman" w:eastAsia="宋体" w:cs="Times New Roman"/>
                      <w:b/>
                      <w:caps w:val="0"/>
                      <w:snapToGrid/>
                      <w:color w:val="auto"/>
                      <w:spacing w:val="0"/>
                      <w:w w:val="100"/>
                      <w:kern w:val="21"/>
                      <w:position w:val="0"/>
                      <w:sz w:val="21"/>
                      <w:szCs w:val="21"/>
                    </w:rPr>
                  </w:pPr>
                  <w:r>
                    <w:rPr>
                      <w:rFonts w:hint="default" w:ascii="Times New Roman" w:hAnsi="Times New Roman" w:eastAsia="宋体" w:cs="Times New Roman"/>
                      <w:b/>
                      <w:caps w:val="0"/>
                      <w:snapToGrid/>
                      <w:color w:val="auto"/>
                      <w:spacing w:val="0"/>
                      <w:w w:val="100"/>
                      <w:kern w:val="21"/>
                      <w:position w:val="0"/>
                      <w:sz w:val="21"/>
                      <w:szCs w:val="21"/>
                    </w:rPr>
                    <w:t xml:space="preserve">项目  </w:t>
                  </w:r>
                </w:p>
              </w:tc>
              <w:tc>
                <w:tcPr>
                  <w:tcW w:w="2777" w:type="pct"/>
                  <w:tcBorders>
                    <w:tl2br w:val="nil"/>
                    <w:tr2bl w:val="nil"/>
                  </w:tcBorders>
                  <w:noWrap w:val="0"/>
                  <w:vAlign w:val="center"/>
                </w:tcPr>
                <w:p w14:paraId="49EED39B">
                  <w:pPr>
                    <w:pStyle w:val="65"/>
                    <w:keepNext w:val="0"/>
                    <w:keepLines w:val="0"/>
                    <w:suppressLineNumbers w:val="0"/>
                    <w:tabs>
                      <w:tab w:val="left" w:pos="457"/>
                    </w:tabs>
                    <w:spacing w:before="0" w:beforeAutospacing="0" w:after="0" w:afterAutospacing="0" w:line="252" w:lineRule="exact"/>
                    <w:ind w:left="6" w:right="0"/>
                    <w:jc w:val="center"/>
                    <w:rPr>
                      <w:rFonts w:hint="default" w:ascii="Times New Roman" w:hAnsi="Times New Roman" w:eastAsia="宋体" w:cs="Times New Roman"/>
                      <w:b/>
                      <w:caps w:val="0"/>
                      <w:snapToGrid/>
                      <w:color w:val="auto"/>
                      <w:spacing w:val="0"/>
                      <w:w w:val="100"/>
                      <w:kern w:val="21"/>
                      <w:position w:val="0"/>
                      <w:sz w:val="21"/>
                      <w:szCs w:val="21"/>
                      <w:lang w:val="en-US" w:eastAsia="zh-CN"/>
                    </w:rPr>
                  </w:pPr>
                  <w:r>
                    <w:rPr>
                      <w:rFonts w:hint="default" w:ascii="Times New Roman" w:hAnsi="Times New Roman" w:eastAsia="宋体" w:cs="Times New Roman"/>
                      <w:b/>
                      <w:caps w:val="0"/>
                      <w:snapToGrid/>
                      <w:color w:val="auto"/>
                      <w:spacing w:val="0"/>
                      <w:w w:val="100"/>
                      <w:kern w:val="21"/>
                      <w:position w:val="0"/>
                      <w:sz w:val="21"/>
                      <w:szCs w:val="21"/>
                      <w:lang w:val="en-US" w:eastAsia="zh-CN"/>
                    </w:rPr>
                    <w:t>指标</w:t>
                  </w:r>
                </w:p>
              </w:tc>
            </w:tr>
            <w:tr w14:paraId="170777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3430563E">
                  <w:pPr>
                    <w:pStyle w:val="65"/>
                    <w:keepNext w:val="0"/>
                    <w:keepLines w:val="0"/>
                    <w:suppressLineNumbers w:val="0"/>
                    <w:spacing w:before="1" w:beforeAutospacing="0" w:after="0" w:afterAutospacing="0" w:line="251" w:lineRule="exact"/>
                    <w:ind w:left="8"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 xml:space="preserve">pH  </w:t>
                  </w:r>
                </w:p>
              </w:tc>
              <w:tc>
                <w:tcPr>
                  <w:tcW w:w="2777" w:type="pct"/>
                  <w:tcBorders>
                    <w:tl2br w:val="nil"/>
                    <w:tr2bl w:val="nil"/>
                  </w:tcBorders>
                  <w:noWrap w:val="0"/>
                  <w:vAlign w:val="center"/>
                </w:tcPr>
                <w:p w14:paraId="132744A7">
                  <w:pPr>
                    <w:pStyle w:val="65"/>
                    <w:keepNext w:val="0"/>
                    <w:keepLines w:val="0"/>
                    <w:suppressLineNumbers w:val="0"/>
                    <w:spacing w:before="1" w:beforeAutospacing="0" w:after="0" w:afterAutospacing="0" w:line="251" w:lineRule="exact"/>
                    <w:ind w:left="9"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6.0</w:t>
                  </w:r>
                  <w:r>
                    <w:rPr>
                      <w:rFonts w:hint="eastAsia" w:cs="Times New Roman"/>
                      <w:caps w:val="0"/>
                      <w:snapToGrid/>
                      <w:color w:val="auto"/>
                      <w:spacing w:val="0"/>
                      <w:w w:val="100"/>
                      <w:kern w:val="21"/>
                      <w:position w:val="0"/>
                      <w:sz w:val="21"/>
                      <w:szCs w:val="21"/>
                      <w:lang w:eastAsia="zh-CN"/>
                    </w:rPr>
                    <w:t>~</w:t>
                  </w:r>
                  <w:r>
                    <w:rPr>
                      <w:rFonts w:hint="default" w:ascii="Times New Roman" w:hAnsi="Times New Roman" w:eastAsia="宋体" w:cs="Times New Roman"/>
                      <w:caps w:val="0"/>
                      <w:snapToGrid/>
                      <w:color w:val="auto"/>
                      <w:spacing w:val="0"/>
                      <w:w w:val="100"/>
                      <w:kern w:val="21"/>
                      <w:position w:val="0"/>
                      <w:sz w:val="21"/>
                      <w:szCs w:val="21"/>
                    </w:rPr>
                    <w:t>9.0</w:t>
                  </w:r>
                </w:p>
              </w:tc>
            </w:tr>
            <w:tr w14:paraId="2373D9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0CE8086D">
                  <w:pPr>
                    <w:pStyle w:val="65"/>
                    <w:keepNext w:val="0"/>
                    <w:keepLines w:val="0"/>
                    <w:suppressLineNumbers w:val="0"/>
                    <w:spacing w:before="0" w:beforeAutospacing="0" w:after="0" w:afterAutospacing="0" w:line="252" w:lineRule="exact"/>
                    <w:ind w:left="8"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 xml:space="preserve">COD  </w:t>
                  </w:r>
                </w:p>
              </w:tc>
              <w:tc>
                <w:tcPr>
                  <w:tcW w:w="2777" w:type="pct"/>
                  <w:tcBorders>
                    <w:tl2br w:val="nil"/>
                    <w:tr2bl w:val="nil"/>
                  </w:tcBorders>
                  <w:noWrap w:val="0"/>
                  <w:vAlign w:val="center"/>
                </w:tcPr>
                <w:p w14:paraId="763F6456">
                  <w:pPr>
                    <w:pStyle w:val="65"/>
                    <w:keepNext w:val="0"/>
                    <w:keepLines w:val="0"/>
                    <w:suppressLineNumbers w:val="0"/>
                    <w:spacing w:before="0" w:beforeAutospacing="0" w:after="0" w:afterAutospacing="0" w:line="252"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≤500mg/L</w:t>
                  </w:r>
                </w:p>
              </w:tc>
            </w:tr>
            <w:tr w14:paraId="56F2C9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15C5D591">
                  <w:pPr>
                    <w:pStyle w:val="65"/>
                    <w:keepNext w:val="0"/>
                    <w:keepLines w:val="0"/>
                    <w:suppressLineNumbers w:val="0"/>
                    <w:spacing w:before="0" w:beforeAutospacing="0" w:after="0" w:afterAutospacing="0" w:line="252" w:lineRule="exact"/>
                    <w:ind w:left="8"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NH</w:t>
                  </w:r>
                  <w:r>
                    <w:rPr>
                      <w:rFonts w:hint="default" w:ascii="Times New Roman" w:hAnsi="Times New Roman" w:eastAsia="宋体" w:cs="Times New Roman"/>
                      <w:caps w:val="0"/>
                      <w:snapToGrid/>
                      <w:color w:val="auto"/>
                      <w:spacing w:val="0"/>
                      <w:w w:val="100"/>
                      <w:kern w:val="21"/>
                      <w:position w:val="0"/>
                      <w:sz w:val="21"/>
                      <w:szCs w:val="21"/>
                      <w:vertAlign w:val="subscript"/>
                    </w:rPr>
                    <w:t>3</w:t>
                  </w:r>
                  <w:r>
                    <w:rPr>
                      <w:rFonts w:hint="default" w:ascii="Times New Roman" w:hAnsi="Times New Roman" w:eastAsia="宋体" w:cs="Times New Roman"/>
                      <w:caps w:val="0"/>
                      <w:snapToGrid/>
                      <w:color w:val="auto"/>
                      <w:spacing w:val="0"/>
                      <w:w w:val="100"/>
                      <w:kern w:val="21"/>
                      <w:position w:val="0"/>
                      <w:sz w:val="21"/>
                      <w:szCs w:val="21"/>
                    </w:rPr>
                    <w:t xml:space="preserve">-N  </w:t>
                  </w:r>
                </w:p>
              </w:tc>
              <w:tc>
                <w:tcPr>
                  <w:tcW w:w="2777" w:type="pct"/>
                  <w:tcBorders>
                    <w:tl2br w:val="nil"/>
                    <w:tr2bl w:val="nil"/>
                  </w:tcBorders>
                  <w:noWrap w:val="0"/>
                  <w:vAlign w:val="center"/>
                </w:tcPr>
                <w:p w14:paraId="1F9588D7">
                  <w:pPr>
                    <w:pStyle w:val="65"/>
                    <w:keepNext w:val="0"/>
                    <w:keepLines w:val="0"/>
                    <w:suppressLineNumbers w:val="0"/>
                    <w:spacing w:before="0" w:beforeAutospacing="0" w:after="0" w:afterAutospacing="0" w:line="252"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≤35mg/L</w:t>
                  </w:r>
                </w:p>
              </w:tc>
            </w:tr>
            <w:tr w14:paraId="7AB454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5345303C">
                  <w:pPr>
                    <w:pStyle w:val="65"/>
                    <w:keepNext w:val="0"/>
                    <w:keepLines w:val="0"/>
                    <w:suppressLineNumbers w:val="0"/>
                    <w:spacing w:before="0" w:beforeAutospacing="0" w:after="0" w:afterAutospacing="0" w:line="251" w:lineRule="exact"/>
                    <w:ind w:left="8"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BOD</w:t>
                  </w:r>
                  <w:r>
                    <w:rPr>
                      <w:rFonts w:hint="default" w:ascii="Times New Roman" w:hAnsi="Times New Roman" w:eastAsia="宋体" w:cs="Times New Roman"/>
                      <w:caps w:val="0"/>
                      <w:snapToGrid/>
                      <w:color w:val="auto"/>
                      <w:spacing w:val="0"/>
                      <w:w w:val="100"/>
                      <w:kern w:val="21"/>
                      <w:position w:val="0"/>
                      <w:sz w:val="21"/>
                      <w:szCs w:val="21"/>
                      <w:vertAlign w:val="subscript"/>
                    </w:rPr>
                    <w:t>5</w:t>
                  </w:r>
                </w:p>
              </w:tc>
              <w:tc>
                <w:tcPr>
                  <w:tcW w:w="2777" w:type="pct"/>
                  <w:tcBorders>
                    <w:tl2br w:val="nil"/>
                    <w:tr2bl w:val="nil"/>
                  </w:tcBorders>
                  <w:noWrap w:val="0"/>
                  <w:vAlign w:val="center"/>
                </w:tcPr>
                <w:p w14:paraId="1DBA05D3">
                  <w:pPr>
                    <w:pStyle w:val="65"/>
                    <w:keepNext w:val="0"/>
                    <w:keepLines w:val="0"/>
                    <w:suppressLineNumbers w:val="0"/>
                    <w:spacing w:before="0" w:beforeAutospacing="0" w:after="0" w:afterAutospacing="0" w:line="251"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≤250mg/L</w:t>
                  </w:r>
                </w:p>
              </w:tc>
            </w:tr>
            <w:tr w14:paraId="2F65AB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21B3A8D8">
                  <w:pPr>
                    <w:pStyle w:val="65"/>
                    <w:keepNext w:val="0"/>
                    <w:keepLines w:val="0"/>
                    <w:suppressLineNumbers w:val="0"/>
                    <w:spacing w:before="2" w:beforeAutospacing="0" w:after="0" w:afterAutospacing="0" w:line="251" w:lineRule="exact"/>
                    <w:ind w:left="8"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SS</w:t>
                  </w:r>
                </w:p>
              </w:tc>
              <w:tc>
                <w:tcPr>
                  <w:tcW w:w="2777" w:type="pct"/>
                  <w:tcBorders>
                    <w:tl2br w:val="nil"/>
                    <w:tr2bl w:val="nil"/>
                  </w:tcBorders>
                  <w:noWrap w:val="0"/>
                  <w:vAlign w:val="center"/>
                </w:tcPr>
                <w:p w14:paraId="7BA46B9E">
                  <w:pPr>
                    <w:pStyle w:val="65"/>
                    <w:keepNext w:val="0"/>
                    <w:keepLines w:val="0"/>
                    <w:suppressLineNumbers w:val="0"/>
                    <w:spacing w:before="2" w:beforeAutospacing="0" w:after="0" w:afterAutospacing="0" w:line="251"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≤220mg/L</w:t>
                  </w:r>
                </w:p>
              </w:tc>
            </w:tr>
            <w:tr w14:paraId="6DD7A7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3822B795">
                  <w:pPr>
                    <w:pStyle w:val="65"/>
                    <w:keepNext w:val="0"/>
                    <w:keepLines w:val="0"/>
                    <w:suppressLineNumbers w:val="0"/>
                    <w:spacing w:before="0" w:beforeAutospacing="0" w:after="0" w:afterAutospacing="0" w:line="252" w:lineRule="exact"/>
                    <w:ind w:left="8"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TN</w:t>
                  </w:r>
                </w:p>
              </w:tc>
              <w:tc>
                <w:tcPr>
                  <w:tcW w:w="2777" w:type="pct"/>
                  <w:tcBorders>
                    <w:tl2br w:val="nil"/>
                    <w:tr2bl w:val="nil"/>
                  </w:tcBorders>
                  <w:noWrap w:val="0"/>
                  <w:vAlign w:val="center"/>
                </w:tcPr>
                <w:p w14:paraId="6E6EFCB8">
                  <w:pPr>
                    <w:pStyle w:val="65"/>
                    <w:keepNext w:val="0"/>
                    <w:keepLines w:val="0"/>
                    <w:suppressLineNumbers w:val="0"/>
                    <w:spacing w:before="0" w:beforeAutospacing="0" w:after="0" w:afterAutospacing="0" w:line="252"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≤45mg/L</w:t>
                  </w:r>
                </w:p>
              </w:tc>
            </w:tr>
            <w:tr w14:paraId="675F0A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5D357AD8">
                  <w:pPr>
                    <w:pStyle w:val="65"/>
                    <w:keepNext w:val="0"/>
                    <w:keepLines w:val="0"/>
                    <w:suppressLineNumbers w:val="0"/>
                    <w:spacing w:before="0" w:beforeAutospacing="0" w:after="0" w:afterAutospacing="0" w:line="252" w:lineRule="exact"/>
                    <w:ind w:left="8"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TP</w:t>
                  </w:r>
                </w:p>
              </w:tc>
              <w:tc>
                <w:tcPr>
                  <w:tcW w:w="2777" w:type="pct"/>
                  <w:tcBorders>
                    <w:tl2br w:val="nil"/>
                    <w:tr2bl w:val="nil"/>
                  </w:tcBorders>
                  <w:noWrap w:val="0"/>
                  <w:vAlign w:val="center"/>
                </w:tcPr>
                <w:p w14:paraId="2428592D">
                  <w:pPr>
                    <w:pStyle w:val="65"/>
                    <w:keepNext w:val="0"/>
                    <w:keepLines w:val="0"/>
                    <w:suppressLineNumbers w:val="0"/>
                    <w:spacing w:before="0" w:beforeAutospacing="0" w:after="0" w:afterAutospacing="0" w:line="252"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≤4mg/L</w:t>
                  </w:r>
                </w:p>
              </w:tc>
            </w:tr>
            <w:tr w14:paraId="55DB4F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7ECE32AC">
                  <w:pPr>
                    <w:pStyle w:val="65"/>
                    <w:keepNext w:val="0"/>
                    <w:keepLines w:val="0"/>
                    <w:suppressLineNumbers w:val="0"/>
                    <w:spacing w:before="0" w:beforeAutospacing="0" w:after="0" w:afterAutospacing="0" w:line="252" w:lineRule="exact"/>
                    <w:ind w:left="8"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全盐量</w:t>
                  </w:r>
                </w:p>
              </w:tc>
              <w:tc>
                <w:tcPr>
                  <w:tcW w:w="2777" w:type="pct"/>
                  <w:tcBorders>
                    <w:tl2br w:val="nil"/>
                    <w:tr2bl w:val="nil"/>
                  </w:tcBorders>
                  <w:noWrap w:val="0"/>
                  <w:vAlign w:val="center"/>
                </w:tcPr>
                <w:p w14:paraId="23955995">
                  <w:pPr>
                    <w:pStyle w:val="65"/>
                    <w:keepNext w:val="0"/>
                    <w:keepLines w:val="0"/>
                    <w:suppressLineNumbers w:val="0"/>
                    <w:spacing w:before="0" w:beforeAutospacing="0" w:after="0" w:afterAutospacing="0" w:line="252"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w:t>
                  </w:r>
                  <w:r>
                    <w:rPr>
                      <w:rFonts w:hint="default" w:ascii="Times New Roman" w:hAnsi="Times New Roman" w:eastAsia="宋体" w:cs="Times New Roman"/>
                      <w:b w:val="0"/>
                      <w:bCs/>
                      <w:caps w:val="0"/>
                      <w:snapToGrid/>
                      <w:color w:val="auto"/>
                      <w:spacing w:val="0"/>
                      <w:w w:val="100"/>
                      <w:kern w:val="21"/>
                      <w:position w:val="0"/>
                      <w:sz w:val="21"/>
                      <w:szCs w:val="21"/>
                      <w:lang w:val="en-US" w:eastAsia="zh-CN"/>
                    </w:rPr>
                    <w:t xml:space="preserve"> 1600mg/L</w:t>
                  </w:r>
                </w:p>
              </w:tc>
            </w:tr>
            <w:tr w14:paraId="50403B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0EDCB276">
                  <w:pPr>
                    <w:pStyle w:val="65"/>
                    <w:keepNext w:val="0"/>
                    <w:keepLines w:val="0"/>
                    <w:suppressLineNumbers w:val="0"/>
                    <w:spacing w:before="0" w:beforeAutospacing="0" w:after="0" w:afterAutospacing="0" w:line="252" w:lineRule="exact"/>
                    <w:ind w:left="8" w:right="0"/>
                    <w:jc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总汞</w:t>
                  </w:r>
                </w:p>
              </w:tc>
              <w:tc>
                <w:tcPr>
                  <w:tcW w:w="2777" w:type="pct"/>
                  <w:tcBorders>
                    <w:tl2br w:val="nil"/>
                    <w:tr2bl w:val="nil"/>
                  </w:tcBorders>
                  <w:noWrap w:val="0"/>
                  <w:vAlign w:val="center"/>
                </w:tcPr>
                <w:p w14:paraId="6B01870E">
                  <w:pPr>
                    <w:pStyle w:val="65"/>
                    <w:keepNext w:val="0"/>
                    <w:keepLines w:val="0"/>
                    <w:suppressLineNumbers w:val="0"/>
                    <w:spacing w:before="0" w:beforeAutospacing="0" w:after="0" w:afterAutospacing="0" w:line="252"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≤0.005mg/L</w:t>
                  </w:r>
                </w:p>
              </w:tc>
            </w:tr>
            <w:tr w14:paraId="45CACD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2A6C7055">
                  <w:pPr>
                    <w:pStyle w:val="65"/>
                    <w:keepNext w:val="0"/>
                    <w:keepLines w:val="0"/>
                    <w:suppressLineNumbers w:val="0"/>
                    <w:spacing w:before="0" w:beforeAutospacing="0" w:after="0" w:afterAutospacing="0" w:line="252" w:lineRule="exact"/>
                    <w:ind w:left="8" w:right="0"/>
                    <w:jc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烷基汞</w:t>
                  </w:r>
                </w:p>
              </w:tc>
              <w:tc>
                <w:tcPr>
                  <w:tcW w:w="2777" w:type="pct"/>
                  <w:tcBorders>
                    <w:tl2br w:val="nil"/>
                    <w:tr2bl w:val="nil"/>
                  </w:tcBorders>
                  <w:noWrap w:val="0"/>
                  <w:vAlign w:val="center"/>
                </w:tcPr>
                <w:p w14:paraId="35228DD9">
                  <w:pPr>
                    <w:pStyle w:val="65"/>
                    <w:keepNext w:val="0"/>
                    <w:keepLines w:val="0"/>
                    <w:suppressLineNumbers w:val="0"/>
                    <w:spacing w:before="0" w:beforeAutospacing="0" w:after="0" w:afterAutospacing="0" w:line="252"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不得检出</w:t>
                  </w:r>
                </w:p>
              </w:tc>
            </w:tr>
            <w:tr w14:paraId="2F4B9D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29E5FD89">
                  <w:pPr>
                    <w:pStyle w:val="65"/>
                    <w:keepNext w:val="0"/>
                    <w:keepLines w:val="0"/>
                    <w:suppressLineNumbers w:val="0"/>
                    <w:spacing w:before="0" w:beforeAutospacing="0" w:after="0" w:afterAutospacing="0" w:line="252" w:lineRule="exact"/>
                    <w:ind w:left="8" w:right="0"/>
                    <w:jc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总镉</w:t>
                  </w:r>
                </w:p>
              </w:tc>
              <w:tc>
                <w:tcPr>
                  <w:tcW w:w="2777" w:type="pct"/>
                  <w:tcBorders>
                    <w:tl2br w:val="nil"/>
                    <w:tr2bl w:val="nil"/>
                  </w:tcBorders>
                  <w:noWrap w:val="0"/>
                  <w:vAlign w:val="center"/>
                </w:tcPr>
                <w:p w14:paraId="13008EE0">
                  <w:pPr>
                    <w:pStyle w:val="65"/>
                    <w:keepNext w:val="0"/>
                    <w:keepLines w:val="0"/>
                    <w:suppressLineNumbers w:val="0"/>
                    <w:spacing w:before="0" w:beforeAutospacing="0" w:after="0" w:afterAutospacing="0" w:line="252"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≤0.02mg/L</w:t>
                  </w:r>
                </w:p>
              </w:tc>
            </w:tr>
            <w:tr w14:paraId="7435A2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6B9A5BCA">
                  <w:pPr>
                    <w:pStyle w:val="65"/>
                    <w:keepNext w:val="0"/>
                    <w:keepLines w:val="0"/>
                    <w:suppressLineNumbers w:val="0"/>
                    <w:spacing w:before="0" w:beforeAutospacing="0" w:after="0" w:afterAutospacing="0" w:line="252" w:lineRule="exact"/>
                    <w:ind w:left="8" w:right="0"/>
                    <w:jc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 xml:space="preserve">总铬 </w:t>
                  </w:r>
                </w:p>
              </w:tc>
              <w:tc>
                <w:tcPr>
                  <w:tcW w:w="2777" w:type="pct"/>
                  <w:tcBorders>
                    <w:tl2br w:val="nil"/>
                    <w:tr2bl w:val="nil"/>
                  </w:tcBorders>
                  <w:noWrap w:val="0"/>
                  <w:vAlign w:val="center"/>
                </w:tcPr>
                <w:p w14:paraId="358A37BB">
                  <w:pPr>
                    <w:pStyle w:val="65"/>
                    <w:keepNext w:val="0"/>
                    <w:keepLines w:val="0"/>
                    <w:suppressLineNumbers w:val="0"/>
                    <w:spacing w:before="0" w:beforeAutospacing="0" w:after="0" w:afterAutospacing="0" w:line="252"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≤0.5mg/L</w:t>
                  </w:r>
                </w:p>
              </w:tc>
            </w:tr>
            <w:tr w14:paraId="41324F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73DCD21D">
                  <w:pPr>
                    <w:pStyle w:val="65"/>
                    <w:keepNext w:val="0"/>
                    <w:keepLines w:val="0"/>
                    <w:suppressLineNumbers w:val="0"/>
                    <w:spacing w:before="0" w:beforeAutospacing="0" w:after="0" w:afterAutospacing="0" w:line="252" w:lineRule="exact"/>
                    <w:ind w:left="8" w:right="0"/>
                    <w:jc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 xml:space="preserve">六价铬 </w:t>
                  </w:r>
                </w:p>
              </w:tc>
              <w:tc>
                <w:tcPr>
                  <w:tcW w:w="2777" w:type="pct"/>
                  <w:tcBorders>
                    <w:tl2br w:val="nil"/>
                    <w:tr2bl w:val="nil"/>
                  </w:tcBorders>
                  <w:noWrap w:val="0"/>
                  <w:vAlign w:val="center"/>
                </w:tcPr>
                <w:p w14:paraId="783EE4A5">
                  <w:pPr>
                    <w:pStyle w:val="65"/>
                    <w:keepNext w:val="0"/>
                    <w:keepLines w:val="0"/>
                    <w:suppressLineNumbers w:val="0"/>
                    <w:spacing w:before="0" w:beforeAutospacing="0" w:after="0" w:afterAutospacing="0" w:line="252"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≤0.2mg/L</w:t>
                  </w:r>
                </w:p>
              </w:tc>
            </w:tr>
            <w:tr w14:paraId="334549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4767FA30">
                  <w:pPr>
                    <w:pStyle w:val="65"/>
                    <w:keepNext w:val="0"/>
                    <w:keepLines w:val="0"/>
                    <w:suppressLineNumbers w:val="0"/>
                    <w:spacing w:before="0" w:beforeAutospacing="0" w:after="0" w:afterAutospacing="0" w:line="252" w:lineRule="exact"/>
                    <w:ind w:left="8" w:right="0"/>
                    <w:jc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总砷</w:t>
                  </w:r>
                </w:p>
              </w:tc>
              <w:tc>
                <w:tcPr>
                  <w:tcW w:w="2777" w:type="pct"/>
                  <w:tcBorders>
                    <w:tl2br w:val="nil"/>
                    <w:tr2bl w:val="nil"/>
                  </w:tcBorders>
                  <w:noWrap w:val="0"/>
                  <w:vAlign w:val="center"/>
                </w:tcPr>
                <w:p w14:paraId="3E68817A">
                  <w:pPr>
                    <w:pStyle w:val="65"/>
                    <w:keepNext w:val="0"/>
                    <w:keepLines w:val="0"/>
                    <w:suppressLineNumbers w:val="0"/>
                    <w:spacing w:before="0" w:beforeAutospacing="0" w:after="0" w:afterAutospacing="0" w:line="252"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≤0.1mg/L</w:t>
                  </w:r>
                </w:p>
              </w:tc>
            </w:tr>
            <w:tr w14:paraId="1EBD7B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22" w:type="pct"/>
                  <w:tcBorders>
                    <w:tl2br w:val="nil"/>
                    <w:tr2bl w:val="nil"/>
                  </w:tcBorders>
                  <w:noWrap w:val="0"/>
                  <w:vAlign w:val="center"/>
                </w:tcPr>
                <w:p w14:paraId="6A5AA09E">
                  <w:pPr>
                    <w:pStyle w:val="65"/>
                    <w:keepNext w:val="0"/>
                    <w:keepLines w:val="0"/>
                    <w:suppressLineNumbers w:val="0"/>
                    <w:spacing w:before="0" w:beforeAutospacing="0" w:after="0" w:afterAutospacing="0" w:line="252" w:lineRule="exact"/>
                    <w:ind w:left="8" w:right="0"/>
                    <w:jc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总铅</w:t>
                  </w:r>
                </w:p>
              </w:tc>
              <w:tc>
                <w:tcPr>
                  <w:tcW w:w="2777" w:type="pct"/>
                  <w:tcBorders>
                    <w:tl2br w:val="nil"/>
                    <w:tr2bl w:val="nil"/>
                  </w:tcBorders>
                  <w:noWrap w:val="0"/>
                  <w:vAlign w:val="center"/>
                </w:tcPr>
                <w:p w14:paraId="20CB1F3F">
                  <w:pPr>
                    <w:pStyle w:val="65"/>
                    <w:keepNext w:val="0"/>
                    <w:keepLines w:val="0"/>
                    <w:suppressLineNumbers w:val="0"/>
                    <w:spacing w:before="0" w:beforeAutospacing="0" w:after="0" w:afterAutospacing="0" w:line="252" w:lineRule="exact"/>
                    <w:ind w:left="6" w:right="0"/>
                    <w:jc w:val="center"/>
                    <w:rPr>
                      <w:rFonts w:hint="default" w:ascii="Times New Roman" w:hAnsi="Times New Roman" w:eastAsia="宋体" w:cs="Times New Roman"/>
                      <w:caps w:val="0"/>
                      <w:snapToGrid/>
                      <w:color w:val="auto"/>
                      <w:spacing w:val="0"/>
                      <w:w w:val="100"/>
                      <w:kern w:val="21"/>
                      <w:position w:val="0"/>
                      <w:sz w:val="21"/>
                      <w:szCs w:val="21"/>
                    </w:rPr>
                  </w:pPr>
                  <w:r>
                    <w:rPr>
                      <w:rFonts w:hint="default" w:ascii="Times New Roman" w:hAnsi="Times New Roman" w:eastAsia="宋体" w:cs="Times New Roman"/>
                      <w:caps w:val="0"/>
                      <w:snapToGrid/>
                      <w:color w:val="auto"/>
                      <w:spacing w:val="0"/>
                      <w:w w:val="100"/>
                      <w:kern w:val="21"/>
                      <w:position w:val="0"/>
                      <w:sz w:val="21"/>
                      <w:szCs w:val="21"/>
                    </w:rPr>
                    <w:t>≤0.1mg/L</w:t>
                  </w:r>
                </w:p>
              </w:tc>
            </w:tr>
          </w:tbl>
          <w:p w14:paraId="268BD2D0">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cs="Times New Roman"/>
                <w:bCs/>
                <w:color w:val="auto"/>
                <w:sz w:val="24"/>
                <w:highlight w:val="none"/>
              </w:rPr>
            </w:pPr>
            <w:r>
              <w:rPr>
                <w:rFonts w:hint="eastAsia" w:ascii="Times New Roman" w:hAnsi="Times New Roman" w:cs="Times New Roman"/>
                <w:bCs/>
                <w:color w:val="auto"/>
                <w:sz w:val="24"/>
                <w:highlight w:val="none"/>
              </w:rPr>
              <w:t>①水质可行性</w:t>
            </w:r>
          </w:p>
          <w:p w14:paraId="2166C44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cs="Times New Roman"/>
                <w:color w:val="auto"/>
                <w:sz w:val="24"/>
                <w:highlight w:val="none"/>
              </w:rPr>
              <w:t>本项目排入管网的废水为</w:t>
            </w:r>
            <w:r>
              <w:rPr>
                <w:rFonts w:hint="eastAsia" w:cs="Times New Roman"/>
                <w:color w:val="auto"/>
                <w:sz w:val="24"/>
                <w:highlight w:val="none"/>
                <w:lang w:val="en-US" w:eastAsia="zh-CN"/>
              </w:rPr>
              <w:t>生活污水和</w:t>
            </w:r>
            <w:r>
              <w:rPr>
                <w:rFonts w:hint="eastAsia" w:ascii="Times New Roman" w:hAnsi="Times New Roman" w:cs="Times New Roman"/>
                <w:color w:val="auto"/>
                <w:sz w:val="24"/>
                <w:highlight w:val="none"/>
                <w:lang w:val="en-US" w:eastAsia="zh-CN"/>
              </w:rPr>
              <w:t>污水处理站尾水</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经</w:t>
            </w:r>
            <w:r>
              <w:rPr>
                <w:rFonts w:hint="default" w:ascii="Times New Roman" w:hAnsi="Times New Roman" w:cs="Times New Roman"/>
                <w:color w:val="auto"/>
                <w:sz w:val="24"/>
                <w:highlight w:val="none"/>
              </w:rPr>
              <w:t>污水管网排入</w:t>
            </w:r>
            <w:r>
              <w:rPr>
                <w:rFonts w:hint="eastAsia" w:cs="Times New Roman"/>
                <w:color w:val="auto"/>
                <w:sz w:val="24"/>
                <w:highlight w:val="none"/>
                <w:lang w:eastAsia="zh-CN"/>
              </w:rPr>
              <w:t>泗水国祯水务有限公司</w:t>
            </w:r>
            <w:r>
              <w:rPr>
                <w:rFonts w:hint="eastAsia" w:ascii="Times New Roman" w:hAnsi="Times New Roman" w:cs="Times New Roman"/>
                <w:color w:val="auto"/>
                <w:sz w:val="24"/>
                <w:highlight w:val="none"/>
              </w:rPr>
              <w:t>处理。</w:t>
            </w:r>
            <w:r>
              <w:rPr>
                <w:rFonts w:hint="eastAsia" w:ascii="Times New Roman" w:hAnsi="Times New Roman" w:cs="Times New Roman"/>
                <w:bCs/>
                <w:color w:val="auto"/>
                <w:sz w:val="24"/>
                <w:highlight w:val="none"/>
                <w:lang w:val="en-US" w:eastAsia="zh-CN"/>
              </w:rPr>
              <w:t>尾水满足</w:t>
            </w:r>
            <w:r>
              <w:rPr>
                <w:rFonts w:hint="eastAsia" w:cs="Times New Roman"/>
                <w:color w:val="auto"/>
                <w:sz w:val="24"/>
                <w:szCs w:val="24"/>
                <w:highlight w:val="none"/>
                <w:lang w:eastAsia="zh-CN"/>
              </w:rPr>
              <w:t>《污水综合排放标准》（GB8978-1996）及修改单表4中三级标准</w:t>
            </w:r>
            <w:r>
              <w:rPr>
                <w:rFonts w:hint="eastAsia" w:ascii="Times New Roman" w:hAnsi="Times New Roman" w:eastAsia="宋体" w:cs="Times New Roman"/>
                <w:color w:val="auto"/>
                <w:sz w:val="24"/>
                <w:szCs w:val="24"/>
                <w:highlight w:val="none"/>
                <w:lang w:val="en-US" w:eastAsia="zh-CN"/>
              </w:rPr>
              <w:t>及</w:t>
            </w:r>
            <w:r>
              <w:rPr>
                <w:rFonts w:hint="eastAsia" w:cs="Times New Roman"/>
                <w:color w:val="auto"/>
                <w:sz w:val="24"/>
                <w:szCs w:val="24"/>
                <w:highlight w:val="none"/>
                <w:lang w:val="en-US" w:eastAsia="zh-CN"/>
              </w:rPr>
              <w:t>泗水国祯水务有限公司</w:t>
            </w:r>
            <w:r>
              <w:rPr>
                <w:rFonts w:hint="default" w:ascii="Times New Roman" w:hAnsi="Times New Roman" w:eastAsia="宋体" w:cs="Times New Roman"/>
                <w:color w:val="auto"/>
                <w:sz w:val="24"/>
                <w:szCs w:val="24"/>
                <w:highlight w:val="none"/>
              </w:rPr>
              <w:t>处理进水水质要求。</w:t>
            </w:r>
          </w:p>
          <w:p w14:paraId="7ABBE1B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eastAsia" w:ascii="Times New Roman" w:hAnsi="Times New Roman" w:cs="Times New Roman"/>
                <w:bCs/>
                <w:color w:val="auto"/>
                <w:sz w:val="24"/>
                <w:highlight w:val="none"/>
              </w:rPr>
              <w:t>②水量可行性</w:t>
            </w:r>
          </w:p>
          <w:p w14:paraId="4608D7F8">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eastAsia="宋体" w:cs="Times New Roman"/>
                <w:caps w:val="0"/>
                <w:snapToGrid/>
                <w:color w:val="auto"/>
                <w:spacing w:val="0"/>
                <w:w w:val="100"/>
                <w:kern w:val="21"/>
                <w:position w:val="0"/>
                <w:sz w:val="24"/>
                <w:szCs w:val="24"/>
                <w:lang w:eastAsia="zh-CN"/>
              </w:rPr>
              <w:t>泗水国祯水务有限公司</w:t>
            </w:r>
            <w:r>
              <w:rPr>
                <w:rFonts w:hint="default" w:ascii="Times New Roman" w:hAnsi="Times New Roman" w:eastAsia="宋体" w:cs="Times New Roman"/>
                <w:caps w:val="0"/>
                <w:snapToGrid/>
                <w:color w:val="auto"/>
                <w:spacing w:val="0"/>
                <w:w w:val="100"/>
                <w:kern w:val="21"/>
                <w:position w:val="0"/>
                <w:sz w:val="24"/>
                <w:szCs w:val="24"/>
                <w:lang w:eastAsia="zh-CN"/>
              </w:rPr>
              <w:t>设计日处理规模4万吨/天，实际</w:t>
            </w:r>
            <w:r>
              <w:rPr>
                <w:rFonts w:hint="default" w:ascii="Times New Roman" w:hAnsi="Times New Roman" w:eastAsia="宋体" w:cs="Times New Roman"/>
                <w:caps w:val="0"/>
                <w:snapToGrid/>
                <w:color w:val="auto"/>
                <w:spacing w:val="0"/>
                <w:w w:val="100"/>
                <w:kern w:val="21"/>
                <w:position w:val="0"/>
                <w:sz w:val="24"/>
                <w:szCs w:val="24"/>
                <w:lang w:val="en-US" w:eastAsia="zh-CN"/>
              </w:rPr>
              <w:t>平均</w:t>
            </w:r>
            <w:r>
              <w:rPr>
                <w:rFonts w:hint="default" w:ascii="Times New Roman" w:hAnsi="Times New Roman" w:eastAsia="宋体" w:cs="Times New Roman"/>
                <w:caps w:val="0"/>
                <w:snapToGrid/>
                <w:color w:val="auto"/>
                <w:spacing w:val="0"/>
                <w:w w:val="100"/>
                <w:kern w:val="21"/>
                <w:position w:val="0"/>
                <w:sz w:val="24"/>
                <w:szCs w:val="24"/>
                <w:lang w:eastAsia="zh-CN"/>
              </w:rPr>
              <w:t>处理量约</w:t>
            </w:r>
            <w:r>
              <w:rPr>
                <w:rFonts w:hint="eastAsia" w:ascii="Times New Roman" w:hAnsi="Times New Roman" w:eastAsia="宋体" w:cs="Times New Roman"/>
                <w:caps w:val="0"/>
                <w:snapToGrid/>
                <w:color w:val="auto"/>
                <w:spacing w:val="0"/>
                <w:w w:val="100"/>
                <w:kern w:val="21"/>
                <w:position w:val="0"/>
                <w:sz w:val="24"/>
                <w:szCs w:val="24"/>
                <w:lang w:val="en-US" w:eastAsia="zh-CN"/>
              </w:rPr>
              <w:t>1.06万</w:t>
            </w:r>
            <w:r>
              <w:rPr>
                <w:rFonts w:hint="default" w:ascii="Times New Roman" w:hAnsi="Times New Roman" w:eastAsia="宋体" w:cs="Times New Roman"/>
                <w:caps w:val="0"/>
                <w:snapToGrid/>
                <w:color w:val="auto"/>
                <w:spacing w:val="0"/>
                <w:w w:val="100"/>
                <w:kern w:val="21"/>
                <w:position w:val="0"/>
                <w:sz w:val="24"/>
                <w:szCs w:val="24"/>
                <w:lang w:eastAsia="zh-CN"/>
              </w:rPr>
              <w:t>吨/日</w:t>
            </w:r>
            <w:r>
              <w:rPr>
                <w:rFonts w:hint="eastAsia" w:ascii="Times New Roman" w:hAnsi="Times New Roman" w:eastAsia="宋体" w:cs="Times New Roman"/>
                <w:caps w:val="0"/>
                <w:snapToGrid/>
                <w:color w:val="auto"/>
                <w:spacing w:val="0"/>
                <w:w w:val="100"/>
                <w:kern w:val="21"/>
                <w:position w:val="0"/>
                <w:sz w:val="24"/>
                <w:szCs w:val="24"/>
                <w:lang w:eastAsia="zh-CN"/>
              </w:rPr>
              <w:t>，</w:t>
            </w:r>
            <w:r>
              <w:rPr>
                <w:rFonts w:hint="eastAsia" w:ascii="Times New Roman" w:hAnsi="Times New Roman" w:eastAsia="宋体" w:cs="Times New Roman"/>
                <w:color w:val="auto"/>
                <w:kern w:val="0"/>
                <w:sz w:val="24"/>
                <w:highlight w:val="none"/>
                <w:lang w:val="en-US" w:eastAsia="zh-CN"/>
              </w:rPr>
              <w:t>本项目尾水排放量较小</w:t>
            </w:r>
            <w:r>
              <w:rPr>
                <w:rFonts w:hint="eastAsia"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t>因此该公司有余力接纳本项目</w:t>
            </w:r>
            <w:r>
              <w:rPr>
                <w:rFonts w:hint="eastAsia" w:ascii="Times New Roman" w:hAnsi="Times New Roman" w:cs="Times New Roman"/>
                <w:color w:val="auto"/>
                <w:sz w:val="24"/>
                <w:highlight w:val="none"/>
                <w:lang w:val="en-US" w:eastAsia="zh-CN"/>
              </w:rPr>
              <w:t>废水</w:t>
            </w:r>
            <w:r>
              <w:rPr>
                <w:rFonts w:hint="default" w:ascii="Times New Roman" w:hAnsi="Times New Roman" w:cs="Times New Roman"/>
                <w:color w:val="auto"/>
                <w:sz w:val="24"/>
                <w:highlight w:val="none"/>
              </w:rPr>
              <w:t>。</w:t>
            </w:r>
          </w:p>
          <w:p w14:paraId="588729D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eastAsia" w:ascii="Times New Roman" w:hAnsi="Times New Roman" w:cs="Times New Roman"/>
                <w:bCs/>
                <w:color w:val="auto"/>
                <w:sz w:val="24"/>
                <w:highlight w:val="none"/>
                <w:lang w:val="en-US" w:eastAsia="zh-CN"/>
              </w:rPr>
              <w:t>③接管</w:t>
            </w:r>
            <w:r>
              <w:rPr>
                <w:rFonts w:hint="eastAsia" w:ascii="Times New Roman" w:hAnsi="Times New Roman" w:cs="Times New Roman"/>
                <w:bCs/>
                <w:color w:val="auto"/>
                <w:sz w:val="24"/>
                <w:highlight w:val="none"/>
              </w:rPr>
              <w:t>可行性</w:t>
            </w:r>
          </w:p>
          <w:p w14:paraId="52E87E04">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eastAsia="宋体" w:cs="Times New Roman"/>
                <w:caps w:val="0"/>
                <w:snapToGrid/>
                <w:color w:val="auto"/>
                <w:spacing w:val="0"/>
                <w:w w:val="100"/>
                <w:kern w:val="21"/>
                <w:position w:val="0"/>
                <w:sz w:val="24"/>
                <w:szCs w:val="24"/>
                <w:lang w:val="en-US" w:eastAsia="zh-CN"/>
              </w:rPr>
              <w:t>本项目所在区域为工业建成区，市政设施配备完善，市政污水管网已覆盖</w:t>
            </w:r>
            <w:r>
              <w:rPr>
                <w:rFonts w:hint="default" w:ascii="Times New Roman" w:hAnsi="Times New Roman" w:cs="Times New Roman"/>
                <w:color w:val="auto"/>
                <w:sz w:val="24"/>
                <w:highlight w:val="none"/>
              </w:rPr>
              <w:t>。</w:t>
            </w:r>
          </w:p>
          <w:p w14:paraId="4DD0A9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aps w:val="0"/>
                <w:snapToGrid/>
                <w:color w:val="auto"/>
                <w:spacing w:val="0"/>
                <w:w w:val="100"/>
                <w:kern w:val="21"/>
                <w:position w:val="0"/>
                <w:sz w:val="24"/>
                <w:szCs w:val="24"/>
                <w:lang w:val="en-US" w:eastAsia="zh-CN"/>
              </w:rPr>
            </w:pPr>
            <w:r>
              <w:rPr>
                <w:rFonts w:hint="eastAsia" w:cs="Times New Roman"/>
                <w:caps w:val="0"/>
                <w:snapToGrid/>
                <w:color w:val="auto"/>
                <w:spacing w:val="0"/>
                <w:w w:val="100"/>
                <w:kern w:val="21"/>
                <w:position w:val="0"/>
                <w:sz w:val="24"/>
                <w:szCs w:val="24"/>
                <w:lang w:val="en-US" w:eastAsia="zh-CN"/>
              </w:rPr>
              <w:t>④</w:t>
            </w:r>
            <w:r>
              <w:rPr>
                <w:rFonts w:hint="default" w:ascii="Times New Roman" w:hAnsi="Times New Roman" w:eastAsia="宋体" w:cs="Times New Roman"/>
                <w:caps w:val="0"/>
                <w:snapToGrid/>
                <w:color w:val="auto"/>
                <w:spacing w:val="0"/>
                <w:w w:val="100"/>
                <w:kern w:val="21"/>
                <w:position w:val="0"/>
                <w:sz w:val="24"/>
                <w:szCs w:val="24"/>
                <w:lang w:val="en-US" w:eastAsia="zh-CN"/>
              </w:rPr>
              <w:t>污水排放达标可行性</w:t>
            </w:r>
          </w:p>
          <w:p w14:paraId="79E468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snapToGrid/>
                <w:color w:val="auto"/>
                <w:spacing w:val="0"/>
                <w:w w:val="100"/>
                <w:kern w:val="21"/>
                <w:position w:val="0"/>
                <w:sz w:val="24"/>
                <w:szCs w:val="24"/>
              </w:rPr>
            </w:pPr>
            <w:r>
              <w:rPr>
                <w:rFonts w:hint="default" w:ascii="Times New Roman" w:hAnsi="Times New Roman" w:eastAsia="宋体" w:cs="Times New Roman"/>
                <w:caps w:val="0"/>
                <w:snapToGrid/>
                <w:color w:val="auto"/>
                <w:spacing w:val="0"/>
                <w:w w:val="100"/>
                <w:kern w:val="21"/>
                <w:position w:val="0"/>
                <w:sz w:val="24"/>
                <w:szCs w:val="24"/>
              </w:rPr>
              <w:t>根据</w:t>
            </w:r>
            <w:r>
              <w:rPr>
                <w:rFonts w:hint="eastAsia" w:ascii="Times New Roman" w:hAnsi="Times New Roman" w:eastAsia="宋体" w:cs="Times New Roman"/>
                <w:caps w:val="0"/>
                <w:snapToGrid/>
                <w:color w:val="auto"/>
                <w:spacing w:val="0"/>
                <w:w w:val="100"/>
                <w:kern w:val="21"/>
                <w:position w:val="0"/>
                <w:sz w:val="24"/>
                <w:szCs w:val="24"/>
                <w:lang w:eastAsia="zh-CN"/>
              </w:rPr>
              <w:t>泗水国祯水务有限公司</w:t>
            </w:r>
            <w:r>
              <w:rPr>
                <w:rFonts w:hint="default" w:ascii="Times New Roman" w:hAnsi="Times New Roman" w:eastAsia="宋体" w:cs="Times New Roman"/>
                <w:caps w:val="0"/>
                <w:snapToGrid/>
                <w:color w:val="auto"/>
                <w:spacing w:val="0"/>
                <w:w w:val="100"/>
                <w:kern w:val="21"/>
                <w:position w:val="0"/>
                <w:sz w:val="24"/>
                <w:szCs w:val="24"/>
              </w:rPr>
              <w:t>20</w:t>
            </w:r>
            <w:r>
              <w:rPr>
                <w:rFonts w:hint="default" w:ascii="Times New Roman" w:hAnsi="Times New Roman" w:eastAsia="宋体" w:cs="Times New Roman"/>
                <w:caps w:val="0"/>
                <w:snapToGrid/>
                <w:color w:val="auto"/>
                <w:spacing w:val="0"/>
                <w:w w:val="100"/>
                <w:kern w:val="21"/>
                <w:position w:val="0"/>
                <w:sz w:val="24"/>
                <w:szCs w:val="24"/>
                <w:lang w:val="en-US" w:eastAsia="zh-CN"/>
              </w:rPr>
              <w:t>23</w:t>
            </w:r>
            <w:r>
              <w:rPr>
                <w:rFonts w:hint="default" w:ascii="Times New Roman" w:hAnsi="Times New Roman" w:eastAsia="宋体" w:cs="Times New Roman"/>
                <w:caps w:val="0"/>
                <w:snapToGrid/>
                <w:color w:val="auto"/>
                <w:spacing w:val="0"/>
                <w:w w:val="100"/>
                <w:kern w:val="21"/>
                <w:position w:val="0"/>
                <w:sz w:val="24"/>
                <w:szCs w:val="24"/>
              </w:rPr>
              <w:t>年</w:t>
            </w:r>
            <w:r>
              <w:rPr>
                <w:rFonts w:hint="default" w:ascii="Times New Roman" w:hAnsi="Times New Roman" w:eastAsia="宋体" w:cs="Times New Roman"/>
                <w:caps w:val="0"/>
                <w:snapToGrid/>
                <w:color w:val="auto"/>
                <w:spacing w:val="0"/>
                <w:w w:val="100"/>
                <w:kern w:val="21"/>
                <w:position w:val="0"/>
                <w:sz w:val="24"/>
                <w:szCs w:val="24"/>
                <w:lang w:val="en-US" w:eastAsia="zh-CN"/>
              </w:rPr>
              <w:t>1</w:t>
            </w:r>
            <w:r>
              <w:rPr>
                <w:rFonts w:hint="default" w:ascii="Times New Roman" w:hAnsi="Times New Roman" w:eastAsia="宋体" w:cs="Times New Roman"/>
                <w:caps w:val="0"/>
                <w:snapToGrid/>
                <w:color w:val="auto"/>
                <w:spacing w:val="0"/>
                <w:w w:val="100"/>
                <w:kern w:val="21"/>
                <w:position w:val="0"/>
                <w:sz w:val="24"/>
                <w:szCs w:val="24"/>
              </w:rPr>
              <w:t>月</w:t>
            </w:r>
            <w:r>
              <w:rPr>
                <w:rFonts w:hint="eastAsia" w:cs="Times New Roman"/>
                <w:caps w:val="0"/>
                <w:snapToGrid/>
                <w:color w:val="auto"/>
                <w:spacing w:val="0"/>
                <w:w w:val="100"/>
                <w:kern w:val="21"/>
                <w:position w:val="0"/>
                <w:sz w:val="24"/>
                <w:szCs w:val="24"/>
                <w:lang w:eastAsia="zh-CN"/>
              </w:rPr>
              <w:t>—</w:t>
            </w:r>
            <w:r>
              <w:rPr>
                <w:rFonts w:hint="default" w:ascii="Times New Roman" w:hAnsi="Times New Roman" w:eastAsia="宋体" w:cs="Times New Roman"/>
                <w:caps w:val="0"/>
                <w:snapToGrid/>
                <w:color w:val="auto"/>
                <w:spacing w:val="0"/>
                <w:w w:val="100"/>
                <w:kern w:val="21"/>
                <w:position w:val="0"/>
                <w:sz w:val="24"/>
                <w:szCs w:val="24"/>
                <w:lang w:val="en-US" w:eastAsia="zh-CN"/>
              </w:rPr>
              <w:t>12月污水总排口</w:t>
            </w:r>
            <w:r>
              <w:rPr>
                <w:rFonts w:hint="default" w:ascii="Times New Roman" w:hAnsi="Times New Roman" w:eastAsia="宋体" w:cs="Times New Roman"/>
                <w:caps w:val="0"/>
                <w:snapToGrid/>
                <w:color w:val="auto"/>
                <w:spacing w:val="0"/>
                <w:w w:val="100"/>
                <w:kern w:val="21"/>
                <w:position w:val="0"/>
                <w:sz w:val="24"/>
                <w:szCs w:val="24"/>
              </w:rPr>
              <w:t>的</w:t>
            </w:r>
            <w:r>
              <w:rPr>
                <w:rFonts w:hint="default" w:ascii="Times New Roman" w:hAnsi="Times New Roman" w:eastAsia="宋体" w:cs="Times New Roman"/>
                <w:caps w:val="0"/>
                <w:snapToGrid/>
                <w:color w:val="auto"/>
                <w:spacing w:val="0"/>
                <w:w w:val="100"/>
                <w:kern w:val="21"/>
                <w:position w:val="0"/>
                <w:sz w:val="24"/>
                <w:szCs w:val="24"/>
                <w:lang w:val="en-US" w:eastAsia="zh-CN"/>
              </w:rPr>
              <w:t>在线监测结果</w:t>
            </w:r>
            <w:r>
              <w:rPr>
                <w:rFonts w:hint="default" w:ascii="Times New Roman" w:hAnsi="Times New Roman" w:eastAsia="宋体" w:cs="Times New Roman"/>
                <w:caps w:val="0"/>
                <w:snapToGrid/>
                <w:color w:val="auto"/>
                <w:spacing w:val="0"/>
                <w:w w:val="100"/>
                <w:kern w:val="21"/>
                <w:position w:val="0"/>
                <w:sz w:val="24"/>
                <w:szCs w:val="24"/>
              </w:rPr>
              <w:t>每月</w:t>
            </w:r>
            <w:r>
              <w:rPr>
                <w:rFonts w:hint="default" w:ascii="Times New Roman" w:hAnsi="Times New Roman" w:cs="Times New Roman"/>
                <w:caps w:val="0"/>
                <w:snapToGrid/>
                <w:color w:val="auto"/>
                <w:spacing w:val="0"/>
                <w:w w:val="100"/>
                <w:kern w:val="21"/>
                <w:position w:val="0"/>
                <w:sz w:val="24"/>
                <w:szCs w:val="24"/>
                <w:lang w:val="en-US" w:eastAsia="zh-CN"/>
              </w:rPr>
              <w:t>日均值的最大值进行评价</w:t>
            </w:r>
            <w:r>
              <w:rPr>
                <w:rFonts w:hint="default" w:ascii="Times New Roman" w:hAnsi="Times New Roman" w:eastAsia="宋体" w:cs="Times New Roman"/>
                <w:caps w:val="0"/>
                <w:snapToGrid/>
                <w:color w:val="auto"/>
                <w:spacing w:val="0"/>
                <w:w w:val="100"/>
                <w:kern w:val="21"/>
                <w:position w:val="0"/>
                <w:sz w:val="24"/>
                <w:szCs w:val="24"/>
              </w:rPr>
              <w:t>，废水处理运行数据统计见</w:t>
            </w:r>
            <w:r>
              <w:rPr>
                <w:rFonts w:hint="default" w:ascii="Times New Roman" w:hAnsi="Times New Roman" w:eastAsia="宋体" w:cs="Times New Roman"/>
                <w:caps w:val="0"/>
                <w:snapToGrid/>
                <w:color w:val="auto"/>
                <w:spacing w:val="0"/>
                <w:w w:val="100"/>
                <w:kern w:val="21"/>
                <w:position w:val="0"/>
                <w:sz w:val="24"/>
                <w:szCs w:val="24"/>
                <w:lang w:val="en-US" w:eastAsia="zh-CN"/>
              </w:rPr>
              <w:t>下表</w:t>
            </w:r>
            <w:r>
              <w:rPr>
                <w:rFonts w:hint="default" w:ascii="Times New Roman" w:hAnsi="Times New Roman" w:eastAsia="宋体" w:cs="Times New Roman"/>
                <w:caps w:val="0"/>
                <w:snapToGrid/>
                <w:color w:val="auto"/>
                <w:spacing w:val="0"/>
                <w:w w:val="100"/>
                <w:kern w:val="21"/>
                <w:position w:val="0"/>
                <w:sz w:val="24"/>
                <w:szCs w:val="24"/>
              </w:rPr>
              <w:t>。</w:t>
            </w:r>
          </w:p>
          <w:p w14:paraId="0C1242BE">
            <w:pPr>
              <w:pStyle w:val="3"/>
              <w:keepNext w:val="0"/>
              <w:keepLines w:val="0"/>
              <w:pageBreakBefore w:val="0"/>
              <w:widowControl w:val="0"/>
              <w:numPr>
                <w:ilvl w:val="8"/>
                <w:numId w:val="0"/>
              </w:numPr>
              <w:suppressLineNumbers w:val="0"/>
              <w:kinsoku w:val="0"/>
              <w:wordWrap/>
              <w:overflowPunct w:val="0"/>
              <w:topLinePunct w:val="0"/>
              <w:autoSpaceDE w:val="0"/>
              <w:autoSpaceDN w:val="0"/>
              <w:bidi w:val="0"/>
              <w:adjustRightInd/>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aps w:val="0"/>
                <w:snapToGrid/>
                <w:color w:val="auto"/>
                <w:spacing w:val="0"/>
                <w:w w:val="100"/>
                <w:kern w:val="21"/>
                <w:position w:val="0"/>
                <w:sz w:val="24"/>
                <w:szCs w:val="24"/>
              </w:rPr>
            </w:pPr>
            <w:r>
              <w:rPr>
                <w:rFonts w:hint="default" w:ascii="Times New Roman" w:hAnsi="Times New Roman" w:eastAsia="宋体" w:cs="Times New Roman"/>
                <w:b/>
                <w:bCs/>
                <w:caps w:val="0"/>
                <w:snapToGrid/>
                <w:color w:val="auto"/>
                <w:spacing w:val="0"/>
                <w:w w:val="100"/>
                <w:kern w:val="21"/>
                <w:position w:val="0"/>
                <w:sz w:val="24"/>
                <w:szCs w:val="24"/>
                <w:lang w:val="en-US" w:eastAsia="zh-CN" w:bidi="ar-SA"/>
              </w:rPr>
              <w:t>表</w:t>
            </w:r>
            <w:r>
              <w:rPr>
                <w:rFonts w:hint="default" w:ascii="Times New Roman" w:hAnsi="Times New Roman" w:cs="Times New Roman"/>
                <w:b/>
                <w:bCs/>
                <w:caps w:val="0"/>
                <w:snapToGrid/>
                <w:color w:val="auto"/>
                <w:spacing w:val="0"/>
                <w:w w:val="100"/>
                <w:kern w:val="21"/>
                <w:position w:val="0"/>
                <w:sz w:val="24"/>
                <w:szCs w:val="24"/>
                <w:lang w:val="en-US" w:eastAsia="zh-CN" w:bidi="ar-SA"/>
              </w:rPr>
              <w:t>4-</w:t>
            </w:r>
            <w:r>
              <w:rPr>
                <w:rFonts w:hint="eastAsia" w:cs="Times New Roman"/>
                <w:b/>
                <w:bCs/>
                <w:caps w:val="0"/>
                <w:snapToGrid/>
                <w:color w:val="auto"/>
                <w:spacing w:val="0"/>
                <w:w w:val="100"/>
                <w:kern w:val="21"/>
                <w:position w:val="0"/>
                <w:sz w:val="24"/>
                <w:szCs w:val="24"/>
                <w:lang w:val="en-US" w:eastAsia="zh-CN" w:bidi="ar-SA"/>
              </w:rPr>
              <w:t>8</w:t>
            </w:r>
            <w:r>
              <w:rPr>
                <w:rFonts w:hint="eastAsia" w:ascii="宋体" w:hAnsi="宋体" w:cs="宋体"/>
                <w:b/>
                <w:bCs/>
                <w:caps w:val="0"/>
                <w:snapToGrid/>
                <w:color w:val="auto"/>
                <w:spacing w:val="0"/>
                <w:w w:val="100"/>
                <w:kern w:val="21"/>
                <w:position w:val="0"/>
                <w:sz w:val="24"/>
                <w:szCs w:val="24"/>
                <w:lang w:val="en-US" w:eastAsia="zh-CN" w:bidi="ar-SA"/>
              </w:rPr>
              <w:t xml:space="preserve">  </w:t>
            </w:r>
            <w:r>
              <w:rPr>
                <w:rFonts w:hint="eastAsia" w:ascii="Times New Roman" w:hAnsi="Times New Roman" w:eastAsia="宋体" w:cs="Times New Roman"/>
                <w:b/>
                <w:bCs/>
                <w:caps w:val="0"/>
                <w:snapToGrid/>
                <w:color w:val="auto"/>
                <w:spacing w:val="0"/>
                <w:w w:val="100"/>
                <w:kern w:val="21"/>
                <w:position w:val="0"/>
                <w:sz w:val="24"/>
                <w:szCs w:val="24"/>
                <w:lang w:val="en-US" w:eastAsia="zh-CN"/>
              </w:rPr>
              <w:t>泗水国祯水务有限公司</w:t>
            </w:r>
            <w:r>
              <w:rPr>
                <w:rFonts w:hint="default" w:ascii="Times New Roman" w:hAnsi="Times New Roman" w:eastAsia="宋体" w:cs="Times New Roman"/>
                <w:b/>
                <w:bCs/>
                <w:caps w:val="0"/>
                <w:snapToGrid/>
                <w:color w:val="auto"/>
                <w:spacing w:val="0"/>
                <w:w w:val="100"/>
                <w:kern w:val="21"/>
                <w:position w:val="0"/>
                <w:sz w:val="24"/>
                <w:szCs w:val="24"/>
                <w:lang w:val="en-US" w:eastAsia="zh-CN"/>
              </w:rPr>
              <w:t>出水</w:t>
            </w:r>
            <w:r>
              <w:rPr>
                <w:rFonts w:hint="default" w:ascii="Times New Roman" w:hAnsi="Times New Roman" w:eastAsia="宋体" w:cs="Times New Roman"/>
                <w:b/>
                <w:bCs/>
                <w:caps w:val="0"/>
                <w:snapToGrid/>
                <w:color w:val="auto"/>
                <w:spacing w:val="0"/>
                <w:w w:val="100"/>
                <w:kern w:val="21"/>
                <w:position w:val="0"/>
                <w:sz w:val="24"/>
                <w:szCs w:val="24"/>
              </w:rPr>
              <w:t>水质统计表</w:t>
            </w:r>
          </w:p>
          <w:tbl>
            <w:tblPr>
              <w:tblStyle w:val="34"/>
              <w:tblW w:w="85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223"/>
              <w:gridCol w:w="1225"/>
              <w:gridCol w:w="1225"/>
              <w:gridCol w:w="1225"/>
              <w:gridCol w:w="991"/>
              <w:gridCol w:w="1032"/>
              <w:gridCol w:w="9"/>
            </w:tblGrid>
            <w:tr w14:paraId="629CF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tblHeader/>
                <w:jc w:val="center"/>
              </w:trPr>
              <w:tc>
                <w:tcPr>
                  <w:tcW w:w="922" w:type="pct"/>
                  <w:tcBorders>
                    <w:tl2br w:val="nil"/>
                    <w:tr2bl w:val="nil"/>
                  </w:tcBorders>
                  <w:noWrap w:val="0"/>
                  <w:vAlign w:val="center"/>
                </w:tcPr>
                <w:p w14:paraId="177E2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aps w:val="0"/>
                      <w:snapToGrid/>
                      <w:color w:val="auto"/>
                      <w:spacing w:val="0"/>
                      <w:w w:val="100"/>
                      <w:kern w:val="21"/>
                      <w:position w:val="0"/>
                      <w:sz w:val="21"/>
                      <w:szCs w:val="21"/>
                    </w:rPr>
                  </w:pPr>
                  <w:r>
                    <w:rPr>
                      <w:rFonts w:hint="default" w:ascii="Times New Roman" w:hAnsi="Times New Roman" w:eastAsia="宋体" w:cs="Times New Roman"/>
                      <w:b/>
                      <w:bCs w:val="0"/>
                      <w:caps w:val="0"/>
                      <w:snapToGrid/>
                      <w:color w:val="auto"/>
                      <w:spacing w:val="0"/>
                      <w:w w:val="100"/>
                      <w:kern w:val="21"/>
                      <w:position w:val="0"/>
                      <w:sz w:val="21"/>
                      <w:szCs w:val="21"/>
                    </w:rPr>
                    <w:t>日期</w:t>
                  </w:r>
                </w:p>
              </w:tc>
              <w:tc>
                <w:tcPr>
                  <w:tcW w:w="717" w:type="pct"/>
                  <w:tcBorders>
                    <w:tl2br w:val="nil"/>
                    <w:tr2bl w:val="nil"/>
                  </w:tcBorders>
                  <w:noWrap w:val="0"/>
                  <w:vAlign w:val="center"/>
                </w:tcPr>
                <w:p w14:paraId="51D33A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aps w:val="0"/>
                      <w:snapToGrid/>
                      <w:color w:val="auto"/>
                      <w:spacing w:val="0"/>
                      <w:w w:val="100"/>
                      <w:kern w:val="21"/>
                      <w:position w:val="0"/>
                      <w:sz w:val="21"/>
                      <w:szCs w:val="21"/>
                    </w:rPr>
                  </w:pPr>
                  <w:r>
                    <w:rPr>
                      <w:rFonts w:hint="default" w:ascii="Times New Roman" w:hAnsi="Times New Roman" w:eastAsia="宋体" w:cs="Times New Roman"/>
                      <w:b/>
                      <w:bCs w:val="0"/>
                      <w:caps w:val="0"/>
                      <w:snapToGrid/>
                      <w:color w:val="auto"/>
                      <w:spacing w:val="0"/>
                      <w:w w:val="100"/>
                      <w:kern w:val="21"/>
                      <w:position w:val="0"/>
                      <w:sz w:val="21"/>
                      <w:szCs w:val="21"/>
                    </w:rPr>
                    <w:t>pH</w:t>
                  </w:r>
                </w:p>
              </w:tc>
              <w:tc>
                <w:tcPr>
                  <w:tcW w:w="718" w:type="pct"/>
                  <w:tcBorders>
                    <w:tl2br w:val="nil"/>
                    <w:tr2bl w:val="nil"/>
                  </w:tcBorders>
                  <w:noWrap w:val="0"/>
                  <w:vAlign w:val="center"/>
                </w:tcPr>
                <w:p w14:paraId="11D583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aps w:val="0"/>
                      <w:snapToGrid/>
                      <w:color w:val="auto"/>
                      <w:spacing w:val="0"/>
                      <w:w w:val="100"/>
                      <w:kern w:val="21"/>
                      <w:position w:val="0"/>
                      <w:sz w:val="21"/>
                      <w:szCs w:val="21"/>
                    </w:rPr>
                  </w:pPr>
                  <w:r>
                    <w:rPr>
                      <w:rFonts w:hint="default" w:ascii="Times New Roman" w:hAnsi="Times New Roman" w:eastAsia="宋体" w:cs="Times New Roman"/>
                      <w:b/>
                      <w:bCs w:val="0"/>
                      <w:caps w:val="0"/>
                      <w:snapToGrid/>
                      <w:color w:val="auto"/>
                      <w:spacing w:val="0"/>
                      <w:w w:val="100"/>
                      <w:kern w:val="21"/>
                      <w:position w:val="0"/>
                      <w:sz w:val="21"/>
                      <w:szCs w:val="21"/>
                    </w:rPr>
                    <w:t>COD</w:t>
                  </w:r>
                </w:p>
              </w:tc>
              <w:tc>
                <w:tcPr>
                  <w:tcW w:w="718" w:type="pct"/>
                  <w:tcBorders>
                    <w:tl2br w:val="nil"/>
                    <w:tr2bl w:val="nil"/>
                  </w:tcBorders>
                  <w:noWrap w:val="0"/>
                  <w:vAlign w:val="center"/>
                </w:tcPr>
                <w:p w14:paraId="6A1D41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aps w:val="0"/>
                      <w:snapToGrid/>
                      <w:color w:val="auto"/>
                      <w:spacing w:val="0"/>
                      <w:w w:val="100"/>
                      <w:kern w:val="21"/>
                      <w:position w:val="0"/>
                      <w:sz w:val="21"/>
                      <w:szCs w:val="21"/>
                      <w:lang w:eastAsia="zh-CN"/>
                    </w:rPr>
                  </w:pPr>
                  <w:r>
                    <w:rPr>
                      <w:rFonts w:hint="default" w:ascii="Times New Roman" w:hAnsi="Times New Roman" w:eastAsia="宋体" w:cs="Times New Roman"/>
                      <w:b/>
                      <w:bCs w:val="0"/>
                      <w:caps w:val="0"/>
                      <w:snapToGrid/>
                      <w:color w:val="auto"/>
                      <w:spacing w:val="0"/>
                      <w:w w:val="100"/>
                      <w:kern w:val="21"/>
                      <w:position w:val="0"/>
                      <w:sz w:val="21"/>
                      <w:szCs w:val="21"/>
                      <w:lang w:val="en-US" w:eastAsia="zh-CN"/>
                    </w:rPr>
                    <w:t>氨氮</w:t>
                  </w:r>
                </w:p>
              </w:tc>
              <w:tc>
                <w:tcPr>
                  <w:tcW w:w="718" w:type="pct"/>
                  <w:tcBorders>
                    <w:tl2br w:val="nil"/>
                    <w:tr2bl w:val="nil"/>
                  </w:tcBorders>
                  <w:noWrap w:val="0"/>
                  <w:vAlign w:val="center"/>
                </w:tcPr>
                <w:p w14:paraId="1BF61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aps w:val="0"/>
                      <w:snapToGrid/>
                      <w:color w:val="auto"/>
                      <w:spacing w:val="0"/>
                      <w:w w:val="100"/>
                      <w:kern w:val="21"/>
                      <w:position w:val="0"/>
                      <w:sz w:val="21"/>
                      <w:szCs w:val="21"/>
                      <w:lang w:val="en-US" w:eastAsia="zh-CN"/>
                    </w:rPr>
                  </w:pPr>
                  <w:r>
                    <w:rPr>
                      <w:rFonts w:hint="default" w:ascii="Times New Roman" w:hAnsi="Times New Roman" w:eastAsia="宋体" w:cs="Times New Roman"/>
                      <w:b/>
                      <w:bCs w:val="0"/>
                      <w:caps w:val="0"/>
                      <w:snapToGrid/>
                      <w:color w:val="auto"/>
                      <w:spacing w:val="0"/>
                      <w:w w:val="100"/>
                      <w:kern w:val="21"/>
                      <w:position w:val="0"/>
                      <w:sz w:val="21"/>
                      <w:szCs w:val="21"/>
                      <w:lang w:val="en-US" w:eastAsia="zh-CN"/>
                    </w:rPr>
                    <w:t>总氮</w:t>
                  </w:r>
                </w:p>
              </w:tc>
              <w:tc>
                <w:tcPr>
                  <w:tcW w:w="581" w:type="pct"/>
                  <w:tcBorders>
                    <w:tl2br w:val="nil"/>
                    <w:tr2bl w:val="nil"/>
                  </w:tcBorders>
                  <w:noWrap w:val="0"/>
                  <w:vAlign w:val="center"/>
                </w:tcPr>
                <w:p w14:paraId="68678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aps w:val="0"/>
                      <w:snapToGrid/>
                      <w:color w:val="auto"/>
                      <w:spacing w:val="0"/>
                      <w:w w:val="100"/>
                      <w:kern w:val="21"/>
                      <w:position w:val="0"/>
                      <w:sz w:val="21"/>
                      <w:szCs w:val="21"/>
                      <w:lang w:val="en-US" w:eastAsia="zh-CN"/>
                    </w:rPr>
                  </w:pPr>
                  <w:r>
                    <w:rPr>
                      <w:rFonts w:hint="default" w:ascii="Times New Roman" w:hAnsi="Times New Roman" w:eastAsia="宋体" w:cs="Times New Roman"/>
                      <w:b/>
                      <w:bCs w:val="0"/>
                      <w:caps w:val="0"/>
                      <w:snapToGrid/>
                      <w:color w:val="auto"/>
                      <w:spacing w:val="0"/>
                      <w:w w:val="100"/>
                      <w:kern w:val="21"/>
                      <w:position w:val="0"/>
                      <w:sz w:val="21"/>
                      <w:szCs w:val="21"/>
                      <w:lang w:val="en-US" w:eastAsia="zh-CN"/>
                    </w:rPr>
                    <w:t>总磷</w:t>
                  </w:r>
                </w:p>
              </w:tc>
              <w:tc>
                <w:tcPr>
                  <w:tcW w:w="605" w:type="pct"/>
                  <w:tcBorders>
                    <w:tl2br w:val="nil"/>
                    <w:tr2bl w:val="nil"/>
                  </w:tcBorders>
                  <w:noWrap w:val="0"/>
                  <w:vAlign w:val="center"/>
                </w:tcPr>
                <w:p w14:paraId="08761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aps w:val="0"/>
                      <w:snapToGrid/>
                      <w:color w:val="auto"/>
                      <w:spacing w:val="0"/>
                      <w:w w:val="100"/>
                      <w:kern w:val="21"/>
                      <w:position w:val="0"/>
                      <w:sz w:val="21"/>
                      <w:szCs w:val="21"/>
                      <w:lang w:val="en-US" w:eastAsia="zh-CN"/>
                    </w:rPr>
                  </w:pPr>
                  <w:r>
                    <w:rPr>
                      <w:rFonts w:hint="eastAsia" w:ascii="Times New Roman" w:hAnsi="Times New Roman" w:eastAsia="宋体" w:cs="Times New Roman"/>
                      <w:b/>
                      <w:bCs w:val="0"/>
                      <w:caps w:val="0"/>
                      <w:snapToGrid/>
                      <w:color w:val="auto"/>
                      <w:spacing w:val="0"/>
                      <w:w w:val="100"/>
                      <w:kern w:val="21"/>
                      <w:position w:val="0"/>
                      <w:sz w:val="21"/>
                      <w:szCs w:val="21"/>
                      <w:lang w:val="en-US" w:eastAsia="zh-CN"/>
                    </w:rPr>
                    <w:t>备注</w:t>
                  </w:r>
                </w:p>
              </w:tc>
            </w:tr>
            <w:tr w14:paraId="5AA28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7B42C7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2023-01</w:t>
                  </w:r>
                </w:p>
              </w:tc>
              <w:tc>
                <w:tcPr>
                  <w:tcW w:w="717" w:type="pct"/>
                  <w:tcBorders>
                    <w:tl2br w:val="nil"/>
                    <w:tr2bl w:val="nil"/>
                  </w:tcBorders>
                  <w:noWrap w:val="0"/>
                  <w:vAlign w:val="center"/>
                </w:tcPr>
                <w:p w14:paraId="1E7119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7.28</w:t>
                  </w:r>
                </w:p>
              </w:tc>
              <w:tc>
                <w:tcPr>
                  <w:tcW w:w="718" w:type="pct"/>
                  <w:tcBorders>
                    <w:tl2br w:val="nil"/>
                    <w:tr2bl w:val="nil"/>
                  </w:tcBorders>
                  <w:noWrap w:val="0"/>
                  <w:vAlign w:val="center"/>
                </w:tcPr>
                <w:p w14:paraId="4506B2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18" w:type="pct"/>
                  <w:tcBorders>
                    <w:tl2br w:val="nil"/>
                    <w:tr2bl w:val="nil"/>
                  </w:tcBorders>
                  <w:noWrap w:val="0"/>
                  <w:vAlign w:val="center"/>
                </w:tcPr>
                <w:p w14:paraId="77991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0.125</w:t>
                  </w:r>
                </w:p>
              </w:tc>
              <w:tc>
                <w:tcPr>
                  <w:tcW w:w="718" w:type="pct"/>
                  <w:tcBorders>
                    <w:tl2br w:val="nil"/>
                    <w:tr2bl w:val="nil"/>
                  </w:tcBorders>
                  <w:noWrap w:val="0"/>
                  <w:vAlign w:val="center"/>
                </w:tcPr>
                <w:p w14:paraId="04E20D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7.16</w:t>
                  </w:r>
                </w:p>
              </w:tc>
              <w:tc>
                <w:tcPr>
                  <w:tcW w:w="581" w:type="pct"/>
                  <w:tcBorders>
                    <w:tl2br w:val="nil"/>
                    <w:tr2bl w:val="nil"/>
                  </w:tcBorders>
                  <w:noWrap w:val="0"/>
                  <w:vAlign w:val="center"/>
                </w:tcPr>
                <w:p w14:paraId="2D438F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0.188</w:t>
                  </w:r>
                </w:p>
              </w:tc>
              <w:tc>
                <w:tcPr>
                  <w:tcW w:w="605" w:type="pct"/>
                  <w:vMerge w:val="restart"/>
                  <w:tcBorders>
                    <w:tl2br w:val="nil"/>
                    <w:tr2bl w:val="nil"/>
                  </w:tcBorders>
                  <w:noWrap w:val="0"/>
                  <w:vAlign w:val="center"/>
                </w:tcPr>
                <w:p w14:paraId="214800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2023年在线监测数据全年平均流量为10645m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/d</w:t>
                  </w:r>
                </w:p>
              </w:tc>
            </w:tr>
            <w:tr w14:paraId="346C2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472DA1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2023-02</w:t>
                  </w:r>
                </w:p>
              </w:tc>
              <w:tc>
                <w:tcPr>
                  <w:tcW w:w="717" w:type="pct"/>
                  <w:tcBorders>
                    <w:tl2br w:val="nil"/>
                    <w:tr2bl w:val="nil"/>
                  </w:tcBorders>
                  <w:noWrap w:val="0"/>
                  <w:vAlign w:val="center"/>
                </w:tcPr>
                <w:p w14:paraId="707BD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7.28</w:t>
                  </w:r>
                </w:p>
              </w:tc>
              <w:tc>
                <w:tcPr>
                  <w:tcW w:w="718" w:type="pct"/>
                  <w:tcBorders>
                    <w:tl2br w:val="nil"/>
                    <w:tr2bl w:val="nil"/>
                  </w:tcBorders>
                  <w:noWrap w:val="0"/>
                  <w:vAlign w:val="center"/>
                </w:tcPr>
                <w:p w14:paraId="5F4EB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11.4</w:t>
                  </w:r>
                </w:p>
              </w:tc>
              <w:tc>
                <w:tcPr>
                  <w:tcW w:w="718" w:type="pct"/>
                  <w:tcBorders>
                    <w:tl2br w:val="nil"/>
                    <w:tr2bl w:val="nil"/>
                  </w:tcBorders>
                  <w:noWrap w:val="0"/>
                  <w:vAlign w:val="center"/>
                </w:tcPr>
                <w:p w14:paraId="7B7FC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0.136</w:t>
                  </w:r>
                </w:p>
              </w:tc>
              <w:tc>
                <w:tcPr>
                  <w:tcW w:w="718" w:type="pct"/>
                  <w:tcBorders>
                    <w:tl2br w:val="nil"/>
                    <w:tr2bl w:val="nil"/>
                  </w:tcBorders>
                  <w:noWrap w:val="0"/>
                  <w:vAlign w:val="center"/>
                </w:tcPr>
                <w:p w14:paraId="53209C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8.07</w:t>
                  </w:r>
                </w:p>
              </w:tc>
              <w:tc>
                <w:tcPr>
                  <w:tcW w:w="581" w:type="pct"/>
                  <w:tcBorders>
                    <w:tl2br w:val="nil"/>
                    <w:tr2bl w:val="nil"/>
                  </w:tcBorders>
                  <w:noWrap w:val="0"/>
                  <w:vAlign w:val="center"/>
                </w:tcPr>
                <w:p w14:paraId="43EC1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0.208</w:t>
                  </w:r>
                </w:p>
              </w:tc>
              <w:tc>
                <w:tcPr>
                  <w:tcW w:w="605" w:type="pct"/>
                  <w:vMerge w:val="continue"/>
                  <w:tcBorders>
                    <w:tl2br w:val="nil"/>
                    <w:tr2bl w:val="nil"/>
                  </w:tcBorders>
                  <w:noWrap w:val="0"/>
                  <w:vAlign w:val="center"/>
                </w:tcPr>
                <w:p w14:paraId="754185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0293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7EC815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2023-03</w:t>
                  </w:r>
                </w:p>
              </w:tc>
              <w:tc>
                <w:tcPr>
                  <w:tcW w:w="717" w:type="pct"/>
                  <w:tcBorders>
                    <w:tl2br w:val="nil"/>
                    <w:tr2bl w:val="nil"/>
                  </w:tcBorders>
                  <w:noWrap w:val="0"/>
                  <w:vAlign w:val="center"/>
                </w:tcPr>
                <w:p w14:paraId="4C902E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7.31</w:t>
                  </w:r>
                </w:p>
              </w:tc>
              <w:tc>
                <w:tcPr>
                  <w:tcW w:w="718" w:type="pct"/>
                  <w:tcBorders>
                    <w:tl2br w:val="nil"/>
                    <w:tr2bl w:val="nil"/>
                  </w:tcBorders>
                  <w:noWrap w:val="0"/>
                  <w:vAlign w:val="center"/>
                </w:tcPr>
                <w:p w14:paraId="7E0B1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14.6</w:t>
                  </w:r>
                </w:p>
              </w:tc>
              <w:tc>
                <w:tcPr>
                  <w:tcW w:w="718" w:type="pct"/>
                  <w:tcBorders>
                    <w:tl2br w:val="nil"/>
                    <w:tr2bl w:val="nil"/>
                  </w:tcBorders>
                  <w:noWrap w:val="0"/>
                  <w:vAlign w:val="center"/>
                </w:tcPr>
                <w:p w14:paraId="6FE155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0.0807</w:t>
                  </w:r>
                </w:p>
              </w:tc>
              <w:tc>
                <w:tcPr>
                  <w:tcW w:w="718" w:type="pct"/>
                  <w:tcBorders>
                    <w:tl2br w:val="nil"/>
                    <w:tr2bl w:val="nil"/>
                  </w:tcBorders>
                  <w:noWrap w:val="0"/>
                  <w:vAlign w:val="center"/>
                </w:tcPr>
                <w:p w14:paraId="323DDE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8.65</w:t>
                  </w:r>
                </w:p>
              </w:tc>
              <w:tc>
                <w:tcPr>
                  <w:tcW w:w="581" w:type="pct"/>
                  <w:tcBorders>
                    <w:tl2br w:val="nil"/>
                    <w:tr2bl w:val="nil"/>
                  </w:tcBorders>
                  <w:noWrap w:val="0"/>
                  <w:vAlign w:val="center"/>
                </w:tcPr>
                <w:p w14:paraId="7DF8BE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0.217</w:t>
                  </w:r>
                </w:p>
              </w:tc>
              <w:tc>
                <w:tcPr>
                  <w:tcW w:w="605" w:type="pct"/>
                  <w:vMerge w:val="continue"/>
                  <w:tcBorders>
                    <w:tl2br w:val="nil"/>
                    <w:tr2bl w:val="nil"/>
                  </w:tcBorders>
                  <w:noWrap w:val="0"/>
                  <w:vAlign w:val="center"/>
                </w:tcPr>
                <w:p w14:paraId="56ED81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CD6A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7E232F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2023-04</w:t>
                  </w:r>
                </w:p>
              </w:tc>
              <w:tc>
                <w:tcPr>
                  <w:tcW w:w="717" w:type="pct"/>
                  <w:tcBorders>
                    <w:tl2br w:val="nil"/>
                    <w:tr2bl w:val="nil"/>
                  </w:tcBorders>
                  <w:noWrap w:val="0"/>
                  <w:vAlign w:val="center"/>
                </w:tcPr>
                <w:p w14:paraId="20D1B8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7.55</w:t>
                  </w:r>
                </w:p>
              </w:tc>
              <w:tc>
                <w:tcPr>
                  <w:tcW w:w="718" w:type="pct"/>
                  <w:tcBorders>
                    <w:tl2br w:val="nil"/>
                    <w:tr2bl w:val="nil"/>
                  </w:tcBorders>
                  <w:noWrap w:val="0"/>
                  <w:vAlign w:val="center"/>
                </w:tcPr>
                <w:p w14:paraId="161D2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718" w:type="pct"/>
                  <w:tcBorders>
                    <w:tl2br w:val="nil"/>
                    <w:tr2bl w:val="nil"/>
                  </w:tcBorders>
                  <w:noWrap w:val="0"/>
                  <w:vAlign w:val="center"/>
                </w:tcPr>
                <w:p w14:paraId="609CE5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0.0756</w:t>
                  </w:r>
                </w:p>
              </w:tc>
              <w:tc>
                <w:tcPr>
                  <w:tcW w:w="718" w:type="pct"/>
                  <w:tcBorders>
                    <w:tl2br w:val="nil"/>
                    <w:tr2bl w:val="nil"/>
                  </w:tcBorders>
                  <w:noWrap w:val="0"/>
                  <w:vAlign w:val="center"/>
                </w:tcPr>
                <w:p w14:paraId="4F132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9.65</w:t>
                  </w:r>
                </w:p>
              </w:tc>
              <w:tc>
                <w:tcPr>
                  <w:tcW w:w="581" w:type="pct"/>
                  <w:tcBorders>
                    <w:tl2br w:val="nil"/>
                    <w:tr2bl w:val="nil"/>
                  </w:tcBorders>
                  <w:noWrap w:val="0"/>
                  <w:vAlign w:val="center"/>
                </w:tcPr>
                <w:p w14:paraId="569B56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0.179</w:t>
                  </w:r>
                </w:p>
              </w:tc>
              <w:tc>
                <w:tcPr>
                  <w:tcW w:w="605" w:type="pct"/>
                  <w:vMerge w:val="continue"/>
                  <w:tcBorders>
                    <w:tl2br w:val="nil"/>
                    <w:tr2bl w:val="nil"/>
                  </w:tcBorders>
                  <w:noWrap w:val="0"/>
                  <w:vAlign w:val="center"/>
                </w:tcPr>
                <w:p w14:paraId="5E1B50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CC15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56E5F1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2023-05</w:t>
                  </w:r>
                </w:p>
              </w:tc>
              <w:tc>
                <w:tcPr>
                  <w:tcW w:w="717" w:type="pct"/>
                  <w:tcBorders>
                    <w:tl2br w:val="nil"/>
                    <w:tr2bl w:val="nil"/>
                  </w:tcBorders>
                  <w:noWrap w:val="0"/>
                  <w:vAlign w:val="center"/>
                </w:tcPr>
                <w:p w14:paraId="11DC4B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7.66</w:t>
                  </w:r>
                </w:p>
              </w:tc>
              <w:tc>
                <w:tcPr>
                  <w:tcW w:w="718" w:type="pct"/>
                  <w:tcBorders>
                    <w:tl2br w:val="nil"/>
                    <w:tr2bl w:val="nil"/>
                  </w:tcBorders>
                  <w:noWrap w:val="0"/>
                  <w:vAlign w:val="center"/>
                </w:tcPr>
                <w:p w14:paraId="1EEEE5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20.3</w:t>
                  </w:r>
                </w:p>
              </w:tc>
              <w:tc>
                <w:tcPr>
                  <w:tcW w:w="718" w:type="pct"/>
                  <w:tcBorders>
                    <w:tl2br w:val="nil"/>
                    <w:tr2bl w:val="nil"/>
                  </w:tcBorders>
                  <w:noWrap w:val="0"/>
                  <w:vAlign w:val="center"/>
                </w:tcPr>
                <w:p w14:paraId="09F52B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0.0846</w:t>
                  </w:r>
                </w:p>
              </w:tc>
              <w:tc>
                <w:tcPr>
                  <w:tcW w:w="718" w:type="pct"/>
                  <w:tcBorders>
                    <w:tl2br w:val="nil"/>
                    <w:tr2bl w:val="nil"/>
                  </w:tcBorders>
                  <w:noWrap w:val="0"/>
                  <w:vAlign w:val="center"/>
                </w:tcPr>
                <w:p w14:paraId="7F0DF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10.3</w:t>
                  </w:r>
                </w:p>
              </w:tc>
              <w:tc>
                <w:tcPr>
                  <w:tcW w:w="581" w:type="pct"/>
                  <w:tcBorders>
                    <w:tl2br w:val="nil"/>
                    <w:tr2bl w:val="nil"/>
                  </w:tcBorders>
                  <w:noWrap w:val="0"/>
                  <w:vAlign w:val="center"/>
                </w:tcPr>
                <w:p w14:paraId="5F43BB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605" w:type="pct"/>
                  <w:vMerge w:val="continue"/>
                  <w:tcBorders>
                    <w:tl2br w:val="nil"/>
                    <w:tr2bl w:val="nil"/>
                  </w:tcBorders>
                  <w:noWrap w:val="0"/>
                  <w:vAlign w:val="center"/>
                </w:tcPr>
                <w:p w14:paraId="7E4645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35B0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63798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2023-06</w:t>
                  </w:r>
                </w:p>
              </w:tc>
              <w:tc>
                <w:tcPr>
                  <w:tcW w:w="717" w:type="pct"/>
                  <w:tcBorders>
                    <w:tl2br w:val="nil"/>
                    <w:tr2bl w:val="nil"/>
                  </w:tcBorders>
                  <w:noWrap w:val="0"/>
                  <w:vAlign w:val="center"/>
                </w:tcPr>
                <w:p w14:paraId="2696CC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7.73</w:t>
                  </w:r>
                </w:p>
              </w:tc>
              <w:tc>
                <w:tcPr>
                  <w:tcW w:w="718" w:type="pct"/>
                  <w:tcBorders>
                    <w:tl2br w:val="nil"/>
                    <w:tr2bl w:val="nil"/>
                  </w:tcBorders>
                  <w:noWrap w:val="0"/>
                  <w:vAlign w:val="center"/>
                </w:tcPr>
                <w:p w14:paraId="77D539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718" w:type="pct"/>
                  <w:tcBorders>
                    <w:tl2br w:val="nil"/>
                    <w:tr2bl w:val="nil"/>
                  </w:tcBorders>
                  <w:noWrap w:val="0"/>
                  <w:vAlign w:val="center"/>
                </w:tcPr>
                <w:p w14:paraId="691D4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0.0822</w:t>
                  </w:r>
                </w:p>
              </w:tc>
              <w:tc>
                <w:tcPr>
                  <w:tcW w:w="718" w:type="pct"/>
                  <w:tcBorders>
                    <w:tl2br w:val="nil"/>
                    <w:tr2bl w:val="nil"/>
                  </w:tcBorders>
                  <w:noWrap w:val="0"/>
                  <w:vAlign w:val="center"/>
                </w:tcPr>
                <w:p w14:paraId="29AAC8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9.39</w:t>
                  </w:r>
                </w:p>
              </w:tc>
              <w:tc>
                <w:tcPr>
                  <w:tcW w:w="581" w:type="pct"/>
                  <w:tcBorders>
                    <w:tl2br w:val="nil"/>
                    <w:tr2bl w:val="nil"/>
                  </w:tcBorders>
                  <w:noWrap w:val="0"/>
                  <w:vAlign w:val="center"/>
                </w:tcPr>
                <w:p w14:paraId="0242FD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605" w:type="pct"/>
                  <w:vMerge w:val="continue"/>
                  <w:tcBorders>
                    <w:tl2br w:val="nil"/>
                    <w:tr2bl w:val="nil"/>
                  </w:tcBorders>
                  <w:noWrap w:val="0"/>
                  <w:vAlign w:val="center"/>
                </w:tcPr>
                <w:p w14:paraId="2A233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4591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3636CE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2023-07</w:t>
                  </w:r>
                </w:p>
              </w:tc>
              <w:tc>
                <w:tcPr>
                  <w:tcW w:w="717" w:type="pct"/>
                  <w:tcBorders>
                    <w:tl2br w:val="nil"/>
                    <w:tr2bl w:val="nil"/>
                  </w:tcBorders>
                  <w:noWrap w:val="0"/>
                  <w:vAlign w:val="center"/>
                </w:tcPr>
                <w:p w14:paraId="55872E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7.77</w:t>
                  </w:r>
                </w:p>
              </w:tc>
              <w:tc>
                <w:tcPr>
                  <w:tcW w:w="718" w:type="pct"/>
                  <w:tcBorders>
                    <w:tl2br w:val="nil"/>
                    <w:tr2bl w:val="nil"/>
                  </w:tcBorders>
                  <w:noWrap w:val="0"/>
                  <w:vAlign w:val="center"/>
                </w:tcPr>
                <w:p w14:paraId="24290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13.6</w:t>
                  </w:r>
                </w:p>
              </w:tc>
              <w:tc>
                <w:tcPr>
                  <w:tcW w:w="718" w:type="pct"/>
                  <w:tcBorders>
                    <w:tl2br w:val="nil"/>
                    <w:tr2bl w:val="nil"/>
                  </w:tcBorders>
                  <w:noWrap w:val="0"/>
                  <w:vAlign w:val="center"/>
                </w:tcPr>
                <w:p w14:paraId="191569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0.0745</w:t>
                  </w:r>
                </w:p>
              </w:tc>
              <w:tc>
                <w:tcPr>
                  <w:tcW w:w="718" w:type="pct"/>
                  <w:tcBorders>
                    <w:tl2br w:val="nil"/>
                    <w:tr2bl w:val="nil"/>
                  </w:tcBorders>
                  <w:noWrap w:val="0"/>
                  <w:vAlign w:val="center"/>
                </w:tcPr>
                <w:p w14:paraId="7E9C7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8.03</w:t>
                  </w:r>
                </w:p>
              </w:tc>
              <w:tc>
                <w:tcPr>
                  <w:tcW w:w="581" w:type="pct"/>
                  <w:tcBorders>
                    <w:tl2br w:val="nil"/>
                    <w:tr2bl w:val="nil"/>
                  </w:tcBorders>
                  <w:noWrap w:val="0"/>
                  <w:vAlign w:val="center"/>
                </w:tcPr>
                <w:p w14:paraId="64FC3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605" w:type="pct"/>
                  <w:vMerge w:val="continue"/>
                  <w:tcBorders>
                    <w:tl2br w:val="nil"/>
                    <w:tr2bl w:val="nil"/>
                  </w:tcBorders>
                  <w:noWrap w:val="0"/>
                  <w:vAlign w:val="center"/>
                </w:tcPr>
                <w:p w14:paraId="5B75D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2097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2F03D7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2023-08</w:t>
                  </w:r>
                </w:p>
              </w:tc>
              <w:tc>
                <w:tcPr>
                  <w:tcW w:w="717" w:type="pct"/>
                  <w:tcBorders>
                    <w:tl2br w:val="nil"/>
                    <w:tr2bl w:val="nil"/>
                  </w:tcBorders>
                  <w:noWrap w:val="0"/>
                  <w:vAlign w:val="center"/>
                </w:tcPr>
                <w:p w14:paraId="49CFF0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7.63</w:t>
                  </w:r>
                </w:p>
              </w:tc>
              <w:tc>
                <w:tcPr>
                  <w:tcW w:w="718" w:type="pct"/>
                  <w:tcBorders>
                    <w:tl2br w:val="nil"/>
                    <w:tr2bl w:val="nil"/>
                  </w:tcBorders>
                  <w:noWrap w:val="0"/>
                  <w:vAlign w:val="center"/>
                </w:tcPr>
                <w:p w14:paraId="42C121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718" w:type="pct"/>
                  <w:tcBorders>
                    <w:tl2br w:val="nil"/>
                    <w:tr2bl w:val="nil"/>
                  </w:tcBorders>
                  <w:noWrap w:val="0"/>
                  <w:vAlign w:val="center"/>
                </w:tcPr>
                <w:p w14:paraId="059B2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0.0494</w:t>
                  </w:r>
                </w:p>
              </w:tc>
              <w:tc>
                <w:tcPr>
                  <w:tcW w:w="718" w:type="pct"/>
                  <w:tcBorders>
                    <w:tl2br w:val="nil"/>
                    <w:tr2bl w:val="nil"/>
                  </w:tcBorders>
                  <w:noWrap w:val="0"/>
                  <w:vAlign w:val="center"/>
                </w:tcPr>
                <w:p w14:paraId="5AF52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7.96</w:t>
                  </w:r>
                </w:p>
              </w:tc>
              <w:tc>
                <w:tcPr>
                  <w:tcW w:w="581" w:type="pct"/>
                  <w:tcBorders>
                    <w:tl2br w:val="nil"/>
                    <w:tr2bl w:val="nil"/>
                  </w:tcBorders>
                  <w:noWrap w:val="0"/>
                  <w:vAlign w:val="center"/>
                </w:tcPr>
                <w:p w14:paraId="5D8D1A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0.155</w:t>
                  </w:r>
                </w:p>
              </w:tc>
              <w:tc>
                <w:tcPr>
                  <w:tcW w:w="605" w:type="pct"/>
                  <w:vMerge w:val="continue"/>
                  <w:tcBorders>
                    <w:tl2br w:val="nil"/>
                    <w:tr2bl w:val="nil"/>
                  </w:tcBorders>
                  <w:noWrap w:val="0"/>
                  <w:vAlign w:val="center"/>
                </w:tcPr>
                <w:p w14:paraId="49EEFD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5191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302355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2023-09</w:t>
                  </w:r>
                </w:p>
              </w:tc>
              <w:tc>
                <w:tcPr>
                  <w:tcW w:w="717" w:type="pct"/>
                  <w:tcBorders>
                    <w:tl2br w:val="nil"/>
                    <w:tr2bl w:val="nil"/>
                  </w:tcBorders>
                  <w:noWrap w:val="0"/>
                  <w:vAlign w:val="center"/>
                </w:tcPr>
                <w:p w14:paraId="367FD1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7.48</w:t>
                  </w:r>
                </w:p>
              </w:tc>
              <w:tc>
                <w:tcPr>
                  <w:tcW w:w="718" w:type="pct"/>
                  <w:tcBorders>
                    <w:tl2br w:val="nil"/>
                    <w:tr2bl w:val="nil"/>
                  </w:tcBorders>
                  <w:noWrap w:val="0"/>
                  <w:vAlign w:val="center"/>
                </w:tcPr>
                <w:p w14:paraId="20CDA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17.4</w:t>
                  </w:r>
                </w:p>
              </w:tc>
              <w:tc>
                <w:tcPr>
                  <w:tcW w:w="718" w:type="pct"/>
                  <w:tcBorders>
                    <w:tl2br w:val="nil"/>
                    <w:tr2bl w:val="nil"/>
                  </w:tcBorders>
                  <w:noWrap w:val="0"/>
                  <w:vAlign w:val="center"/>
                </w:tcPr>
                <w:p w14:paraId="20BD9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0.0736</w:t>
                  </w:r>
                </w:p>
              </w:tc>
              <w:tc>
                <w:tcPr>
                  <w:tcW w:w="718" w:type="pct"/>
                  <w:tcBorders>
                    <w:tl2br w:val="nil"/>
                    <w:tr2bl w:val="nil"/>
                  </w:tcBorders>
                  <w:noWrap w:val="0"/>
                  <w:vAlign w:val="center"/>
                </w:tcPr>
                <w:p w14:paraId="4D96F1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8.03</w:t>
                  </w:r>
                </w:p>
              </w:tc>
              <w:tc>
                <w:tcPr>
                  <w:tcW w:w="581" w:type="pct"/>
                  <w:tcBorders>
                    <w:tl2br w:val="nil"/>
                    <w:tr2bl w:val="nil"/>
                  </w:tcBorders>
                  <w:noWrap w:val="0"/>
                  <w:vAlign w:val="center"/>
                </w:tcPr>
                <w:p w14:paraId="7A8508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i w:val="0"/>
                      <w:iCs w:val="0"/>
                      <w:caps w:val="0"/>
                      <w:snapToGrid/>
                      <w:color w:val="auto"/>
                      <w:spacing w:val="0"/>
                      <w:w w:val="100"/>
                      <w:kern w:val="21"/>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0.231</w:t>
                  </w:r>
                </w:p>
              </w:tc>
              <w:tc>
                <w:tcPr>
                  <w:tcW w:w="605" w:type="pct"/>
                  <w:vMerge w:val="continue"/>
                  <w:tcBorders>
                    <w:tl2br w:val="nil"/>
                    <w:tr2bl w:val="nil"/>
                  </w:tcBorders>
                  <w:noWrap w:val="0"/>
                  <w:vAlign w:val="center"/>
                </w:tcPr>
                <w:p w14:paraId="78CBA3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1802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3E6BF6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2023-10</w:t>
                  </w:r>
                </w:p>
              </w:tc>
              <w:tc>
                <w:tcPr>
                  <w:tcW w:w="717" w:type="pct"/>
                  <w:tcBorders>
                    <w:tl2br w:val="nil"/>
                    <w:tr2bl w:val="nil"/>
                  </w:tcBorders>
                  <w:noWrap w:val="0"/>
                  <w:vAlign w:val="center"/>
                </w:tcPr>
                <w:p w14:paraId="25927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7.4</w:t>
                  </w:r>
                </w:p>
              </w:tc>
              <w:tc>
                <w:tcPr>
                  <w:tcW w:w="718" w:type="pct"/>
                  <w:tcBorders>
                    <w:tl2br w:val="nil"/>
                    <w:tr2bl w:val="nil"/>
                  </w:tcBorders>
                  <w:noWrap w:val="0"/>
                  <w:vAlign w:val="center"/>
                </w:tcPr>
                <w:p w14:paraId="0F87C1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17.1</w:t>
                  </w:r>
                </w:p>
              </w:tc>
              <w:tc>
                <w:tcPr>
                  <w:tcW w:w="718" w:type="pct"/>
                  <w:tcBorders>
                    <w:tl2br w:val="nil"/>
                    <w:tr2bl w:val="nil"/>
                  </w:tcBorders>
                  <w:noWrap w:val="0"/>
                  <w:vAlign w:val="center"/>
                </w:tcPr>
                <w:p w14:paraId="04EC3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0.159</w:t>
                  </w:r>
                </w:p>
              </w:tc>
              <w:tc>
                <w:tcPr>
                  <w:tcW w:w="718" w:type="pct"/>
                  <w:tcBorders>
                    <w:tl2br w:val="nil"/>
                    <w:tr2bl w:val="nil"/>
                  </w:tcBorders>
                  <w:noWrap w:val="0"/>
                  <w:vAlign w:val="center"/>
                </w:tcPr>
                <w:p w14:paraId="27F6E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8.81</w:t>
                  </w:r>
                </w:p>
              </w:tc>
              <w:tc>
                <w:tcPr>
                  <w:tcW w:w="581" w:type="pct"/>
                  <w:tcBorders>
                    <w:tl2br w:val="nil"/>
                    <w:tr2bl w:val="nil"/>
                  </w:tcBorders>
                  <w:noWrap w:val="0"/>
                  <w:vAlign w:val="center"/>
                </w:tcPr>
                <w:p w14:paraId="1A1CF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0.241</w:t>
                  </w:r>
                </w:p>
              </w:tc>
              <w:tc>
                <w:tcPr>
                  <w:tcW w:w="605" w:type="pct"/>
                  <w:vMerge w:val="continue"/>
                  <w:tcBorders>
                    <w:tl2br w:val="nil"/>
                    <w:tr2bl w:val="nil"/>
                  </w:tcBorders>
                  <w:noWrap w:val="0"/>
                  <w:vAlign w:val="center"/>
                </w:tcPr>
                <w:p w14:paraId="6766B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47929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32F860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2023-11</w:t>
                  </w:r>
                </w:p>
              </w:tc>
              <w:tc>
                <w:tcPr>
                  <w:tcW w:w="717" w:type="pct"/>
                  <w:tcBorders>
                    <w:tl2br w:val="nil"/>
                    <w:tr2bl w:val="nil"/>
                  </w:tcBorders>
                  <w:noWrap w:val="0"/>
                  <w:vAlign w:val="center"/>
                </w:tcPr>
                <w:p w14:paraId="0F64A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7.45</w:t>
                  </w:r>
                </w:p>
              </w:tc>
              <w:tc>
                <w:tcPr>
                  <w:tcW w:w="718" w:type="pct"/>
                  <w:tcBorders>
                    <w:tl2br w:val="nil"/>
                    <w:tr2bl w:val="nil"/>
                  </w:tcBorders>
                  <w:noWrap w:val="0"/>
                  <w:vAlign w:val="center"/>
                </w:tcPr>
                <w:p w14:paraId="473DE6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20.3</w:t>
                  </w:r>
                </w:p>
              </w:tc>
              <w:tc>
                <w:tcPr>
                  <w:tcW w:w="718" w:type="pct"/>
                  <w:tcBorders>
                    <w:tl2br w:val="nil"/>
                    <w:tr2bl w:val="nil"/>
                  </w:tcBorders>
                  <w:noWrap w:val="0"/>
                  <w:vAlign w:val="center"/>
                </w:tcPr>
                <w:p w14:paraId="036C7C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0.0336</w:t>
                  </w:r>
                </w:p>
              </w:tc>
              <w:tc>
                <w:tcPr>
                  <w:tcW w:w="718" w:type="pct"/>
                  <w:tcBorders>
                    <w:tl2br w:val="nil"/>
                    <w:tr2bl w:val="nil"/>
                  </w:tcBorders>
                  <w:noWrap w:val="0"/>
                  <w:vAlign w:val="center"/>
                </w:tcPr>
                <w:p w14:paraId="719007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9.02</w:t>
                  </w:r>
                </w:p>
              </w:tc>
              <w:tc>
                <w:tcPr>
                  <w:tcW w:w="581" w:type="pct"/>
                  <w:tcBorders>
                    <w:tl2br w:val="nil"/>
                    <w:tr2bl w:val="nil"/>
                  </w:tcBorders>
                  <w:noWrap w:val="0"/>
                  <w:vAlign w:val="center"/>
                </w:tcPr>
                <w:p w14:paraId="5E8CD7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0.195</w:t>
                  </w:r>
                </w:p>
              </w:tc>
              <w:tc>
                <w:tcPr>
                  <w:tcW w:w="605" w:type="pct"/>
                  <w:vMerge w:val="continue"/>
                  <w:tcBorders>
                    <w:tl2br w:val="nil"/>
                    <w:tr2bl w:val="nil"/>
                  </w:tcBorders>
                  <w:noWrap w:val="0"/>
                  <w:vAlign w:val="center"/>
                </w:tcPr>
                <w:p w14:paraId="28930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6F5A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25D550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2023-12</w:t>
                  </w:r>
                </w:p>
              </w:tc>
              <w:tc>
                <w:tcPr>
                  <w:tcW w:w="717" w:type="pct"/>
                  <w:tcBorders>
                    <w:tl2br w:val="nil"/>
                    <w:tr2bl w:val="nil"/>
                  </w:tcBorders>
                  <w:noWrap w:val="0"/>
                  <w:vAlign w:val="center"/>
                </w:tcPr>
                <w:p w14:paraId="441CF2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w:t>
                  </w:r>
                </w:p>
              </w:tc>
              <w:tc>
                <w:tcPr>
                  <w:tcW w:w="718" w:type="pct"/>
                  <w:tcBorders>
                    <w:tl2br w:val="nil"/>
                    <w:tr2bl w:val="nil"/>
                  </w:tcBorders>
                  <w:noWrap w:val="0"/>
                  <w:vAlign w:val="center"/>
                </w:tcPr>
                <w:p w14:paraId="5B7BF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16.4</w:t>
                  </w:r>
                </w:p>
              </w:tc>
              <w:tc>
                <w:tcPr>
                  <w:tcW w:w="718" w:type="pct"/>
                  <w:tcBorders>
                    <w:tl2br w:val="nil"/>
                    <w:tr2bl w:val="nil"/>
                  </w:tcBorders>
                  <w:noWrap w:val="0"/>
                  <w:vAlign w:val="center"/>
                </w:tcPr>
                <w:p w14:paraId="0318DF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0.0416</w:t>
                  </w:r>
                </w:p>
              </w:tc>
              <w:tc>
                <w:tcPr>
                  <w:tcW w:w="718" w:type="pct"/>
                  <w:tcBorders>
                    <w:tl2br w:val="nil"/>
                    <w:tr2bl w:val="nil"/>
                  </w:tcBorders>
                  <w:noWrap w:val="0"/>
                  <w:vAlign w:val="center"/>
                </w:tcPr>
                <w:p w14:paraId="5D9B6D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9.64</w:t>
                  </w:r>
                </w:p>
              </w:tc>
              <w:tc>
                <w:tcPr>
                  <w:tcW w:w="581" w:type="pct"/>
                  <w:tcBorders>
                    <w:tl2br w:val="nil"/>
                    <w:tr2bl w:val="nil"/>
                  </w:tcBorders>
                  <w:noWrap w:val="0"/>
                  <w:vAlign w:val="center"/>
                </w:tcPr>
                <w:p w14:paraId="7C899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0.165</w:t>
                  </w:r>
                </w:p>
              </w:tc>
              <w:tc>
                <w:tcPr>
                  <w:tcW w:w="605" w:type="pct"/>
                  <w:vMerge w:val="continue"/>
                  <w:tcBorders>
                    <w:tl2br w:val="nil"/>
                    <w:tr2bl w:val="nil"/>
                  </w:tcBorders>
                  <w:noWrap w:val="0"/>
                  <w:vAlign w:val="center"/>
                </w:tcPr>
                <w:p w14:paraId="29D3D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AC49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2D93B4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平均值</w:t>
                  </w:r>
                </w:p>
              </w:tc>
              <w:tc>
                <w:tcPr>
                  <w:tcW w:w="717" w:type="pct"/>
                  <w:tcBorders>
                    <w:tl2br w:val="nil"/>
                    <w:tr2bl w:val="nil"/>
                  </w:tcBorders>
                  <w:noWrap w:val="0"/>
                  <w:vAlign w:val="center"/>
                </w:tcPr>
                <w:p w14:paraId="140682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w:t>
                  </w:r>
                </w:p>
              </w:tc>
              <w:tc>
                <w:tcPr>
                  <w:tcW w:w="718" w:type="pct"/>
                  <w:tcBorders>
                    <w:tl2br w:val="nil"/>
                    <w:tr2bl w:val="nil"/>
                  </w:tcBorders>
                  <w:noWrap w:val="0"/>
                  <w:vAlign w:val="center"/>
                </w:tcPr>
                <w:p w14:paraId="369802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718" w:type="pct"/>
                  <w:tcBorders>
                    <w:tl2br w:val="nil"/>
                    <w:tr2bl w:val="nil"/>
                  </w:tcBorders>
                  <w:noWrap w:val="0"/>
                  <w:vAlign w:val="center"/>
                </w:tcPr>
                <w:p w14:paraId="63924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0.0843</w:t>
                  </w:r>
                </w:p>
              </w:tc>
              <w:tc>
                <w:tcPr>
                  <w:tcW w:w="718" w:type="pct"/>
                  <w:tcBorders>
                    <w:tl2br w:val="nil"/>
                    <w:tr2bl w:val="nil"/>
                  </w:tcBorders>
                  <w:noWrap w:val="0"/>
                  <w:vAlign w:val="center"/>
                </w:tcPr>
                <w:p w14:paraId="072243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8.73</w:t>
                  </w:r>
                </w:p>
              </w:tc>
              <w:tc>
                <w:tcPr>
                  <w:tcW w:w="581" w:type="pct"/>
                  <w:tcBorders>
                    <w:tl2br w:val="nil"/>
                    <w:tr2bl w:val="nil"/>
                  </w:tcBorders>
                  <w:noWrap w:val="0"/>
                  <w:vAlign w:val="center"/>
                </w:tcPr>
                <w:p w14:paraId="5B2B4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0.201</w:t>
                  </w:r>
                </w:p>
              </w:tc>
              <w:tc>
                <w:tcPr>
                  <w:tcW w:w="605" w:type="pct"/>
                  <w:vMerge w:val="continue"/>
                  <w:tcBorders>
                    <w:tl2br w:val="nil"/>
                    <w:tr2bl w:val="nil"/>
                  </w:tcBorders>
                  <w:noWrap w:val="0"/>
                  <w:vAlign w:val="center"/>
                </w:tcPr>
                <w:p w14:paraId="1B610F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835B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1BC562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标准限值</w:t>
                  </w:r>
                </w:p>
              </w:tc>
              <w:tc>
                <w:tcPr>
                  <w:tcW w:w="717" w:type="pct"/>
                  <w:tcBorders>
                    <w:tl2br w:val="nil"/>
                    <w:tr2bl w:val="nil"/>
                  </w:tcBorders>
                  <w:noWrap w:val="0"/>
                  <w:vAlign w:val="center"/>
                </w:tcPr>
                <w:p w14:paraId="2E5B17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6.0</w:t>
                  </w:r>
                  <w:r>
                    <w:rPr>
                      <w:rFonts w:hint="eastAsia" w:cs="Times New Roman"/>
                      <w:b w:val="0"/>
                      <w:bCs/>
                      <w:caps w:val="0"/>
                      <w:snapToGrid/>
                      <w:color w:val="auto"/>
                      <w:spacing w:val="0"/>
                      <w:w w:val="100"/>
                      <w:kern w:val="21"/>
                      <w:position w:val="0"/>
                      <w:sz w:val="21"/>
                      <w:szCs w:val="21"/>
                      <w:lang w:val="en-US" w:eastAsia="zh-CN"/>
                    </w:rPr>
                    <w:t>~</w:t>
                  </w:r>
                  <w:r>
                    <w:rPr>
                      <w:rFonts w:hint="default" w:ascii="Times New Roman" w:hAnsi="Times New Roman" w:eastAsia="宋体" w:cs="Times New Roman"/>
                      <w:b w:val="0"/>
                      <w:bCs/>
                      <w:caps w:val="0"/>
                      <w:snapToGrid/>
                      <w:color w:val="auto"/>
                      <w:spacing w:val="0"/>
                      <w:w w:val="100"/>
                      <w:kern w:val="21"/>
                      <w:position w:val="0"/>
                      <w:sz w:val="21"/>
                      <w:szCs w:val="21"/>
                      <w:lang w:val="en-US" w:eastAsia="zh-CN"/>
                    </w:rPr>
                    <w:t>9.0</w:t>
                  </w:r>
                </w:p>
              </w:tc>
              <w:tc>
                <w:tcPr>
                  <w:tcW w:w="718" w:type="pct"/>
                  <w:tcBorders>
                    <w:tl2br w:val="nil"/>
                    <w:tr2bl w:val="nil"/>
                  </w:tcBorders>
                  <w:noWrap w:val="0"/>
                  <w:vAlign w:val="center"/>
                </w:tcPr>
                <w:p w14:paraId="16F0B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50</w:t>
                  </w:r>
                </w:p>
              </w:tc>
              <w:tc>
                <w:tcPr>
                  <w:tcW w:w="718" w:type="pct"/>
                  <w:tcBorders>
                    <w:tl2br w:val="nil"/>
                    <w:tr2bl w:val="nil"/>
                  </w:tcBorders>
                  <w:noWrap w:val="0"/>
                  <w:vAlign w:val="center"/>
                </w:tcPr>
                <w:p w14:paraId="66D221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5</w:t>
                  </w:r>
                  <w:r>
                    <w:rPr>
                      <w:rFonts w:hint="eastAsia" w:cs="Times New Roman"/>
                      <w:b w:val="0"/>
                      <w:bCs/>
                      <w:caps w:val="0"/>
                      <w:snapToGrid/>
                      <w:color w:val="auto"/>
                      <w:spacing w:val="0"/>
                      <w:w w:val="100"/>
                      <w:kern w:val="21"/>
                      <w:position w:val="0"/>
                      <w:sz w:val="21"/>
                      <w:szCs w:val="21"/>
                      <w:lang w:val="en-US" w:eastAsia="zh-CN"/>
                    </w:rPr>
                    <w:t>(</w:t>
                  </w:r>
                  <w:r>
                    <w:rPr>
                      <w:rFonts w:hint="default" w:ascii="Times New Roman" w:hAnsi="Times New Roman" w:eastAsia="宋体" w:cs="Times New Roman"/>
                      <w:b w:val="0"/>
                      <w:bCs/>
                      <w:caps w:val="0"/>
                      <w:snapToGrid/>
                      <w:color w:val="auto"/>
                      <w:spacing w:val="0"/>
                      <w:w w:val="100"/>
                      <w:kern w:val="21"/>
                      <w:position w:val="0"/>
                      <w:sz w:val="21"/>
                      <w:szCs w:val="21"/>
                      <w:lang w:val="en-US" w:eastAsia="zh-CN"/>
                    </w:rPr>
                    <w:t>8</w:t>
                  </w:r>
                  <w:r>
                    <w:rPr>
                      <w:rFonts w:hint="eastAsia" w:cs="Times New Roman"/>
                      <w:b w:val="0"/>
                      <w:bCs/>
                      <w:caps w:val="0"/>
                      <w:snapToGrid/>
                      <w:color w:val="auto"/>
                      <w:spacing w:val="0"/>
                      <w:w w:val="100"/>
                      <w:kern w:val="21"/>
                      <w:position w:val="0"/>
                      <w:sz w:val="21"/>
                      <w:szCs w:val="21"/>
                      <w:lang w:val="en-US" w:eastAsia="zh-CN"/>
                    </w:rPr>
                    <w:t>)</w:t>
                  </w:r>
                </w:p>
              </w:tc>
              <w:tc>
                <w:tcPr>
                  <w:tcW w:w="718" w:type="pct"/>
                  <w:tcBorders>
                    <w:tl2br w:val="nil"/>
                    <w:tr2bl w:val="nil"/>
                  </w:tcBorders>
                  <w:noWrap w:val="0"/>
                  <w:vAlign w:val="center"/>
                </w:tcPr>
                <w:p w14:paraId="5A93B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15</w:t>
                  </w:r>
                </w:p>
              </w:tc>
              <w:tc>
                <w:tcPr>
                  <w:tcW w:w="581" w:type="pct"/>
                  <w:tcBorders>
                    <w:tl2br w:val="nil"/>
                    <w:tr2bl w:val="nil"/>
                  </w:tcBorders>
                  <w:noWrap w:val="0"/>
                  <w:vAlign w:val="center"/>
                </w:tcPr>
                <w:p w14:paraId="5D73FD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0.5</w:t>
                  </w:r>
                </w:p>
              </w:tc>
              <w:tc>
                <w:tcPr>
                  <w:tcW w:w="605" w:type="pct"/>
                  <w:vMerge w:val="continue"/>
                  <w:tcBorders>
                    <w:tl2br w:val="nil"/>
                    <w:tr2bl w:val="nil"/>
                  </w:tcBorders>
                  <w:noWrap w:val="0"/>
                  <w:vAlign w:val="center"/>
                </w:tcPr>
                <w:p w14:paraId="2B98F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p>
              </w:tc>
            </w:tr>
            <w:tr w14:paraId="76D10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97" w:hRule="atLeast"/>
                <w:jc w:val="center"/>
              </w:trPr>
              <w:tc>
                <w:tcPr>
                  <w:tcW w:w="922" w:type="pct"/>
                  <w:tcBorders>
                    <w:tl2br w:val="nil"/>
                    <w:tr2bl w:val="nil"/>
                  </w:tcBorders>
                  <w:noWrap w:val="0"/>
                  <w:vAlign w:val="center"/>
                </w:tcPr>
                <w:p w14:paraId="7FB994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达标情况</w:t>
                  </w:r>
                </w:p>
              </w:tc>
              <w:tc>
                <w:tcPr>
                  <w:tcW w:w="717" w:type="pct"/>
                  <w:tcBorders>
                    <w:tl2br w:val="nil"/>
                    <w:tr2bl w:val="nil"/>
                  </w:tcBorders>
                  <w:noWrap w:val="0"/>
                  <w:vAlign w:val="center"/>
                </w:tcPr>
                <w:p w14:paraId="4B7803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达标</w:t>
                  </w:r>
                </w:p>
              </w:tc>
              <w:tc>
                <w:tcPr>
                  <w:tcW w:w="718" w:type="pct"/>
                  <w:tcBorders>
                    <w:tl2br w:val="nil"/>
                    <w:tr2bl w:val="nil"/>
                  </w:tcBorders>
                  <w:noWrap w:val="0"/>
                  <w:vAlign w:val="center"/>
                </w:tcPr>
                <w:p w14:paraId="434248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达标</w:t>
                  </w:r>
                </w:p>
              </w:tc>
              <w:tc>
                <w:tcPr>
                  <w:tcW w:w="718" w:type="pct"/>
                  <w:tcBorders>
                    <w:tl2br w:val="nil"/>
                    <w:tr2bl w:val="nil"/>
                  </w:tcBorders>
                  <w:noWrap w:val="0"/>
                  <w:vAlign w:val="center"/>
                </w:tcPr>
                <w:p w14:paraId="1B702F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达标</w:t>
                  </w:r>
                </w:p>
              </w:tc>
              <w:tc>
                <w:tcPr>
                  <w:tcW w:w="718" w:type="pct"/>
                  <w:tcBorders>
                    <w:tl2br w:val="nil"/>
                    <w:tr2bl w:val="nil"/>
                  </w:tcBorders>
                  <w:noWrap w:val="0"/>
                  <w:vAlign w:val="center"/>
                </w:tcPr>
                <w:p w14:paraId="647276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达标</w:t>
                  </w:r>
                </w:p>
              </w:tc>
              <w:tc>
                <w:tcPr>
                  <w:tcW w:w="581" w:type="pct"/>
                  <w:tcBorders>
                    <w:tl2br w:val="nil"/>
                    <w:tr2bl w:val="nil"/>
                  </w:tcBorders>
                  <w:noWrap w:val="0"/>
                  <w:vAlign w:val="center"/>
                </w:tcPr>
                <w:p w14:paraId="780C6F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caps w:val="0"/>
                      <w:snapToGrid/>
                      <w:color w:val="auto"/>
                      <w:spacing w:val="0"/>
                      <w:w w:val="100"/>
                      <w:kern w:val="21"/>
                      <w:position w:val="0"/>
                      <w:sz w:val="21"/>
                      <w:szCs w:val="21"/>
                      <w:lang w:val="en-US" w:eastAsia="zh-CN"/>
                    </w:rPr>
                    <w:t>达标</w:t>
                  </w:r>
                </w:p>
              </w:tc>
              <w:tc>
                <w:tcPr>
                  <w:tcW w:w="605" w:type="pct"/>
                  <w:vMerge w:val="continue"/>
                  <w:tcBorders>
                    <w:tl2br w:val="nil"/>
                    <w:tr2bl w:val="nil"/>
                  </w:tcBorders>
                  <w:noWrap w:val="0"/>
                  <w:vAlign w:val="center"/>
                </w:tcPr>
                <w:p w14:paraId="1DB50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p>
              </w:tc>
            </w:tr>
            <w:tr w14:paraId="4FBFC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2" w:type="pct"/>
                  <w:gridSpan w:val="8"/>
                  <w:tcBorders>
                    <w:tl2br w:val="nil"/>
                    <w:tr2bl w:val="nil"/>
                  </w:tcBorders>
                  <w:noWrap w:val="0"/>
                  <w:vAlign w:val="center"/>
                </w:tcPr>
                <w:p w14:paraId="61230B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caps w:val="0"/>
                      <w:snapToGrid/>
                      <w:color w:val="auto"/>
                      <w:spacing w:val="0"/>
                      <w:w w:val="100"/>
                      <w:kern w:val="21"/>
                      <w:position w:val="0"/>
                      <w:sz w:val="21"/>
                      <w:szCs w:val="21"/>
                      <w:lang w:val="en-US" w:eastAsia="zh-CN"/>
                    </w:rPr>
                  </w:pPr>
                  <w:r>
                    <w:rPr>
                      <w:rFonts w:hint="default" w:ascii="Times New Roman" w:hAnsi="Times New Roman" w:eastAsia="宋体" w:cs="Times New Roman"/>
                      <w:b w:val="0"/>
                      <w:bCs w:val="0"/>
                      <w:caps w:val="0"/>
                      <w:snapToGrid/>
                      <w:color w:val="auto"/>
                      <w:spacing w:val="0"/>
                      <w:w w:val="100"/>
                      <w:kern w:val="21"/>
                      <w:position w:val="0"/>
                      <w:sz w:val="21"/>
                      <w:szCs w:val="21"/>
                      <w:lang w:val="en-US" w:eastAsia="zh-CN"/>
                    </w:rPr>
                    <w:t>备注：</w:t>
                  </w:r>
                  <w:r>
                    <w:rPr>
                      <w:rFonts w:hint="default" w:ascii="Times New Roman" w:hAnsi="Times New Roman" w:eastAsia="宋体" w:cs="Times New Roman"/>
                      <w:b w:val="0"/>
                      <w:bCs w:val="0"/>
                      <w:caps w:val="0"/>
                      <w:snapToGrid/>
                      <w:color w:val="auto"/>
                      <w:spacing w:val="0"/>
                      <w:w w:val="100"/>
                      <w:kern w:val="21"/>
                      <w:position w:val="0"/>
                      <w:sz w:val="21"/>
                      <w:szCs w:val="21"/>
                    </w:rPr>
                    <w:t>单位</w:t>
                  </w:r>
                  <w:r>
                    <w:rPr>
                      <w:rFonts w:hint="default" w:ascii="Times New Roman" w:hAnsi="Times New Roman" w:eastAsia="宋体" w:cs="Times New Roman"/>
                      <w:b w:val="0"/>
                      <w:bCs w:val="0"/>
                      <w:caps w:val="0"/>
                      <w:snapToGrid/>
                      <w:color w:val="auto"/>
                      <w:spacing w:val="0"/>
                      <w:w w:val="100"/>
                      <w:kern w:val="21"/>
                      <w:position w:val="0"/>
                      <w:sz w:val="21"/>
                      <w:szCs w:val="21"/>
                      <w:lang w:val="en-US" w:eastAsia="zh-CN"/>
                    </w:rPr>
                    <w:t xml:space="preserve"> </w:t>
                  </w:r>
                  <w:r>
                    <w:rPr>
                      <w:rFonts w:hint="default" w:ascii="Times New Roman" w:hAnsi="Times New Roman" w:eastAsia="宋体" w:cs="Times New Roman"/>
                      <w:b w:val="0"/>
                      <w:bCs w:val="0"/>
                      <w:caps w:val="0"/>
                      <w:snapToGrid/>
                      <w:color w:val="auto"/>
                      <w:spacing w:val="0"/>
                      <w:w w:val="100"/>
                      <w:kern w:val="21"/>
                      <w:position w:val="0"/>
                      <w:sz w:val="21"/>
                      <w:szCs w:val="21"/>
                    </w:rPr>
                    <w:t>pH无量纲，其余</w:t>
                  </w:r>
                  <w:r>
                    <w:rPr>
                      <w:rFonts w:hint="default" w:ascii="Times New Roman" w:hAnsi="Times New Roman" w:eastAsia="宋体" w:cs="Times New Roman"/>
                      <w:b w:val="0"/>
                      <w:bCs w:val="0"/>
                      <w:caps w:val="0"/>
                      <w:snapToGrid/>
                      <w:color w:val="auto"/>
                      <w:spacing w:val="0"/>
                      <w:w w:val="100"/>
                      <w:kern w:val="21"/>
                      <w:position w:val="0"/>
                      <w:sz w:val="21"/>
                      <w:szCs w:val="21"/>
                      <w:lang w:val="en-US" w:eastAsia="zh-CN"/>
                    </w:rPr>
                    <w:t>为</w:t>
                  </w:r>
                  <w:r>
                    <w:rPr>
                      <w:rFonts w:hint="default" w:ascii="Times New Roman" w:hAnsi="Times New Roman" w:eastAsia="宋体" w:cs="Times New Roman"/>
                      <w:b w:val="0"/>
                      <w:bCs w:val="0"/>
                      <w:caps w:val="0"/>
                      <w:snapToGrid/>
                      <w:color w:val="auto"/>
                      <w:spacing w:val="0"/>
                      <w:w w:val="100"/>
                      <w:kern w:val="21"/>
                      <w:position w:val="0"/>
                      <w:sz w:val="21"/>
                      <w:szCs w:val="21"/>
                    </w:rPr>
                    <w:t>mg/L</w:t>
                  </w:r>
                </w:p>
              </w:tc>
            </w:tr>
          </w:tbl>
          <w:tbl>
            <w:tblPr>
              <w:tblStyle w:val="35"/>
              <w:tblW w:w="5001" w:type="pct"/>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03"/>
            </w:tblGrid>
            <w:tr w14:paraId="23980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tcBorders>
                    <w:tl2br w:val="nil"/>
                    <w:tr2bl w:val="nil"/>
                  </w:tcBorders>
                  <w:noWrap w:val="0"/>
                  <w:vAlign w:val="top"/>
                </w:tcPr>
                <w:p w14:paraId="45F6A8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auto"/>
                      <w:highlight w:val="none"/>
                      <w:vertAlign w:val="baseline"/>
                    </w:rPr>
                  </w:pPr>
                  <w:r>
                    <w:rPr>
                      <w:rFonts w:hint="default"/>
                      <w:highlight w:val="none"/>
                    </w:rPr>
                    <w:drawing>
                      <wp:inline distT="0" distB="0" distL="114300" distR="114300">
                        <wp:extent cx="4679950" cy="2909570"/>
                        <wp:effectExtent l="0" t="0" r="6350" b="508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a:stretch>
                                  <a:fillRect/>
                                </a:stretch>
                              </pic:blipFill>
                              <pic:spPr>
                                <a:xfrm>
                                  <a:off x="0" y="0"/>
                                  <a:ext cx="4679950" cy="2909570"/>
                                </a:xfrm>
                                <a:prstGeom prst="rect">
                                  <a:avLst/>
                                </a:prstGeom>
                                <a:noFill/>
                                <a:ln>
                                  <a:noFill/>
                                </a:ln>
                              </pic:spPr>
                            </pic:pic>
                          </a:graphicData>
                        </a:graphic>
                      </wp:inline>
                    </w:drawing>
                  </w:r>
                </w:p>
              </w:tc>
            </w:tr>
            <w:tr w14:paraId="5D778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noWrap w:val="0"/>
                  <w:vAlign w:val="top"/>
                </w:tcPr>
                <w:p w14:paraId="63FD87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auto"/>
                      <w:highlight w:val="none"/>
                    </w:rPr>
                  </w:pPr>
                  <w:r>
                    <w:rPr>
                      <w:rFonts w:hint="default"/>
                      <w:highlight w:val="none"/>
                    </w:rPr>
                    <w:drawing>
                      <wp:inline distT="0" distB="0" distL="114300" distR="114300">
                        <wp:extent cx="4679950" cy="2923540"/>
                        <wp:effectExtent l="0" t="0" r="6350"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0"/>
                                <a:stretch>
                                  <a:fillRect/>
                                </a:stretch>
                              </pic:blipFill>
                              <pic:spPr>
                                <a:xfrm>
                                  <a:off x="0" y="0"/>
                                  <a:ext cx="4679950" cy="2923540"/>
                                </a:xfrm>
                                <a:prstGeom prst="rect">
                                  <a:avLst/>
                                </a:prstGeom>
                                <a:noFill/>
                                <a:ln>
                                  <a:noFill/>
                                </a:ln>
                              </pic:spPr>
                            </pic:pic>
                          </a:graphicData>
                        </a:graphic>
                      </wp:inline>
                    </w:drawing>
                  </w:r>
                </w:p>
              </w:tc>
            </w:tr>
            <w:tr w14:paraId="655D3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noWrap w:val="0"/>
                  <w:vAlign w:val="top"/>
                </w:tcPr>
                <w:p w14:paraId="757BCB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auto"/>
                      <w:highlight w:val="none"/>
                    </w:rPr>
                  </w:pPr>
                </w:p>
              </w:tc>
            </w:tr>
            <w:tr w14:paraId="3CC98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noWrap w:val="0"/>
                  <w:vAlign w:val="top"/>
                </w:tcPr>
                <w:p w14:paraId="0670C0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auto"/>
                      <w:highlight w:val="none"/>
                    </w:rPr>
                  </w:pPr>
                  <w:r>
                    <w:rPr>
                      <w:rFonts w:hint="default"/>
                      <w:highlight w:val="none"/>
                    </w:rPr>
                    <w:drawing>
                      <wp:inline distT="0" distB="0" distL="114300" distR="114300">
                        <wp:extent cx="4679950" cy="2902585"/>
                        <wp:effectExtent l="0" t="0" r="6350"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a:stretch>
                                  <a:fillRect/>
                                </a:stretch>
                              </pic:blipFill>
                              <pic:spPr>
                                <a:xfrm>
                                  <a:off x="0" y="0"/>
                                  <a:ext cx="4679950" cy="2902585"/>
                                </a:xfrm>
                                <a:prstGeom prst="rect">
                                  <a:avLst/>
                                </a:prstGeom>
                                <a:noFill/>
                                <a:ln>
                                  <a:noFill/>
                                </a:ln>
                              </pic:spPr>
                            </pic:pic>
                          </a:graphicData>
                        </a:graphic>
                      </wp:inline>
                    </w:drawing>
                  </w:r>
                </w:p>
              </w:tc>
            </w:tr>
            <w:tr w14:paraId="4C263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noWrap w:val="0"/>
                  <w:vAlign w:val="top"/>
                </w:tcPr>
                <w:p w14:paraId="146FF5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auto"/>
                      <w:highlight w:val="none"/>
                    </w:rPr>
                  </w:pPr>
                  <w:r>
                    <w:rPr>
                      <w:rFonts w:hint="default"/>
                      <w:highlight w:val="none"/>
                    </w:rPr>
                    <w:drawing>
                      <wp:inline distT="0" distB="0" distL="114300" distR="114300">
                        <wp:extent cx="4679950" cy="2912110"/>
                        <wp:effectExtent l="0" t="0" r="6350" b="254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2"/>
                                <a:stretch>
                                  <a:fillRect/>
                                </a:stretch>
                              </pic:blipFill>
                              <pic:spPr>
                                <a:xfrm>
                                  <a:off x="0" y="0"/>
                                  <a:ext cx="4679950" cy="2912110"/>
                                </a:xfrm>
                                <a:prstGeom prst="rect">
                                  <a:avLst/>
                                </a:prstGeom>
                                <a:noFill/>
                                <a:ln>
                                  <a:noFill/>
                                </a:ln>
                              </pic:spPr>
                            </pic:pic>
                          </a:graphicData>
                        </a:graphic>
                      </wp:inline>
                    </w:drawing>
                  </w:r>
                </w:p>
              </w:tc>
            </w:tr>
          </w:tbl>
          <w:p w14:paraId="0CACC846">
            <w:pPr>
              <w:pStyle w:val="33"/>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textAlignment w:val="auto"/>
              <w:rPr>
                <w:color w:val="auto"/>
                <w:szCs w:val="21"/>
                <w:highlight w:val="none"/>
                <w:lang w:val="en-US" w:eastAsia="zh-CN"/>
              </w:rPr>
            </w:pPr>
            <w:r>
              <w:rPr>
                <w:snapToGrid w:val="0"/>
                <w:color w:val="auto"/>
                <w:sz w:val="24"/>
                <w:szCs w:val="21"/>
                <w:highlight w:val="none"/>
                <w:lang w:val="en-US" w:eastAsia="zh-CN"/>
              </w:rPr>
              <w:t>综上，</w:t>
            </w:r>
            <w:r>
              <w:rPr>
                <w:rFonts w:hint="eastAsia"/>
                <w:snapToGrid w:val="0"/>
                <w:color w:val="auto"/>
                <w:sz w:val="24"/>
                <w:szCs w:val="21"/>
                <w:highlight w:val="none"/>
                <w:lang w:val="en-US" w:eastAsia="zh-CN"/>
              </w:rPr>
              <w:t>本项目废水排入</w:t>
            </w:r>
            <w:r>
              <w:rPr>
                <w:rFonts w:hint="eastAsia"/>
                <w:b w:val="0"/>
                <w:bCs/>
                <w:color w:val="auto"/>
                <w:spacing w:val="8"/>
                <w:sz w:val="24"/>
                <w:highlight w:val="none"/>
                <w:lang w:eastAsia="zh-CN"/>
              </w:rPr>
              <w:t>泗水国祯水务有限公司</w:t>
            </w:r>
            <w:r>
              <w:rPr>
                <w:rFonts w:hint="eastAsia"/>
                <w:color w:val="auto"/>
                <w:sz w:val="24"/>
                <w:szCs w:val="21"/>
                <w:highlight w:val="none"/>
                <w:lang w:val="en-US" w:eastAsia="zh-CN"/>
              </w:rPr>
              <w:t>处理</w:t>
            </w:r>
            <w:r>
              <w:rPr>
                <w:snapToGrid w:val="0"/>
                <w:color w:val="auto"/>
                <w:sz w:val="24"/>
                <w:szCs w:val="21"/>
                <w:highlight w:val="none"/>
                <w:lang w:val="en-US" w:eastAsia="zh-CN"/>
              </w:rPr>
              <w:t>可行，对环境影响较小。</w:t>
            </w:r>
          </w:p>
          <w:p w14:paraId="5EC4B3A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rPr>
              <w:t>（3）</w:t>
            </w:r>
            <w:r>
              <w:rPr>
                <w:rFonts w:hint="eastAsia" w:ascii="Times New Roman" w:hAnsi="Times New Roman" w:cs="Times New Roman"/>
                <w:color w:val="auto"/>
                <w:sz w:val="24"/>
                <w:highlight w:val="none"/>
                <w:lang w:val="en-US" w:eastAsia="zh-CN"/>
              </w:rPr>
              <w:t>废水排放情况</w:t>
            </w:r>
          </w:p>
          <w:p w14:paraId="5CBF92A0">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textAlignment w:val="baseline"/>
              <w:rPr>
                <w:rFonts w:hint="default" w:ascii="Times New Roman" w:hAnsi="Times New Roman" w:cs="Times New Roman"/>
                <w:snapToGrid w:val="0"/>
                <w:color w:val="auto"/>
                <w:kern w:val="21"/>
                <w:sz w:val="24"/>
                <w:highlight w:val="none"/>
              </w:rPr>
            </w:pPr>
            <w:r>
              <w:rPr>
                <w:rFonts w:hint="default" w:ascii="Times New Roman" w:hAnsi="Times New Roman" w:cs="Times New Roman"/>
                <w:snapToGrid w:val="0"/>
                <w:color w:val="auto"/>
                <w:kern w:val="21"/>
                <w:sz w:val="24"/>
                <w:highlight w:val="none"/>
              </w:rPr>
              <w:t>废水类别、污染物及污染治理设施见表</w:t>
            </w:r>
            <w:r>
              <w:rPr>
                <w:rFonts w:hint="eastAsia" w:ascii="Times New Roman" w:hAnsi="Times New Roman" w:cs="Times New Roman"/>
                <w:snapToGrid w:val="0"/>
                <w:color w:val="auto"/>
                <w:kern w:val="21"/>
                <w:sz w:val="24"/>
                <w:highlight w:val="none"/>
              </w:rPr>
              <w:t>4-</w:t>
            </w:r>
            <w:r>
              <w:rPr>
                <w:rFonts w:hint="eastAsia" w:cs="Times New Roman"/>
                <w:snapToGrid w:val="0"/>
                <w:color w:val="auto"/>
                <w:kern w:val="21"/>
                <w:sz w:val="24"/>
                <w:highlight w:val="none"/>
                <w:lang w:val="en-US" w:eastAsia="zh-CN"/>
              </w:rPr>
              <w:t>9</w:t>
            </w:r>
            <w:r>
              <w:rPr>
                <w:rFonts w:hint="default" w:ascii="Times New Roman" w:hAnsi="Times New Roman" w:cs="Times New Roman"/>
                <w:snapToGrid w:val="0"/>
                <w:color w:val="auto"/>
                <w:kern w:val="21"/>
                <w:sz w:val="24"/>
                <w:highlight w:val="none"/>
              </w:rPr>
              <w:t>。</w:t>
            </w:r>
          </w:p>
          <w:p w14:paraId="4B8FB503">
            <w:pPr>
              <w:keepNext w:val="0"/>
              <w:keepLines w:val="0"/>
              <w:suppressLineNumbers w:val="0"/>
              <w:tabs>
                <w:tab w:val="left" w:pos="6075"/>
              </w:tabs>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auto"/>
                <w:sz w:val="24"/>
                <w:highlight w:val="none"/>
                <w:lang w:val="zh-CN"/>
              </w:rPr>
            </w:pPr>
            <w:r>
              <w:rPr>
                <w:rFonts w:hint="default" w:ascii="Times New Roman" w:hAnsi="Times New Roman" w:cs="Times New Roman"/>
                <w:b/>
                <w:bCs/>
                <w:color w:val="auto"/>
                <w:sz w:val="24"/>
                <w:highlight w:val="none"/>
                <w:lang w:val="zh-CN"/>
              </w:rPr>
              <w:t>表</w:t>
            </w:r>
            <w:r>
              <w:rPr>
                <w:rFonts w:hint="eastAsia" w:ascii="Times New Roman" w:hAnsi="Times New Roman" w:cs="Times New Roman"/>
                <w:b/>
                <w:bCs/>
                <w:color w:val="auto"/>
                <w:sz w:val="24"/>
                <w:highlight w:val="none"/>
              </w:rPr>
              <w:t>4-</w:t>
            </w:r>
            <w:r>
              <w:rPr>
                <w:rFonts w:hint="eastAsia" w:cs="Times New Roman"/>
                <w:b/>
                <w:bCs/>
                <w:color w:val="auto"/>
                <w:sz w:val="24"/>
                <w:highlight w:val="none"/>
                <w:lang w:val="en-US" w:eastAsia="zh-CN"/>
              </w:rPr>
              <w:t>9</w:t>
            </w:r>
            <w:r>
              <w:rPr>
                <w:rFonts w:hint="eastAsia" w:ascii="Times New Roman" w:hAnsi="Times New Roman" w:cs="Times New Roman"/>
                <w:b/>
                <w:bCs/>
                <w:color w:val="auto"/>
                <w:sz w:val="24"/>
                <w:highlight w:val="none"/>
              </w:rPr>
              <w:t xml:space="preserve">  </w:t>
            </w:r>
            <w:r>
              <w:rPr>
                <w:rFonts w:hint="default" w:ascii="Times New Roman" w:hAnsi="Times New Roman" w:cs="Times New Roman"/>
                <w:b/>
                <w:bCs/>
                <w:color w:val="auto"/>
                <w:spacing w:val="-2"/>
                <w:sz w:val="24"/>
                <w:highlight w:val="none"/>
                <w:lang w:val="zh-CN"/>
              </w:rPr>
              <w:t>废水类别、污染物及污染治理设施信息表</w:t>
            </w:r>
          </w:p>
          <w:tbl>
            <w:tblPr>
              <w:tblStyle w:val="34"/>
              <w:tblW w:w="483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80"/>
              <w:gridCol w:w="907"/>
              <w:gridCol w:w="847"/>
              <w:gridCol w:w="912"/>
              <w:gridCol w:w="771"/>
              <w:gridCol w:w="917"/>
              <w:gridCol w:w="594"/>
              <w:gridCol w:w="567"/>
              <w:gridCol w:w="686"/>
              <w:gridCol w:w="1302"/>
            </w:tblGrid>
            <w:tr w14:paraId="39DA9F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15" w:type="pct"/>
                  <w:vMerge w:val="restart"/>
                  <w:tcBorders>
                    <w:tl2br w:val="nil"/>
                    <w:tr2bl w:val="nil"/>
                  </w:tcBorders>
                  <w:noWrap w:val="0"/>
                  <w:vAlign w:val="center"/>
                </w:tcPr>
                <w:p w14:paraId="4DC3E719">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废水类别（a）</w:t>
                  </w:r>
                </w:p>
              </w:tc>
              <w:tc>
                <w:tcPr>
                  <w:tcW w:w="554" w:type="pct"/>
                  <w:vMerge w:val="restart"/>
                  <w:tcBorders>
                    <w:tl2br w:val="nil"/>
                    <w:tr2bl w:val="nil"/>
                  </w:tcBorders>
                  <w:noWrap w:val="0"/>
                  <w:vAlign w:val="center"/>
                </w:tcPr>
                <w:p w14:paraId="4BEA481E">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污染物 种类（b）</w:t>
                  </w:r>
                </w:p>
              </w:tc>
              <w:tc>
                <w:tcPr>
                  <w:tcW w:w="517" w:type="pct"/>
                  <w:vMerge w:val="restart"/>
                  <w:tcBorders>
                    <w:tl2br w:val="nil"/>
                    <w:tr2bl w:val="nil"/>
                  </w:tcBorders>
                  <w:noWrap w:val="0"/>
                  <w:vAlign w:val="center"/>
                </w:tcPr>
                <w:p w14:paraId="53FB158F">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排放去向（c）</w:t>
                  </w:r>
                </w:p>
              </w:tc>
              <w:tc>
                <w:tcPr>
                  <w:tcW w:w="557" w:type="pct"/>
                  <w:vMerge w:val="restart"/>
                  <w:tcBorders>
                    <w:tl2br w:val="nil"/>
                    <w:tr2bl w:val="nil"/>
                  </w:tcBorders>
                  <w:noWrap w:val="0"/>
                  <w:vAlign w:val="center"/>
                </w:tcPr>
                <w:p w14:paraId="72FC1F06">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排放规律（d）</w:t>
                  </w:r>
                </w:p>
              </w:tc>
              <w:tc>
                <w:tcPr>
                  <w:tcW w:w="1394" w:type="pct"/>
                  <w:gridSpan w:val="3"/>
                  <w:tcBorders>
                    <w:tl2br w:val="nil"/>
                    <w:tr2bl w:val="nil"/>
                  </w:tcBorders>
                  <w:noWrap w:val="0"/>
                  <w:vAlign w:val="center"/>
                </w:tcPr>
                <w:p w14:paraId="4BAD43A3">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污染治理设施</w:t>
                  </w:r>
                </w:p>
              </w:tc>
              <w:tc>
                <w:tcPr>
                  <w:tcW w:w="346" w:type="pct"/>
                  <w:vMerge w:val="restart"/>
                  <w:tcBorders>
                    <w:tl2br w:val="nil"/>
                    <w:tr2bl w:val="nil"/>
                  </w:tcBorders>
                  <w:noWrap w:val="0"/>
                  <w:vAlign w:val="center"/>
                </w:tcPr>
                <w:p w14:paraId="28F5EBFC">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排放口编号（f）</w:t>
                  </w:r>
                </w:p>
              </w:tc>
              <w:tc>
                <w:tcPr>
                  <w:tcW w:w="419" w:type="pct"/>
                  <w:vMerge w:val="restart"/>
                  <w:tcBorders>
                    <w:tl2br w:val="nil"/>
                    <w:tr2bl w:val="nil"/>
                  </w:tcBorders>
                  <w:noWrap w:val="0"/>
                  <w:vAlign w:val="center"/>
                </w:tcPr>
                <w:p w14:paraId="7B44C6BA">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排放口设置是否符合要求（g）</w:t>
                  </w:r>
                </w:p>
              </w:tc>
              <w:tc>
                <w:tcPr>
                  <w:tcW w:w="795" w:type="pct"/>
                  <w:vMerge w:val="restart"/>
                  <w:tcBorders>
                    <w:tl2br w:val="nil"/>
                    <w:tr2bl w:val="nil"/>
                  </w:tcBorders>
                  <w:noWrap w:val="0"/>
                  <w:vAlign w:val="center"/>
                </w:tcPr>
                <w:p w14:paraId="0D0D8445">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排放口类型</w:t>
                  </w:r>
                </w:p>
              </w:tc>
            </w:tr>
            <w:tr w14:paraId="3C2F51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15" w:type="pct"/>
                  <w:vMerge w:val="continue"/>
                  <w:tcBorders>
                    <w:tl2br w:val="nil"/>
                    <w:tr2bl w:val="nil"/>
                  </w:tcBorders>
                  <w:noWrap w:val="0"/>
                  <w:vAlign w:val="center"/>
                </w:tcPr>
                <w:p w14:paraId="01724D97">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c>
                <w:tcPr>
                  <w:tcW w:w="554" w:type="pct"/>
                  <w:vMerge w:val="continue"/>
                  <w:tcBorders>
                    <w:tl2br w:val="nil"/>
                    <w:tr2bl w:val="nil"/>
                  </w:tcBorders>
                  <w:noWrap w:val="0"/>
                  <w:vAlign w:val="center"/>
                </w:tcPr>
                <w:p w14:paraId="0E3EC305">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c>
                <w:tcPr>
                  <w:tcW w:w="517" w:type="pct"/>
                  <w:vMerge w:val="continue"/>
                  <w:tcBorders>
                    <w:tl2br w:val="nil"/>
                    <w:tr2bl w:val="nil"/>
                  </w:tcBorders>
                  <w:noWrap w:val="0"/>
                  <w:vAlign w:val="center"/>
                </w:tcPr>
                <w:p w14:paraId="2A755516">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c>
                <w:tcPr>
                  <w:tcW w:w="557" w:type="pct"/>
                  <w:vMerge w:val="continue"/>
                  <w:tcBorders>
                    <w:tl2br w:val="nil"/>
                    <w:tr2bl w:val="nil"/>
                  </w:tcBorders>
                  <w:noWrap w:val="0"/>
                  <w:vAlign w:val="center"/>
                </w:tcPr>
                <w:p w14:paraId="79E95D11">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c>
                <w:tcPr>
                  <w:tcW w:w="471" w:type="pct"/>
                  <w:tcBorders>
                    <w:tl2br w:val="nil"/>
                    <w:tr2bl w:val="nil"/>
                  </w:tcBorders>
                  <w:noWrap w:val="0"/>
                  <w:vAlign w:val="center"/>
                </w:tcPr>
                <w:p w14:paraId="3258F9E5">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rPr>
                    <w:t>污染治理设施编号</w:t>
                  </w:r>
                </w:p>
              </w:tc>
              <w:tc>
                <w:tcPr>
                  <w:tcW w:w="560" w:type="pct"/>
                  <w:tcBorders>
                    <w:tl2br w:val="nil"/>
                    <w:tr2bl w:val="nil"/>
                  </w:tcBorders>
                  <w:noWrap w:val="0"/>
                  <w:vAlign w:val="center"/>
                </w:tcPr>
                <w:p w14:paraId="18F878CE">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rPr>
                    <w:t>污染治理设施名称（e）</w:t>
                  </w:r>
                </w:p>
              </w:tc>
              <w:tc>
                <w:tcPr>
                  <w:tcW w:w="362" w:type="pct"/>
                  <w:tcBorders>
                    <w:tl2br w:val="nil"/>
                    <w:tr2bl w:val="nil"/>
                  </w:tcBorders>
                  <w:noWrap w:val="0"/>
                  <w:vAlign w:val="center"/>
                </w:tcPr>
                <w:p w14:paraId="12EA6851">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snapToGrid w:val="0"/>
                      <w:color w:val="auto"/>
                      <w:kern w:val="21"/>
                      <w:szCs w:val="21"/>
                      <w:highlight w:val="none"/>
                    </w:rPr>
                  </w:pPr>
                  <w:r>
                    <w:rPr>
                      <w:rFonts w:hint="default" w:ascii="Times New Roman" w:hAnsi="Times New Roman" w:eastAsia="宋体" w:cs="Times New Roman"/>
                      <w:snapToGrid w:val="0"/>
                      <w:color w:val="auto"/>
                      <w:kern w:val="21"/>
                      <w:szCs w:val="21"/>
                      <w:highlight w:val="none"/>
                    </w:rPr>
                    <w:t>污染治理设施工艺</w:t>
                  </w:r>
                </w:p>
              </w:tc>
              <w:tc>
                <w:tcPr>
                  <w:tcW w:w="346" w:type="pct"/>
                  <w:vMerge w:val="continue"/>
                  <w:tcBorders>
                    <w:tl2br w:val="nil"/>
                    <w:tr2bl w:val="nil"/>
                  </w:tcBorders>
                  <w:noWrap w:val="0"/>
                  <w:vAlign w:val="center"/>
                </w:tcPr>
                <w:p w14:paraId="54741C1B">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c>
                <w:tcPr>
                  <w:tcW w:w="419" w:type="pct"/>
                  <w:vMerge w:val="continue"/>
                  <w:tcBorders>
                    <w:tl2br w:val="nil"/>
                    <w:tr2bl w:val="nil"/>
                  </w:tcBorders>
                  <w:noWrap w:val="0"/>
                  <w:vAlign w:val="center"/>
                </w:tcPr>
                <w:p w14:paraId="4754290A">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c>
                <w:tcPr>
                  <w:tcW w:w="795" w:type="pct"/>
                  <w:vMerge w:val="continue"/>
                  <w:tcBorders>
                    <w:tl2br w:val="nil"/>
                    <w:tr2bl w:val="nil"/>
                  </w:tcBorders>
                  <w:noWrap w:val="0"/>
                  <w:vAlign w:val="center"/>
                </w:tcPr>
                <w:p w14:paraId="7CB4084B">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r>
            <w:tr w14:paraId="742DAE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415" w:type="pct"/>
                  <w:tcBorders>
                    <w:tl2br w:val="nil"/>
                    <w:tr2bl w:val="nil"/>
                  </w:tcBorders>
                  <w:noWrap w:val="0"/>
                  <w:vAlign w:val="center"/>
                </w:tcPr>
                <w:p w14:paraId="327D1874">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snapToGrid w:val="0"/>
                      <w:color w:val="auto"/>
                      <w:kern w:val="21"/>
                      <w:szCs w:val="21"/>
                      <w:highlight w:val="none"/>
                      <w:lang w:val="en-US" w:eastAsia="zh-CN"/>
                    </w:rPr>
                  </w:pPr>
                  <w:r>
                    <w:rPr>
                      <w:rFonts w:hint="eastAsia" w:cs="Times New Roman"/>
                      <w:snapToGrid w:val="0"/>
                      <w:color w:val="auto"/>
                      <w:kern w:val="21"/>
                      <w:szCs w:val="21"/>
                      <w:highlight w:val="none"/>
                      <w:lang w:val="en-US" w:eastAsia="zh-CN"/>
                    </w:rPr>
                    <w:t>生活污水和生产废水</w:t>
                  </w:r>
                </w:p>
              </w:tc>
              <w:tc>
                <w:tcPr>
                  <w:tcW w:w="554" w:type="pct"/>
                  <w:tcBorders>
                    <w:tl2br w:val="nil"/>
                    <w:tr2bl w:val="nil"/>
                  </w:tcBorders>
                  <w:noWrap w:val="0"/>
                  <w:vAlign w:val="center"/>
                </w:tcPr>
                <w:p w14:paraId="441750B3">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rPr>
                    <w:t>BOD</w:t>
                  </w:r>
                  <w:r>
                    <w:rPr>
                      <w:rFonts w:hint="eastAsia" w:ascii="Times New Roman" w:hAnsi="Times New Roman" w:cs="Times New Roman"/>
                      <w:snapToGrid w:val="0"/>
                      <w:color w:val="auto"/>
                      <w:kern w:val="21"/>
                      <w:szCs w:val="21"/>
                      <w:highlight w:val="none"/>
                      <w:vertAlign w:val="subscript"/>
                      <w:lang w:val="en-US" w:eastAsia="zh-CN"/>
                    </w:rPr>
                    <w:t>5</w:t>
                  </w:r>
                  <w:r>
                    <w:rPr>
                      <w:rFonts w:hint="default" w:ascii="Times New Roman" w:hAnsi="Times New Roman" w:cs="Times New Roman"/>
                      <w:snapToGrid w:val="0"/>
                      <w:color w:val="auto"/>
                      <w:kern w:val="21"/>
                      <w:szCs w:val="21"/>
                      <w:highlight w:val="none"/>
                    </w:rPr>
                    <w:t>、COD</w:t>
                  </w:r>
                  <w:r>
                    <w:rPr>
                      <w:rFonts w:hint="eastAsia" w:ascii="Times New Roman" w:hAnsi="Times New Roman" w:cs="Times New Roman"/>
                      <w:snapToGrid w:val="0"/>
                      <w:color w:val="auto"/>
                      <w:kern w:val="21"/>
                      <w:szCs w:val="21"/>
                      <w:highlight w:val="none"/>
                      <w:lang w:val="en-US" w:eastAsia="zh-CN"/>
                    </w:rPr>
                    <w:t>cr</w:t>
                  </w:r>
                  <w:r>
                    <w:rPr>
                      <w:rFonts w:hint="default" w:ascii="Times New Roman" w:hAnsi="Times New Roman" w:cs="Times New Roman"/>
                      <w:snapToGrid w:val="0"/>
                      <w:color w:val="auto"/>
                      <w:kern w:val="21"/>
                      <w:szCs w:val="21"/>
                      <w:highlight w:val="none"/>
                      <w:lang w:val="zh-CN"/>
                    </w:rPr>
                    <w:t>、氨氮</w:t>
                  </w:r>
                  <w:r>
                    <w:rPr>
                      <w:rFonts w:hint="default" w:ascii="Times New Roman" w:hAnsi="Times New Roman" w:cs="Times New Roman"/>
                      <w:snapToGrid w:val="0"/>
                      <w:color w:val="auto"/>
                      <w:kern w:val="21"/>
                      <w:szCs w:val="21"/>
                      <w:highlight w:val="none"/>
                    </w:rPr>
                    <w:t>、SS</w:t>
                  </w:r>
                  <w:r>
                    <w:rPr>
                      <w:rFonts w:hint="eastAsia" w:cs="Times New Roman"/>
                      <w:snapToGrid w:val="0"/>
                      <w:color w:val="auto"/>
                      <w:kern w:val="21"/>
                      <w:szCs w:val="21"/>
                      <w:highlight w:val="none"/>
                      <w:lang w:eastAsia="zh-CN"/>
                    </w:rPr>
                    <w:t>、</w:t>
                  </w:r>
                  <w:r>
                    <w:rPr>
                      <w:rFonts w:hint="eastAsia" w:cs="Times New Roman"/>
                      <w:snapToGrid w:val="0"/>
                      <w:color w:val="auto"/>
                      <w:kern w:val="21"/>
                      <w:szCs w:val="21"/>
                      <w:highlight w:val="none"/>
                      <w:lang w:val="en-US" w:eastAsia="zh-CN"/>
                    </w:rPr>
                    <w:t>石油类</w:t>
                  </w:r>
                </w:p>
              </w:tc>
              <w:tc>
                <w:tcPr>
                  <w:tcW w:w="517" w:type="pct"/>
                  <w:tcBorders>
                    <w:tl2br w:val="nil"/>
                    <w:tr2bl w:val="nil"/>
                  </w:tcBorders>
                  <w:noWrap w:val="0"/>
                  <w:vAlign w:val="center"/>
                </w:tcPr>
                <w:p w14:paraId="77E6B555">
                  <w:pPr>
                    <w:keepNext w:val="0"/>
                    <w:keepLines w:val="0"/>
                    <w:suppressLineNumbers w:val="0"/>
                    <w:adjustRightInd w:val="0"/>
                    <w:spacing w:before="0" w:beforeAutospacing="0" w:after="0" w:afterAutospacing="0"/>
                    <w:ind w:left="0" w:right="0"/>
                    <w:jc w:val="center"/>
                    <w:textAlignment w:val="baseline"/>
                    <w:rPr>
                      <w:rFonts w:hint="eastAsia" w:ascii="Times New Roman" w:hAnsi="Times New Roman" w:cs="Times New Roman"/>
                      <w:snapToGrid w:val="0"/>
                      <w:color w:val="auto"/>
                      <w:kern w:val="21"/>
                      <w:szCs w:val="21"/>
                      <w:highlight w:val="none"/>
                    </w:rPr>
                  </w:pPr>
                  <w:r>
                    <w:rPr>
                      <w:rFonts w:hint="eastAsia" w:ascii="Times New Roman" w:hAnsi="Times New Roman" w:cs="Times New Roman"/>
                      <w:snapToGrid w:val="0"/>
                      <w:color w:val="auto"/>
                      <w:kern w:val="21"/>
                      <w:szCs w:val="21"/>
                      <w:highlight w:val="none"/>
                    </w:rPr>
                    <w:t>经污水管网排入</w:t>
                  </w:r>
                  <w:r>
                    <w:rPr>
                      <w:rFonts w:hint="eastAsia" w:cs="Times New Roman"/>
                      <w:snapToGrid w:val="0"/>
                      <w:color w:val="auto"/>
                      <w:kern w:val="21"/>
                      <w:szCs w:val="21"/>
                      <w:highlight w:val="none"/>
                      <w:lang w:eastAsia="zh-CN"/>
                    </w:rPr>
                    <w:t>泗水国祯水务有限公司</w:t>
                  </w:r>
                  <w:r>
                    <w:rPr>
                      <w:rFonts w:hint="eastAsia" w:ascii="Times New Roman" w:hAnsi="Times New Roman" w:cs="Times New Roman"/>
                      <w:snapToGrid w:val="0"/>
                      <w:color w:val="auto"/>
                      <w:kern w:val="21"/>
                      <w:szCs w:val="21"/>
                      <w:highlight w:val="none"/>
                    </w:rPr>
                    <w:t>处理</w:t>
                  </w:r>
                </w:p>
              </w:tc>
              <w:tc>
                <w:tcPr>
                  <w:tcW w:w="557" w:type="pct"/>
                  <w:tcBorders>
                    <w:tl2br w:val="nil"/>
                    <w:tr2bl w:val="nil"/>
                  </w:tcBorders>
                  <w:noWrap w:val="0"/>
                  <w:vAlign w:val="center"/>
                </w:tcPr>
                <w:p w14:paraId="1E7982BB">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连续</w:t>
                  </w:r>
                </w:p>
              </w:tc>
              <w:tc>
                <w:tcPr>
                  <w:tcW w:w="471" w:type="pct"/>
                  <w:tcBorders>
                    <w:tl2br w:val="nil"/>
                    <w:tr2bl w:val="nil"/>
                  </w:tcBorders>
                  <w:noWrap w:val="0"/>
                  <w:vAlign w:val="center"/>
                </w:tcPr>
                <w:p w14:paraId="3D4D1D25">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560" w:type="pct"/>
                  <w:tcBorders>
                    <w:tl2br w:val="nil"/>
                    <w:tr2bl w:val="nil"/>
                  </w:tcBorders>
                  <w:noWrap w:val="0"/>
                  <w:vAlign w:val="center"/>
                </w:tcPr>
                <w:p w14:paraId="5D67B3CC">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362" w:type="pct"/>
                  <w:tcBorders>
                    <w:tl2br w:val="nil"/>
                    <w:tr2bl w:val="nil"/>
                  </w:tcBorders>
                  <w:noWrap w:val="0"/>
                  <w:vAlign w:val="center"/>
                </w:tcPr>
                <w:p w14:paraId="5E9A8D5C">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346" w:type="pct"/>
                  <w:tcBorders>
                    <w:tl2br w:val="nil"/>
                    <w:tr2bl w:val="nil"/>
                  </w:tcBorders>
                  <w:noWrap w:val="0"/>
                  <w:vAlign w:val="center"/>
                </w:tcPr>
                <w:p w14:paraId="3F554383">
                  <w:pPr>
                    <w:keepNext w:val="0"/>
                    <w:keepLines w:val="0"/>
                    <w:suppressLineNumbers w:val="0"/>
                    <w:adjustRightInd w:val="0"/>
                    <w:spacing w:before="0" w:beforeAutospacing="0" w:after="0" w:afterAutospacing="0"/>
                    <w:ind w:left="0" w:right="0"/>
                    <w:jc w:val="center"/>
                    <w:textAlignment w:val="baseline"/>
                    <w:rPr>
                      <w:rFonts w:hint="eastAsia"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rPr>
                    <w:t>DW00</w:t>
                  </w:r>
                  <w:r>
                    <w:rPr>
                      <w:rFonts w:hint="eastAsia" w:ascii="Times New Roman" w:hAnsi="Times New Roman" w:cs="Times New Roman"/>
                      <w:snapToGrid w:val="0"/>
                      <w:color w:val="auto"/>
                      <w:kern w:val="21"/>
                      <w:szCs w:val="21"/>
                      <w:highlight w:val="none"/>
                      <w:lang w:val="en-US" w:eastAsia="zh-CN"/>
                    </w:rPr>
                    <w:t>1</w:t>
                  </w:r>
                </w:p>
              </w:tc>
              <w:tc>
                <w:tcPr>
                  <w:tcW w:w="419" w:type="pct"/>
                  <w:tcBorders>
                    <w:tl2br w:val="nil"/>
                    <w:tr2bl w:val="nil"/>
                  </w:tcBorders>
                  <w:noWrap w:val="0"/>
                  <w:vAlign w:val="center"/>
                </w:tcPr>
                <w:p w14:paraId="478E3159">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eastAsia" w:ascii="宋体" w:hAnsi="宋体" w:cs="宋体"/>
                      <w:color w:val="auto"/>
                      <w:sz w:val="24"/>
                      <w:szCs w:val="24"/>
                      <w:highlight w:val="none"/>
                      <w:lang w:eastAsia="zh-CN"/>
                    </w:rPr>
                    <w:t>☑</w:t>
                  </w:r>
                  <w:r>
                    <w:rPr>
                      <w:rFonts w:hint="default" w:ascii="Times New Roman" w:hAnsi="Times New Roman" w:cs="Times New Roman"/>
                      <w:snapToGrid w:val="0"/>
                      <w:color w:val="auto"/>
                      <w:kern w:val="21"/>
                      <w:szCs w:val="21"/>
                      <w:highlight w:val="none"/>
                    </w:rPr>
                    <w:t>是</w:t>
                  </w:r>
                </w:p>
                <w:p w14:paraId="6A2B9CD8">
                  <w:pPr>
                    <w:keepNext w:val="0"/>
                    <w:keepLines w:val="0"/>
                    <w:suppressLineNumbers w:val="0"/>
                    <w:adjustRightInd w:val="0"/>
                    <w:spacing w:before="0" w:beforeAutospacing="0" w:after="0" w:afterAutospacing="0"/>
                    <w:ind w:left="0" w:right="0"/>
                    <w:jc w:val="center"/>
                    <w:textAlignment w:val="baseline"/>
                    <w:rPr>
                      <w:rFonts w:hint="eastAsia" w:ascii="Times New Roman" w:hAnsi="Times New Roman" w:cs="Times New Roman"/>
                      <w:snapToGrid w:val="0"/>
                      <w:color w:val="auto"/>
                      <w:kern w:val="21"/>
                      <w:szCs w:val="21"/>
                      <w:highlight w:val="none"/>
                      <w:lang w:eastAsia="zh-CN"/>
                    </w:rPr>
                  </w:pPr>
                  <w:r>
                    <w:rPr>
                      <w:rFonts w:hint="eastAsia" w:ascii="Times New Roman" w:hAnsi="Times New Roman" w:cs="Times New Roman"/>
                      <w:snapToGrid w:val="0"/>
                      <w:color w:val="auto"/>
                      <w:kern w:val="21"/>
                      <w:szCs w:val="21"/>
                      <w:highlight w:val="none"/>
                      <w:lang w:eastAsia="zh-CN"/>
                    </w:rPr>
                    <w:t>□</w:t>
                  </w:r>
                  <w:r>
                    <w:rPr>
                      <w:rFonts w:hint="default" w:ascii="Times New Roman" w:hAnsi="Times New Roman" w:cs="Times New Roman"/>
                      <w:snapToGrid w:val="0"/>
                      <w:color w:val="auto"/>
                      <w:kern w:val="21"/>
                      <w:szCs w:val="21"/>
                      <w:highlight w:val="none"/>
                    </w:rPr>
                    <w:t>否</w:t>
                  </w:r>
                </w:p>
              </w:tc>
              <w:tc>
                <w:tcPr>
                  <w:tcW w:w="795" w:type="pct"/>
                  <w:tcBorders>
                    <w:tl2br w:val="nil"/>
                    <w:tr2bl w:val="nil"/>
                  </w:tcBorders>
                  <w:noWrap w:val="0"/>
                  <w:vAlign w:val="center"/>
                </w:tcPr>
                <w:p w14:paraId="7C827436">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eastAsia" w:ascii="宋体" w:hAnsi="宋体" w:cs="宋体"/>
                      <w:color w:val="auto"/>
                      <w:sz w:val="24"/>
                      <w:szCs w:val="24"/>
                      <w:highlight w:val="none"/>
                      <w:lang w:eastAsia="zh-CN"/>
                    </w:rPr>
                    <w:t>☑</w:t>
                  </w:r>
                  <w:r>
                    <w:rPr>
                      <w:rFonts w:hint="default" w:ascii="Times New Roman" w:hAnsi="Times New Roman" w:cs="Times New Roman"/>
                      <w:snapToGrid w:val="0"/>
                      <w:color w:val="auto"/>
                      <w:kern w:val="21"/>
                      <w:szCs w:val="21"/>
                      <w:highlight w:val="none"/>
                    </w:rPr>
                    <w:t>企业总排</w:t>
                  </w:r>
                </w:p>
                <w:p w14:paraId="319BFE4F">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eastAsia" w:ascii="宋体" w:hAnsi="宋体" w:cs="宋体"/>
                      <w:color w:val="auto"/>
                      <w:sz w:val="24"/>
                      <w:szCs w:val="24"/>
                      <w:highlight w:val="none"/>
                    </w:rPr>
                    <w:t>□</w:t>
                  </w:r>
                  <w:r>
                    <w:rPr>
                      <w:rFonts w:hint="default" w:ascii="Times New Roman" w:hAnsi="Times New Roman" w:cs="Times New Roman"/>
                      <w:snapToGrid w:val="0"/>
                      <w:color w:val="auto"/>
                      <w:kern w:val="21"/>
                      <w:szCs w:val="21"/>
                      <w:highlight w:val="none"/>
                    </w:rPr>
                    <w:t>雨水排放</w:t>
                  </w:r>
                </w:p>
                <w:p w14:paraId="7296AEF7">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eastAsia" w:ascii="宋体" w:hAnsi="宋体" w:cs="宋体"/>
                      <w:color w:val="auto"/>
                      <w:sz w:val="24"/>
                      <w:szCs w:val="24"/>
                      <w:highlight w:val="none"/>
                    </w:rPr>
                    <w:t>□</w:t>
                  </w:r>
                  <w:r>
                    <w:rPr>
                      <w:rFonts w:hint="default" w:ascii="Times New Roman" w:hAnsi="Times New Roman" w:cs="Times New Roman"/>
                      <w:snapToGrid w:val="0"/>
                      <w:color w:val="auto"/>
                      <w:kern w:val="21"/>
                      <w:szCs w:val="21"/>
                      <w:highlight w:val="none"/>
                    </w:rPr>
                    <w:t>清净下水排放</w:t>
                  </w:r>
                </w:p>
                <w:p w14:paraId="2F4D111B">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eastAsia" w:ascii="宋体" w:hAnsi="宋体" w:cs="宋体"/>
                      <w:color w:val="auto"/>
                      <w:sz w:val="24"/>
                      <w:szCs w:val="24"/>
                      <w:highlight w:val="none"/>
                    </w:rPr>
                    <w:t>□</w:t>
                  </w:r>
                  <w:r>
                    <w:rPr>
                      <w:rFonts w:hint="default" w:ascii="Times New Roman" w:hAnsi="Times New Roman" w:cs="Times New Roman"/>
                      <w:snapToGrid w:val="0"/>
                      <w:color w:val="auto"/>
                      <w:kern w:val="21"/>
                      <w:szCs w:val="21"/>
                      <w:highlight w:val="none"/>
                    </w:rPr>
                    <w:t>温排水排放</w:t>
                  </w:r>
                </w:p>
                <w:p w14:paraId="282953C8">
                  <w:pPr>
                    <w:keepNext w:val="0"/>
                    <w:keepLines w:val="0"/>
                    <w:suppressLineNumbers w:val="0"/>
                    <w:adjustRightInd w:val="0"/>
                    <w:spacing w:before="0" w:beforeAutospacing="0" w:after="0" w:afterAutospacing="0"/>
                    <w:ind w:left="0" w:right="0"/>
                    <w:jc w:val="center"/>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default" w:ascii="Times New Roman" w:hAnsi="Times New Roman" w:cs="Times New Roman"/>
                      <w:snapToGrid w:val="0"/>
                      <w:color w:val="auto"/>
                      <w:kern w:val="21"/>
                      <w:szCs w:val="21"/>
                      <w:highlight w:val="none"/>
                    </w:rPr>
                    <w:t>车间或车间处理设施排放口</w:t>
                  </w:r>
                </w:p>
              </w:tc>
            </w:tr>
          </w:tbl>
          <w:p w14:paraId="7F910EAB">
            <w:pPr>
              <w:keepNext w:val="0"/>
              <w:keepLines w:val="0"/>
              <w:pageBreakBefore w:val="0"/>
              <w:widowControl w:val="0"/>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right="0" w:firstLine="480" w:firstLineChars="200"/>
              <w:jc w:val="left"/>
              <w:textAlignment w:val="baseline"/>
              <w:rPr>
                <w:rFonts w:hint="default" w:ascii="Times New Roman" w:hAnsi="Times New Roman" w:cs="Times New Roman"/>
                <w:snapToGrid w:val="0"/>
                <w:color w:val="000000"/>
                <w:kern w:val="21"/>
                <w:sz w:val="24"/>
                <w:highlight w:val="none"/>
              </w:rPr>
            </w:pPr>
            <w:r>
              <w:rPr>
                <w:rFonts w:hint="eastAsia" w:ascii="Times New Roman" w:hAnsi="Times New Roman" w:cs="Times New Roman"/>
                <w:snapToGrid w:val="0"/>
                <w:color w:val="000000"/>
                <w:kern w:val="21"/>
                <w:sz w:val="24"/>
                <w:highlight w:val="none"/>
                <w:lang w:val="en-US" w:eastAsia="zh-CN"/>
              </w:rPr>
              <w:t>污水</w:t>
            </w:r>
            <w:r>
              <w:rPr>
                <w:rFonts w:hint="default" w:ascii="Times New Roman" w:hAnsi="Times New Roman" w:cs="Times New Roman"/>
                <w:snapToGrid w:val="0"/>
                <w:color w:val="000000"/>
                <w:kern w:val="21"/>
                <w:sz w:val="24"/>
                <w:highlight w:val="none"/>
              </w:rPr>
              <w:t>排放口基本情况见表</w:t>
            </w:r>
            <w:r>
              <w:rPr>
                <w:rFonts w:hint="eastAsia" w:ascii="Times New Roman" w:hAnsi="Times New Roman" w:cs="Times New Roman"/>
                <w:snapToGrid w:val="0"/>
                <w:color w:val="000000"/>
                <w:kern w:val="21"/>
                <w:sz w:val="24"/>
                <w:highlight w:val="none"/>
              </w:rPr>
              <w:t>4-</w:t>
            </w:r>
            <w:r>
              <w:rPr>
                <w:rFonts w:hint="eastAsia" w:cs="Times New Roman"/>
                <w:snapToGrid w:val="0"/>
                <w:color w:val="000000"/>
                <w:kern w:val="21"/>
                <w:sz w:val="24"/>
                <w:highlight w:val="none"/>
                <w:lang w:val="en-US" w:eastAsia="zh-CN"/>
              </w:rPr>
              <w:t>10</w:t>
            </w:r>
            <w:r>
              <w:rPr>
                <w:rFonts w:hint="default" w:ascii="Times New Roman" w:hAnsi="Times New Roman" w:cs="Times New Roman"/>
                <w:snapToGrid w:val="0"/>
                <w:color w:val="000000"/>
                <w:kern w:val="21"/>
                <w:sz w:val="24"/>
                <w:highlight w:val="none"/>
              </w:rPr>
              <w:t>。</w:t>
            </w:r>
          </w:p>
          <w:p w14:paraId="1A18005E">
            <w:pPr>
              <w:keepNext w:val="0"/>
              <w:keepLines w:val="0"/>
              <w:suppressLineNumbers w:val="0"/>
              <w:autoSpaceDE w:val="0"/>
              <w:autoSpaceDN w:val="0"/>
              <w:spacing w:before="0" w:beforeAutospacing="0" w:after="0" w:afterAutospacing="0"/>
              <w:ind w:left="0" w:right="0"/>
              <w:jc w:val="center"/>
              <w:textAlignment w:val="baseline"/>
              <w:rPr>
                <w:rFonts w:hint="default" w:ascii="Times New Roman" w:hAnsi="Times New Roman" w:cs="Times New Roman"/>
                <w:b/>
                <w:bCs/>
                <w:snapToGrid w:val="0"/>
                <w:color w:val="000000"/>
                <w:kern w:val="21"/>
                <w:sz w:val="24"/>
                <w:highlight w:val="none"/>
              </w:rPr>
            </w:pPr>
            <w:r>
              <w:rPr>
                <w:rFonts w:hint="default" w:ascii="Times New Roman" w:hAnsi="Times New Roman" w:cs="Times New Roman"/>
                <w:b/>
                <w:bCs/>
                <w:snapToGrid w:val="0"/>
                <w:color w:val="000000"/>
                <w:kern w:val="21"/>
                <w:sz w:val="24"/>
                <w:highlight w:val="none"/>
              </w:rPr>
              <w:t>表</w:t>
            </w:r>
            <w:r>
              <w:rPr>
                <w:rFonts w:hint="eastAsia" w:ascii="Times New Roman" w:hAnsi="Times New Roman" w:cs="Times New Roman"/>
                <w:b/>
                <w:bCs/>
                <w:snapToGrid w:val="0"/>
                <w:color w:val="000000"/>
                <w:kern w:val="21"/>
                <w:sz w:val="24"/>
                <w:highlight w:val="none"/>
              </w:rPr>
              <w:t>4-</w:t>
            </w:r>
            <w:r>
              <w:rPr>
                <w:rFonts w:hint="eastAsia" w:cs="Times New Roman"/>
                <w:b/>
                <w:bCs/>
                <w:snapToGrid w:val="0"/>
                <w:color w:val="000000"/>
                <w:kern w:val="21"/>
                <w:sz w:val="24"/>
                <w:highlight w:val="none"/>
                <w:lang w:val="en-US" w:eastAsia="zh-CN"/>
              </w:rPr>
              <w:t>10</w:t>
            </w:r>
            <w:r>
              <w:rPr>
                <w:rFonts w:hint="eastAsia" w:ascii="Times New Roman" w:hAnsi="Times New Roman" w:cs="Times New Roman"/>
                <w:b/>
                <w:bCs/>
                <w:snapToGrid w:val="0"/>
                <w:color w:val="000000"/>
                <w:kern w:val="21"/>
                <w:sz w:val="24"/>
                <w:highlight w:val="none"/>
              </w:rPr>
              <w:t xml:space="preserve">  </w:t>
            </w:r>
            <w:r>
              <w:rPr>
                <w:rFonts w:hint="eastAsia" w:ascii="Times New Roman" w:hAnsi="Times New Roman" w:cs="Times New Roman"/>
                <w:b/>
                <w:bCs/>
                <w:snapToGrid w:val="0"/>
                <w:color w:val="000000"/>
                <w:kern w:val="21"/>
                <w:sz w:val="24"/>
                <w:highlight w:val="none"/>
                <w:lang w:val="en-US" w:eastAsia="zh-CN"/>
              </w:rPr>
              <w:t>污水</w:t>
            </w:r>
            <w:r>
              <w:rPr>
                <w:rFonts w:hint="default" w:ascii="Times New Roman" w:hAnsi="Times New Roman" w:cs="Times New Roman"/>
                <w:b/>
                <w:bCs/>
                <w:snapToGrid w:val="0"/>
                <w:color w:val="000000"/>
                <w:kern w:val="21"/>
                <w:sz w:val="24"/>
                <w:highlight w:val="none"/>
              </w:rPr>
              <w:t>排放口基本情况表</w:t>
            </w:r>
          </w:p>
          <w:tbl>
            <w:tblPr>
              <w:tblStyle w:val="34"/>
              <w:tblW w:w="489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14"/>
              <w:gridCol w:w="903"/>
              <w:gridCol w:w="994"/>
              <w:gridCol w:w="890"/>
              <w:gridCol w:w="1414"/>
              <w:gridCol w:w="834"/>
              <w:gridCol w:w="590"/>
              <w:gridCol w:w="835"/>
              <w:gridCol w:w="1412"/>
            </w:tblGrid>
            <w:tr w14:paraId="21E8D8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50" w:type="pct"/>
                  <w:vMerge w:val="restart"/>
                  <w:tcBorders>
                    <w:tl2br w:val="nil"/>
                    <w:tr2bl w:val="nil"/>
                  </w:tcBorders>
                  <w:noWrap w:val="0"/>
                  <w:vAlign w:val="center"/>
                </w:tcPr>
                <w:p w14:paraId="026DAE47">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b/>
                      <w:bCs/>
                      <w:snapToGrid w:val="0"/>
                      <w:color w:val="auto"/>
                      <w:kern w:val="21"/>
                      <w:szCs w:val="21"/>
                      <w:highlight w:val="none"/>
                    </w:rPr>
                  </w:pPr>
                  <w:r>
                    <w:rPr>
                      <w:rFonts w:hint="default" w:ascii="Times New Roman" w:hAnsi="Times New Roman" w:cs="Times New Roman"/>
                      <w:b/>
                      <w:bCs/>
                      <w:snapToGrid w:val="0"/>
                      <w:color w:val="auto"/>
                      <w:kern w:val="21"/>
                      <w:szCs w:val="21"/>
                      <w:highlight w:val="none"/>
                    </w:rPr>
                    <w:t>序 号</w:t>
                  </w:r>
                </w:p>
              </w:tc>
              <w:tc>
                <w:tcPr>
                  <w:tcW w:w="545" w:type="pct"/>
                  <w:vMerge w:val="restart"/>
                  <w:tcBorders>
                    <w:tl2br w:val="nil"/>
                    <w:tr2bl w:val="nil"/>
                  </w:tcBorders>
                  <w:noWrap w:val="0"/>
                  <w:vAlign w:val="center"/>
                </w:tcPr>
                <w:p w14:paraId="488F26B2">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b/>
                      <w:bCs/>
                      <w:snapToGrid w:val="0"/>
                      <w:color w:val="auto"/>
                      <w:kern w:val="21"/>
                      <w:szCs w:val="21"/>
                      <w:highlight w:val="none"/>
                    </w:rPr>
                  </w:pPr>
                  <w:r>
                    <w:rPr>
                      <w:rFonts w:hint="default" w:ascii="Times New Roman" w:hAnsi="Times New Roman" w:cs="Times New Roman"/>
                      <w:b/>
                      <w:bCs/>
                      <w:snapToGrid w:val="0"/>
                      <w:color w:val="auto"/>
                      <w:kern w:val="21"/>
                      <w:szCs w:val="21"/>
                      <w:highlight w:val="none"/>
                    </w:rPr>
                    <w:t>排放口编号</w:t>
                  </w:r>
                </w:p>
              </w:tc>
              <w:tc>
                <w:tcPr>
                  <w:tcW w:w="1137" w:type="pct"/>
                  <w:gridSpan w:val="2"/>
                  <w:tcBorders>
                    <w:tl2br w:val="nil"/>
                    <w:tr2bl w:val="nil"/>
                  </w:tcBorders>
                  <w:noWrap w:val="0"/>
                  <w:vAlign w:val="center"/>
                </w:tcPr>
                <w:p w14:paraId="2A20F204">
                  <w:pPr>
                    <w:keepNext w:val="0"/>
                    <w:keepLines w:val="0"/>
                    <w:suppressLineNumbers w:val="0"/>
                    <w:adjustRightInd w:val="0"/>
                    <w:spacing w:before="0" w:beforeAutospacing="0" w:after="0" w:afterAutospacing="0"/>
                    <w:ind w:left="0" w:right="0"/>
                    <w:jc w:val="center"/>
                    <w:textAlignment w:val="baseline"/>
                    <w:rPr>
                      <w:rFonts w:hint="eastAsia" w:ascii="Times New Roman" w:hAnsi="Times New Roman" w:eastAsia="宋体" w:cs="Times New Roman"/>
                      <w:b/>
                      <w:bCs/>
                      <w:snapToGrid w:val="0"/>
                      <w:color w:val="auto"/>
                      <w:kern w:val="21"/>
                      <w:szCs w:val="21"/>
                      <w:highlight w:val="none"/>
                      <w:lang w:val="en-US" w:eastAsia="zh-CN"/>
                    </w:rPr>
                  </w:pPr>
                  <w:r>
                    <w:rPr>
                      <w:rFonts w:hint="default" w:ascii="Times New Roman" w:hAnsi="Times New Roman" w:cs="Times New Roman"/>
                      <w:b/>
                      <w:bCs/>
                      <w:snapToGrid w:val="0"/>
                      <w:color w:val="auto"/>
                      <w:kern w:val="21"/>
                      <w:szCs w:val="21"/>
                      <w:highlight w:val="none"/>
                    </w:rPr>
                    <w:t>排放口地理坐标</w:t>
                  </w:r>
                  <w:r>
                    <w:rPr>
                      <w:rFonts w:hint="eastAsia" w:ascii="Times New Roman" w:hAnsi="Times New Roman" w:cs="Times New Roman"/>
                      <w:b/>
                      <w:bCs/>
                      <w:snapToGrid w:val="0"/>
                      <w:color w:val="auto"/>
                      <w:kern w:val="21"/>
                      <w:szCs w:val="21"/>
                      <w:highlight w:val="none"/>
                      <w:vertAlign w:val="superscript"/>
                      <w:lang w:val="en-US" w:eastAsia="zh-CN"/>
                    </w:rPr>
                    <w:t>a</w:t>
                  </w:r>
                </w:p>
              </w:tc>
              <w:tc>
                <w:tcPr>
                  <w:tcW w:w="853" w:type="pct"/>
                  <w:vMerge w:val="restart"/>
                  <w:tcBorders>
                    <w:tl2br w:val="nil"/>
                    <w:tr2bl w:val="nil"/>
                  </w:tcBorders>
                  <w:noWrap w:val="0"/>
                  <w:vAlign w:val="center"/>
                </w:tcPr>
                <w:p w14:paraId="69ED1643">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b/>
                      <w:bCs/>
                      <w:snapToGrid w:val="0"/>
                      <w:color w:val="auto"/>
                      <w:kern w:val="21"/>
                      <w:szCs w:val="21"/>
                      <w:highlight w:val="none"/>
                    </w:rPr>
                  </w:pPr>
                  <w:r>
                    <w:rPr>
                      <w:rFonts w:hint="default" w:ascii="Times New Roman" w:hAnsi="Times New Roman" w:cs="Times New Roman"/>
                      <w:b/>
                      <w:bCs/>
                      <w:snapToGrid w:val="0"/>
                      <w:color w:val="auto"/>
                      <w:kern w:val="21"/>
                      <w:szCs w:val="21"/>
                      <w:highlight w:val="none"/>
                    </w:rPr>
                    <w:t>废水排放量/（万t/a）</w:t>
                  </w:r>
                </w:p>
              </w:tc>
              <w:tc>
                <w:tcPr>
                  <w:tcW w:w="503" w:type="pct"/>
                  <w:vMerge w:val="restart"/>
                  <w:tcBorders>
                    <w:tl2br w:val="nil"/>
                    <w:tr2bl w:val="nil"/>
                  </w:tcBorders>
                  <w:noWrap w:val="0"/>
                  <w:vAlign w:val="center"/>
                </w:tcPr>
                <w:p w14:paraId="274904C5">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b/>
                      <w:bCs/>
                      <w:snapToGrid w:val="0"/>
                      <w:color w:val="auto"/>
                      <w:kern w:val="21"/>
                      <w:szCs w:val="21"/>
                      <w:highlight w:val="none"/>
                    </w:rPr>
                  </w:pPr>
                  <w:r>
                    <w:rPr>
                      <w:rFonts w:hint="default" w:ascii="Times New Roman" w:hAnsi="Times New Roman" w:cs="Times New Roman"/>
                      <w:b/>
                      <w:bCs/>
                      <w:snapToGrid w:val="0"/>
                      <w:color w:val="auto"/>
                      <w:kern w:val="21"/>
                      <w:szCs w:val="21"/>
                      <w:highlight w:val="none"/>
                    </w:rPr>
                    <w:t>排放去向</w:t>
                  </w:r>
                </w:p>
              </w:tc>
              <w:tc>
                <w:tcPr>
                  <w:tcW w:w="356" w:type="pct"/>
                  <w:vMerge w:val="restart"/>
                  <w:tcBorders>
                    <w:tl2br w:val="nil"/>
                    <w:tr2bl w:val="nil"/>
                  </w:tcBorders>
                  <w:noWrap w:val="0"/>
                  <w:vAlign w:val="center"/>
                </w:tcPr>
                <w:p w14:paraId="067B8D96">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b/>
                      <w:bCs/>
                      <w:snapToGrid w:val="0"/>
                      <w:color w:val="auto"/>
                      <w:kern w:val="21"/>
                      <w:szCs w:val="21"/>
                      <w:highlight w:val="none"/>
                    </w:rPr>
                  </w:pPr>
                  <w:r>
                    <w:rPr>
                      <w:rFonts w:hint="default" w:ascii="Times New Roman" w:hAnsi="Times New Roman" w:cs="Times New Roman"/>
                      <w:b/>
                      <w:bCs/>
                      <w:snapToGrid w:val="0"/>
                      <w:color w:val="auto"/>
                      <w:kern w:val="21"/>
                      <w:szCs w:val="21"/>
                      <w:highlight w:val="none"/>
                    </w:rPr>
                    <w:t>排放规律</w:t>
                  </w:r>
                </w:p>
              </w:tc>
              <w:tc>
                <w:tcPr>
                  <w:tcW w:w="504" w:type="pct"/>
                  <w:vMerge w:val="restart"/>
                  <w:tcBorders>
                    <w:tl2br w:val="nil"/>
                    <w:tr2bl w:val="nil"/>
                  </w:tcBorders>
                  <w:noWrap w:val="0"/>
                  <w:vAlign w:val="center"/>
                </w:tcPr>
                <w:p w14:paraId="147EAF59">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b/>
                      <w:bCs/>
                      <w:snapToGrid w:val="0"/>
                      <w:color w:val="auto"/>
                      <w:kern w:val="21"/>
                      <w:szCs w:val="21"/>
                      <w:highlight w:val="none"/>
                    </w:rPr>
                  </w:pPr>
                  <w:r>
                    <w:rPr>
                      <w:rFonts w:hint="default" w:ascii="Times New Roman" w:hAnsi="Times New Roman" w:cs="Times New Roman"/>
                      <w:b/>
                      <w:bCs/>
                      <w:snapToGrid w:val="0"/>
                      <w:color w:val="auto"/>
                      <w:kern w:val="21"/>
                      <w:szCs w:val="21"/>
                      <w:highlight w:val="none"/>
                    </w:rPr>
                    <w:t>间歇排放时段</w:t>
                  </w:r>
                </w:p>
              </w:tc>
              <w:tc>
                <w:tcPr>
                  <w:tcW w:w="848" w:type="pct"/>
                  <w:vMerge w:val="restart"/>
                  <w:tcBorders>
                    <w:tl2br w:val="nil"/>
                    <w:tr2bl w:val="nil"/>
                  </w:tcBorders>
                  <w:noWrap w:val="0"/>
                  <w:vAlign w:val="center"/>
                </w:tcPr>
                <w:p w14:paraId="69A3D0E8">
                  <w:pPr>
                    <w:keepNext w:val="0"/>
                    <w:keepLines w:val="0"/>
                    <w:suppressLineNumbers w:val="0"/>
                    <w:adjustRightInd w:val="0"/>
                    <w:spacing w:before="0" w:beforeAutospacing="0" w:after="0" w:afterAutospacing="0"/>
                    <w:ind w:left="0" w:right="0"/>
                    <w:jc w:val="center"/>
                    <w:textAlignment w:val="baseline"/>
                    <w:rPr>
                      <w:rFonts w:hint="eastAsia" w:ascii="Times New Roman" w:hAnsi="Times New Roman" w:eastAsia="宋体" w:cs="Times New Roman"/>
                      <w:b/>
                      <w:bCs/>
                      <w:snapToGrid w:val="0"/>
                      <w:color w:val="auto"/>
                      <w:kern w:val="21"/>
                      <w:szCs w:val="21"/>
                      <w:highlight w:val="none"/>
                      <w:lang w:val="en-US" w:eastAsia="zh-CN"/>
                    </w:rPr>
                  </w:pPr>
                  <w:r>
                    <w:rPr>
                      <w:rFonts w:hint="default" w:ascii="Times New Roman" w:hAnsi="Times New Roman" w:cs="Times New Roman"/>
                      <w:b/>
                      <w:bCs/>
                      <w:snapToGrid w:val="0"/>
                      <w:color w:val="auto"/>
                      <w:kern w:val="21"/>
                      <w:szCs w:val="21"/>
                      <w:highlight w:val="none"/>
                    </w:rPr>
                    <w:t>受纳污水处理厂信息</w:t>
                  </w:r>
                  <w:r>
                    <w:rPr>
                      <w:rFonts w:hint="eastAsia" w:ascii="Times New Roman" w:hAnsi="Times New Roman" w:cs="Times New Roman"/>
                      <w:b/>
                      <w:bCs/>
                      <w:snapToGrid w:val="0"/>
                      <w:color w:val="auto"/>
                      <w:kern w:val="21"/>
                      <w:szCs w:val="21"/>
                      <w:highlight w:val="none"/>
                      <w:vertAlign w:val="superscript"/>
                      <w:lang w:val="en-US" w:eastAsia="zh-CN"/>
                    </w:rPr>
                    <w:t>b</w:t>
                  </w:r>
                </w:p>
              </w:tc>
            </w:tr>
            <w:tr w14:paraId="2146E4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50" w:type="pct"/>
                  <w:vMerge w:val="continue"/>
                  <w:tcBorders>
                    <w:tl2br w:val="nil"/>
                    <w:tr2bl w:val="nil"/>
                  </w:tcBorders>
                  <w:noWrap w:val="0"/>
                  <w:vAlign w:val="center"/>
                </w:tcPr>
                <w:p w14:paraId="52D4BCF6">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c>
                <w:tcPr>
                  <w:tcW w:w="545" w:type="pct"/>
                  <w:vMerge w:val="continue"/>
                  <w:tcBorders>
                    <w:tl2br w:val="nil"/>
                    <w:tr2bl w:val="nil"/>
                  </w:tcBorders>
                  <w:noWrap w:val="0"/>
                  <w:vAlign w:val="center"/>
                </w:tcPr>
                <w:p w14:paraId="7F29161E">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c>
                <w:tcPr>
                  <w:tcW w:w="600" w:type="pct"/>
                  <w:tcBorders>
                    <w:tl2br w:val="nil"/>
                    <w:tr2bl w:val="nil"/>
                  </w:tcBorders>
                  <w:noWrap w:val="0"/>
                  <w:vAlign w:val="center"/>
                </w:tcPr>
                <w:p w14:paraId="024FFF34">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b/>
                      <w:bCs/>
                      <w:snapToGrid w:val="0"/>
                      <w:color w:val="auto"/>
                      <w:kern w:val="21"/>
                      <w:szCs w:val="21"/>
                      <w:highlight w:val="none"/>
                    </w:rPr>
                  </w:pPr>
                  <w:r>
                    <w:rPr>
                      <w:rFonts w:hint="default" w:ascii="Times New Roman" w:hAnsi="Times New Roman" w:cs="Times New Roman"/>
                      <w:b/>
                      <w:bCs/>
                      <w:snapToGrid w:val="0"/>
                      <w:color w:val="auto"/>
                      <w:kern w:val="21"/>
                      <w:szCs w:val="21"/>
                      <w:highlight w:val="none"/>
                    </w:rPr>
                    <w:t>经度</w:t>
                  </w:r>
                </w:p>
              </w:tc>
              <w:tc>
                <w:tcPr>
                  <w:tcW w:w="536" w:type="pct"/>
                  <w:tcBorders>
                    <w:tl2br w:val="nil"/>
                    <w:tr2bl w:val="nil"/>
                  </w:tcBorders>
                  <w:noWrap w:val="0"/>
                  <w:vAlign w:val="center"/>
                </w:tcPr>
                <w:p w14:paraId="35F017BB">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b/>
                      <w:bCs/>
                      <w:snapToGrid w:val="0"/>
                      <w:color w:val="auto"/>
                      <w:kern w:val="21"/>
                      <w:szCs w:val="21"/>
                      <w:highlight w:val="none"/>
                    </w:rPr>
                  </w:pPr>
                  <w:r>
                    <w:rPr>
                      <w:rFonts w:hint="default" w:ascii="Times New Roman" w:hAnsi="Times New Roman" w:cs="Times New Roman"/>
                      <w:b/>
                      <w:bCs/>
                      <w:snapToGrid w:val="0"/>
                      <w:color w:val="auto"/>
                      <w:kern w:val="21"/>
                      <w:szCs w:val="21"/>
                      <w:highlight w:val="none"/>
                    </w:rPr>
                    <w:t>纬度</w:t>
                  </w:r>
                </w:p>
              </w:tc>
              <w:tc>
                <w:tcPr>
                  <w:tcW w:w="853" w:type="pct"/>
                  <w:vMerge w:val="continue"/>
                  <w:tcBorders>
                    <w:tl2br w:val="nil"/>
                    <w:tr2bl w:val="nil"/>
                  </w:tcBorders>
                  <w:noWrap w:val="0"/>
                  <w:vAlign w:val="center"/>
                </w:tcPr>
                <w:p w14:paraId="16485C43">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c>
                <w:tcPr>
                  <w:tcW w:w="503" w:type="pct"/>
                  <w:vMerge w:val="continue"/>
                  <w:tcBorders>
                    <w:tl2br w:val="nil"/>
                    <w:tr2bl w:val="nil"/>
                  </w:tcBorders>
                  <w:noWrap w:val="0"/>
                  <w:vAlign w:val="center"/>
                </w:tcPr>
                <w:p w14:paraId="03A57AC5">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c>
                <w:tcPr>
                  <w:tcW w:w="356" w:type="pct"/>
                  <w:vMerge w:val="continue"/>
                  <w:tcBorders>
                    <w:tl2br w:val="nil"/>
                    <w:tr2bl w:val="nil"/>
                  </w:tcBorders>
                  <w:noWrap w:val="0"/>
                  <w:vAlign w:val="center"/>
                </w:tcPr>
                <w:p w14:paraId="3A77FC93">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c>
                <w:tcPr>
                  <w:tcW w:w="504" w:type="pct"/>
                  <w:vMerge w:val="continue"/>
                  <w:tcBorders>
                    <w:tl2br w:val="nil"/>
                    <w:tr2bl w:val="nil"/>
                  </w:tcBorders>
                  <w:noWrap w:val="0"/>
                  <w:vAlign w:val="center"/>
                </w:tcPr>
                <w:p w14:paraId="3EB6C06B">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c>
                <w:tcPr>
                  <w:tcW w:w="848" w:type="pct"/>
                  <w:vMerge w:val="continue"/>
                  <w:tcBorders>
                    <w:tl2br w:val="nil"/>
                    <w:tr2bl w:val="nil"/>
                  </w:tcBorders>
                  <w:noWrap w:val="0"/>
                  <w:vAlign w:val="center"/>
                </w:tcPr>
                <w:p w14:paraId="25BBE333">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p>
              </w:tc>
            </w:tr>
            <w:tr w14:paraId="3162F9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63" w:hRule="atLeast"/>
                <w:jc w:val="center"/>
              </w:trPr>
              <w:tc>
                <w:tcPr>
                  <w:tcW w:w="250" w:type="pct"/>
                  <w:tcBorders>
                    <w:tl2br w:val="nil"/>
                    <w:tr2bl w:val="nil"/>
                  </w:tcBorders>
                  <w:noWrap w:val="0"/>
                  <w:vAlign w:val="center"/>
                </w:tcPr>
                <w:p w14:paraId="59E96C73">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1</w:t>
                  </w:r>
                </w:p>
              </w:tc>
              <w:tc>
                <w:tcPr>
                  <w:tcW w:w="545" w:type="pct"/>
                  <w:tcBorders>
                    <w:tl2br w:val="nil"/>
                    <w:tr2bl w:val="nil"/>
                  </w:tcBorders>
                  <w:noWrap w:val="0"/>
                  <w:vAlign w:val="center"/>
                </w:tcPr>
                <w:p w14:paraId="65661FB6">
                  <w:pPr>
                    <w:keepNext w:val="0"/>
                    <w:keepLines w:val="0"/>
                    <w:suppressLineNumbers w:val="0"/>
                    <w:adjustRightInd w:val="0"/>
                    <w:spacing w:before="0" w:beforeAutospacing="0" w:after="0" w:afterAutospacing="0"/>
                    <w:ind w:left="0" w:right="0"/>
                    <w:jc w:val="center"/>
                    <w:textAlignment w:val="baseline"/>
                    <w:rPr>
                      <w:rFonts w:hint="eastAsia" w:ascii="Times New Roman" w:hAnsi="Times New Roman" w:eastAsia="宋体" w:cs="Times New Roman"/>
                      <w:snapToGrid w:val="0"/>
                      <w:color w:val="auto"/>
                      <w:kern w:val="21"/>
                      <w:szCs w:val="21"/>
                      <w:highlight w:val="none"/>
                      <w:lang w:eastAsia="zh-CN"/>
                    </w:rPr>
                  </w:pPr>
                  <w:r>
                    <w:rPr>
                      <w:rFonts w:hint="default" w:ascii="Times New Roman" w:hAnsi="Times New Roman" w:cs="Times New Roman"/>
                      <w:snapToGrid w:val="0"/>
                      <w:color w:val="auto"/>
                      <w:kern w:val="21"/>
                      <w:szCs w:val="21"/>
                      <w:highlight w:val="none"/>
                    </w:rPr>
                    <w:t>DW00</w:t>
                  </w:r>
                  <w:r>
                    <w:rPr>
                      <w:rFonts w:hint="eastAsia" w:ascii="Times New Roman" w:hAnsi="Times New Roman" w:cs="Times New Roman"/>
                      <w:snapToGrid w:val="0"/>
                      <w:color w:val="auto"/>
                      <w:kern w:val="21"/>
                      <w:szCs w:val="21"/>
                      <w:highlight w:val="none"/>
                      <w:lang w:val="en-US" w:eastAsia="zh-CN"/>
                    </w:rPr>
                    <w:t>1</w:t>
                  </w:r>
                </w:p>
              </w:tc>
              <w:tc>
                <w:tcPr>
                  <w:tcW w:w="600" w:type="pct"/>
                  <w:tcBorders>
                    <w:tl2br w:val="nil"/>
                    <w:tr2bl w:val="nil"/>
                  </w:tcBorders>
                  <w:noWrap w:val="0"/>
                  <w:vAlign w:val="center"/>
                </w:tcPr>
                <w:p w14:paraId="3C471E27">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117.219011</w:t>
                  </w:r>
                </w:p>
              </w:tc>
              <w:tc>
                <w:tcPr>
                  <w:tcW w:w="536" w:type="pct"/>
                  <w:tcBorders>
                    <w:tl2br w:val="nil"/>
                    <w:tr2bl w:val="nil"/>
                  </w:tcBorders>
                  <w:noWrap w:val="0"/>
                  <w:vAlign w:val="center"/>
                </w:tcPr>
                <w:p w14:paraId="79B2C26D">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rPr>
                    <w:t>35.</w:t>
                  </w:r>
                  <w:r>
                    <w:rPr>
                      <w:rFonts w:hint="eastAsia" w:cs="Times New Roman"/>
                      <w:color w:val="auto"/>
                      <w:highlight w:val="none"/>
                      <w:lang w:val="en-US" w:eastAsia="zh-CN"/>
                    </w:rPr>
                    <w:t>670275</w:t>
                  </w:r>
                </w:p>
              </w:tc>
              <w:tc>
                <w:tcPr>
                  <w:tcW w:w="853" w:type="pct"/>
                  <w:tcBorders>
                    <w:tl2br w:val="nil"/>
                    <w:tr2bl w:val="nil"/>
                  </w:tcBorders>
                  <w:noWrap w:val="0"/>
                  <w:vAlign w:val="center"/>
                </w:tcPr>
                <w:p w14:paraId="04171888">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lang w:val="en-US"/>
                    </w:rPr>
                  </w:pPr>
                  <w:r>
                    <w:rPr>
                      <w:rFonts w:hint="eastAsia" w:cs="Times New Roman"/>
                      <w:i w:val="0"/>
                      <w:iCs w:val="0"/>
                      <w:color w:val="000000"/>
                      <w:kern w:val="0"/>
                      <w:sz w:val="21"/>
                      <w:szCs w:val="21"/>
                      <w:u w:val="none"/>
                      <w:lang w:val="en-US" w:eastAsia="zh-CN" w:bidi="ar"/>
                    </w:rPr>
                    <w:t>0.02</w:t>
                  </w:r>
                </w:p>
              </w:tc>
              <w:tc>
                <w:tcPr>
                  <w:tcW w:w="503" w:type="pct"/>
                  <w:tcBorders>
                    <w:tl2br w:val="nil"/>
                    <w:tr2bl w:val="nil"/>
                  </w:tcBorders>
                  <w:noWrap w:val="0"/>
                  <w:vAlign w:val="center"/>
                </w:tcPr>
                <w:p w14:paraId="09BDD7AF">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市政污水管网</w:t>
                  </w:r>
                </w:p>
              </w:tc>
              <w:tc>
                <w:tcPr>
                  <w:tcW w:w="356" w:type="pct"/>
                  <w:tcBorders>
                    <w:tl2br w:val="nil"/>
                    <w:tr2bl w:val="nil"/>
                  </w:tcBorders>
                  <w:noWrap w:val="0"/>
                  <w:vAlign w:val="center"/>
                </w:tcPr>
                <w:p w14:paraId="1CB3E4A6">
                  <w:pPr>
                    <w:keepNext w:val="0"/>
                    <w:keepLines w:val="0"/>
                    <w:suppressLineNumbers w:val="0"/>
                    <w:adjustRightInd w:val="0"/>
                    <w:spacing w:before="0" w:beforeAutospacing="0" w:after="0" w:afterAutospacing="0"/>
                    <w:ind w:left="0" w:right="0"/>
                    <w:jc w:val="center"/>
                    <w:textAlignment w:val="baseline"/>
                    <w:rPr>
                      <w:rFonts w:hint="eastAsia" w:ascii="Times New Roman" w:hAnsi="Times New Roman" w:eastAsia="宋体" w:cs="Times New Roman"/>
                      <w:snapToGrid w:val="0"/>
                      <w:color w:val="auto"/>
                      <w:kern w:val="21"/>
                      <w:szCs w:val="21"/>
                      <w:highlight w:val="none"/>
                      <w:lang w:eastAsia="zh-CN"/>
                    </w:rPr>
                  </w:pPr>
                  <w:r>
                    <w:rPr>
                      <w:rFonts w:hint="eastAsia" w:ascii="Times New Roman" w:hAnsi="Times New Roman" w:cs="Times New Roman"/>
                      <w:snapToGrid w:val="0"/>
                      <w:color w:val="auto"/>
                      <w:kern w:val="21"/>
                      <w:szCs w:val="21"/>
                      <w:highlight w:val="none"/>
                      <w:lang w:val="en-US" w:eastAsia="zh-CN"/>
                    </w:rPr>
                    <w:t>连续</w:t>
                  </w:r>
                </w:p>
              </w:tc>
              <w:tc>
                <w:tcPr>
                  <w:tcW w:w="504" w:type="pct"/>
                  <w:tcBorders>
                    <w:tl2br w:val="nil"/>
                    <w:tr2bl w:val="nil"/>
                  </w:tcBorders>
                  <w:noWrap w:val="0"/>
                  <w:vAlign w:val="center"/>
                </w:tcPr>
                <w:p w14:paraId="353B86B6">
                  <w:pPr>
                    <w:keepNext w:val="0"/>
                    <w:keepLines w:val="0"/>
                    <w:suppressLineNumbers w:val="0"/>
                    <w:adjustRightInd w:val="0"/>
                    <w:spacing w:before="0" w:beforeAutospacing="0" w:after="0" w:afterAutospacing="0"/>
                    <w:ind w:left="0" w:right="0"/>
                    <w:jc w:val="center"/>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848" w:type="pct"/>
                  <w:tcBorders>
                    <w:tl2br w:val="nil"/>
                    <w:tr2bl w:val="nil"/>
                  </w:tcBorders>
                  <w:noWrap w:val="0"/>
                  <w:vAlign w:val="center"/>
                </w:tcPr>
                <w:p w14:paraId="4F906395">
                  <w:pPr>
                    <w:keepNext w:val="0"/>
                    <w:keepLines w:val="0"/>
                    <w:suppressLineNumbers w:val="0"/>
                    <w:adjustRightInd w:val="0"/>
                    <w:spacing w:before="0" w:beforeAutospacing="0" w:after="0" w:afterAutospacing="0"/>
                    <w:ind w:left="0" w:right="0"/>
                    <w:jc w:val="center"/>
                    <w:textAlignment w:val="baseline"/>
                    <w:rPr>
                      <w:rFonts w:hint="eastAsia" w:ascii="Times New Roman" w:hAnsi="Times New Roman" w:cs="Times New Roman"/>
                      <w:snapToGrid w:val="0"/>
                      <w:color w:val="auto"/>
                      <w:kern w:val="21"/>
                      <w:szCs w:val="21"/>
                      <w:highlight w:val="none"/>
                      <w:lang w:eastAsia="zh-CN"/>
                    </w:rPr>
                  </w:pPr>
                  <w:r>
                    <w:rPr>
                      <w:rFonts w:hint="eastAsia" w:cs="Times New Roman"/>
                      <w:b w:val="0"/>
                      <w:bCs/>
                      <w:color w:val="auto"/>
                      <w:spacing w:val="8"/>
                      <w:sz w:val="21"/>
                      <w:szCs w:val="21"/>
                      <w:highlight w:val="none"/>
                      <w:lang w:val="en-US" w:eastAsia="zh-CN"/>
                    </w:rPr>
                    <w:t>泗水国祯水务有限公司</w:t>
                  </w:r>
                </w:p>
              </w:tc>
            </w:tr>
            <w:tr w14:paraId="481498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9"/>
                  <w:tcBorders>
                    <w:tl2br w:val="nil"/>
                    <w:tr2bl w:val="nil"/>
                  </w:tcBorders>
                  <w:noWrap w:val="0"/>
                  <w:vAlign w:val="center"/>
                </w:tcPr>
                <w:p w14:paraId="0778A867">
                  <w:pPr>
                    <w:keepNext w:val="0"/>
                    <w:keepLines w:val="0"/>
                    <w:suppressLineNumbers w:val="0"/>
                    <w:adjustRightInd w:val="0"/>
                    <w:snapToGrid w:val="0"/>
                    <w:spacing w:before="0" w:beforeAutospacing="0" w:after="0" w:afterAutospacing="0"/>
                    <w:ind w:left="0" w:right="0"/>
                    <w:jc w:val="left"/>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eastAsia="Times New Roman" w:cs="Times New Roman"/>
                      <w:snapToGrid w:val="0"/>
                      <w:color w:val="auto"/>
                      <w:kern w:val="21"/>
                      <w:szCs w:val="21"/>
                      <w:highlight w:val="none"/>
                    </w:rPr>
                    <w:t xml:space="preserve">a </w:t>
                  </w:r>
                  <w:r>
                    <w:rPr>
                      <w:rFonts w:hint="default" w:ascii="Times New Roman" w:hAnsi="Times New Roman" w:cs="Times New Roman"/>
                      <w:snapToGrid w:val="0"/>
                      <w:color w:val="auto"/>
                      <w:kern w:val="21"/>
                      <w:szCs w:val="21"/>
                      <w:highlight w:val="none"/>
                    </w:rPr>
                    <w:t>对于排至厂外公共污水处理系统的排放口，指废水排出厂界处经纬度坐标。</w:t>
                  </w:r>
                </w:p>
                <w:p w14:paraId="5DAC1BC6">
                  <w:pPr>
                    <w:keepNext w:val="0"/>
                    <w:keepLines w:val="0"/>
                    <w:suppressLineNumbers w:val="0"/>
                    <w:adjustRightInd w:val="0"/>
                    <w:snapToGrid w:val="0"/>
                    <w:spacing w:before="0" w:beforeAutospacing="0" w:after="0" w:afterAutospacing="0"/>
                    <w:ind w:left="0" w:right="0"/>
                    <w:jc w:val="left"/>
                    <w:textAlignment w:val="baseline"/>
                    <w:rPr>
                      <w:rFonts w:hint="default" w:ascii="Times New Roman" w:hAnsi="Times New Roman" w:cs="Times New Roman"/>
                      <w:snapToGrid w:val="0"/>
                      <w:color w:val="auto"/>
                      <w:kern w:val="21"/>
                      <w:szCs w:val="21"/>
                      <w:highlight w:val="none"/>
                    </w:rPr>
                  </w:pPr>
                  <w:r>
                    <w:rPr>
                      <w:rFonts w:hint="default" w:ascii="Times New Roman" w:hAnsi="Times New Roman" w:eastAsia="Times New Roman" w:cs="Times New Roman"/>
                      <w:snapToGrid w:val="0"/>
                      <w:color w:val="auto"/>
                      <w:kern w:val="21"/>
                      <w:szCs w:val="21"/>
                      <w:highlight w:val="none"/>
                    </w:rPr>
                    <w:t xml:space="preserve">b </w:t>
                  </w:r>
                  <w:r>
                    <w:rPr>
                      <w:rFonts w:hint="default" w:ascii="Times New Roman" w:hAnsi="Times New Roman" w:cs="Times New Roman"/>
                      <w:snapToGrid w:val="0"/>
                      <w:color w:val="auto"/>
                      <w:kern w:val="21"/>
                      <w:szCs w:val="21"/>
                      <w:highlight w:val="none"/>
                    </w:rPr>
                    <w:t>指厂外城镇或工业污水集中处理设施名称，如×××生活污水处理厂、×××化工园区污水处理厂等。</w:t>
                  </w:r>
                </w:p>
              </w:tc>
            </w:tr>
          </w:tbl>
          <w:p w14:paraId="76C43B52">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lang w:val="en-US" w:eastAsia="zh-CN"/>
              </w:rPr>
              <w:t>2.4</w:t>
            </w:r>
            <w:r>
              <w:rPr>
                <w:rFonts w:hint="eastAsia" w:ascii="Times New Roman" w:hAnsi="Times New Roman" w:cs="Times New Roman"/>
                <w:b/>
                <w:color w:val="auto"/>
                <w:sz w:val="24"/>
                <w:highlight w:val="none"/>
              </w:rPr>
              <w:t>监测计划</w:t>
            </w:r>
          </w:p>
          <w:p w14:paraId="5B395C6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rPr>
              <w:t xml:space="preserve">根据《排污单位自行监测技术指南 </w:t>
            </w:r>
            <w:r>
              <w:rPr>
                <w:rFonts w:hint="eastAsia" w:ascii="Times New Roman" w:hAnsi="Times New Roman" w:cs="Times New Roman"/>
                <w:color w:val="auto"/>
                <w:sz w:val="24"/>
                <w:highlight w:val="none"/>
                <w:lang w:val="en-US" w:eastAsia="zh-CN"/>
              </w:rPr>
              <w:t>总则</w:t>
            </w:r>
            <w:r>
              <w:rPr>
                <w:rFonts w:hint="eastAsia" w:ascii="Times New Roman" w:hAnsi="Times New Roman" w:cs="Times New Roman"/>
                <w:color w:val="auto"/>
                <w:sz w:val="24"/>
                <w:highlight w:val="none"/>
              </w:rPr>
              <w:t>》（HJ</w:t>
            </w:r>
            <w:r>
              <w:rPr>
                <w:rFonts w:hint="eastAsia" w:ascii="Times New Roman" w:hAnsi="Times New Roman" w:cs="Times New Roman"/>
                <w:color w:val="auto"/>
                <w:sz w:val="24"/>
                <w:highlight w:val="none"/>
                <w:lang w:val="en-US" w:eastAsia="zh-CN"/>
              </w:rPr>
              <w:t xml:space="preserve"> 819</w:t>
            </w:r>
            <w:r>
              <w:rPr>
                <w:rFonts w:hint="eastAsia" w:ascii="Times New Roman" w:hAnsi="Times New Roman" w:cs="Times New Roman"/>
                <w:color w:val="auto"/>
                <w:sz w:val="24"/>
                <w:highlight w:val="none"/>
              </w:rPr>
              <w:t>-20</w:t>
            </w:r>
            <w:r>
              <w:rPr>
                <w:rFonts w:hint="eastAsia" w:ascii="Times New Roman" w:hAnsi="Times New Roman" w:cs="Times New Roman"/>
                <w:color w:val="auto"/>
                <w:sz w:val="24"/>
                <w:highlight w:val="none"/>
                <w:lang w:val="en-US" w:eastAsia="zh-CN"/>
              </w:rPr>
              <w:t>17</w:t>
            </w:r>
            <w:r>
              <w:rPr>
                <w:rFonts w:hint="eastAsia" w:ascii="Times New Roman" w:hAnsi="Times New Roman" w:cs="Times New Roman"/>
                <w:color w:val="auto"/>
                <w:sz w:val="24"/>
                <w:highlight w:val="none"/>
              </w:rPr>
              <w:t>）</w:t>
            </w:r>
            <w:r>
              <w:rPr>
                <w:rFonts w:hint="eastAsia" w:cs="Times New Roman"/>
                <w:color w:val="auto"/>
                <w:sz w:val="24"/>
                <w:highlight w:val="none"/>
                <w:lang w:val="en-US" w:eastAsia="zh-CN"/>
              </w:rPr>
              <w:t>及</w:t>
            </w:r>
            <w:r>
              <w:rPr>
                <w:rFonts w:hint="eastAsia"/>
                <w:sz w:val="24"/>
              </w:rPr>
              <w:t>《</w:t>
            </w:r>
            <w:r>
              <w:rPr>
                <w:rFonts w:hint="default"/>
                <w:sz w:val="24"/>
              </w:rPr>
              <w:t>排污单位自行监测技术指南</w:t>
            </w:r>
            <w:r>
              <w:rPr>
                <w:rFonts w:hint="eastAsia"/>
                <w:sz w:val="24"/>
              </w:rPr>
              <w:t xml:space="preserve"> </w:t>
            </w:r>
            <w:r>
              <w:rPr>
                <w:rFonts w:hint="default"/>
                <w:sz w:val="24"/>
              </w:rPr>
              <w:t>造纸工业</w:t>
            </w:r>
            <w:r>
              <w:rPr>
                <w:rFonts w:hint="eastAsia"/>
                <w:sz w:val="24"/>
              </w:rPr>
              <w:t>》</w:t>
            </w:r>
            <w:r>
              <w:rPr>
                <w:rFonts w:hint="default"/>
                <w:sz w:val="24"/>
              </w:rPr>
              <w:t>(HJ 821-2017)</w:t>
            </w:r>
            <w:r>
              <w:rPr>
                <w:rFonts w:hint="eastAsia" w:ascii="Times New Roman" w:hAnsi="Times New Roman" w:cs="Times New Roman"/>
                <w:color w:val="auto"/>
                <w:sz w:val="24"/>
                <w:highlight w:val="none"/>
              </w:rPr>
              <w:t>，本项目污水排放口监测计划见下表。</w:t>
            </w:r>
          </w:p>
          <w:p w14:paraId="5B46055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rPr>
              <w:t>表4-1</w:t>
            </w:r>
            <w:r>
              <w:rPr>
                <w:rFonts w:hint="eastAsia" w:cs="Times New Roman"/>
                <w:b/>
                <w:bCs/>
                <w:color w:val="auto"/>
                <w:sz w:val="24"/>
                <w:highlight w:val="none"/>
                <w:lang w:val="en-US" w:eastAsia="zh-CN"/>
              </w:rPr>
              <w:t>1</w:t>
            </w:r>
            <w:r>
              <w:rPr>
                <w:rFonts w:hint="eastAsia" w:ascii="Times New Roman" w:hAnsi="Times New Roman" w:cs="Times New Roman"/>
                <w:b/>
                <w:bCs/>
                <w:color w:val="auto"/>
                <w:sz w:val="24"/>
                <w:highlight w:val="none"/>
              </w:rPr>
              <w:t xml:space="preserve">  污水排放口监测计划一览表</w:t>
            </w:r>
          </w:p>
          <w:tbl>
            <w:tblPr>
              <w:tblStyle w:val="3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32"/>
              <w:gridCol w:w="1384"/>
              <w:gridCol w:w="4867"/>
              <w:gridCol w:w="1385"/>
            </w:tblGrid>
            <w:tr w14:paraId="26B9A0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1" w:type="pct"/>
                  <w:tcBorders>
                    <w:tl2br w:val="nil"/>
                    <w:tr2bl w:val="nil"/>
                  </w:tcBorders>
                  <w:noWrap w:val="0"/>
                  <w:vAlign w:val="center"/>
                </w:tcPr>
                <w:p w14:paraId="45D0A6D6">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序号</w:t>
                  </w:r>
                </w:p>
              </w:tc>
              <w:tc>
                <w:tcPr>
                  <w:tcW w:w="817" w:type="pct"/>
                  <w:tcBorders>
                    <w:tl2br w:val="nil"/>
                    <w:tr2bl w:val="nil"/>
                  </w:tcBorders>
                  <w:noWrap w:val="0"/>
                  <w:vAlign w:val="center"/>
                </w:tcPr>
                <w:p w14:paraId="2CE6BCE3">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监测对象</w:t>
                  </w:r>
                </w:p>
              </w:tc>
              <w:tc>
                <w:tcPr>
                  <w:tcW w:w="2873" w:type="pct"/>
                  <w:tcBorders>
                    <w:tl2br w:val="nil"/>
                    <w:tr2bl w:val="nil"/>
                  </w:tcBorders>
                  <w:noWrap w:val="0"/>
                  <w:vAlign w:val="center"/>
                </w:tcPr>
                <w:p w14:paraId="701B5261">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主要技术要求</w:t>
                  </w:r>
                </w:p>
              </w:tc>
              <w:tc>
                <w:tcPr>
                  <w:tcW w:w="817" w:type="pct"/>
                  <w:tcBorders>
                    <w:tl2br w:val="nil"/>
                    <w:tr2bl w:val="nil"/>
                  </w:tcBorders>
                  <w:noWrap w:val="0"/>
                  <w:vAlign w:val="center"/>
                </w:tcPr>
                <w:p w14:paraId="26DE7B74">
                  <w:pPr>
                    <w:keepNext w:val="0"/>
                    <w:keepLines w:val="0"/>
                    <w:suppressLineNumbers w:val="0"/>
                    <w:spacing w:before="0" w:beforeAutospacing="0" w:after="0" w:afterAutospacing="0" w:line="300" w:lineRule="exact"/>
                    <w:ind w:left="0" w:leftChars="0" w:right="0" w:rightChars="0" w:firstLine="0" w:firstLineChars="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监测频次</w:t>
                  </w:r>
                </w:p>
              </w:tc>
            </w:tr>
            <w:tr w14:paraId="7F8A44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1" w:type="pct"/>
                  <w:tcBorders>
                    <w:tl2br w:val="nil"/>
                    <w:tr2bl w:val="nil"/>
                  </w:tcBorders>
                  <w:noWrap w:val="0"/>
                  <w:vAlign w:val="center"/>
                </w:tcPr>
                <w:p w14:paraId="1038DF61">
                  <w:pPr>
                    <w:keepNext w:val="0"/>
                    <w:keepLines w:val="0"/>
                    <w:suppressLineNumbers w:val="0"/>
                    <w:spacing w:before="0" w:beforeAutospacing="0" w:after="0" w:afterAutospacing="0" w:line="300" w:lineRule="exact"/>
                    <w:ind w:left="0" w:leftChars="0" w:right="0" w:rightChars="0" w:firstLine="0" w:firstLineChars="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w:t>
                  </w:r>
                </w:p>
              </w:tc>
              <w:tc>
                <w:tcPr>
                  <w:tcW w:w="817" w:type="pct"/>
                  <w:tcBorders>
                    <w:tl2br w:val="nil"/>
                    <w:tr2bl w:val="nil"/>
                  </w:tcBorders>
                  <w:noWrap w:val="0"/>
                  <w:vAlign w:val="center"/>
                </w:tcPr>
                <w:p w14:paraId="170982DC">
                  <w:pPr>
                    <w:keepNext w:val="0"/>
                    <w:keepLines w:val="0"/>
                    <w:suppressLineNumbers w:val="0"/>
                    <w:spacing w:before="0" w:beforeAutospacing="0" w:after="0" w:afterAutospacing="0" w:line="300" w:lineRule="exact"/>
                    <w:ind w:left="0" w:leftChars="0" w:right="0" w:rightChars="0" w:firstLine="0" w:firstLineChars="0"/>
                    <w:jc w:val="center"/>
                    <w:rPr>
                      <w:rFonts w:hint="eastAsia" w:ascii="Times New Roman" w:hAnsi="Times New Roman" w:cs="Times New Roman"/>
                      <w:color w:val="auto"/>
                      <w:szCs w:val="21"/>
                      <w:highlight w:val="none"/>
                    </w:rPr>
                  </w:pPr>
                  <w:r>
                    <w:rPr>
                      <w:rFonts w:hint="default" w:ascii="Times New Roman" w:hAnsi="Times New Roman" w:cs="Times New Roman"/>
                      <w:snapToGrid w:val="0"/>
                      <w:color w:val="auto"/>
                      <w:kern w:val="21"/>
                      <w:szCs w:val="21"/>
                      <w:highlight w:val="none"/>
                    </w:rPr>
                    <w:t>DW00</w:t>
                  </w:r>
                  <w:r>
                    <w:rPr>
                      <w:rFonts w:hint="eastAsia" w:ascii="Times New Roman" w:hAnsi="Times New Roman" w:cs="Times New Roman"/>
                      <w:snapToGrid w:val="0"/>
                      <w:color w:val="auto"/>
                      <w:kern w:val="21"/>
                      <w:szCs w:val="21"/>
                      <w:highlight w:val="none"/>
                      <w:lang w:val="en-US" w:eastAsia="zh-CN"/>
                    </w:rPr>
                    <w:t>1</w:t>
                  </w:r>
                </w:p>
              </w:tc>
              <w:tc>
                <w:tcPr>
                  <w:tcW w:w="2873" w:type="pct"/>
                  <w:tcBorders>
                    <w:tl2br w:val="nil"/>
                    <w:tr2bl w:val="nil"/>
                  </w:tcBorders>
                  <w:noWrap w:val="0"/>
                  <w:vAlign w:val="center"/>
                </w:tcPr>
                <w:p w14:paraId="37F67986">
                  <w:pPr>
                    <w:keepNext w:val="0"/>
                    <w:keepLines w:val="0"/>
                    <w:numPr>
                      <w:ilvl w:val="0"/>
                      <w:numId w:val="0"/>
                    </w:numPr>
                    <w:suppressLineNumbers w:val="0"/>
                    <w:spacing w:before="0" w:beforeAutospacing="0" w:after="0" w:afterAutospacing="0" w:line="300" w:lineRule="exact"/>
                    <w:ind w:left="0" w:leftChars="0" w:right="0" w:rightChars="0" w:firstLine="0" w:firstLineChars="0"/>
                    <w:jc w:val="center"/>
                    <w:rPr>
                      <w:rFonts w:hint="default" w:ascii="Times New Roman" w:hAnsi="Times New Roman" w:cs="Times New Roman"/>
                      <w:color w:val="FF0000"/>
                      <w:szCs w:val="21"/>
                      <w:highlight w:val="none"/>
                      <w:lang w:val="en-US" w:eastAsia="zh-CN"/>
                    </w:rPr>
                  </w:pPr>
                  <w:r>
                    <w:rPr>
                      <w:rFonts w:hint="eastAsia" w:cs="Times New Roman"/>
                      <w:color w:val="auto"/>
                      <w:szCs w:val="21"/>
                      <w:highlight w:val="none"/>
                      <w:lang w:val="en-US" w:eastAsia="zh-CN"/>
                    </w:rPr>
                    <w:t>流量、</w:t>
                  </w:r>
                  <w:r>
                    <w:rPr>
                      <w:rFonts w:hint="eastAsia" w:ascii="Times New Roman" w:hAnsi="Times New Roman" w:cs="Times New Roman"/>
                      <w:color w:val="auto"/>
                      <w:szCs w:val="21"/>
                      <w:highlight w:val="none"/>
                      <w:lang w:val="en-US" w:eastAsia="zh-CN"/>
                    </w:rPr>
                    <w:t>CODcr</w:t>
                  </w:r>
                  <w:r>
                    <w:rPr>
                      <w:rFonts w:hint="eastAsia" w:cs="Times New Roman"/>
                      <w:color w:val="auto"/>
                      <w:szCs w:val="21"/>
                      <w:highlight w:val="none"/>
                      <w:lang w:val="en-US" w:eastAsia="zh-CN"/>
                    </w:rPr>
                    <w:t>、</w:t>
                  </w:r>
                  <w:r>
                    <w:rPr>
                      <w:rFonts w:hint="default" w:ascii="Times New Roman" w:hAnsi="Times New Roman" w:cs="Times New Roman"/>
                      <w:snapToGrid w:val="0"/>
                      <w:color w:val="auto"/>
                      <w:kern w:val="21"/>
                      <w:szCs w:val="21"/>
                      <w:highlight w:val="none"/>
                      <w:lang w:val="zh-CN"/>
                    </w:rPr>
                    <w:t>氨氮</w:t>
                  </w:r>
                  <w:r>
                    <w:rPr>
                      <w:rFonts w:hint="default" w:ascii="Times New Roman" w:hAnsi="Times New Roman" w:cs="Times New Roman"/>
                      <w:snapToGrid w:val="0"/>
                      <w:color w:val="auto"/>
                      <w:kern w:val="21"/>
                      <w:szCs w:val="21"/>
                      <w:highlight w:val="none"/>
                    </w:rPr>
                    <w:t>、</w:t>
                  </w:r>
                  <w:r>
                    <w:rPr>
                      <w:rFonts w:hint="eastAsia" w:ascii="Times New Roman" w:hAnsi="Times New Roman" w:cs="Times New Roman"/>
                      <w:color w:val="auto"/>
                      <w:szCs w:val="21"/>
                      <w:highlight w:val="none"/>
                      <w:lang w:val="en-US" w:eastAsia="zh-CN"/>
                    </w:rPr>
                    <w:t>BOD</w:t>
                  </w:r>
                  <w:r>
                    <w:rPr>
                      <w:rFonts w:hint="eastAsia" w:ascii="Times New Roman" w:hAnsi="Times New Roman" w:cs="Times New Roman"/>
                      <w:color w:val="auto"/>
                      <w:szCs w:val="21"/>
                      <w:highlight w:val="none"/>
                      <w:vertAlign w:val="subscript"/>
                      <w:lang w:val="en-US" w:eastAsia="zh-CN"/>
                    </w:rPr>
                    <w:t>5</w:t>
                  </w:r>
                  <w:r>
                    <w:rPr>
                      <w:rFonts w:hint="eastAsia" w:ascii="Times New Roman" w:hAnsi="Times New Roman" w:cs="Times New Roman"/>
                      <w:color w:val="auto"/>
                      <w:szCs w:val="21"/>
                      <w:highlight w:val="none"/>
                      <w:lang w:val="en-US" w:eastAsia="zh-CN"/>
                    </w:rPr>
                    <w:t>、SS、石油类</w:t>
                  </w:r>
                </w:p>
              </w:tc>
              <w:tc>
                <w:tcPr>
                  <w:tcW w:w="817" w:type="pct"/>
                  <w:tcBorders>
                    <w:tl2br w:val="nil"/>
                    <w:tr2bl w:val="nil"/>
                  </w:tcBorders>
                  <w:noWrap w:val="0"/>
                  <w:vAlign w:val="center"/>
                </w:tcPr>
                <w:p w14:paraId="2ED07821">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cs="Times New Roman"/>
                      <w:color w:val="FF0000"/>
                      <w:szCs w:val="21"/>
                      <w:highlight w:val="none"/>
                      <w:lang w:val="en-US" w:eastAsia="zh-CN"/>
                    </w:rPr>
                  </w:pPr>
                  <w:r>
                    <w:rPr>
                      <w:rFonts w:hint="eastAsia" w:cs="Times New Roman"/>
                      <w:color w:val="auto"/>
                      <w:szCs w:val="21"/>
                      <w:highlight w:val="none"/>
                      <w:lang w:val="en-US" w:eastAsia="zh-CN"/>
                    </w:rPr>
                    <w:t>1次/年</w:t>
                  </w:r>
                </w:p>
              </w:tc>
            </w:tr>
          </w:tbl>
          <w:p w14:paraId="545B33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cs="宋体"/>
                <w:b/>
                <w:bCs w:val="0"/>
                <w:color w:val="auto"/>
                <w:spacing w:val="-11"/>
                <w:sz w:val="24"/>
                <w:szCs w:val="24"/>
                <w:lang w:val="en-US" w:eastAsia="zh-CN"/>
              </w:rPr>
            </w:pPr>
            <w:r>
              <w:rPr>
                <w:rFonts w:hint="eastAsia" w:ascii="Times New Roman" w:hAnsi="Times New Roman" w:eastAsia="宋体" w:cs="Times New Roman"/>
                <w:b/>
                <w:color w:val="auto"/>
                <w:kern w:val="2"/>
                <w:sz w:val="24"/>
                <w:szCs w:val="32"/>
                <w:lang w:val="en-US" w:eastAsia="zh-CN" w:bidi="ar"/>
              </w:rPr>
              <w:t>3、噪声</w:t>
            </w:r>
          </w:p>
          <w:p w14:paraId="05F259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8" w:firstLineChars="200"/>
              <w:jc w:val="left"/>
              <w:textAlignment w:val="auto"/>
              <w:rPr>
                <w:rFonts w:hint="default" w:ascii="Times New Roman" w:hAnsi="Times New Roman" w:cs="宋体"/>
                <w:b/>
                <w:bCs w:val="0"/>
                <w:color w:val="auto"/>
                <w:spacing w:val="-11"/>
                <w:sz w:val="24"/>
                <w:szCs w:val="24"/>
                <w:highlight w:val="yellow"/>
                <w:lang w:val="en-US" w:eastAsia="zh-CN"/>
              </w:rPr>
            </w:pPr>
            <w:r>
              <w:rPr>
                <w:rFonts w:hint="eastAsia" w:ascii="Times New Roman" w:hAnsi="Times New Roman" w:cs="宋体"/>
                <w:b/>
                <w:bCs w:val="0"/>
                <w:color w:val="auto"/>
                <w:spacing w:val="-11"/>
                <w:sz w:val="24"/>
                <w:szCs w:val="24"/>
                <w:highlight w:val="none"/>
                <w:lang w:val="en-US" w:eastAsia="zh-CN"/>
              </w:rPr>
              <w:t>3.1噪声源强及降噪措施</w:t>
            </w:r>
          </w:p>
          <w:p w14:paraId="50E8C3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200"/>
              <w:jc w:val="left"/>
              <w:textAlignment w:val="auto"/>
              <w:rPr>
                <w:rFonts w:hint="default" w:ascii="Times New Roman" w:hAnsi="Times New Roman" w:cs="Times New Roman" w:eastAsiaTheme="minorEastAsia"/>
                <w:bCs/>
                <w:color w:val="auto"/>
                <w:spacing w:val="-11"/>
                <w:sz w:val="24"/>
                <w:szCs w:val="24"/>
                <w:lang w:val="en-US" w:eastAsia="zh-CN"/>
              </w:rPr>
            </w:pPr>
            <w:r>
              <w:rPr>
                <w:rFonts w:hint="default" w:ascii="Times New Roman" w:hAnsi="Times New Roman" w:cs="Times New Roman" w:eastAsiaTheme="minorEastAsia"/>
                <w:bCs/>
                <w:color w:val="auto"/>
                <w:spacing w:val="-11"/>
                <w:sz w:val="24"/>
                <w:szCs w:val="24"/>
                <w:lang w:val="en-US" w:eastAsia="zh-CN"/>
              </w:rPr>
              <w:t>项目噪声源主要为：配料罐、烘干机、切纸机、风机等机械设备。项目选用低噪声设备，对高噪声设备采取隔声、减振及合理布置等措施，并对设备所在房间采取适当的隔声等降噪措施，合理布局，高噪声机械设备放置在远离声环境保护目标。采取上述措施后隔声量可达25dB（A）左右。</w:t>
            </w:r>
          </w:p>
          <w:p w14:paraId="265EBC6F">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表4-1</w:t>
            </w:r>
            <w:r>
              <w:rPr>
                <w:rFonts w:hint="eastAsia" w:cs="Times New Roman"/>
                <w:b/>
                <w:bCs/>
                <w:sz w:val="24"/>
                <w:lang w:val="en-US" w:eastAsia="zh-CN"/>
              </w:rPr>
              <w:t>2</w:t>
            </w:r>
            <w:r>
              <w:rPr>
                <w:rFonts w:hint="eastAsia" w:ascii="Times New Roman" w:hAnsi="Times New Roman" w:cs="Times New Roman"/>
                <w:b/>
                <w:bCs/>
                <w:sz w:val="24"/>
                <w:lang w:val="en-US" w:eastAsia="zh-CN"/>
              </w:rPr>
              <w:t xml:space="preserve">  噪声产生情况及处理措施一览表</w:t>
            </w:r>
          </w:p>
          <w:tbl>
            <w:tblPr>
              <w:tblStyle w:val="34"/>
              <w:tblW w:w="8040" w:type="dxa"/>
              <w:tblInd w:w="-2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60"/>
              <w:gridCol w:w="1080"/>
              <w:gridCol w:w="1080"/>
              <w:gridCol w:w="1080"/>
              <w:gridCol w:w="1080"/>
              <w:gridCol w:w="1080"/>
              <w:gridCol w:w="1080"/>
            </w:tblGrid>
            <w:tr w14:paraId="11390D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2640" w:type="dxa"/>
                  <w:gridSpan w:val="2"/>
                  <w:tcBorders>
                    <w:tl2br w:val="nil"/>
                    <w:tr2bl w:val="nil"/>
                  </w:tcBorders>
                  <w:shd w:val="clear" w:color="auto" w:fill="auto"/>
                  <w:vAlign w:val="center"/>
                </w:tcPr>
                <w:p w14:paraId="6301D6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噪声源</w:t>
                  </w:r>
                </w:p>
              </w:tc>
              <w:tc>
                <w:tcPr>
                  <w:tcW w:w="1080" w:type="dxa"/>
                  <w:vMerge w:val="restart"/>
                  <w:tcBorders>
                    <w:tl2br w:val="nil"/>
                    <w:tr2bl w:val="nil"/>
                  </w:tcBorders>
                  <w:shd w:val="clear" w:color="auto" w:fill="auto"/>
                  <w:vAlign w:val="center"/>
                </w:tcPr>
                <w:p w14:paraId="5DD73B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噪声源强</w:t>
                  </w:r>
                </w:p>
              </w:tc>
              <w:tc>
                <w:tcPr>
                  <w:tcW w:w="2160" w:type="dxa"/>
                  <w:gridSpan w:val="2"/>
                  <w:tcBorders>
                    <w:tl2br w:val="nil"/>
                    <w:tr2bl w:val="nil"/>
                  </w:tcBorders>
                  <w:shd w:val="clear" w:color="auto" w:fill="auto"/>
                  <w:vAlign w:val="center"/>
                </w:tcPr>
                <w:p w14:paraId="623366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降噪措施</w:t>
                  </w:r>
                </w:p>
              </w:tc>
              <w:tc>
                <w:tcPr>
                  <w:tcW w:w="1080" w:type="dxa"/>
                  <w:vMerge w:val="restart"/>
                  <w:tcBorders>
                    <w:tl2br w:val="nil"/>
                    <w:tr2bl w:val="nil"/>
                  </w:tcBorders>
                  <w:shd w:val="clear" w:color="auto" w:fill="auto"/>
                  <w:vAlign w:val="center"/>
                </w:tcPr>
                <w:p w14:paraId="2305A1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噪声排放值</w:t>
                  </w:r>
                </w:p>
              </w:tc>
              <w:tc>
                <w:tcPr>
                  <w:tcW w:w="1080" w:type="dxa"/>
                  <w:vMerge w:val="restart"/>
                  <w:tcBorders>
                    <w:tl2br w:val="nil"/>
                    <w:tr2bl w:val="nil"/>
                  </w:tcBorders>
                  <w:shd w:val="clear" w:color="auto" w:fill="auto"/>
                  <w:vAlign w:val="center"/>
                </w:tcPr>
                <w:p w14:paraId="65DBFA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持续时间</w:t>
                  </w:r>
                  <w:r>
                    <w:rPr>
                      <w:rStyle w:val="113"/>
                      <w:rFonts w:eastAsia="宋体"/>
                      <w:lang w:val="en-US" w:eastAsia="zh-CN" w:bidi="ar"/>
                    </w:rPr>
                    <w:t>h/a</w:t>
                  </w:r>
                </w:p>
              </w:tc>
            </w:tr>
            <w:tr w14:paraId="7BC108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60" w:type="dxa"/>
                  <w:tcBorders>
                    <w:tl2br w:val="nil"/>
                    <w:tr2bl w:val="nil"/>
                  </w:tcBorders>
                  <w:shd w:val="clear" w:color="auto" w:fill="auto"/>
                  <w:vAlign w:val="center"/>
                </w:tcPr>
                <w:p w14:paraId="2ABF6F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1080" w:type="dxa"/>
                  <w:tcBorders>
                    <w:tl2br w:val="nil"/>
                    <w:tr2bl w:val="nil"/>
                  </w:tcBorders>
                  <w:shd w:val="clear" w:color="auto" w:fill="auto"/>
                  <w:vAlign w:val="center"/>
                </w:tcPr>
                <w:p w14:paraId="734BEC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080" w:type="dxa"/>
                  <w:vMerge w:val="continue"/>
                  <w:tcBorders>
                    <w:tl2br w:val="nil"/>
                    <w:tr2bl w:val="nil"/>
                  </w:tcBorders>
                  <w:shd w:val="clear" w:color="auto" w:fill="auto"/>
                  <w:vAlign w:val="center"/>
                </w:tcPr>
                <w:p w14:paraId="31062E01">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1080" w:type="dxa"/>
                  <w:tcBorders>
                    <w:tl2br w:val="nil"/>
                    <w:tr2bl w:val="nil"/>
                  </w:tcBorders>
                  <w:shd w:val="clear" w:color="auto" w:fill="auto"/>
                  <w:vAlign w:val="center"/>
                </w:tcPr>
                <w:p w14:paraId="5EBB73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工艺</w:t>
                  </w:r>
                </w:p>
              </w:tc>
              <w:tc>
                <w:tcPr>
                  <w:tcW w:w="1080" w:type="dxa"/>
                  <w:tcBorders>
                    <w:tl2br w:val="nil"/>
                    <w:tr2bl w:val="nil"/>
                  </w:tcBorders>
                  <w:shd w:val="clear" w:color="auto" w:fill="auto"/>
                  <w:vAlign w:val="center"/>
                </w:tcPr>
                <w:p w14:paraId="795643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降噪效果</w:t>
                  </w:r>
                </w:p>
              </w:tc>
              <w:tc>
                <w:tcPr>
                  <w:tcW w:w="1080" w:type="dxa"/>
                  <w:vMerge w:val="continue"/>
                  <w:tcBorders>
                    <w:tl2br w:val="nil"/>
                    <w:tr2bl w:val="nil"/>
                  </w:tcBorders>
                  <w:shd w:val="clear" w:color="auto" w:fill="auto"/>
                  <w:vAlign w:val="center"/>
                </w:tcPr>
                <w:p w14:paraId="3BE658B1">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1080" w:type="dxa"/>
                  <w:vMerge w:val="continue"/>
                  <w:tcBorders>
                    <w:tl2br w:val="nil"/>
                    <w:tr2bl w:val="nil"/>
                  </w:tcBorders>
                  <w:shd w:val="clear" w:color="auto" w:fill="auto"/>
                  <w:vAlign w:val="center"/>
                </w:tcPr>
                <w:p w14:paraId="292EF58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r>
            <w:tr w14:paraId="37F6E5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1560" w:type="dxa"/>
                  <w:tcBorders>
                    <w:tl2br w:val="nil"/>
                    <w:tr2bl w:val="nil"/>
                  </w:tcBorders>
                  <w:shd w:val="clear" w:color="auto" w:fill="auto"/>
                  <w:noWrap/>
                  <w:vAlign w:val="center"/>
                </w:tcPr>
                <w:p w14:paraId="1E355A3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21"/>
                      <w:szCs w:val="21"/>
                      <w:u w:val="none"/>
                    </w:rPr>
                  </w:pPr>
                  <w:r>
                    <w:rPr>
                      <w:rFonts w:hint="eastAsia"/>
                      <w:color w:val="auto"/>
                      <w:spacing w:val="-1"/>
                      <w:szCs w:val="21"/>
                    </w:rPr>
                    <w:t>配料罐</w:t>
                  </w:r>
                </w:p>
              </w:tc>
              <w:tc>
                <w:tcPr>
                  <w:tcW w:w="1080" w:type="dxa"/>
                  <w:tcBorders>
                    <w:tl2br w:val="nil"/>
                    <w:tr2bl w:val="nil"/>
                  </w:tcBorders>
                  <w:shd w:val="clear" w:color="auto" w:fill="auto"/>
                  <w:vAlign w:val="center"/>
                </w:tcPr>
                <w:p w14:paraId="105611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sz w:val="21"/>
                      <w:szCs w:val="21"/>
                      <w:u w:val="none"/>
                    </w:rPr>
                  </w:pPr>
                  <w:r>
                    <w:rPr>
                      <w:rFonts w:hint="eastAsia"/>
                      <w:snapToGrid w:val="0"/>
                      <w:color w:val="auto"/>
                      <w:kern w:val="0"/>
                      <w:szCs w:val="21"/>
                      <w:lang w:val="en-US" w:eastAsia="zh-CN"/>
                    </w:rPr>
                    <w:t>15</w:t>
                  </w:r>
                </w:p>
              </w:tc>
              <w:tc>
                <w:tcPr>
                  <w:tcW w:w="1080" w:type="dxa"/>
                  <w:tcBorders>
                    <w:tl2br w:val="nil"/>
                    <w:tr2bl w:val="nil"/>
                  </w:tcBorders>
                  <w:shd w:val="clear" w:color="auto" w:fill="auto"/>
                  <w:vAlign w:val="center"/>
                </w:tcPr>
                <w:p w14:paraId="311740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75</w:t>
                  </w:r>
                </w:p>
              </w:tc>
              <w:tc>
                <w:tcPr>
                  <w:tcW w:w="1080" w:type="dxa"/>
                  <w:tcBorders>
                    <w:tl2br w:val="nil"/>
                    <w:tr2bl w:val="nil"/>
                  </w:tcBorders>
                  <w:shd w:val="clear" w:color="auto" w:fill="auto"/>
                  <w:vAlign w:val="center"/>
                </w:tcPr>
                <w:p w14:paraId="1D435B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隔声、减振</w:t>
                  </w:r>
                </w:p>
              </w:tc>
              <w:tc>
                <w:tcPr>
                  <w:tcW w:w="1080" w:type="dxa"/>
                  <w:tcBorders>
                    <w:tl2br w:val="nil"/>
                    <w:tr2bl w:val="nil"/>
                  </w:tcBorders>
                  <w:shd w:val="clear" w:color="auto" w:fill="auto"/>
                  <w:vAlign w:val="center"/>
                </w:tcPr>
                <w:p w14:paraId="7C8B0E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80" w:type="dxa"/>
                  <w:tcBorders>
                    <w:tl2br w:val="nil"/>
                    <w:tr2bl w:val="nil"/>
                  </w:tcBorders>
                  <w:shd w:val="clear" w:color="auto" w:fill="auto"/>
                  <w:vAlign w:val="center"/>
                </w:tcPr>
                <w:p w14:paraId="0FC6D0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55</w:t>
                  </w:r>
                </w:p>
              </w:tc>
              <w:tc>
                <w:tcPr>
                  <w:tcW w:w="1080" w:type="dxa"/>
                  <w:tcBorders>
                    <w:tl2br w:val="nil"/>
                    <w:tr2bl w:val="nil"/>
                  </w:tcBorders>
                  <w:shd w:val="clear" w:color="auto" w:fill="auto"/>
                  <w:vAlign w:val="center"/>
                </w:tcPr>
                <w:p w14:paraId="68A6BC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600</w:t>
                  </w:r>
                </w:p>
              </w:tc>
            </w:tr>
            <w:tr w14:paraId="5CD72C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1560" w:type="dxa"/>
                  <w:tcBorders>
                    <w:tl2br w:val="nil"/>
                    <w:tr2bl w:val="nil"/>
                  </w:tcBorders>
                  <w:shd w:val="clear" w:color="auto" w:fill="auto"/>
                  <w:noWrap/>
                  <w:vAlign w:val="center"/>
                </w:tcPr>
                <w:p w14:paraId="338D74C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21"/>
                      <w:szCs w:val="21"/>
                      <w:u w:val="none"/>
                    </w:rPr>
                  </w:pPr>
                  <w:r>
                    <w:rPr>
                      <w:rFonts w:hint="eastAsia"/>
                      <w:color w:val="auto"/>
                    </w:rPr>
                    <w:t>涂布机</w:t>
                  </w:r>
                </w:p>
              </w:tc>
              <w:tc>
                <w:tcPr>
                  <w:tcW w:w="1080" w:type="dxa"/>
                  <w:tcBorders>
                    <w:tl2br w:val="nil"/>
                    <w:tr2bl w:val="nil"/>
                  </w:tcBorders>
                  <w:shd w:val="clear" w:color="auto" w:fill="auto"/>
                  <w:vAlign w:val="center"/>
                </w:tcPr>
                <w:p w14:paraId="1D3135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sz w:val="21"/>
                      <w:szCs w:val="21"/>
                      <w:u w:val="none"/>
                    </w:rPr>
                  </w:pPr>
                  <w:r>
                    <w:rPr>
                      <w:rFonts w:hint="eastAsia"/>
                      <w:snapToGrid w:val="0"/>
                      <w:color w:val="auto"/>
                      <w:kern w:val="0"/>
                      <w:szCs w:val="21"/>
                    </w:rPr>
                    <w:t>4</w:t>
                  </w:r>
                </w:p>
              </w:tc>
              <w:tc>
                <w:tcPr>
                  <w:tcW w:w="1080" w:type="dxa"/>
                  <w:tcBorders>
                    <w:tl2br w:val="nil"/>
                    <w:tr2bl w:val="nil"/>
                  </w:tcBorders>
                  <w:shd w:val="clear" w:color="auto" w:fill="auto"/>
                  <w:vAlign w:val="center"/>
                </w:tcPr>
                <w:p w14:paraId="6E4FD4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080" w:type="dxa"/>
                  <w:tcBorders>
                    <w:tl2br w:val="nil"/>
                    <w:tr2bl w:val="nil"/>
                  </w:tcBorders>
                  <w:shd w:val="clear" w:color="auto" w:fill="auto"/>
                  <w:vAlign w:val="center"/>
                </w:tcPr>
                <w:p w14:paraId="1E4D5C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隔声、减振</w:t>
                  </w:r>
                </w:p>
              </w:tc>
              <w:tc>
                <w:tcPr>
                  <w:tcW w:w="1080" w:type="dxa"/>
                  <w:tcBorders>
                    <w:tl2br w:val="nil"/>
                    <w:tr2bl w:val="nil"/>
                  </w:tcBorders>
                  <w:shd w:val="clear" w:color="auto" w:fill="auto"/>
                  <w:vAlign w:val="center"/>
                </w:tcPr>
                <w:p w14:paraId="3FE765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80" w:type="dxa"/>
                  <w:tcBorders>
                    <w:tl2br w:val="nil"/>
                    <w:tr2bl w:val="nil"/>
                  </w:tcBorders>
                  <w:shd w:val="clear" w:color="auto" w:fill="auto"/>
                  <w:vAlign w:val="center"/>
                </w:tcPr>
                <w:p w14:paraId="318056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60</w:t>
                  </w:r>
                </w:p>
              </w:tc>
              <w:tc>
                <w:tcPr>
                  <w:tcW w:w="1080" w:type="dxa"/>
                  <w:tcBorders>
                    <w:tl2br w:val="nil"/>
                    <w:tr2bl w:val="nil"/>
                  </w:tcBorders>
                  <w:shd w:val="clear" w:color="auto" w:fill="auto"/>
                  <w:vAlign w:val="center"/>
                </w:tcPr>
                <w:p w14:paraId="03B04F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2400</w:t>
                  </w:r>
                </w:p>
              </w:tc>
            </w:tr>
            <w:tr w14:paraId="5C90C6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560" w:type="dxa"/>
                  <w:tcBorders>
                    <w:tl2br w:val="nil"/>
                    <w:tr2bl w:val="nil"/>
                  </w:tcBorders>
                  <w:shd w:val="clear" w:color="auto" w:fill="auto"/>
                  <w:noWrap/>
                  <w:vAlign w:val="center"/>
                </w:tcPr>
                <w:p w14:paraId="2A3925C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21"/>
                      <w:szCs w:val="21"/>
                      <w:u w:val="none"/>
                    </w:rPr>
                  </w:pPr>
                  <w:r>
                    <w:rPr>
                      <w:rFonts w:hint="eastAsia"/>
                      <w:color w:val="auto"/>
                      <w:lang w:val="en-US" w:eastAsia="zh-CN"/>
                    </w:rPr>
                    <w:t>打孔</w:t>
                  </w:r>
                  <w:r>
                    <w:rPr>
                      <w:rFonts w:hint="eastAsia"/>
                      <w:color w:val="auto"/>
                    </w:rPr>
                    <w:t>机</w:t>
                  </w:r>
                </w:p>
              </w:tc>
              <w:tc>
                <w:tcPr>
                  <w:tcW w:w="1080" w:type="dxa"/>
                  <w:tcBorders>
                    <w:tl2br w:val="nil"/>
                    <w:tr2bl w:val="nil"/>
                  </w:tcBorders>
                  <w:shd w:val="clear" w:color="auto" w:fill="auto"/>
                  <w:vAlign w:val="center"/>
                </w:tcPr>
                <w:p w14:paraId="41187B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sz w:val="21"/>
                      <w:szCs w:val="21"/>
                      <w:u w:val="none"/>
                    </w:rPr>
                  </w:pPr>
                  <w:r>
                    <w:rPr>
                      <w:rFonts w:hint="eastAsia"/>
                      <w:snapToGrid w:val="0"/>
                      <w:color w:val="auto"/>
                      <w:kern w:val="0"/>
                      <w:szCs w:val="21"/>
                    </w:rPr>
                    <w:t>25</w:t>
                  </w:r>
                </w:p>
              </w:tc>
              <w:tc>
                <w:tcPr>
                  <w:tcW w:w="1080" w:type="dxa"/>
                  <w:tcBorders>
                    <w:tl2br w:val="nil"/>
                    <w:tr2bl w:val="nil"/>
                  </w:tcBorders>
                  <w:shd w:val="clear" w:color="auto" w:fill="auto"/>
                  <w:vAlign w:val="center"/>
                </w:tcPr>
                <w:p w14:paraId="1CDF02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85</w:t>
                  </w:r>
                </w:p>
              </w:tc>
              <w:tc>
                <w:tcPr>
                  <w:tcW w:w="1080" w:type="dxa"/>
                  <w:tcBorders>
                    <w:tl2br w:val="nil"/>
                    <w:tr2bl w:val="nil"/>
                  </w:tcBorders>
                  <w:shd w:val="clear" w:color="auto" w:fill="auto"/>
                  <w:vAlign w:val="center"/>
                </w:tcPr>
                <w:p w14:paraId="0C3595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隔声、减振</w:t>
                  </w:r>
                </w:p>
              </w:tc>
              <w:tc>
                <w:tcPr>
                  <w:tcW w:w="1080" w:type="dxa"/>
                  <w:tcBorders>
                    <w:tl2br w:val="nil"/>
                    <w:tr2bl w:val="nil"/>
                  </w:tcBorders>
                  <w:shd w:val="clear" w:color="auto" w:fill="auto"/>
                  <w:vAlign w:val="center"/>
                </w:tcPr>
                <w:p w14:paraId="5E8829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80" w:type="dxa"/>
                  <w:tcBorders>
                    <w:tl2br w:val="nil"/>
                    <w:tr2bl w:val="nil"/>
                  </w:tcBorders>
                  <w:shd w:val="clear" w:color="auto" w:fill="auto"/>
                  <w:vAlign w:val="center"/>
                </w:tcPr>
                <w:p w14:paraId="35AB82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65</w:t>
                  </w:r>
                </w:p>
              </w:tc>
              <w:tc>
                <w:tcPr>
                  <w:tcW w:w="1080" w:type="dxa"/>
                  <w:tcBorders>
                    <w:tl2br w:val="nil"/>
                    <w:tr2bl w:val="nil"/>
                  </w:tcBorders>
                  <w:shd w:val="clear" w:color="auto" w:fill="auto"/>
                  <w:vAlign w:val="center"/>
                </w:tcPr>
                <w:p w14:paraId="5B6A26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2400</w:t>
                  </w:r>
                </w:p>
              </w:tc>
            </w:tr>
            <w:tr w14:paraId="60F72F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560" w:type="dxa"/>
                  <w:tcBorders>
                    <w:tl2br w:val="nil"/>
                    <w:tr2bl w:val="nil"/>
                  </w:tcBorders>
                  <w:shd w:val="clear" w:color="auto" w:fill="auto"/>
                  <w:noWrap/>
                  <w:vAlign w:val="center"/>
                </w:tcPr>
                <w:p w14:paraId="6454741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21"/>
                      <w:szCs w:val="21"/>
                      <w:u w:val="none"/>
                    </w:rPr>
                  </w:pPr>
                  <w:r>
                    <w:rPr>
                      <w:rFonts w:hint="eastAsia"/>
                      <w:color w:val="auto"/>
                    </w:rPr>
                    <w:t>复卷机</w:t>
                  </w:r>
                </w:p>
              </w:tc>
              <w:tc>
                <w:tcPr>
                  <w:tcW w:w="1080" w:type="dxa"/>
                  <w:tcBorders>
                    <w:tl2br w:val="nil"/>
                    <w:tr2bl w:val="nil"/>
                  </w:tcBorders>
                  <w:shd w:val="clear" w:color="auto" w:fill="auto"/>
                  <w:vAlign w:val="center"/>
                </w:tcPr>
                <w:p w14:paraId="696B305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sz w:val="21"/>
                      <w:szCs w:val="21"/>
                      <w:u w:val="none"/>
                    </w:rPr>
                  </w:pPr>
                  <w:r>
                    <w:rPr>
                      <w:rFonts w:hint="eastAsia"/>
                      <w:snapToGrid w:val="0"/>
                      <w:color w:val="auto"/>
                      <w:kern w:val="0"/>
                      <w:szCs w:val="21"/>
                    </w:rPr>
                    <w:t>12</w:t>
                  </w:r>
                </w:p>
              </w:tc>
              <w:tc>
                <w:tcPr>
                  <w:tcW w:w="1080" w:type="dxa"/>
                  <w:tcBorders>
                    <w:tl2br w:val="nil"/>
                    <w:tr2bl w:val="nil"/>
                  </w:tcBorders>
                  <w:shd w:val="clear" w:color="auto" w:fill="auto"/>
                  <w:vAlign w:val="center"/>
                </w:tcPr>
                <w:p w14:paraId="7FB102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80</w:t>
                  </w:r>
                </w:p>
              </w:tc>
              <w:tc>
                <w:tcPr>
                  <w:tcW w:w="1080" w:type="dxa"/>
                  <w:tcBorders>
                    <w:tl2br w:val="nil"/>
                    <w:tr2bl w:val="nil"/>
                  </w:tcBorders>
                  <w:shd w:val="clear" w:color="auto" w:fill="auto"/>
                  <w:vAlign w:val="center"/>
                </w:tcPr>
                <w:p w14:paraId="07A734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隔声、减振</w:t>
                  </w:r>
                </w:p>
              </w:tc>
              <w:tc>
                <w:tcPr>
                  <w:tcW w:w="1080" w:type="dxa"/>
                  <w:tcBorders>
                    <w:tl2br w:val="nil"/>
                    <w:tr2bl w:val="nil"/>
                  </w:tcBorders>
                  <w:shd w:val="clear" w:color="auto" w:fill="auto"/>
                  <w:vAlign w:val="center"/>
                </w:tcPr>
                <w:p w14:paraId="198275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80" w:type="dxa"/>
                  <w:tcBorders>
                    <w:tl2br w:val="nil"/>
                    <w:tr2bl w:val="nil"/>
                  </w:tcBorders>
                  <w:shd w:val="clear" w:color="auto" w:fill="auto"/>
                  <w:vAlign w:val="center"/>
                </w:tcPr>
                <w:p w14:paraId="208BC1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60</w:t>
                  </w:r>
                </w:p>
              </w:tc>
              <w:tc>
                <w:tcPr>
                  <w:tcW w:w="1080" w:type="dxa"/>
                  <w:tcBorders>
                    <w:tl2br w:val="nil"/>
                    <w:tr2bl w:val="nil"/>
                  </w:tcBorders>
                  <w:shd w:val="clear" w:color="auto" w:fill="auto"/>
                  <w:vAlign w:val="center"/>
                </w:tcPr>
                <w:p w14:paraId="63C4B3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2400</w:t>
                  </w:r>
                </w:p>
              </w:tc>
            </w:tr>
            <w:tr w14:paraId="09BDCE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1560" w:type="dxa"/>
                  <w:tcBorders>
                    <w:tl2br w:val="nil"/>
                    <w:tr2bl w:val="nil"/>
                  </w:tcBorders>
                  <w:shd w:val="clear" w:color="auto" w:fill="auto"/>
                  <w:noWrap/>
                  <w:vAlign w:val="center"/>
                </w:tcPr>
                <w:p w14:paraId="00CBB41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21"/>
                      <w:szCs w:val="21"/>
                      <w:u w:val="none"/>
                    </w:rPr>
                  </w:pPr>
                  <w:r>
                    <w:rPr>
                      <w:rFonts w:hint="eastAsia"/>
                      <w:color w:val="auto"/>
                    </w:rPr>
                    <w:t>印刷机</w:t>
                  </w:r>
                </w:p>
              </w:tc>
              <w:tc>
                <w:tcPr>
                  <w:tcW w:w="1080" w:type="dxa"/>
                  <w:tcBorders>
                    <w:tl2br w:val="nil"/>
                    <w:tr2bl w:val="nil"/>
                  </w:tcBorders>
                  <w:shd w:val="clear" w:color="auto" w:fill="auto"/>
                  <w:vAlign w:val="center"/>
                </w:tcPr>
                <w:p w14:paraId="0F1A104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sz w:val="21"/>
                      <w:szCs w:val="21"/>
                      <w:u w:val="none"/>
                    </w:rPr>
                  </w:pPr>
                  <w:r>
                    <w:rPr>
                      <w:rFonts w:hint="eastAsia"/>
                      <w:snapToGrid w:val="0"/>
                      <w:color w:val="auto"/>
                      <w:kern w:val="0"/>
                      <w:szCs w:val="21"/>
                    </w:rPr>
                    <w:t>2</w:t>
                  </w:r>
                </w:p>
              </w:tc>
              <w:tc>
                <w:tcPr>
                  <w:tcW w:w="1080" w:type="dxa"/>
                  <w:tcBorders>
                    <w:tl2br w:val="nil"/>
                    <w:tr2bl w:val="nil"/>
                  </w:tcBorders>
                  <w:shd w:val="clear" w:color="auto" w:fill="auto"/>
                  <w:vAlign w:val="center"/>
                </w:tcPr>
                <w:p w14:paraId="777813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80</w:t>
                  </w:r>
                </w:p>
              </w:tc>
              <w:tc>
                <w:tcPr>
                  <w:tcW w:w="1080" w:type="dxa"/>
                  <w:tcBorders>
                    <w:tl2br w:val="nil"/>
                    <w:tr2bl w:val="nil"/>
                  </w:tcBorders>
                  <w:shd w:val="clear" w:color="auto" w:fill="auto"/>
                  <w:vAlign w:val="center"/>
                </w:tcPr>
                <w:p w14:paraId="15F39D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隔声、减振</w:t>
                  </w:r>
                </w:p>
              </w:tc>
              <w:tc>
                <w:tcPr>
                  <w:tcW w:w="1080" w:type="dxa"/>
                  <w:tcBorders>
                    <w:tl2br w:val="nil"/>
                    <w:tr2bl w:val="nil"/>
                  </w:tcBorders>
                  <w:shd w:val="clear" w:color="auto" w:fill="auto"/>
                  <w:vAlign w:val="center"/>
                </w:tcPr>
                <w:p w14:paraId="1BEAF9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80" w:type="dxa"/>
                  <w:tcBorders>
                    <w:tl2br w:val="nil"/>
                    <w:tr2bl w:val="nil"/>
                  </w:tcBorders>
                  <w:shd w:val="clear" w:color="auto" w:fill="auto"/>
                  <w:vAlign w:val="center"/>
                </w:tcPr>
                <w:p w14:paraId="0D7661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080" w:type="dxa"/>
                  <w:tcBorders>
                    <w:tl2br w:val="nil"/>
                    <w:tr2bl w:val="nil"/>
                  </w:tcBorders>
                  <w:shd w:val="clear" w:color="auto" w:fill="auto"/>
                  <w:vAlign w:val="center"/>
                </w:tcPr>
                <w:p w14:paraId="5739AD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300</w:t>
                  </w:r>
                </w:p>
              </w:tc>
            </w:tr>
            <w:tr w14:paraId="5199A3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1560" w:type="dxa"/>
                  <w:tcBorders>
                    <w:tl2br w:val="nil"/>
                    <w:tr2bl w:val="nil"/>
                  </w:tcBorders>
                  <w:shd w:val="clear" w:color="auto" w:fill="auto"/>
                  <w:noWrap/>
                  <w:vAlign w:val="center"/>
                </w:tcPr>
                <w:p w14:paraId="7BE3551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21"/>
                      <w:szCs w:val="21"/>
                      <w:u w:val="none"/>
                    </w:rPr>
                  </w:pPr>
                  <w:r>
                    <w:rPr>
                      <w:rFonts w:hint="eastAsia"/>
                      <w:color w:val="auto"/>
                      <w:szCs w:val="21"/>
                    </w:rPr>
                    <w:t>切纸机</w:t>
                  </w:r>
                </w:p>
              </w:tc>
              <w:tc>
                <w:tcPr>
                  <w:tcW w:w="1080" w:type="dxa"/>
                  <w:tcBorders>
                    <w:tl2br w:val="nil"/>
                    <w:tr2bl w:val="nil"/>
                  </w:tcBorders>
                  <w:shd w:val="clear" w:color="auto" w:fill="auto"/>
                  <w:vAlign w:val="center"/>
                </w:tcPr>
                <w:p w14:paraId="48E7582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sz w:val="21"/>
                      <w:szCs w:val="21"/>
                      <w:u w:val="none"/>
                    </w:rPr>
                  </w:pPr>
                  <w:r>
                    <w:rPr>
                      <w:rFonts w:hint="eastAsia"/>
                      <w:snapToGrid w:val="0"/>
                      <w:color w:val="auto"/>
                      <w:kern w:val="0"/>
                      <w:szCs w:val="21"/>
                      <w:lang w:val="en-US" w:eastAsia="zh-CN"/>
                    </w:rPr>
                    <w:t>1</w:t>
                  </w:r>
                </w:p>
              </w:tc>
              <w:tc>
                <w:tcPr>
                  <w:tcW w:w="1080" w:type="dxa"/>
                  <w:tcBorders>
                    <w:tl2br w:val="nil"/>
                    <w:tr2bl w:val="nil"/>
                  </w:tcBorders>
                  <w:shd w:val="clear" w:color="auto" w:fill="auto"/>
                  <w:vAlign w:val="center"/>
                </w:tcPr>
                <w:p w14:paraId="2F68A9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080" w:type="dxa"/>
                  <w:tcBorders>
                    <w:tl2br w:val="nil"/>
                    <w:tr2bl w:val="nil"/>
                  </w:tcBorders>
                  <w:shd w:val="clear" w:color="auto" w:fill="auto"/>
                  <w:vAlign w:val="center"/>
                </w:tcPr>
                <w:p w14:paraId="13A18A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隔声、减振</w:t>
                  </w:r>
                </w:p>
              </w:tc>
              <w:tc>
                <w:tcPr>
                  <w:tcW w:w="1080" w:type="dxa"/>
                  <w:tcBorders>
                    <w:tl2br w:val="nil"/>
                    <w:tr2bl w:val="nil"/>
                  </w:tcBorders>
                  <w:shd w:val="clear" w:color="auto" w:fill="auto"/>
                  <w:vAlign w:val="center"/>
                </w:tcPr>
                <w:p w14:paraId="34B6D5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80" w:type="dxa"/>
                  <w:tcBorders>
                    <w:tl2br w:val="nil"/>
                    <w:tr2bl w:val="nil"/>
                  </w:tcBorders>
                  <w:shd w:val="clear" w:color="auto" w:fill="auto"/>
                  <w:vAlign w:val="center"/>
                </w:tcPr>
                <w:p w14:paraId="30EFE8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65</w:t>
                  </w:r>
                </w:p>
              </w:tc>
              <w:tc>
                <w:tcPr>
                  <w:tcW w:w="1080" w:type="dxa"/>
                  <w:tcBorders>
                    <w:tl2br w:val="nil"/>
                    <w:tr2bl w:val="nil"/>
                  </w:tcBorders>
                  <w:shd w:val="clear" w:color="auto" w:fill="auto"/>
                  <w:vAlign w:val="center"/>
                </w:tcPr>
                <w:p w14:paraId="651EE9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2400</w:t>
                  </w:r>
                </w:p>
              </w:tc>
            </w:tr>
            <w:tr w14:paraId="202FF8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1560" w:type="dxa"/>
                  <w:tcBorders>
                    <w:tl2br w:val="nil"/>
                    <w:tr2bl w:val="nil"/>
                  </w:tcBorders>
                  <w:shd w:val="clear" w:color="auto" w:fill="auto"/>
                  <w:noWrap/>
                  <w:vAlign w:val="center"/>
                </w:tcPr>
                <w:p w14:paraId="1ECDEF4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21"/>
                      <w:szCs w:val="21"/>
                      <w:u w:val="none"/>
                    </w:rPr>
                  </w:pPr>
                  <w:r>
                    <w:rPr>
                      <w:rFonts w:hint="eastAsia"/>
                      <w:color w:val="auto"/>
                      <w:szCs w:val="21"/>
                    </w:rPr>
                    <w:t>胶订机</w:t>
                  </w:r>
                </w:p>
              </w:tc>
              <w:tc>
                <w:tcPr>
                  <w:tcW w:w="1080" w:type="dxa"/>
                  <w:tcBorders>
                    <w:tl2br w:val="nil"/>
                    <w:tr2bl w:val="nil"/>
                  </w:tcBorders>
                  <w:shd w:val="clear" w:color="auto" w:fill="auto"/>
                  <w:vAlign w:val="center"/>
                </w:tcPr>
                <w:p w14:paraId="6C0B67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sz w:val="21"/>
                      <w:szCs w:val="21"/>
                      <w:u w:val="none"/>
                    </w:rPr>
                  </w:pPr>
                  <w:r>
                    <w:rPr>
                      <w:rFonts w:hint="eastAsia"/>
                      <w:snapToGrid w:val="0"/>
                      <w:color w:val="auto"/>
                      <w:kern w:val="0"/>
                      <w:szCs w:val="21"/>
                      <w:lang w:val="en-US" w:eastAsia="zh-CN"/>
                    </w:rPr>
                    <w:t>1</w:t>
                  </w:r>
                </w:p>
              </w:tc>
              <w:tc>
                <w:tcPr>
                  <w:tcW w:w="1080" w:type="dxa"/>
                  <w:tcBorders>
                    <w:tl2br w:val="nil"/>
                    <w:tr2bl w:val="nil"/>
                  </w:tcBorders>
                  <w:shd w:val="clear" w:color="auto" w:fill="auto"/>
                  <w:vAlign w:val="center"/>
                </w:tcPr>
                <w:p w14:paraId="4C914A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80</w:t>
                  </w:r>
                </w:p>
              </w:tc>
              <w:tc>
                <w:tcPr>
                  <w:tcW w:w="1080" w:type="dxa"/>
                  <w:tcBorders>
                    <w:tl2br w:val="nil"/>
                    <w:tr2bl w:val="nil"/>
                  </w:tcBorders>
                  <w:shd w:val="clear" w:color="auto" w:fill="auto"/>
                  <w:vAlign w:val="center"/>
                </w:tcPr>
                <w:p w14:paraId="27FE6D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隔声、减振</w:t>
                  </w:r>
                </w:p>
              </w:tc>
              <w:tc>
                <w:tcPr>
                  <w:tcW w:w="1080" w:type="dxa"/>
                  <w:tcBorders>
                    <w:tl2br w:val="nil"/>
                    <w:tr2bl w:val="nil"/>
                  </w:tcBorders>
                  <w:shd w:val="clear" w:color="auto" w:fill="auto"/>
                  <w:vAlign w:val="center"/>
                </w:tcPr>
                <w:p w14:paraId="66B361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80" w:type="dxa"/>
                  <w:tcBorders>
                    <w:tl2br w:val="nil"/>
                    <w:tr2bl w:val="nil"/>
                  </w:tcBorders>
                  <w:shd w:val="clear" w:color="auto" w:fill="auto"/>
                  <w:vAlign w:val="center"/>
                </w:tcPr>
                <w:p w14:paraId="68793E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080" w:type="dxa"/>
                  <w:tcBorders>
                    <w:tl2br w:val="nil"/>
                    <w:tr2bl w:val="nil"/>
                  </w:tcBorders>
                  <w:shd w:val="clear" w:color="auto" w:fill="auto"/>
                  <w:vAlign w:val="center"/>
                </w:tcPr>
                <w:p w14:paraId="2CEC99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300</w:t>
                  </w:r>
                </w:p>
              </w:tc>
            </w:tr>
            <w:tr w14:paraId="66A8C2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1560" w:type="dxa"/>
                  <w:tcBorders>
                    <w:tl2br w:val="nil"/>
                    <w:tr2bl w:val="nil"/>
                  </w:tcBorders>
                  <w:shd w:val="clear" w:color="auto" w:fill="auto"/>
                  <w:noWrap/>
                  <w:vAlign w:val="center"/>
                </w:tcPr>
                <w:p w14:paraId="06A8F15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kern w:val="0"/>
                      <w:sz w:val="21"/>
                      <w:szCs w:val="21"/>
                      <w:u w:val="none"/>
                      <w:lang w:val="en-US" w:eastAsia="zh-CN" w:bidi="ar"/>
                    </w:rPr>
                  </w:pPr>
                  <w:r>
                    <w:rPr>
                      <w:rFonts w:hint="eastAsia"/>
                      <w:color w:val="auto"/>
                      <w:szCs w:val="21"/>
                      <w:lang w:val="en-US" w:eastAsia="zh-CN"/>
                    </w:rPr>
                    <w:t>分切机</w:t>
                  </w:r>
                </w:p>
              </w:tc>
              <w:tc>
                <w:tcPr>
                  <w:tcW w:w="1080" w:type="dxa"/>
                  <w:tcBorders>
                    <w:tl2br w:val="nil"/>
                    <w:tr2bl w:val="nil"/>
                  </w:tcBorders>
                  <w:shd w:val="clear" w:color="auto" w:fill="auto"/>
                  <w:vAlign w:val="center"/>
                </w:tcPr>
                <w:p w14:paraId="486698A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snapToGrid w:val="0"/>
                      <w:color w:val="auto"/>
                      <w:kern w:val="0"/>
                      <w:szCs w:val="21"/>
                      <w:lang w:val="en-US" w:eastAsia="zh-CN"/>
                    </w:rPr>
                    <w:t>6</w:t>
                  </w:r>
                </w:p>
              </w:tc>
              <w:tc>
                <w:tcPr>
                  <w:tcW w:w="1080" w:type="dxa"/>
                  <w:tcBorders>
                    <w:tl2br w:val="nil"/>
                    <w:tr2bl w:val="nil"/>
                  </w:tcBorders>
                  <w:shd w:val="clear" w:color="auto" w:fill="auto"/>
                  <w:vAlign w:val="center"/>
                </w:tcPr>
                <w:p w14:paraId="737E4F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80</w:t>
                  </w:r>
                </w:p>
              </w:tc>
              <w:tc>
                <w:tcPr>
                  <w:tcW w:w="1080" w:type="dxa"/>
                  <w:tcBorders>
                    <w:tl2br w:val="nil"/>
                    <w:tr2bl w:val="nil"/>
                  </w:tcBorders>
                  <w:shd w:val="clear" w:color="auto" w:fill="auto"/>
                  <w:vAlign w:val="center"/>
                </w:tcPr>
                <w:p w14:paraId="7DBA7B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隔声、减振</w:t>
                  </w:r>
                </w:p>
              </w:tc>
              <w:tc>
                <w:tcPr>
                  <w:tcW w:w="1080" w:type="dxa"/>
                  <w:tcBorders>
                    <w:tl2br w:val="nil"/>
                    <w:tr2bl w:val="nil"/>
                  </w:tcBorders>
                  <w:shd w:val="clear" w:color="auto" w:fill="auto"/>
                  <w:vAlign w:val="center"/>
                </w:tcPr>
                <w:p w14:paraId="346D57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80" w:type="dxa"/>
                  <w:tcBorders>
                    <w:tl2br w:val="nil"/>
                    <w:tr2bl w:val="nil"/>
                  </w:tcBorders>
                  <w:shd w:val="clear" w:color="auto" w:fill="auto"/>
                  <w:vAlign w:val="center"/>
                </w:tcPr>
                <w:p w14:paraId="797F5E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60</w:t>
                  </w:r>
                </w:p>
              </w:tc>
              <w:tc>
                <w:tcPr>
                  <w:tcW w:w="1080" w:type="dxa"/>
                  <w:tcBorders>
                    <w:tl2br w:val="nil"/>
                    <w:tr2bl w:val="nil"/>
                  </w:tcBorders>
                  <w:shd w:val="clear" w:color="auto" w:fill="auto"/>
                  <w:vAlign w:val="center"/>
                </w:tcPr>
                <w:p w14:paraId="5CBAAE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2400</w:t>
                  </w:r>
                </w:p>
              </w:tc>
            </w:tr>
            <w:tr w14:paraId="0C2C99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1560" w:type="dxa"/>
                  <w:tcBorders>
                    <w:tl2br w:val="nil"/>
                    <w:tr2bl w:val="nil"/>
                  </w:tcBorders>
                  <w:shd w:val="clear" w:color="auto" w:fill="auto"/>
                  <w:vAlign w:val="center"/>
                </w:tcPr>
                <w:p w14:paraId="6EB21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w:t>
                  </w:r>
                </w:p>
              </w:tc>
              <w:tc>
                <w:tcPr>
                  <w:tcW w:w="1080" w:type="dxa"/>
                  <w:tcBorders>
                    <w:tl2br w:val="nil"/>
                    <w:tr2bl w:val="nil"/>
                  </w:tcBorders>
                  <w:shd w:val="clear" w:color="auto" w:fill="auto"/>
                  <w:vAlign w:val="center"/>
                </w:tcPr>
                <w:p w14:paraId="0FB4F7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3</w:t>
                  </w:r>
                </w:p>
              </w:tc>
              <w:tc>
                <w:tcPr>
                  <w:tcW w:w="1080" w:type="dxa"/>
                  <w:tcBorders>
                    <w:tl2br w:val="nil"/>
                    <w:tr2bl w:val="nil"/>
                  </w:tcBorders>
                  <w:shd w:val="clear" w:color="auto" w:fill="auto"/>
                  <w:vAlign w:val="center"/>
                </w:tcPr>
                <w:p w14:paraId="698194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080" w:type="dxa"/>
                  <w:tcBorders>
                    <w:tl2br w:val="nil"/>
                    <w:tr2bl w:val="nil"/>
                  </w:tcBorders>
                  <w:shd w:val="clear" w:color="auto" w:fill="auto"/>
                  <w:vAlign w:val="center"/>
                </w:tcPr>
                <w:p w14:paraId="3D263F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消音、隔声、减振、柔性连接</w:t>
                  </w:r>
                </w:p>
              </w:tc>
              <w:tc>
                <w:tcPr>
                  <w:tcW w:w="1080" w:type="dxa"/>
                  <w:tcBorders>
                    <w:tl2br w:val="nil"/>
                    <w:tr2bl w:val="nil"/>
                  </w:tcBorders>
                  <w:shd w:val="clear" w:color="auto" w:fill="auto"/>
                  <w:vAlign w:val="center"/>
                </w:tcPr>
                <w:p w14:paraId="3043D6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080" w:type="dxa"/>
                  <w:tcBorders>
                    <w:tl2br w:val="nil"/>
                    <w:tr2bl w:val="nil"/>
                  </w:tcBorders>
                  <w:shd w:val="clear" w:color="auto" w:fill="auto"/>
                  <w:vAlign w:val="center"/>
                </w:tcPr>
                <w:p w14:paraId="61CB10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080" w:type="dxa"/>
                  <w:tcBorders>
                    <w:tl2br w:val="nil"/>
                    <w:tr2bl w:val="nil"/>
                  </w:tcBorders>
                  <w:shd w:val="clear" w:color="auto" w:fill="auto"/>
                  <w:vAlign w:val="center"/>
                </w:tcPr>
                <w:p w14:paraId="54ACF0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2400</w:t>
                  </w:r>
                </w:p>
              </w:tc>
            </w:tr>
            <w:tr w14:paraId="373C48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65" w:hRule="atLeast"/>
              </w:trPr>
              <w:tc>
                <w:tcPr>
                  <w:tcW w:w="1560" w:type="dxa"/>
                  <w:tcBorders>
                    <w:tl2br w:val="nil"/>
                    <w:tr2bl w:val="nil"/>
                  </w:tcBorders>
                  <w:shd w:val="clear" w:color="auto" w:fill="auto"/>
                  <w:vAlign w:val="center"/>
                </w:tcPr>
                <w:p w14:paraId="1D746B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水泵</w:t>
                  </w:r>
                </w:p>
              </w:tc>
              <w:tc>
                <w:tcPr>
                  <w:tcW w:w="1080" w:type="dxa"/>
                  <w:tcBorders>
                    <w:tl2br w:val="nil"/>
                    <w:tr2bl w:val="nil"/>
                  </w:tcBorders>
                  <w:shd w:val="clear" w:color="auto" w:fill="auto"/>
                  <w:vAlign w:val="center"/>
                </w:tcPr>
                <w:p w14:paraId="7042C4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3</w:t>
                  </w:r>
                </w:p>
              </w:tc>
              <w:tc>
                <w:tcPr>
                  <w:tcW w:w="1080" w:type="dxa"/>
                  <w:tcBorders>
                    <w:tl2br w:val="nil"/>
                    <w:tr2bl w:val="nil"/>
                  </w:tcBorders>
                  <w:shd w:val="clear" w:color="auto" w:fill="auto"/>
                  <w:vAlign w:val="center"/>
                </w:tcPr>
                <w:p w14:paraId="18A951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080" w:type="dxa"/>
                  <w:tcBorders>
                    <w:tl2br w:val="nil"/>
                    <w:tr2bl w:val="nil"/>
                  </w:tcBorders>
                  <w:shd w:val="clear" w:color="auto" w:fill="auto"/>
                  <w:vAlign w:val="center"/>
                </w:tcPr>
                <w:p w14:paraId="4E32B2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隔声、减振、柔性连接</w:t>
                  </w:r>
                </w:p>
              </w:tc>
              <w:tc>
                <w:tcPr>
                  <w:tcW w:w="1080" w:type="dxa"/>
                  <w:tcBorders>
                    <w:tl2br w:val="nil"/>
                    <w:tr2bl w:val="nil"/>
                  </w:tcBorders>
                  <w:shd w:val="clear" w:color="auto" w:fill="auto"/>
                  <w:vAlign w:val="center"/>
                </w:tcPr>
                <w:p w14:paraId="1D213F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cs="Times New Roman"/>
                      <w:i w:val="0"/>
                      <w:iCs w:val="0"/>
                      <w:color w:val="000000"/>
                      <w:kern w:val="0"/>
                      <w:sz w:val="21"/>
                      <w:szCs w:val="21"/>
                      <w:u w:val="none"/>
                      <w:lang w:val="en-US" w:eastAsia="zh-CN" w:bidi="ar"/>
                    </w:rPr>
                    <w:t>5</w:t>
                  </w:r>
                </w:p>
              </w:tc>
              <w:tc>
                <w:tcPr>
                  <w:tcW w:w="1080" w:type="dxa"/>
                  <w:tcBorders>
                    <w:tl2br w:val="nil"/>
                    <w:tr2bl w:val="nil"/>
                  </w:tcBorders>
                  <w:shd w:val="clear" w:color="auto" w:fill="auto"/>
                  <w:vAlign w:val="center"/>
                </w:tcPr>
                <w:p w14:paraId="0AF830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45</w:t>
                  </w:r>
                </w:p>
              </w:tc>
              <w:tc>
                <w:tcPr>
                  <w:tcW w:w="1080" w:type="dxa"/>
                  <w:tcBorders>
                    <w:tl2br w:val="nil"/>
                    <w:tr2bl w:val="nil"/>
                  </w:tcBorders>
                  <w:shd w:val="clear" w:color="auto" w:fill="auto"/>
                  <w:vAlign w:val="center"/>
                </w:tcPr>
                <w:p w14:paraId="5DA575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1200</w:t>
                  </w:r>
                </w:p>
              </w:tc>
            </w:tr>
            <w:tr w14:paraId="33E138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560" w:type="dxa"/>
                  <w:tcBorders>
                    <w:tl2br w:val="nil"/>
                    <w:tr2bl w:val="nil"/>
                  </w:tcBorders>
                  <w:shd w:val="clear" w:color="auto" w:fill="auto"/>
                  <w:vAlign w:val="center"/>
                </w:tcPr>
                <w:p w14:paraId="1D127F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c>
                <w:tcPr>
                  <w:tcW w:w="6480" w:type="dxa"/>
                  <w:gridSpan w:val="6"/>
                  <w:tcBorders>
                    <w:tl2br w:val="nil"/>
                    <w:tr2bl w:val="nil"/>
                  </w:tcBorders>
                  <w:shd w:val="clear" w:color="auto" w:fill="auto"/>
                  <w:vAlign w:val="center"/>
                </w:tcPr>
                <w:p w14:paraId="1D6F75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bl>
          <w:p w14:paraId="1AE108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cs="宋体"/>
                <w:bCs/>
                <w:color w:val="auto"/>
                <w:spacing w:val="-11"/>
                <w:sz w:val="24"/>
                <w:szCs w:val="24"/>
                <w:lang w:val="en-US" w:eastAsia="zh-CN"/>
              </w:rPr>
            </w:pPr>
          </w:p>
          <w:p w14:paraId="67FAC20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lang w:val="en-US" w:eastAsia="zh-CN"/>
              </w:rPr>
            </w:pPr>
          </w:p>
        </w:tc>
      </w:tr>
    </w:tbl>
    <w:p w14:paraId="478A699F">
      <w:p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14A17D22">
      <w:pPr>
        <w:pStyle w:val="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表</w:t>
      </w:r>
      <w:r>
        <w:rPr>
          <w:rFonts w:hint="eastAsia" w:cs="Times New Roman"/>
          <w:b/>
          <w:bCs/>
          <w:sz w:val="24"/>
          <w:lang w:val="en-US" w:eastAsia="zh-CN"/>
        </w:rPr>
        <w:t xml:space="preserve">4-13  </w:t>
      </w:r>
      <w:r>
        <w:rPr>
          <w:rFonts w:hint="eastAsia" w:ascii="Times New Roman" w:hAnsi="Times New Roman" w:eastAsia="宋体" w:cs="Times New Roman"/>
          <w:b/>
          <w:bCs/>
          <w:sz w:val="24"/>
          <w:lang w:val="en-US" w:eastAsia="zh-CN"/>
        </w:rPr>
        <w:t>工业企业噪声源强调查清单（室外声源）</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08"/>
        <w:gridCol w:w="1691"/>
        <w:gridCol w:w="929"/>
        <w:gridCol w:w="1040"/>
        <w:gridCol w:w="775"/>
        <w:gridCol w:w="2474"/>
        <w:gridCol w:w="3612"/>
        <w:gridCol w:w="1694"/>
      </w:tblGrid>
      <w:tr w14:paraId="15479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exact"/>
          <w:jc w:val="center"/>
        </w:trPr>
        <w:tc>
          <w:tcPr>
            <w:tcW w:w="381" w:type="pct"/>
            <w:vMerge w:val="restart"/>
            <w:tcBorders>
              <w:tl2br w:val="nil"/>
              <w:tr2bl w:val="nil"/>
            </w:tcBorders>
            <w:shd w:val="clear" w:color="auto" w:fill="auto"/>
            <w:vAlign w:val="center"/>
          </w:tcPr>
          <w:p w14:paraId="72BF5B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bookmarkStart w:id="5" w:name="PT_5"/>
            <w:r>
              <w:rPr>
                <w:rFonts w:hint="default" w:ascii="Times New Roman" w:hAnsi="Times New Roman" w:cs="Times New Roman" w:eastAsiaTheme="minorEastAsia"/>
                <w:b/>
                <w:sz w:val="21"/>
                <w:szCs w:val="21"/>
              </w:rPr>
              <w:t>序号</w:t>
            </w:r>
          </w:p>
        </w:tc>
        <w:tc>
          <w:tcPr>
            <w:tcW w:w="639" w:type="pct"/>
            <w:vMerge w:val="restart"/>
            <w:tcBorders>
              <w:tl2br w:val="nil"/>
              <w:tr2bl w:val="nil"/>
            </w:tcBorders>
            <w:shd w:val="clear" w:color="auto" w:fill="auto"/>
            <w:vAlign w:val="center"/>
          </w:tcPr>
          <w:p w14:paraId="269F0D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声源名称</w:t>
            </w:r>
          </w:p>
        </w:tc>
        <w:tc>
          <w:tcPr>
            <w:tcW w:w="1037" w:type="pct"/>
            <w:gridSpan w:val="3"/>
            <w:tcBorders>
              <w:tl2br w:val="nil"/>
              <w:tr2bl w:val="nil"/>
            </w:tcBorders>
            <w:shd w:val="clear" w:color="auto" w:fill="auto"/>
            <w:vAlign w:val="center"/>
          </w:tcPr>
          <w:p w14:paraId="5EEEAB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空间相对位置/m</w:t>
            </w:r>
          </w:p>
        </w:tc>
        <w:tc>
          <w:tcPr>
            <w:tcW w:w="935" w:type="pct"/>
            <w:tcBorders>
              <w:tl2br w:val="nil"/>
              <w:tr2bl w:val="nil"/>
            </w:tcBorders>
            <w:shd w:val="clear" w:color="auto" w:fill="auto"/>
            <w:vAlign w:val="center"/>
          </w:tcPr>
          <w:p w14:paraId="39E58F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b/>
                <w:sz w:val="21"/>
                <w:szCs w:val="21"/>
                <w:lang w:eastAsia="zh-CN"/>
              </w:rPr>
              <w:t>声源源强</w:t>
            </w:r>
          </w:p>
        </w:tc>
        <w:tc>
          <w:tcPr>
            <w:tcW w:w="1365" w:type="pct"/>
            <w:vMerge w:val="restart"/>
            <w:tcBorders>
              <w:tl2br w:val="nil"/>
              <w:tr2bl w:val="nil"/>
            </w:tcBorders>
            <w:shd w:val="clear" w:color="auto" w:fill="auto"/>
            <w:vAlign w:val="center"/>
          </w:tcPr>
          <w:p w14:paraId="1E9EE4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声源控制措施</w:t>
            </w:r>
          </w:p>
        </w:tc>
        <w:tc>
          <w:tcPr>
            <w:tcW w:w="640" w:type="pct"/>
            <w:vMerge w:val="restart"/>
            <w:tcBorders>
              <w:tl2br w:val="nil"/>
              <w:tr2bl w:val="nil"/>
            </w:tcBorders>
            <w:shd w:val="clear" w:color="auto" w:fill="auto"/>
            <w:vAlign w:val="center"/>
          </w:tcPr>
          <w:p w14:paraId="796951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运行时段</w:t>
            </w:r>
          </w:p>
        </w:tc>
      </w:tr>
      <w:tr w14:paraId="1044A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381" w:type="pct"/>
            <w:vMerge w:val="continue"/>
            <w:tcBorders>
              <w:tl2br w:val="nil"/>
              <w:tr2bl w:val="nil"/>
            </w:tcBorders>
            <w:shd w:val="clear" w:color="auto" w:fill="auto"/>
            <w:vAlign w:val="center"/>
          </w:tcPr>
          <w:p w14:paraId="1CA15B2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p>
        </w:tc>
        <w:tc>
          <w:tcPr>
            <w:tcW w:w="639" w:type="pct"/>
            <w:vMerge w:val="continue"/>
            <w:tcBorders>
              <w:tl2br w:val="nil"/>
              <w:tr2bl w:val="nil"/>
            </w:tcBorders>
            <w:shd w:val="clear" w:color="auto" w:fill="auto"/>
            <w:vAlign w:val="center"/>
          </w:tcPr>
          <w:p w14:paraId="1E2CFC3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p>
        </w:tc>
        <w:tc>
          <w:tcPr>
            <w:tcW w:w="351" w:type="pct"/>
            <w:tcBorders>
              <w:tl2br w:val="nil"/>
              <w:tr2bl w:val="nil"/>
            </w:tcBorders>
            <w:shd w:val="clear" w:color="auto" w:fill="auto"/>
            <w:vAlign w:val="center"/>
          </w:tcPr>
          <w:p w14:paraId="0F0BCFA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X</w:t>
            </w:r>
          </w:p>
        </w:tc>
        <w:tc>
          <w:tcPr>
            <w:tcW w:w="393" w:type="pct"/>
            <w:tcBorders>
              <w:tl2br w:val="nil"/>
              <w:tr2bl w:val="nil"/>
            </w:tcBorders>
            <w:shd w:val="clear" w:color="auto" w:fill="auto"/>
            <w:vAlign w:val="center"/>
          </w:tcPr>
          <w:p w14:paraId="5974F59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Y</w:t>
            </w:r>
          </w:p>
        </w:tc>
        <w:tc>
          <w:tcPr>
            <w:tcW w:w="291" w:type="pct"/>
            <w:tcBorders>
              <w:tl2br w:val="nil"/>
              <w:tr2bl w:val="nil"/>
            </w:tcBorders>
            <w:shd w:val="clear" w:color="auto" w:fill="auto"/>
            <w:vAlign w:val="center"/>
          </w:tcPr>
          <w:p w14:paraId="6F3EBF2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Z</w:t>
            </w:r>
          </w:p>
        </w:tc>
        <w:tc>
          <w:tcPr>
            <w:tcW w:w="935" w:type="pct"/>
            <w:tcBorders>
              <w:tl2br w:val="nil"/>
              <w:tr2bl w:val="nil"/>
            </w:tcBorders>
            <w:shd w:val="clear" w:color="auto" w:fill="auto"/>
            <w:vAlign w:val="center"/>
          </w:tcPr>
          <w:p w14:paraId="2C13EE2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声功率级/dB(A)</w:t>
            </w:r>
          </w:p>
        </w:tc>
        <w:tc>
          <w:tcPr>
            <w:tcW w:w="1365" w:type="pct"/>
            <w:vMerge w:val="continue"/>
            <w:tcBorders>
              <w:tl2br w:val="nil"/>
              <w:tr2bl w:val="nil"/>
            </w:tcBorders>
            <w:shd w:val="clear" w:color="auto" w:fill="auto"/>
            <w:vAlign w:val="center"/>
          </w:tcPr>
          <w:p w14:paraId="5185069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p>
          <w:bookmarkEnd w:id="5"/>
        </w:tc>
        <w:tc>
          <w:tcPr>
            <w:tcW w:w="640" w:type="pct"/>
            <w:vMerge w:val="continue"/>
            <w:tcBorders>
              <w:tl2br w:val="nil"/>
              <w:tr2bl w:val="nil"/>
            </w:tcBorders>
            <w:shd w:val="clear" w:color="auto" w:fill="auto"/>
            <w:vAlign w:val="center"/>
          </w:tcPr>
          <w:p w14:paraId="0FDDB6E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p>
        </w:tc>
      </w:tr>
      <w:tr w14:paraId="04134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exact"/>
          <w:jc w:val="center"/>
        </w:trPr>
        <w:tc>
          <w:tcPr>
            <w:tcW w:w="381" w:type="pct"/>
            <w:tcBorders>
              <w:tl2br w:val="nil"/>
              <w:tr2bl w:val="nil"/>
            </w:tcBorders>
            <w:shd w:val="clear" w:color="auto" w:fill="auto"/>
            <w:vAlign w:val="center"/>
          </w:tcPr>
          <w:p w14:paraId="14380FF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639" w:type="pct"/>
            <w:tcBorders>
              <w:tl2br w:val="nil"/>
              <w:tr2bl w:val="nil"/>
            </w:tcBorders>
            <w:shd w:val="clear" w:color="auto" w:fill="auto"/>
            <w:vAlign w:val="center"/>
          </w:tcPr>
          <w:p w14:paraId="7160B17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风机</w:t>
            </w:r>
          </w:p>
        </w:tc>
        <w:tc>
          <w:tcPr>
            <w:tcW w:w="351" w:type="pct"/>
            <w:tcBorders>
              <w:tl2br w:val="nil"/>
              <w:tr2bl w:val="nil"/>
            </w:tcBorders>
            <w:shd w:val="clear" w:color="auto" w:fill="auto"/>
            <w:vAlign w:val="center"/>
          </w:tcPr>
          <w:p w14:paraId="3B5BD3F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23.4</w:t>
            </w:r>
          </w:p>
        </w:tc>
        <w:tc>
          <w:tcPr>
            <w:tcW w:w="393" w:type="pct"/>
            <w:tcBorders>
              <w:tl2br w:val="nil"/>
              <w:tr2bl w:val="nil"/>
            </w:tcBorders>
            <w:shd w:val="clear" w:color="auto" w:fill="auto"/>
            <w:vAlign w:val="center"/>
          </w:tcPr>
          <w:p w14:paraId="1C11A04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75.6</w:t>
            </w:r>
          </w:p>
        </w:tc>
        <w:tc>
          <w:tcPr>
            <w:tcW w:w="291" w:type="pct"/>
            <w:tcBorders>
              <w:tl2br w:val="nil"/>
              <w:tr2bl w:val="nil"/>
            </w:tcBorders>
            <w:shd w:val="clear" w:color="auto" w:fill="auto"/>
            <w:vAlign w:val="center"/>
          </w:tcPr>
          <w:p w14:paraId="178B08F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935" w:type="pct"/>
            <w:tcBorders>
              <w:tl2br w:val="nil"/>
              <w:tr2bl w:val="nil"/>
            </w:tcBorders>
            <w:shd w:val="clear" w:color="auto" w:fill="auto"/>
            <w:vAlign w:val="center"/>
          </w:tcPr>
          <w:p w14:paraId="1BF8B48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85</w:t>
            </w:r>
          </w:p>
        </w:tc>
        <w:tc>
          <w:tcPr>
            <w:tcW w:w="1365" w:type="pct"/>
            <w:tcBorders>
              <w:tl2br w:val="nil"/>
              <w:tr2bl w:val="nil"/>
            </w:tcBorders>
            <w:shd w:val="clear" w:color="auto" w:fill="auto"/>
            <w:vAlign w:val="center"/>
          </w:tcPr>
          <w:p w14:paraId="569F06C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消音、隔声、减振、柔性连接</w:t>
            </w:r>
          </w:p>
        </w:tc>
        <w:tc>
          <w:tcPr>
            <w:tcW w:w="640" w:type="pct"/>
            <w:vMerge w:val="restart"/>
            <w:tcBorders>
              <w:tl2br w:val="nil"/>
              <w:tr2bl w:val="nil"/>
            </w:tcBorders>
            <w:shd w:val="clear" w:color="auto" w:fill="auto"/>
            <w:vAlign w:val="center"/>
          </w:tcPr>
          <w:p w14:paraId="0B1F8B8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rPr>
            </w:pPr>
            <w:r>
              <w:rPr>
                <w:rFonts w:hint="eastAsia" w:cs="Times New Roman"/>
                <w:sz w:val="21"/>
                <w:szCs w:val="21"/>
                <w:lang w:val="en-US" w:eastAsia="zh-CN"/>
              </w:rPr>
              <w:t>24h</w:t>
            </w:r>
          </w:p>
        </w:tc>
      </w:tr>
      <w:tr w14:paraId="68AFB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exact"/>
          <w:jc w:val="center"/>
        </w:trPr>
        <w:tc>
          <w:tcPr>
            <w:tcW w:w="381" w:type="pct"/>
            <w:tcBorders>
              <w:tl2br w:val="nil"/>
              <w:tr2bl w:val="nil"/>
            </w:tcBorders>
            <w:shd w:val="clear" w:color="auto" w:fill="auto"/>
            <w:vAlign w:val="center"/>
          </w:tcPr>
          <w:p w14:paraId="2F2E19B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639" w:type="pct"/>
            <w:tcBorders>
              <w:tl2br w:val="nil"/>
              <w:tr2bl w:val="nil"/>
            </w:tcBorders>
            <w:shd w:val="clear" w:color="auto" w:fill="auto"/>
            <w:vAlign w:val="center"/>
          </w:tcPr>
          <w:p w14:paraId="0C761C5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风机</w:t>
            </w:r>
          </w:p>
        </w:tc>
        <w:tc>
          <w:tcPr>
            <w:tcW w:w="351" w:type="pct"/>
            <w:tcBorders>
              <w:tl2br w:val="nil"/>
              <w:tr2bl w:val="nil"/>
            </w:tcBorders>
            <w:shd w:val="clear" w:color="auto" w:fill="auto"/>
            <w:vAlign w:val="center"/>
          </w:tcPr>
          <w:p w14:paraId="217054C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393" w:type="pct"/>
            <w:tcBorders>
              <w:tl2br w:val="nil"/>
              <w:tr2bl w:val="nil"/>
            </w:tcBorders>
            <w:shd w:val="clear" w:color="auto" w:fill="auto"/>
            <w:vAlign w:val="center"/>
          </w:tcPr>
          <w:p w14:paraId="5CF78F7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31.3</w:t>
            </w:r>
          </w:p>
        </w:tc>
        <w:tc>
          <w:tcPr>
            <w:tcW w:w="291" w:type="pct"/>
            <w:tcBorders>
              <w:tl2br w:val="nil"/>
              <w:tr2bl w:val="nil"/>
            </w:tcBorders>
            <w:shd w:val="clear" w:color="auto" w:fill="auto"/>
            <w:vAlign w:val="center"/>
          </w:tcPr>
          <w:p w14:paraId="68C8BD5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935" w:type="pct"/>
            <w:tcBorders>
              <w:tl2br w:val="nil"/>
              <w:tr2bl w:val="nil"/>
            </w:tcBorders>
            <w:shd w:val="clear" w:color="auto" w:fill="auto"/>
            <w:vAlign w:val="center"/>
          </w:tcPr>
          <w:p w14:paraId="0E2BC78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85</w:t>
            </w:r>
          </w:p>
        </w:tc>
        <w:tc>
          <w:tcPr>
            <w:tcW w:w="1365" w:type="pct"/>
            <w:tcBorders>
              <w:tl2br w:val="nil"/>
              <w:tr2bl w:val="nil"/>
            </w:tcBorders>
            <w:shd w:val="clear" w:color="auto" w:fill="auto"/>
            <w:vAlign w:val="center"/>
          </w:tcPr>
          <w:p w14:paraId="3442CCA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消音、隔声、减振、柔性连接</w:t>
            </w:r>
          </w:p>
        </w:tc>
        <w:tc>
          <w:tcPr>
            <w:tcW w:w="640" w:type="pct"/>
            <w:vMerge w:val="continue"/>
            <w:tcBorders>
              <w:tl2br w:val="nil"/>
              <w:tr2bl w:val="nil"/>
            </w:tcBorders>
            <w:shd w:val="clear" w:color="auto" w:fill="auto"/>
            <w:vAlign w:val="center"/>
          </w:tcPr>
          <w:p w14:paraId="5CB8EFA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p>
        </w:tc>
      </w:tr>
      <w:tr w14:paraId="1B0FD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exact"/>
          <w:jc w:val="center"/>
        </w:trPr>
        <w:tc>
          <w:tcPr>
            <w:tcW w:w="381" w:type="pct"/>
            <w:tcBorders>
              <w:tl2br w:val="nil"/>
              <w:tr2bl w:val="nil"/>
            </w:tcBorders>
            <w:shd w:val="clear" w:color="auto" w:fill="auto"/>
            <w:vAlign w:val="center"/>
          </w:tcPr>
          <w:p w14:paraId="1FBE495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639" w:type="pct"/>
            <w:tcBorders>
              <w:tl2br w:val="nil"/>
              <w:tr2bl w:val="nil"/>
            </w:tcBorders>
            <w:shd w:val="clear" w:color="auto" w:fill="auto"/>
            <w:vAlign w:val="center"/>
          </w:tcPr>
          <w:p w14:paraId="5550334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风机</w:t>
            </w:r>
          </w:p>
        </w:tc>
        <w:tc>
          <w:tcPr>
            <w:tcW w:w="351" w:type="pct"/>
            <w:tcBorders>
              <w:tl2br w:val="nil"/>
              <w:tr2bl w:val="nil"/>
            </w:tcBorders>
            <w:shd w:val="clear" w:color="auto" w:fill="auto"/>
            <w:vAlign w:val="center"/>
          </w:tcPr>
          <w:p w14:paraId="33BD7A3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15.1</w:t>
            </w:r>
          </w:p>
        </w:tc>
        <w:tc>
          <w:tcPr>
            <w:tcW w:w="393" w:type="pct"/>
            <w:tcBorders>
              <w:tl2br w:val="nil"/>
              <w:tr2bl w:val="nil"/>
            </w:tcBorders>
            <w:shd w:val="clear" w:color="auto" w:fill="auto"/>
            <w:vAlign w:val="center"/>
          </w:tcPr>
          <w:p w14:paraId="360D5ED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-17.3</w:t>
            </w:r>
          </w:p>
        </w:tc>
        <w:tc>
          <w:tcPr>
            <w:tcW w:w="291" w:type="pct"/>
            <w:tcBorders>
              <w:tl2br w:val="nil"/>
              <w:tr2bl w:val="nil"/>
            </w:tcBorders>
            <w:shd w:val="clear" w:color="auto" w:fill="auto"/>
            <w:vAlign w:val="center"/>
          </w:tcPr>
          <w:p w14:paraId="30A9ACA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935" w:type="pct"/>
            <w:tcBorders>
              <w:tl2br w:val="nil"/>
              <w:tr2bl w:val="nil"/>
            </w:tcBorders>
            <w:shd w:val="clear" w:color="auto" w:fill="auto"/>
            <w:vAlign w:val="center"/>
          </w:tcPr>
          <w:p w14:paraId="35D0D59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85</w:t>
            </w:r>
          </w:p>
        </w:tc>
        <w:tc>
          <w:tcPr>
            <w:tcW w:w="1365" w:type="pct"/>
            <w:tcBorders>
              <w:tl2br w:val="nil"/>
              <w:tr2bl w:val="nil"/>
            </w:tcBorders>
            <w:shd w:val="clear" w:color="auto" w:fill="auto"/>
            <w:vAlign w:val="center"/>
          </w:tcPr>
          <w:p w14:paraId="352B956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消音、隔声、减振、柔性连接</w:t>
            </w:r>
          </w:p>
        </w:tc>
        <w:tc>
          <w:tcPr>
            <w:tcW w:w="640" w:type="pct"/>
            <w:vMerge w:val="continue"/>
            <w:tcBorders>
              <w:tl2br w:val="nil"/>
              <w:tr2bl w:val="nil"/>
            </w:tcBorders>
            <w:shd w:val="clear" w:color="auto" w:fill="auto"/>
            <w:vAlign w:val="center"/>
          </w:tcPr>
          <w:p w14:paraId="5843CFD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 w:val="21"/>
                <w:szCs w:val="21"/>
              </w:rPr>
            </w:pPr>
          </w:p>
        </w:tc>
      </w:tr>
    </w:tbl>
    <w:p w14:paraId="175EC161">
      <w:pPr>
        <w:jc w:val="left"/>
        <w:rPr>
          <w:rFonts w:hint="default" w:ascii="Times New Roman" w:hAnsi="Times New Roman" w:cs="Times New Roman" w:eastAsiaTheme="minorEastAsia"/>
          <w:b w:val="0"/>
          <w:bCs/>
          <w:sz w:val="24"/>
          <w:szCs w:val="24"/>
          <w:lang w:val="en-US" w:eastAsia="zh-CN"/>
        </w:rPr>
      </w:pPr>
      <w:r>
        <w:rPr>
          <w:rFonts w:hint="default" w:ascii="Times New Roman" w:hAnsi="Times New Roman" w:cs="Times New Roman" w:eastAsiaTheme="minorEastAsia"/>
          <w:b w:val="0"/>
          <w:bCs/>
          <w:sz w:val="24"/>
          <w:szCs w:val="24"/>
          <w:lang w:val="en-US" w:eastAsia="zh-CN"/>
        </w:rPr>
        <w:t>表中坐标以厂界中心（</w:t>
      </w:r>
      <w:bookmarkStart w:id="6" w:name="PO_6"/>
      <w:r>
        <w:rPr>
          <w:rFonts w:hint="default" w:ascii="Times New Roman" w:hAnsi="Times New Roman" w:cs="Times New Roman" w:eastAsiaTheme="minorEastAsia"/>
          <w:b w:val="0"/>
          <w:bCs/>
          <w:sz w:val="24"/>
          <w:szCs w:val="24"/>
          <w:lang w:val="en-US" w:eastAsia="zh-CN"/>
        </w:rPr>
        <w:t>117.219749,35.670173</w:t>
      </w:r>
      <w:bookmarkEnd w:id="6"/>
      <w:r>
        <w:rPr>
          <w:rFonts w:hint="default" w:ascii="Times New Roman" w:hAnsi="Times New Roman" w:cs="Times New Roman" w:eastAsiaTheme="minorEastAsia"/>
          <w:b w:val="0"/>
          <w:bCs/>
          <w:sz w:val="24"/>
          <w:szCs w:val="24"/>
          <w:lang w:val="en-US" w:eastAsia="zh-CN"/>
        </w:rPr>
        <w:t>）为坐标原点，正东向为X轴正方向，正北向为Y轴正方向</w:t>
      </w:r>
    </w:p>
    <w:p w14:paraId="73BCF554">
      <w:pPr>
        <w:pStyle w:val="9"/>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表4-1</w:t>
      </w:r>
      <w:r>
        <w:rPr>
          <w:rFonts w:hint="eastAsia" w:cs="Times New Roman"/>
          <w:b/>
          <w:bCs/>
          <w:sz w:val="24"/>
          <w:lang w:val="en-US" w:eastAsia="zh-CN"/>
        </w:rPr>
        <w:t>4</w:t>
      </w:r>
      <w:r>
        <w:rPr>
          <w:rFonts w:hint="eastAsia" w:ascii="Times New Roman" w:hAnsi="Times New Roman" w:eastAsia="宋体" w:cs="Times New Roman"/>
          <w:b/>
          <w:bCs/>
          <w:sz w:val="24"/>
          <w:lang w:val="en-US" w:eastAsia="zh-CN"/>
        </w:rPr>
        <w:t xml:space="preserve">  工业企业噪声源强调查清单（室内声源）</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7"/>
        <w:gridCol w:w="550"/>
        <w:gridCol w:w="526"/>
        <w:gridCol w:w="635"/>
        <w:gridCol w:w="543"/>
        <w:gridCol w:w="598"/>
        <w:gridCol w:w="598"/>
        <w:gridCol w:w="604"/>
        <w:gridCol w:w="495"/>
        <w:gridCol w:w="495"/>
        <w:gridCol w:w="495"/>
        <w:gridCol w:w="506"/>
        <w:gridCol w:w="490"/>
        <w:gridCol w:w="490"/>
        <w:gridCol w:w="490"/>
        <w:gridCol w:w="492"/>
        <w:gridCol w:w="427"/>
        <w:gridCol w:w="471"/>
        <w:gridCol w:w="471"/>
        <w:gridCol w:w="471"/>
        <w:gridCol w:w="479"/>
        <w:gridCol w:w="503"/>
        <w:gridCol w:w="503"/>
        <w:gridCol w:w="503"/>
        <w:gridCol w:w="503"/>
        <w:gridCol w:w="458"/>
      </w:tblGrid>
      <w:tr w14:paraId="53A0C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jc w:val="center"/>
        </w:trPr>
        <w:tc>
          <w:tcPr>
            <w:tcW w:w="161" w:type="pct"/>
            <w:vMerge w:val="restart"/>
            <w:tcBorders>
              <w:tl2br w:val="nil"/>
              <w:tr2bl w:val="nil"/>
            </w:tcBorders>
            <w:shd w:val="clear" w:color="auto" w:fill="auto"/>
            <w:vAlign w:val="center"/>
          </w:tcPr>
          <w:p w14:paraId="23E213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bookmarkStart w:id="7" w:name="PT_6"/>
            <w:r>
              <w:rPr>
                <w:rFonts w:hint="default" w:ascii="Times New Roman" w:hAnsi="Times New Roman" w:cs="Times New Roman" w:eastAsiaTheme="minorEastAsia"/>
                <w:b/>
                <w:sz w:val="21"/>
                <w:szCs w:val="21"/>
              </w:rPr>
              <w:t>序号</w:t>
            </w:r>
          </w:p>
        </w:tc>
        <w:tc>
          <w:tcPr>
            <w:tcW w:w="208" w:type="pct"/>
            <w:vMerge w:val="restart"/>
            <w:tcBorders>
              <w:tl2br w:val="nil"/>
              <w:tr2bl w:val="nil"/>
            </w:tcBorders>
            <w:shd w:val="clear" w:color="auto" w:fill="auto"/>
            <w:vAlign w:val="center"/>
          </w:tcPr>
          <w:p w14:paraId="549F41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建筑物名称</w:t>
            </w:r>
          </w:p>
        </w:tc>
        <w:tc>
          <w:tcPr>
            <w:tcW w:w="199" w:type="pct"/>
            <w:vMerge w:val="restart"/>
            <w:tcBorders>
              <w:tl2br w:val="nil"/>
              <w:tr2bl w:val="nil"/>
            </w:tcBorders>
            <w:shd w:val="clear" w:color="auto" w:fill="auto"/>
            <w:vAlign w:val="center"/>
          </w:tcPr>
          <w:p w14:paraId="0234FD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声源名称</w:t>
            </w:r>
          </w:p>
        </w:tc>
        <w:tc>
          <w:tcPr>
            <w:tcW w:w="240" w:type="pct"/>
            <w:tcBorders>
              <w:tl2br w:val="nil"/>
              <w:tr2bl w:val="nil"/>
            </w:tcBorders>
            <w:shd w:val="clear" w:color="auto" w:fill="auto"/>
            <w:vAlign w:val="center"/>
          </w:tcPr>
          <w:p w14:paraId="423106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b/>
                <w:sz w:val="21"/>
                <w:szCs w:val="21"/>
                <w:lang w:eastAsia="zh-CN"/>
              </w:rPr>
              <w:t>声源源强</w:t>
            </w:r>
          </w:p>
        </w:tc>
        <w:tc>
          <w:tcPr>
            <w:tcW w:w="205" w:type="pct"/>
            <w:vMerge w:val="restart"/>
            <w:tcBorders>
              <w:tl2br w:val="nil"/>
              <w:tr2bl w:val="nil"/>
            </w:tcBorders>
            <w:shd w:val="clear" w:color="auto" w:fill="auto"/>
            <w:vAlign w:val="center"/>
          </w:tcPr>
          <w:p w14:paraId="7A30FA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声源控制措施</w:t>
            </w:r>
          </w:p>
        </w:tc>
        <w:tc>
          <w:tcPr>
            <w:tcW w:w="680" w:type="pct"/>
            <w:gridSpan w:val="3"/>
            <w:tcBorders>
              <w:tl2br w:val="nil"/>
              <w:tr2bl w:val="nil"/>
            </w:tcBorders>
            <w:shd w:val="clear" w:color="auto" w:fill="auto"/>
            <w:vAlign w:val="center"/>
          </w:tcPr>
          <w:p w14:paraId="631EF8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空间相对位置/m</w:t>
            </w:r>
          </w:p>
        </w:tc>
        <w:tc>
          <w:tcPr>
            <w:tcW w:w="752" w:type="pct"/>
            <w:gridSpan w:val="4"/>
            <w:tcBorders>
              <w:tl2br w:val="nil"/>
              <w:tr2bl w:val="nil"/>
            </w:tcBorders>
            <w:shd w:val="clear" w:color="auto" w:fill="auto"/>
            <w:vAlign w:val="center"/>
          </w:tcPr>
          <w:p w14:paraId="6C15C8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距室内边界距离/m</w:t>
            </w:r>
          </w:p>
        </w:tc>
        <w:tc>
          <w:tcPr>
            <w:tcW w:w="741" w:type="pct"/>
            <w:gridSpan w:val="4"/>
            <w:tcBorders>
              <w:tl2br w:val="nil"/>
              <w:tr2bl w:val="nil"/>
            </w:tcBorders>
            <w:shd w:val="clear" w:color="auto" w:fill="auto"/>
            <w:vAlign w:val="center"/>
          </w:tcPr>
          <w:p w14:paraId="554E19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室内边界声级/dB(A)</w:t>
            </w:r>
          </w:p>
        </w:tc>
        <w:tc>
          <w:tcPr>
            <w:tcW w:w="161" w:type="pct"/>
            <w:vMerge w:val="restart"/>
            <w:tcBorders>
              <w:tl2br w:val="nil"/>
              <w:tr2bl w:val="nil"/>
            </w:tcBorders>
            <w:shd w:val="clear" w:color="auto" w:fill="auto"/>
            <w:vAlign w:val="center"/>
          </w:tcPr>
          <w:p w14:paraId="5DFC76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sz w:val="21"/>
                <w:szCs w:val="21"/>
              </w:rPr>
              <w:t>运行时段</w:t>
            </w:r>
          </w:p>
        </w:tc>
        <w:tc>
          <w:tcPr>
            <w:tcW w:w="715" w:type="pct"/>
            <w:gridSpan w:val="4"/>
            <w:tcBorders>
              <w:tl2br w:val="nil"/>
              <w:tr2bl w:val="nil"/>
            </w:tcBorders>
            <w:shd w:val="clear" w:color="auto" w:fill="auto"/>
            <w:vAlign w:val="center"/>
          </w:tcPr>
          <w:p w14:paraId="1FC3B5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建筑物插入损失 / dB(A)</w:t>
            </w:r>
            <w:bookmarkStart w:id="8" w:name="PT_10"/>
            <w:bookmarkEnd w:id="8"/>
          </w:p>
        </w:tc>
        <w:tc>
          <w:tcPr>
            <w:tcW w:w="933" w:type="pct"/>
            <w:gridSpan w:val="5"/>
            <w:tcBorders>
              <w:tl2br w:val="nil"/>
              <w:tr2bl w:val="nil"/>
            </w:tcBorders>
            <w:shd w:val="clear" w:color="auto" w:fill="auto"/>
            <w:vAlign w:val="center"/>
          </w:tcPr>
          <w:p w14:paraId="633298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b/>
                <w:bCs w:val="0"/>
                <w:sz w:val="21"/>
                <w:szCs w:val="21"/>
              </w:rPr>
            </w:pPr>
            <w:r>
              <w:rPr>
                <w:rFonts w:hint="default" w:ascii="Times New Roman" w:hAnsi="Times New Roman" w:cs="Times New Roman" w:eastAsiaTheme="minorEastAsia"/>
                <w:b/>
                <w:bCs w:val="0"/>
                <w:sz w:val="21"/>
                <w:szCs w:val="21"/>
              </w:rPr>
              <w:t>建筑物外噪声声压级/dB(A)</w:t>
            </w:r>
          </w:p>
        </w:tc>
      </w:tr>
      <w:tr w14:paraId="0892F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 w:type="pct"/>
            <w:vMerge w:val="continue"/>
            <w:tcBorders>
              <w:tl2br w:val="nil"/>
              <w:tr2bl w:val="nil"/>
            </w:tcBorders>
            <w:shd w:val="clear" w:color="auto" w:fill="auto"/>
            <w:tcMar>
              <w:top w:w="0" w:type="dxa"/>
              <w:left w:w="0" w:type="dxa"/>
              <w:bottom w:w="0" w:type="dxa"/>
              <w:right w:w="0" w:type="dxa"/>
            </w:tcMar>
            <w:vAlign w:val="center"/>
          </w:tcPr>
          <w:p w14:paraId="019DFA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lang w:val="en-US" w:eastAsia="zh-CN"/>
              </w:rPr>
            </w:pPr>
          </w:p>
        </w:tc>
        <w:tc>
          <w:tcPr>
            <w:tcW w:w="208" w:type="pct"/>
            <w:vMerge w:val="continue"/>
            <w:tcBorders>
              <w:tl2br w:val="nil"/>
              <w:tr2bl w:val="nil"/>
            </w:tcBorders>
            <w:shd w:val="clear" w:color="auto" w:fill="auto"/>
            <w:tcMar>
              <w:top w:w="0" w:type="dxa"/>
              <w:left w:w="0" w:type="dxa"/>
              <w:bottom w:w="0" w:type="dxa"/>
              <w:right w:w="0" w:type="dxa"/>
            </w:tcMar>
            <w:vAlign w:val="center"/>
          </w:tcPr>
          <w:p w14:paraId="77F600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p>
        </w:tc>
        <w:tc>
          <w:tcPr>
            <w:tcW w:w="199" w:type="pct"/>
            <w:vMerge w:val="continue"/>
            <w:tcBorders>
              <w:tl2br w:val="nil"/>
              <w:tr2bl w:val="nil"/>
            </w:tcBorders>
            <w:shd w:val="clear" w:color="auto" w:fill="auto"/>
            <w:tcMar>
              <w:top w:w="0" w:type="dxa"/>
              <w:left w:w="0" w:type="dxa"/>
              <w:bottom w:w="0" w:type="dxa"/>
              <w:right w:w="0" w:type="dxa"/>
            </w:tcMar>
            <w:vAlign w:val="center"/>
          </w:tcPr>
          <w:p w14:paraId="4E3E6C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p>
        </w:tc>
        <w:tc>
          <w:tcPr>
            <w:tcW w:w="240" w:type="pct"/>
            <w:tcBorders>
              <w:tl2br w:val="nil"/>
              <w:tr2bl w:val="nil"/>
            </w:tcBorders>
            <w:shd w:val="clear" w:color="auto" w:fill="auto"/>
            <w:tcMar>
              <w:top w:w="0" w:type="dxa"/>
              <w:left w:w="0" w:type="dxa"/>
              <w:bottom w:w="0" w:type="dxa"/>
              <w:right w:w="0" w:type="dxa"/>
            </w:tcMar>
            <w:vAlign w:val="center"/>
          </w:tcPr>
          <w:p w14:paraId="616524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声功率级/dB(A)</w:t>
            </w:r>
          </w:p>
        </w:tc>
        <w:tc>
          <w:tcPr>
            <w:tcW w:w="205" w:type="pct"/>
            <w:vMerge w:val="continue"/>
            <w:tcBorders>
              <w:tl2br w:val="nil"/>
              <w:tr2bl w:val="nil"/>
            </w:tcBorders>
            <w:shd w:val="clear" w:color="auto" w:fill="auto"/>
            <w:tcMar>
              <w:top w:w="0" w:type="dxa"/>
              <w:left w:w="0" w:type="dxa"/>
              <w:bottom w:w="0" w:type="dxa"/>
              <w:right w:w="0" w:type="dxa"/>
            </w:tcMar>
            <w:vAlign w:val="center"/>
          </w:tcPr>
          <w:p w14:paraId="0E063D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p>
        </w:tc>
        <w:tc>
          <w:tcPr>
            <w:tcW w:w="226" w:type="pct"/>
            <w:tcBorders>
              <w:tl2br w:val="nil"/>
              <w:tr2bl w:val="nil"/>
            </w:tcBorders>
            <w:shd w:val="clear" w:color="auto" w:fill="auto"/>
            <w:tcMar>
              <w:top w:w="0" w:type="dxa"/>
              <w:left w:w="0" w:type="dxa"/>
              <w:bottom w:w="0" w:type="dxa"/>
              <w:right w:w="0" w:type="dxa"/>
            </w:tcMar>
            <w:vAlign w:val="center"/>
          </w:tcPr>
          <w:p w14:paraId="2852CF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X</w:t>
            </w:r>
          </w:p>
        </w:tc>
        <w:tc>
          <w:tcPr>
            <w:tcW w:w="226" w:type="pct"/>
            <w:tcBorders>
              <w:tl2br w:val="nil"/>
              <w:tr2bl w:val="nil"/>
            </w:tcBorders>
            <w:shd w:val="clear" w:color="auto" w:fill="auto"/>
            <w:tcMar>
              <w:top w:w="0" w:type="dxa"/>
              <w:left w:w="0" w:type="dxa"/>
              <w:bottom w:w="0" w:type="dxa"/>
              <w:right w:w="0" w:type="dxa"/>
            </w:tcMar>
            <w:vAlign w:val="center"/>
          </w:tcPr>
          <w:p w14:paraId="2D1BEB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Y</w:t>
            </w:r>
          </w:p>
        </w:tc>
        <w:tc>
          <w:tcPr>
            <w:tcW w:w="228" w:type="pct"/>
            <w:tcBorders>
              <w:tl2br w:val="nil"/>
              <w:tr2bl w:val="nil"/>
            </w:tcBorders>
            <w:shd w:val="clear" w:color="auto" w:fill="auto"/>
            <w:tcMar>
              <w:top w:w="0" w:type="dxa"/>
              <w:left w:w="0" w:type="dxa"/>
              <w:bottom w:w="0" w:type="dxa"/>
              <w:right w:w="0" w:type="dxa"/>
            </w:tcMar>
            <w:vAlign w:val="center"/>
          </w:tcPr>
          <w:p w14:paraId="63B292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Z</w:t>
            </w:r>
          </w:p>
        </w:tc>
        <w:tc>
          <w:tcPr>
            <w:tcW w:w="187" w:type="pct"/>
            <w:tcBorders>
              <w:tl2br w:val="nil"/>
              <w:tr2bl w:val="nil"/>
            </w:tcBorders>
            <w:shd w:val="clear" w:color="auto" w:fill="auto"/>
            <w:tcMar>
              <w:top w:w="0" w:type="dxa"/>
              <w:left w:w="0" w:type="dxa"/>
              <w:bottom w:w="0" w:type="dxa"/>
              <w:right w:w="0" w:type="dxa"/>
            </w:tcMar>
            <w:vAlign w:val="center"/>
          </w:tcPr>
          <w:p w14:paraId="225241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东</w:t>
            </w:r>
          </w:p>
        </w:tc>
        <w:tc>
          <w:tcPr>
            <w:tcW w:w="187" w:type="pct"/>
            <w:tcBorders>
              <w:tl2br w:val="nil"/>
              <w:tr2bl w:val="nil"/>
            </w:tcBorders>
            <w:shd w:val="clear" w:color="auto" w:fill="auto"/>
            <w:tcMar>
              <w:top w:w="0" w:type="dxa"/>
              <w:left w:w="0" w:type="dxa"/>
              <w:bottom w:w="0" w:type="dxa"/>
              <w:right w:w="0" w:type="dxa"/>
            </w:tcMar>
            <w:vAlign w:val="center"/>
          </w:tcPr>
          <w:p w14:paraId="25823D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南</w:t>
            </w:r>
          </w:p>
        </w:tc>
        <w:tc>
          <w:tcPr>
            <w:tcW w:w="187" w:type="pct"/>
            <w:tcBorders>
              <w:tl2br w:val="nil"/>
              <w:tr2bl w:val="nil"/>
            </w:tcBorders>
            <w:shd w:val="clear" w:color="auto" w:fill="auto"/>
            <w:tcMar>
              <w:top w:w="0" w:type="dxa"/>
              <w:left w:w="0" w:type="dxa"/>
              <w:bottom w:w="0" w:type="dxa"/>
              <w:right w:w="0" w:type="dxa"/>
            </w:tcMar>
            <w:vAlign w:val="center"/>
          </w:tcPr>
          <w:p w14:paraId="17BEB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西</w:t>
            </w:r>
          </w:p>
        </w:tc>
        <w:tc>
          <w:tcPr>
            <w:tcW w:w="191" w:type="pct"/>
            <w:tcBorders>
              <w:tl2br w:val="nil"/>
              <w:tr2bl w:val="nil"/>
            </w:tcBorders>
            <w:shd w:val="clear" w:color="auto" w:fill="auto"/>
            <w:tcMar>
              <w:top w:w="0" w:type="dxa"/>
              <w:left w:w="0" w:type="dxa"/>
              <w:bottom w:w="0" w:type="dxa"/>
              <w:right w:w="0" w:type="dxa"/>
            </w:tcMar>
            <w:vAlign w:val="center"/>
          </w:tcPr>
          <w:p w14:paraId="1EC989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北</w:t>
            </w:r>
          </w:p>
        </w:tc>
        <w:tc>
          <w:tcPr>
            <w:tcW w:w="185" w:type="pct"/>
            <w:tcBorders>
              <w:tl2br w:val="nil"/>
              <w:tr2bl w:val="nil"/>
            </w:tcBorders>
            <w:shd w:val="clear" w:color="auto" w:fill="auto"/>
            <w:tcMar>
              <w:top w:w="0" w:type="dxa"/>
              <w:left w:w="0" w:type="dxa"/>
              <w:bottom w:w="0" w:type="dxa"/>
              <w:right w:w="0" w:type="dxa"/>
            </w:tcMar>
            <w:vAlign w:val="center"/>
          </w:tcPr>
          <w:p w14:paraId="501EE1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东</w:t>
            </w:r>
          </w:p>
        </w:tc>
        <w:tc>
          <w:tcPr>
            <w:tcW w:w="185" w:type="pct"/>
            <w:tcBorders>
              <w:tl2br w:val="nil"/>
              <w:tr2bl w:val="nil"/>
            </w:tcBorders>
            <w:shd w:val="clear" w:color="auto" w:fill="auto"/>
            <w:tcMar>
              <w:top w:w="0" w:type="dxa"/>
              <w:left w:w="0" w:type="dxa"/>
              <w:bottom w:w="0" w:type="dxa"/>
              <w:right w:w="0" w:type="dxa"/>
            </w:tcMar>
            <w:vAlign w:val="center"/>
          </w:tcPr>
          <w:p w14:paraId="13F348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南</w:t>
            </w:r>
          </w:p>
        </w:tc>
        <w:tc>
          <w:tcPr>
            <w:tcW w:w="185" w:type="pct"/>
            <w:tcBorders>
              <w:tl2br w:val="nil"/>
              <w:tr2bl w:val="nil"/>
            </w:tcBorders>
            <w:shd w:val="clear" w:color="auto" w:fill="auto"/>
            <w:tcMar>
              <w:top w:w="0" w:type="dxa"/>
              <w:left w:w="0" w:type="dxa"/>
              <w:bottom w:w="0" w:type="dxa"/>
              <w:right w:w="0" w:type="dxa"/>
            </w:tcMar>
            <w:vAlign w:val="center"/>
          </w:tcPr>
          <w:p w14:paraId="7D89C4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西</w:t>
            </w:r>
          </w:p>
        </w:tc>
        <w:tc>
          <w:tcPr>
            <w:tcW w:w="186" w:type="pct"/>
            <w:tcBorders>
              <w:tl2br w:val="nil"/>
              <w:tr2bl w:val="nil"/>
            </w:tcBorders>
            <w:shd w:val="clear" w:color="auto" w:fill="auto"/>
            <w:tcMar>
              <w:top w:w="0" w:type="dxa"/>
              <w:left w:w="0" w:type="dxa"/>
              <w:bottom w:w="0" w:type="dxa"/>
              <w:right w:w="0" w:type="dxa"/>
            </w:tcMar>
            <w:vAlign w:val="center"/>
          </w:tcPr>
          <w:p w14:paraId="7F69D1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北</w:t>
            </w:r>
          </w:p>
        </w:tc>
        <w:tc>
          <w:tcPr>
            <w:tcW w:w="161" w:type="pct"/>
            <w:vMerge w:val="continue"/>
            <w:tcBorders>
              <w:tl2br w:val="nil"/>
              <w:tr2bl w:val="nil"/>
            </w:tcBorders>
            <w:shd w:val="clear" w:color="auto" w:fill="auto"/>
            <w:tcMar>
              <w:top w:w="0" w:type="dxa"/>
              <w:left w:w="0" w:type="dxa"/>
              <w:bottom w:w="0" w:type="dxa"/>
              <w:right w:w="0" w:type="dxa"/>
            </w:tcMar>
            <w:vAlign w:val="center"/>
          </w:tcPr>
          <w:p w14:paraId="2D3FBB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p>
        </w:tc>
        <w:tc>
          <w:tcPr>
            <w:tcW w:w="178" w:type="pct"/>
            <w:tcBorders>
              <w:tl2br w:val="nil"/>
              <w:tr2bl w:val="nil"/>
            </w:tcBorders>
            <w:shd w:val="clear" w:color="auto" w:fill="auto"/>
            <w:tcMar>
              <w:top w:w="0" w:type="dxa"/>
              <w:left w:w="0" w:type="dxa"/>
              <w:bottom w:w="0" w:type="dxa"/>
              <w:right w:w="0" w:type="dxa"/>
            </w:tcMar>
            <w:vAlign w:val="center"/>
          </w:tcPr>
          <w:p w14:paraId="5BD547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东</w:t>
            </w:r>
          </w:p>
        </w:tc>
        <w:tc>
          <w:tcPr>
            <w:tcW w:w="178" w:type="pct"/>
            <w:tcBorders>
              <w:tl2br w:val="nil"/>
              <w:tr2bl w:val="nil"/>
            </w:tcBorders>
            <w:shd w:val="clear" w:color="auto" w:fill="auto"/>
            <w:tcMar>
              <w:top w:w="0" w:type="dxa"/>
              <w:left w:w="0" w:type="dxa"/>
              <w:bottom w:w="0" w:type="dxa"/>
              <w:right w:w="0" w:type="dxa"/>
            </w:tcMar>
            <w:vAlign w:val="center"/>
          </w:tcPr>
          <w:p w14:paraId="3F3243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南</w:t>
            </w:r>
          </w:p>
        </w:tc>
        <w:tc>
          <w:tcPr>
            <w:tcW w:w="178" w:type="pct"/>
            <w:tcBorders>
              <w:tl2br w:val="nil"/>
              <w:tr2bl w:val="nil"/>
            </w:tcBorders>
            <w:shd w:val="clear" w:color="auto" w:fill="auto"/>
            <w:tcMar>
              <w:top w:w="0" w:type="dxa"/>
              <w:left w:w="0" w:type="dxa"/>
              <w:bottom w:w="0" w:type="dxa"/>
              <w:right w:w="0" w:type="dxa"/>
            </w:tcMar>
            <w:vAlign w:val="center"/>
          </w:tcPr>
          <w:p w14:paraId="615054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西</w:t>
            </w:r>
          </w:p>
        </w:tc>
        <w:tc>
          <w:tcPr>
            <w:tcW w:w="181" w:type="pct"/>
            <w:tcBorders>
              <w:tl2br w:val="nil"/>
              <w:tr2bl w:val="nil"/>
            </w:tcBorders>
            <w:shd w:val="clear" w:color="auto" w:fill="auto"/>
            <w:tcMar>
              <w:top w:w="0" w:type="dxa"/>
              <w:left w:w="0" w:type="dxa"/>
              <w:bottom w:w="0" w:type="dxa"/>
              <w:right w:w="0" w:type="dxa"/>
            </w:tcMar>
            <w:vAlign w:val="center"/>
          </w:tcPr>
          <w:p w14:paraId="3075C2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北</w:t>
            </w:r>
          </w:p>
        </w:tc>
        <w:tc>
          <w:tcPr>
            <w:tcW w:w="190" w:type="pct"/>
            <w:tcBorders>
              <w:tl2br w:val="nil"/>
              <w:tr2bl w:val="nil"/>
            </w:tcBorders>
            <w:shd w:val="clear" w:color="auto" w:fill="auto"/>
            <w:tcMar>
              <w:top w:w="0" w:type="dxa"/>
              <w:left w:w="0" w:type="dxa"/>
              <w:bottom w:w="0" w:type="dxa"/>
              <w:right w:w="0" w:type="dxa"/>
            </w:tcMar>
            <w:vAlign w:val="center"/>
          </w:tcPr>
          <w:p w14:paraId="57BAAC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东</w:t>
            </w:r>
          </w:p>
        </w:tc>
        <w:tc>
          <w:tcPr>
            <w:tcW w:w="190" w:type="pct"/>
            <w:tcBorders>
              <w:tl2br w:val="nil"/>
              <w:tr2bl w:val="nil"/>
            </w:tcBorders>
            <w:shd w:val="clear" w:color="auto" w:fill="auto"/>
            <w:tcMar>
              <w:top w:w="0" w:type="dxa"/>
              <w:left w:w="0" w:type="dxa"/>
              <w:bottom w:w="0" w:type="dxa"/>
              <w:right w:w="0" w:type="dxa"/>
            </w:tcMar>
            <w:vAlign w:val="center"/>
          </w:tcPr>
          <w:p w14:paraId="4691D1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南</w:t>
            </w:r>
          </w:p>
        </w:tc>
        <w:tc>
          <w:tcPr>
            <w:tcW w:w="190" w:type="pct"/>
            <w:tcBorders>
              <w:tl2br w:val="nil"/>
              <w:tr2bl w:val="nil"/>
            </w:tcBorders>
            <w:shd w:val="clear" w:color="auto" w:fill="auto"/>
            <w:tcMar>
              <w:top w:w="0" w:type="dxa"/>
              <w:left w:w="0" w:type="dxa"/>
              <w:bottom w:w="0" w:type="dxa"/>
              <w:right w:w="0" w:type="dxa"/>
            </w:tcMar>
            <w:vAlign w:val="center"/>
          </w:tcPr>
          <w:p w14:paraId="2E73A4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西</w:t>
            </w:r>
          </w:p>
        </w:tc>
        <w:tc>
          <w:tcPr>
            <w:tcW w:w="190" w:type="pct"/>
            <w:tcBorders>
              <w:tl2br w:val="nil"/>
              <w:tr2bl w:val="nil"/>
            </w:tcBorders>
            <w:shd w:val="clear" w:color="auto" w:fill="auto"/>
            <w:tcMar>
              <w:top w:w="0" w:type="dxa"/>
              <w:left w:w="0" w:type="dxa"/>
              <w:bottom w:w="0" w:type="dxa"/>
              <w:right w:w="0" w:type="dxa"/>
            </w:tcMar>
            <w:vAlign w:val="center"/>
          </w:tcPr>
          <w:p w14:paraId="6A012B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北</w:t>
            </w:r>
          </w:p>
        </w:tc>
        <w:tc>
          <w:tcPr>
            <w:tcW w:w="172" w:type="pct"/>
            <w:tcBorders>
              <w:tl2br w:val="nil"/>
              <w:tr2bl w:val="nil"/>
            </w:tcBorders>
            <w:shd w:val="clear" w:color="auto" w:fill="auto"/>
            <w:tcMar>
              <w:top w:w="0" w:type="dxa"/>
              <w:left w:w="0" w:type="dxa"/>
              <w:bottom w:w="0" w:type="dxa"/>
              <w:right w:w="0" w:type="dxa"/>
            </w:tcMar>
            <w:vAlign w:val="center"/>
          </w:tcPr>
          <w:p w14:paraId="21566F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建筑物外距离</w:t>
            </w:r>
          </w:p>
        </w:tc>
      </w:tr>
      <w:tr w14:paraId="3143B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 w:type="pct"/>
            <w:tcBorders>
              <w:tl2br w:val="nil"/>
              <w:tr2bl w:val="nil"/>
            </w:tcBorders>
            <w:shd w:val="clear" w:color="auto" w:fill="auto"/>
            <w:tcMar>
              <w:top w:w="0" w:type="dxa"/>
              <w:left w:w="0" w:type="dxa"/>
              <w:bottom w:w="0" w:type="dxa"/>
              <w:right w:w="0" w:type="dxa"/>
            </w:tcMar>
            <w:vAlign w:val="center"/>
          </w:tcPr>
          <w:p w14:paraId="4104D8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208" w:type="pct"/>
            <w:tcBorders>
              <w:tl2br w:val="nil"/>
              <w:tr2bl w:val="nil"/>
            </w:tcBorders>
            <w:shd w:val="clear" w:color="auto" w:fill="auto"/>
            <w:tcMar>
              <w:top w:w="0" w:type="dxa"/>
              <w:left w:w="0" w:type="dxa"/>
              <w:bottom w:w="0" w:type="dxa"/>
              <w:right w:w="0" w:type="dxa"/>
            </w:tcMar>
            <w:vAlign w:val="center"/>
          </w:tcPr>
          <w:p w14:paraId="44826A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1#厂房</w:t>
            </w:r>
          </w:p>
        </w:tc>
        <w:tc>
          <w:tcPr>
            <w:tcW w:w="199" w:type="pct"/>
            <w:tcBorders>
              <w:tl2br w:val="nil"/>
              <w:tr2bl w:val="nil"/>
            </w:tcBorders>
            <w:shd w:val="clear" w:color="auto" w:fill="auto"/>
            <w:tcMar>
              <w:top w:w="0" w:type="dxa"/>
              <w:left w:w="0" w:type="dxa"/>
              <w:bottom w:w="0" w:type="dxa"/>
              <w:right w:w="0" w:type="dxa"/>
            </w:tcMar>
            <w:vAlign w:val="center"/>
          </w:tcPr>
          <w:p w14:paraId="6BD294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配料罐,15台（按点声源组预测）</w:t>
            </w:r>
          </w:p>
        </w:tc>
        <w:tc>
          <w:tcPr>
            <w:tcW w:w="240" w:type="pct"/>
            <w:tcBorders>
              <w:tl2br w:val="nil"/>
              <w:tr2bl w:val="nil"/>
            </w:tcBorders>
            <w:shd w:val="clear" w:color="auto" w:fill="auto"/>
            <w:tcMar>
              <w:top w:w="0" w:type="dxa"/>
              <w:left w:w="0" w:type="dxa"/>
              <w:bottom w:w="0" w:type="dxa"/>
              <w:right w:w="0" w:type="dxa"/>
            </w:tcMar>
            <w:vAlign w:val="center"/>
          </w:tcPr>
          <w:p w14:paraId="0E86FE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75（等效后：86.8)</w:t>
            </w:r>
          </w:p>
        </w:tc>
        <w:tc>
          <w:tcPr>
            <w:tcW w:w="205" w:type="pct"/>
            <w:tcBorders>
              <w:tl2br w:val="nil"/>
              <w:tr2bl w:val="nil"/>
            </w:tcBorders>
            <w:shd w:val="clear" w:color="auto" w:fill="auto"/>
            <w:tcMar>
              <w:top w:w="0" w:type="dxa"/>
              <w:left w:w="0" w:type="dxa"/>
              <w:bottom w:w="0" w:type="dxa"/>
              <w:right w:w="0" w:type="dxa"/>
            </w:tcMar>
            <w:vAlign w:val="center"/>
          </w:tcPr>
          <w:p w14:paraId="351A8A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隔声、减震</w:t>
            </w:r>
          </w:p>
        </w:tc>
        <w:tc>
          <w:tcPr>
            <w:tcW w:w="226" w:type="pct"/>
            <w:tcBorders>
              <w:tl2br w:val="nil"/>
              <w:tr2bl w:val="nil"/>
            </w:tcBorders>
            <w:shd w:val="clear" w:color="auto" w:fill="auto"/>
            <w:tcMar>
              <w:top w:w="0" w:type="dxa"/>
              <w:left w:w="0" w:type="dxa"/>
              <w:bottom w:w="0" w:type="dxa"/>
              <w:right w:w="0" w:type="dxa"/>
            </w:tcMar>
            <w:vAlign w:val="center"/>
          </w:tcPr>
          <w:p w14:paraId="3D2D1E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46.5</w:t>
            </w:r>
          </w:p>
        </w:tc>
        <w:tc>
          <w:tcPr>
            <w:tcW w:w="226" w:type="pct"/>
            <w:tcBorders>
              <w:tl2br w:val="nil"/>
              <w:tr2bl w:val="nil"/>
            </w:tcBorders>
            <w:shd w:val="clear" w:color="auto" w:fill="auto"/>
            <w:tcMar>
              <w:top w:w="0" w:type="dxa"/>
              <w:left w:w="0" w:type="dxa"/>
              <w:bottom w:w="0" w:type="dxa"/>
              <w:right w:w="0" w:type="dxa"/>
            </w:tcMar>
            <w:vAlign w:val="center"/>
          </w:tcPr>
          <w:p w14:paraId="44CBF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51.8</w:t>
            </w:r>
          </w:p>
        </w:tc>
        <w:tc>
          <w:tcPr>
            <w:tcW w:w="228" w:type="pct"/>
            <w:tcBorders>
              <w:tl2br w:val="nil"/>
              <w:tr2bl w:val="nil"/>
            </w:tcBorders>
            <w:shd w:val="clear" w:color="auto" w:fill="auto"/>
            <w:tcMar>
              <w:top w:w="0" w:type="dxa"/>
              <w:left w:w="0" w:type="dxa"/>
              <w:bottom w:w="0" w:type="dxa"/>
              <w:right w:w="0" w:type="dxa"/>
            </w:tcMar>
            <w:vAlign w:val="center"/>
          </w:tcPr>
          <w:p w14:paraId="392788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87" w:type="pct"/>
            <w:tcBorders>
              <w:tl2br w:val="nil"/>
              <w:tr2bl w:val="nil"/>
            </w:tcBorders>
            <w:shd w:val="clear" w:color="auto" w:fill="auto"/>
            <w:tcMar>
              <w:top w:w="0" w:type="dxa"/>
              <w:left w:w="0" w:type="dxa"/>
              <w:bottom w:w="0" w:type="dxa"/>
              <w:right w:w="0" w:type="dxa"/>
            </w:tcMar>
            <w:vAlign w:val="center"/>
          </w:tcPr>
          <w:p w14:paraId="658AF6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3.4</w:t>
            </w:r>
          </w:p>
        </w:tc>
        <w:tc>
          <w:tcPr>
            <w:tcW w:w="187" w:type="pct"/>
            <w:tcBorders>
              <w:tl2br w:val="nil"/>
              <w:tr2bl w:val="nil"/>
            </w:tcBorders>
            <w:shd w:val="clear" w:color="auto" w:fill="auto"/>
            <w:tcMar>
              <w:top w:w="0" w:type="dxa"/>
              <w:left w:w="0" w:type="dxa"/>
              <w:bottom w:w="0" w:type="dxa"/>
              <w:right w:w="0" w:type="dxa"/>
            </w:tcMar>
            <w:vAlign w:val="center"/>
          </w:tcPr>
          <w:p w14:paraId="29B8EB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18.5</w:t>
            </w:r>
          </w:p>
        </w:tc>
        <w:tc>
          <w:tcPr>
            <w:tcW w:w="187" w:type="pct"/>
            <w:tcBorders>
              <w:tl2br w:val="nil"/>
              <w:tr2bl w:val="nil"/>
            </w:tcBorders>
            <w:shd w:val="clear" w:color="auto" w:fill="auto"/>
            <w:tcMar>
              <w:top w:w="0" w:type="dxa"/>
              <w:left w:w="0" w:type="dxa"/>
              <w:bottom w:w="0" w:type="dxa"/>
              <w:right w:w="0" w:type="dxa"/>
            </w:tcMar>
            <w:vAlign w:val="center"/>
          </w:tcPr>
          <w:p w14:paraId="3E2D67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91.7</w:t>
            </w:r>
          </w:p>
        </w:tc>
        <w:tc>
          <w:tcPr>
            <w:tcW w:w="191" w:type="pct"/>
            <w:tcBorders>
              <w:tl2br w:val="nil"/>
              <w:tr2bl w:val="nil"/>
            </w:tcBorders>
            <w:shd w:val="clear" w:color="auto" w:fill="auto"/>
            <w:tcMar>
              <w:top w:w="0" w:type="dxa"/>
              <w:left w:w="0" w:type="dxa"/>
              <w:bottom w:w="0" w:type="dxa"/>
              <w:right w:w="0" w:type="dxa"/>
            </w:tcMar>
            <w:vAlign w:val="center"/>
          </w:tcPr>
          <w:p w14:paraId="66AC16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22.3</w:t>
            </w:r>
          </w:p>
        </w:tc>
        <w:tc>
          <w:tcPr>
            <w:tcW w:w="185" w:type="pct"/>
            <w:tcBorders>
              <w:tl2br w:val="nil"/>
              <w:tr2bl w:val="nil"/>
            </w:tcBorders>
            <w:shd w:val="clear" w:color="auto" w:fill="auto"/>
            <w:tcMar>
              <w:top w:w="0" w:type="dxa"/>
              <w:left w:w="0" w:type="dxa"/>
              <w:bottom w:w="0" w:type="dxa"/>
              <w:right w:w="0" w:type="dxa"/>
            </w:tcMar>
            <w:vAlign w:val="center"/>
          </w:tcPr>
          <w:p w14:paraId="22212B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71.2</w:t>
            </w:r>
          </w:p>
        </w:tc>
        <w:tc>
          <w:tcPr>
            <w:tcW w:w="185" w:type="pct"/>
            <w:tcBorders>
              <w:tl2br w:val="nil"/>
              <w:tr2bl w:val="nil"/>
            </w:tcBorders>
            <w:shd w:val="clear" w:color="auto" w:fill="auto"/>
            <w:tcMar>
              <w:top w:w="0" w:type="dxa"/>
              <w:left w:w="0" w:type="dxa"/>
              <w:bottom w:w="0" w:type="dxa"/>
              <w:right w:w="0" w:type="dxa"/>
            </w:tcMar>
            <w:vAlign w:val="center"/>
          </w:tcPr>
          <w:p w14:paraId="5DB66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70.1</w:t>
            </w:r>
          </w:p>
        </w:tc>
        <w:tc>
          <w:tcPr>
            <w:tcW w:w="185" w:type="pct"/>
            <w:tcBorders>
              <w:tl2br w:val="nil"/>
              <w:tr2bl w:val="nil"/>
            </w:tcBorders>
            <w:shd w:val="clear" w:color="auto" w:fill="auto"/>
            <w:tcMar>
              <w:top w:w="0" w:type="dxa"/>
              <w:left w:w="0" w:type="dxa"/>
              <w:bottom w:w="0" w:type="dxa"/>
              <w:right w:w="0" w:type="dxa"/>
            </w:tcMar>
            <w:vAlign w:val="center"/>
          </w:tcPr>
          <w:p w14:paraId="4672FE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70.0</w:t>
            </w:r>
          </w:p>
        </w:tc>
        <w:tc>
          <w:tcPr>
            <w:tcW w:w="186" w:type="pct"/>
            <w:tcBorders>
              <w:tl2br w:val="nil"/>
              <w:tr2bl w:val="nil"/>
            </w:tcBorders>
            <w:shd w:val="clear" w:color="auto" w:fill="auto"/>
            <w:tcMar>
              <w:top w:w="0" w:type="dxa"/>
              <w:left w:w="0" w:type="dxa"/>
              <w:bottom w:w="0" w:type="dxa"/>
              <w:right w:w="0" w:type="dxa"/>
            </w:tcMar>
            <w:vAlign w:val="center"/>
          </w:tcPr>
          <w:p w14:paraId="040F31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70.0</w:t>
            </w:r>
          </w:p>
        </w:tc>
        <w:tc>
          <w:tcPr>
            <w:tcW w:w="161" w:type="pct"/>
            <w:vMerge w:val="restart"/>
            <w:tcBorders>
              <w:tl2br w:val="nil"/>
              <w:tr2bl w:val="nil"/>
            </w:tcBorders>
            <w:shd w:val="clear" w:color="auto" w:fill="auto"/>
            <w:tcMar>
              <w:top w:w="0" w:type="dxa"/>
              <w:left w:w="0" w:type="dxa"/>
              <w:bottom w:w="0" w:type="dxa"/>
              <w:right w:w="0" w:type="dxa"/>
            </w:tcMar>
            <w:vAlign w:val="center"/>
          </w:tcPr>
          <w:p w14:paraId="0719C8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24h</w:t>
            </w:r>
          </w:p>
        </w:tc>
        <w:tc>
          <w:tcPr>
            <w:tcW w:w="178" w:type="pct"/>
            <w:tcBorders>
              <w:tl2br w:val="nil"/>
              <w:tr2bl w:val="nil"/>
            </w:tcBorders>
            <w:shd w:val="clear" w:color="auto" w:fill="auto"/>
            <w:tcMar>
              <w:top w:w="0" w:type="dxa"/>
              <w:left w:w="0" w:type="dxa"/>
              <w:bottom w:w="0" w:type="dxa"/>
              <w:right w:w="0" w:type="dxa"/>
            </w:tcMar>
            <w:vAlign w:val="center"/>
          </w:tcPr>
          <w:p w14:paraId="5EA4BE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2C2372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7E7573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81" w:type="pct"/>
            <w:tcBorders>
              <w:tl2br w:val="nil"/>
              <w:tr2bl w:val="nil"/>
            </w:tcBorders>
            <w:shd w:val="clear" w:color="auto" w:fill="auto"/>
            <w:tcMar>
              <w:top w:w="0" w:type="dxa"/>
              <w:left w:w="0" w:type="dxa"/>
              <w:bottom w:w="0" w:type="dxa"/>
              <w:right w:w="0" w:type="dxa"/>
            </w:tcMar>
            <w:vAlign w:val="center"/>
          </w:tcPr>
          <w:p w14:paraId="6CDA3D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90" w:type="pct"/>
            <w:tcBorders>
              <w:tl2br w:val="nil"/>
              <w:tr2bl w:val="nil"/>
            </w:tcBorders>
            <w:shd w:val="clear" w:color="auto" w:fill="auto"/>
            <w:tcMar>
              <w:top w:w="0" w:type="dxa"/>
              <w:left w:w="0" w:type="dxa"/>
              <w:bottom w:w="0" w:type="dxa"/>
              <w:right w:w="0" w:type="dxa"/>
            </w:tcMar>
            <w:vAlign w:val="center"/>
          </w:tcPr>
          <w:p w14:paraId="682BF9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55.2</w:t>
            </w:r>
          </w:p>
        </w:tc>
        <w:tc>
          <w:tcPr>
            <w:tcW w:w="190" w:type="pct"/>
            <w:tcBorders>
              <w:tl2br w:val="nil"/>
              <w:tr2bl w:val="nil"/>
            </w:tcBorders>
            <w:shd w:val="clear" w:color="auto" w:fill="auto"/>
            <w:tcMar>
              <w:top w:w="0" w:type="dxa"/>
              <w:left w:w="0" w:type="dxa"/>
              <w:bottom w:w="0" w:type="dxa"/>
              <w:right w:w="0" w:type="dxa"/>
            </w:tcMar>
            <w:vAlign w:val="center"/>
          </w:tcPr>
          <w:p w14:paraId="667869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54.1</w:t>
            </w:r>
          </w:p>
        </w:tc>
        <w:tc>
          <w:tcPr>
            <w:tcW w:w="190" w:type="pct"/>
            <w:tcBorders>
              <w:tl2br w:val="nil"/>
              <w:tr2bl w:val="nil"/>
            </w:tcBorders>
            <w:shd w:val="clear" w:color="auto" w:fill="auto"/>
            <w:tcMar>
              <w:top w:w="0" w:type="dxa"/>
              <w:left w:w="0" w:type="dxa"/>
              <w:bottom w:w="0" w:type="dxa"/>
              <w:right w:w="0" w:type="dxa"/>
            </w:tcMar>
            <w:vAlign w:val="center"/>
          </w:tcPr>
          <w:p w14:paraId="76AFA0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54.0</w:t>
            </w:r>
          </w:p>
        </w:tc>
        <w:tc>
          <w:tcPr>
            <w:tcW w:w="190" w:type="pct"/>
            <w:tcBorders>
              <w:tl2br w:val="nil"/>
              <w:tr2bl w:val="nil"/>
            </w:tcBorders>
            <w:shd w:val="clear" w:color="auto" w:fill="auto"/>
            <w:tcMar>
              <w:top w:w="0" w:type="dxa"/>
              <w:left w:w="0" w:type="dxa"/>
              <w:bottom w:w="0" w:type="dxa"/>
              <w:right w:w="0" w:type="dxa"/>
            </w:tcMar>
            <w:vAlign w:val="center"/>
          </w:tcPr>
          <w:p w14:paraId="670868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54.0</w:t>
            </w:r>
          </w:p>
        </w:tc>
        <w:tc>
          <w:tcPr>
            <w:tcW w:w="172" w:type="pct"/>
            <w:tcBorders>
              <w:tl2br w:val="nil"/>
              <w:tr2bl w:val="nil"/>
            </w:tcBorders>
            <w:shd w:val="clear" w:color="auto" w:fill="auto"/>
            <w:tcMar>
              <w:top w:w="0" w:type="dxa"/>
              <w:left w:w="0" w:type="dxa"/>
              <w:bottom w:w="0" w:type="dxa"/>
              <w:right w:w="0" w:type="dxa"/>
            </w:tcMar>
            <w:vAlign w:val="center"/>
          </w:tcPr>
          <w:p w14:paraId="244F0A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r>
      <w:tr w14:paraId="582D3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61" w:type="pct"/>
            <w:tcBorders>
              <w:tl2br w:val="nil"/>
              <w:tr2bl w:val="nil"/>
            </w:tcBorders>
            <w:shd w:val="clear" w:color="auto" w:fill="auto"/>
            <w:tcMar>
              <w:top w:w="0" w:type="dxa"/>
              <w:left w:w="0" w:type="dxa"/>
              <w:bottom w:w="0" w:type="dxa"/>
              <w:right w:w="0" w:type="dxa"/>
            </w:tcMar>
            <w:vAlign w:val="center"/>
          </w:tcPr>
          <w:p w14:paraId="1A8A8D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208" w:type="pct"/>
            <w:tcBorders>
              <w:tl2br w:val="nil"/>
              <w:tr2bl w:val="nil"/>
            </w:tcBorders>
            <w:shd w:val="clear" w:color="auto" w:fill="auto"/>
            <w:tcMar>
              <w:top w:w="0" w:type="dxa"/>
              <w:left w:w="0" w:type="dxa"/>
              <w:bottom w:w="0" w:type="dxa"/>
              <w:right w:w="0" w:type="dxa"/>
            </w:tcMar>
            <w:vAlign w:val="center"/>
          </w:tcPr>
          <w:p w14:paraId="7A887A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1#厂房</w:t>
            </w:r>
          </w:p>
        </w:tc>
        <w:tc>
          <w:tcPr>
            <w:tcW w:w="199" w:type="pct"/>
            <w:tcBorders>
              <w:tl2br w:val="nil"/>
              <w:tr2bl w:val="nil"/>
            </w:tcBorders>
            <w:shd w:val="clear" w:color="auto" w:fill="auto"/>
            <w:tcMar>
              <w:top w:w="0" w:type="dxa"/>
              <w:left w:w="0" w:type="dxa"/>
              <w:bottom w:w="0" w:type="dxa"/>
              <w:right w:w="0" w:type="dxa"/>
            </w:tcMar>
            <w:vAlign w:val="center"/>
          </w:tcPr>
          <w:p w14:paraId="6F89E9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涂布机,4台（按点声源组预测）</w:t>
            </w:r>
          </w:p>
        </w:tc>
        <w:tc>
          <w:tcPr>
            <w:tcW w:w="240" w:type="pct"/>
            <w:tcBorders>
              <w:tl2br w:val="nil"/>
              <w:tr2bl w:val="nil"/>
            </w:tcBorders>
            <w:shd w:val="clear" w:color="auto" w:fill="auto"/>
            <w:tcMar>
              <w:top w:w="0" w:type="dxa"/>
              <w:left w:w="0" w:type="dxa"/>
              <w:bottom w:w="0" w:type="dxa"/>
              <w:right w:w="0" w:type="dxa"/>
            </w:tcMar>
            <w:vAlign w:val="center"/>
          </w:tcPr>
          <w:p w14:paraId="04D548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80（等效后：86.0)</w:t>
            </w:r>
          </w:p>
        </w:tc>
        <w:tc>
          <w:tcPr>
            <w:tcW w:w="205" w:type="pct"/>
            <w:tcBorders>
              <w:tl2br w:val="nil"/>
              <w:tr2bl w:val="nil"/>
            </w:tcBorders>
            <w:shd w:val="clear" w:color="auto" w:fill="auto"/>
            <w:tcMar>
              <w:top w:w="0" w:type="dxa"/>
              <w:left w:w="0" w:type="dxa"/>
              <w:bottom w:w="0" w:type="dxa"/>
              <w:right w:w="0" w:type="dxa"/>
            </w:tcMar>
            <w:vAlign w:val="center"/>
          </w:tcPr>
          <w:p w14:paraId="0AE4A4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隔声、减振</w:t>
            </w:r>
          </w:p>
        </w:tc>
        <w:tc>
          <w:tcPr>
            <w:tcW w:w="226" w:type="pct"/>
            <w:tcBorders>
              <w:tl2br w:val="nil"/>
              <w:tr2bl w:val="nil"/>
            </w:tcBorders>
            <w:shd w:val="clear" w:color="auto" w:fill="auto"/>
            <w:tcMar>
              <w:top w:w="0" w:type="dxa"/>
              <w:left w:w="0" w:type="dxa"/>
              <w:bottom w:w="0" w:type="dxa"/>
              <w:right w:w="0" w:type="dxa"/>
            </w:tcMar>
            <w:vAlign w:val="center"/>
          </w:tcPr>
          <w:p w14:paraId="1CB230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24.4</w:t>
            </w:r>
          </w:p>
        </w:tc>
        <w:tc>
          <w:tcPr>
            <w:tcW w:w="226" w:type="pct"/>
            <w:tcBorders>
              <w:tl2br w:val="nil"/>
              <w:tr2bl w:val="nil"/>
            </w:tcBorders>
            <w:shd w:val="clear" w:color="auto" w:fill="auto"/>
            <w:tcMar>
              <w:top w:w="0" w:type="dxa"/>
              <w:left w:w="0" w:type="dxa"/>
              <w:bottom w:w="0" w:type="dxa"/>
              <w:right w:w="0" w:type="dxa"/>
            </w:tcMar>
            <w:vAlign w:val="center"/>
          </w:tcPr>
          <w:p w14:paraId="210271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65.7</w:t>
            </w:r>
          </w:p>
        </w:tc>
        <w:tc>
          <w:tcPr>
            <w:tcW w:w="228" w:type="pct"/>
            <w:tcBorders>
              <w:tl2br w:val="nil"/>
              <w:tr2bl w:val="nil"/>
            </w:tcBorders>
            <w:shd w:val="clear" w:color="auto" w:fill="auto"/>
            <w:tcMar>
              <w:top w:w="0" w:type="dxa"/>
              <w:left w:w="0" w:type="dxa"/>
              <w:bottom w:w="0" w:type="dxa"/>
              <w:right w:w="0" w:type="dxa"/>
            </w:tcMar>
            <w:vAlign w:val="center"/>
          </w:tcPr>
          <w:p w14:paraId="2DD542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87" w:type="pct"/>
            <w:tcBorders>
              <w:tl2br w:val="nil"/>
              <w:tr2bl w:val="nil"/>
            </w:tcBorders>
            <w:shd w:val="clear" w:color="auto" w:fill="auto"/>
            <w:tcMar>
              <w:top w:w="0" w:type="dxa"/>
              <w:left w:w="0" w:type="dxa"/>
              <w:bottom w:w="0" w:type="dxa"/>
              <w:right w:w="0" w:type="dxa"/>
            </w:tcMar>
            <w:vAlign w:val="center"/>
          </w:tcPr>
          <w:p w14:paraId="702688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25.5</w:t>
            </w:r>
          </w:p>
        </w:tc>
        <w:tc>
          <w:tcPr>
            <w:tcW w:w="187" w:type="pct"/>
            <w:tcBorders>
              <w:tl2br w:val="nil"/>
              <w:tr2bl w:val="nil"/>
            </w:tcBorders>
            <w:shd w:val="clear" w:color="auto" w:fill="auto"/>
            <w:tcMar>
              <w:top w:w="0" w:type="dxa"/>
              <w:left w:w="0" w:type="dxa"/>
              <w:bottom w:w="0" w:type="dxa"/>
              <w:right w:w="0" w:type="dxa"/>
            </w:tcMar>
            <w:vAlign w:val="center"/>
          </w:tcPr>
          <w:p w14:paraId="1E9B05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32.4</w:t>
            </w:r>
          </w:p>
        </w:tc>
        <w:tc>
          <w:tcPr>
            <w:tcW w:w="187" w:type="pct"/>
            <w:tcBorders>
              <w:tl2br w:val="nil"/>
              <w:tr2bl w:val="nil"/>
            </w:tcBorders>
            <w:shd w:val="clear" w:color="auto" w:fill="auto"/>
            <w:tcMar>
              <w:top w:w="0" w:type="dxa"/>
              <w:left w:w="0" w:type="dxa"/>
              <w:bottom w:w="0" w:type="dxa"/>
              <w:right w:w="0" w:type="dxa"/>
            </w:tcMar>
            <w:vAlign w:val="center"/>
          </w:tcPr>
          <w:p w14:paraId="16BAE1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69.6</w:t>
            </w:r>
          </w:p>
        </w:tc>
        <w:tc>
          <w:tcPr>
            <w:tcW w:w="191" w:type="pct"/>
            <w:tcBorders>
              <w:tl2br w:val="nil"/>
              <w:tr2bl w:val="nil"/>
            </w:tcBorders>
            <w:shd w:val="clear" w:color="auto" w:fill="auto"/>
            <w:tcMar>
              <w:top w:w="0" w:type="dxa"/>
              <w:left w:w="0" w:type="dxa"/>
              <w:bottom w:w="0" w:type="dxa"/>
              <w:right w:w="0" w:type="dxa"/>
            </w:tcMar>
            <w:vAlign w:val="center"/>
          </w:tcPr>
          <w:p w14:paraId="6AB6D9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8.4</w:t>
            </w:r>
          </w:p>
        </w:tc>
        <w:tc>
          <w:tcPr>
            <w:tcW w:w="185" w:type="pct"/>
            <w:tcBorders>
              <w:tl2br w:val="nil"/>
              <w:tr2bl w:val="nil"/>
            </w:tcBorders>
            <w:shd w:val="clear" w:color="auto" w:fill="auto"/>
            <w:tcMar>
              <w:top w:w="0" w:type="dxa"/>
              <w:left w:w="0" w:type="dxa"/>
              <w:bottom w:w="0" w:type="dxa"/>
              <w:right w:w="0" w:type="dxa"/>
            </w:tcMar>
            <w:vAlign w:val="center"/>
          </w:tcPr>
          <w:p w14:paraId="719130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69.2</w:t>
            </w:r>
          </w:p>
        </w:tc>
        <w:tc>
          <w:tcPr>
            <w:tcW w:w="185" w:type="pct"/>
            <w:tcBorders>
              <w:tl2br w:val="nil"/>
              <w:tr2bl w:val="nil"/>
            </w:tcBorders>
            <w:shd w:val="clear" w:color="auto" w:fill="auto"/>
            <w:tcMar>
              <w:top w:w="0" w:type="dxa"/>
              <w:left w:w="0" w:type="dxa"/>
              <w:bottom w:w="0" w:type="dxa"/>
              <w:right w:w="0" w:type="dxa"/>
            </w:tcMar>
            <w:vAlign w:val="center"/>
          </w:tcPr>
          <w:p w14:paraId="4F3691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69.2</w:t>
            </w:r>
          </w:p>
        </w:tc>
        <w:tc>
          <w:tcPr>
            <w:tcW w:w="185" w:type="pct"/>
            <w:tcBorders>
              <w:tl2br w:val="nil"/>
              <w:tr2bl w:val="nil"/>
            </w:tcBorders>
            <w:shd w:val="clear" w:color="auto" w:fill="auto"/>
            <w:tcMar>
              <w:top w:w="0" w:type="dxa"/>
              <w:left w:w="0" w:type="dxa"/>
              <w:bottom w:w="0" w:type="dxa"/>
              <w:right w:w="0" w:type="dxa"/>
            </w:tcMar>
            <w:vAlign w:val="center"/>
          </w:tcPr>
          <w:p w14:paraId="6DCCBB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69.2</w:t>
            </w:r>
          </w:p>
        </w:tc>
        <w:tc>
          <w:tcPr>
            <w:tcW w:w="186" w:type="pct"/>
            <w:tcBorders>
              <w:tl2br w:val="nil"/>
              <w:tr2bl w:val="nil"/>
            </w:tcBorders>
            <w:shd w:val="clear" w:color="auto" w:fill="auto"/>
            <w:tcMar>
              <w:top w:w="0" w:type="dxa"/>
              <w:left w:w="0" w:type="dxa"/>
              <w:bottom w:w="0" w:type="dxa"/>
              <w:right w:w="0" w:type="dxa"/>
            </w:tcMar>
            <w:vAlign w:val="center"/>
          </w:tcPr>
          <w:p w14:paraId="2CE582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69.4</w:t>
            </w:r>
          </w:p>
        </w:tc>
        <w:tc>
          <w:tcPr>
            <w:tcW w:w="161" w:type="pct"/>
            <w:vMerge w:val="continue"/>
            <w:tcBorders>
              <w:tl2br w:val="nil"/>
              <w:tr2bl w:val="nil"/>
            </w:tcBorders>
            <w:shd w:val="clear" w:color="auto" w:fill="auto"/>
            <w:tcMar>
              <w:top w:w="0" w:type="dxa"/>
              <w:left w:w="0" w:type="dxa"/>
              <w:bottom w:w="0" w:type="dxa"/>
              <w:right w:w="0" w:type="dxa"/>
            </w:tcMar>
            <w:vAlign w:val="center"/>
          </w:tcPr>
          <w:p w14:paraId="77A082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p>
        </w:tc>
        <w:tc>
          <w:tcPr>
            <w:tcW w:w="178" w:type="pct"/>
            <w:tcBorders>
              <w:tl2br w:val="nil"/>
              <w:tr2bl w:val="nil"/>
            </w:tcBorders>
            <w:shd w:val="clear" w:color="auto" w:fill="auto"/>
            <w:tcMar>
              <w:top w:w="0" w:type="dxa"/>
              <w:left w:w="0" w:type="dxa"/>
              <w:bottom w:w="0" w:type="dxa"/>
              <w:right w:w="0" w:type="dxa"/>
            </w:tcMar>
            <w:vAlign w:val="center"/>
          </w:tcPr>
          <w:p w14:paraId="35B1DA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1E5BF2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7438D8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81" w:type="pct"/>
            <w:tcBorders>
              <w:tl2br w:val="nil"/>
              <w:tr2bl w:val="nil"/>
            </w:tcBorders>
            <w:shd w:val="clear" w:color="auto" w:fill="auto"/>
            <w:tcMar>
              <w:top w:w="0" w:type="dxa"/>
              <w:left w:w="0" w:type="dxa"/>
              <w:bottom w:w="0" w:type="dxa"/>
              <w:right w:w="0" w:type="dxa"/>
            </w:tcMar>
            <w:vAlign w:val="center"/>
          </w:tcPr>
          <w:p w14:paraId="54EC96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90" w:type="pct"/>
            <w:tcBorders>
              <w:tl2br w:val="nil"/>
              <w:tr2bl w:val="nil"/>
            </w:tcBorders>
            <w:shd w:val="clear" w:color="auto" w:fill="auto"/>
            <w:tcMar>
              <w:top w:w="0" w:type="dxa"/>
              <w:left w:w="0" w:type="dxa"/>
              <w:bottom w:w="0" w:type="dxa"/>
              <w:right w:w="0" w:type="dxa"/>
            </w:tcMar>
            <w:vAlign w:val="center"/>
          </w:tcPr>
          <w:p w14:paraId="67635F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53.2</w:t>
            </w:r>
          </w:p>
        </w:tc>
        <w:tc>
          <w:tcPr>
            <w:tcW w:w="190" w:type="pct"/>
            <w:tcBorders>
              <w:tl2br w:val="nil"/>
              <w:tr2bl w:val="nil"/>
            </w:tcBorders>
            <w:shd w:val="clear" w:color="auto" w:fill="auto"/>
            <w:tcMar>
              <w:top w:w="0" w:type="dxa"/>
              <w:left w:w="0" w:type="dxa"/>
              <w:bottom w:w="0" w:type="dxa"/>
              <w:right w:w="0" w:type="dxa"/>
            </w:tcMar>
            <w:vAlign w:val="center"/>
          </w:tcPr>
          <w:p w14:paraId="408EE3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53.2</w:t>
            </w:r>
          </w:p>
        </w:tc>
        <w:tc>
          <w:tcPr>
            <w:tcW w:w="190" w:type="pct"/>
            <w:tcBorders>
              <w:tl2br w:val="nil"/>
              <w:tr2bl w:val="nil"/>
            </w:tcBorders>
            <w:shd w:val="clear" w:color="auto" w:fill="auto"/>
            <w:tcMar>
              <w:top w:w="0" w:type="dxa"/>
              <w:left w:w="0" w:type="dxa"/>
              <w:bottom w:w="0" w:type="dxa"/>
              <w:right w:w="0" w:type="dxa"/>
            </w:tcMar>
            <w:vAlign w:val="center"/>
          </w:tcPr>
          <w:p w14:paraId="41DE5F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53.2</w:t>
            </w:r>
          </w:p>
        </w:tc>
        <w:tc>
          <w:tcPr>
            <w:tcW w:w="190" w:type="pct"/>
            <w:tcBorders>
              <w:tl2br w:val="nil"/>
              <w:tr2bl w:val="nil"/>
            </w:tcBorders>
            <w:shd w:val="clear" w:color="auto" w:fill="auto"/>
            <w:tcMar>
              <w:top w:w="0" w:type="dxa"/>
              <w:left w:w="0" w:type="dxa"/>
              <w:bottom w:w="0" w:type="dxa"/>
              <w:right w:w="0" w:type="dxa"/>
            </w:tcMar>
            <w:vAlign w:val="center"/>
          </w:tcPr>
          <w:p w14:paraId="4CB25B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53.4</w:t>
            </w:r>
          </w:p>
        </w:tc>
        <w:tc>
          <w:tcPr>
            <w:tcW w:w="172" w:type="pct"/>
            <w:tcBorders>
              <w:tl2br w:val="nil"/>
              <w:tr2bl w:val="nil"/>
            </w:tcBorders>
            <w:shd w:val="clear" w:color="auto" w:fill="auto"/>
            <w:tcMar>
              <w:top w:w="0" w:type="dxa"/>
              <w:left w:w="0" w:type="dxa"/>
              <w:bottom w:w="0" w:type="dxa"/>
              <w:right w:w="0" w:type="dxa"/>
            </w:tcMar>
            <w:vAlign w:val="center"/>
          </w:tcPr>
          <w:p w14:paraId="7A521E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r>
      <w:tr w14:paraId="1B69B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61" w:type="pct"/>
            <w:tcBorders>
              <w:tl2br w:val="nil"/>
              <w:tr2bl w:val="nil"/>
            </w:tcBorders>
            <w:shd w:val="clear" w:color="auto" w:fill="auto"/>
            <w:tcMar>
              <w:top w:w="0" w:type="dxa"/>
              <w:left w:w="0" w:type="dxa"/>
              <w:bottom w:w="0" w:type="dxa"/>
              <w:right w:w="0" w:type="dxa"/>
            </w:tcMar>
            <w:vAlign w:val="center"/>
          </w:tcPr>
          <w:p w14:paraId="0E84D4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208" w:type="pct"/>
            <w:tcBorders>
              <w:tl2br w:val="nil"/>
              <w:tr2bl w:val="nil"/>
            </w:tcBorders>
            <w:shd w:val="clear" w:color="auto" w:fill="auto"/>
            <w:tcMar>
              <w:top w:w="0" w:type="dxa"/>
              <w:left w:w="0" w:type="dxa"/>
              <w:bottom w:w="0" w:type="dxa"/>
              <w:right w:w="0" w:type="dxa"/>
            </w:tcMar>
            <w:vAlign w:val="center"/>
          </w:tcPr>
          <w:p w14:paraId="547A52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2#厂房</w:t>
            </w:r>
          </w:p>
        </w:tc>
        <w:tc>
          <w:tcPr>
            <w:tcW w:w="199" w:type="pct"/>
            <w:tcBorders>
              <w:tl2br w:val="nil"/>
              <w:tr2bl w:val="nil"/>
            </w:tcBorders>
            <w:shd w:val="clear" w:color="auto" w:fill="auto"/>
            <w:tcMar>
              <w:top w:w="0" w:type="dxa"/>
              <w:left w:w="0" w:type="dxa"/>
              <w:bottom w:w="0" w:type="dxa"/>
              <w:right w:w="0" w:type="dxa"/>
            </w:tcMar>
            <w:vAlign w:val="center"/>
          </w:tcPr>
          <w:p w14:paraId="2A6F12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打孔机,25台（按点声源组预测）</w:t>
            </w:r>
          </w:p>
        </w:tc>
        <w:tc>
          <w:tcPr>
            <w:tcW w:w="240" w:type="pct"/>
            <w:tcBorders>
              <w:tl2br w:val="nil"/>
              <w:tr2bl w:val="nil"/>
            </w:tcBorders>
            <w:shd w:val="clear" w:color="auto" w:fill="auto"/>
            <w:tcMar>
              <w:top w:w="0" w:type="dxa"/>
              <w:left w:w="0" w:type="dxa"/>
              <w:bottom w:w="0" w:type="dxa"/>
              <w:right w:w="0" w:type="dxa"/>
            </w:tcMar>
            <w:vAlign w:val="center"/>
          </w:tcPr>
          <w:p w14:paraId="4EFF35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85（等效后：99.0)</w:t>
            </w:r>
          </w:p>
        </w:tc>
        <w:tc>
          <w:tcPr>
            <w:tcW w:w="205" w:type="pct"/>
            <w:tcBorders>
              <w:tl2br w:val="nil"/>
              <w:tr2bl w:val="nil"/>
            </w:tcBorders>
            <w:shd w:val="clear" w:color="auto" w:fill="auto"/>
            <w:tcMar>
              <w:top w:w="0" w:type="dxa"/>
              <w:left w:w="0" w:type="dxa"/>
              <w:bottom w:w="0" w:type="dxa"/>
              <w:right w:w="0" w:type="dxa"/>
            </w:tcMar>
            <w:vAlign w:val="center"/>
          </w:tcPr>
          <w:p w14:paraId="3A4027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隔声、减震</w:t>
            </w:r>
          </w:p>
        </w:tc>
        <w:tc>
          <w:tcPr>
            <w:tcW w:w="226" w:type="pct"/>
            <w:tcBorders>
              <w:tl2br w:val="nil"/>
              <w:tr2bl w:val="nil"/>
            </w:tcBorders>
            <w:shd w:val="clear" w:color="auto" w:fill="auto"/>
            <w:tcMar>
              <w:top w:w="0" w:type="dxa"/>
              <w:left w:w="0" w:type="dxa"/>
              <w:bottom w:w="0" w:type="dxa"/>
              <w:right w:w="0" w:type="dxa"/>
            </w:tcMar>
            <w:vAlign w:val="center"/>
          </w:tcPr>
          <w:p w14:paraId="198E9B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23.7</w:t>
            </w:r>
          </w:p>
        </w:tc>
        <w:tc>
          <w:tcPr>
            <w:tcW w:w="226" w:type="pct"/>
            <w:tcBorders>
              <w:tl2br w:val="nil"/>
              <w:tr2bl w:val="nil"/>
            </w:tcBorders>
            <w:shd w:val="clear" w:color="auto" w:fill="auto"/>
            <w:tcMar>
              <w:top w:w="0" w:type="dxa"/>
              <w:left w:w="0" w:type="dxa"/>
              <w:bottom w:w="0" w:type="dxa"/>
              <w:right w:w="0" w:type="dxa"/>
            </w:tcMar>
            <w:vAlign w:val="center"/>
          </w:tcPr>
          <w:p w14:paraId="24CE9C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228" w:type="pct"/>
            <w:tcBorders>
              <w:tl2br w:val="nil"/>
              <w:tr2bl w:val="nil"/>
            </w:tcBorders>
            <w:shd w:val="clear" w:color="auto" w:fill="auto"/>
            <w:tcMar>
              <w:top w:w="0" w:type="dxa"/>
              <w:left w:w="0" w:type="dxa"/>
              <w:bottom w:w="0" w:type="dxa"/>
              <w:right w:w="0" w:type="dxa"/>
            </w:tcMar>
            <w:vAlign w:val="center"/>
          </w:tcPr>
          <w:p w14:paraId="399AE7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87" w:type="pct"/>
            <w:tcBorders>
              <w:tl2br w:val="nil"/>
              <w:tr2bl w:val="nil"/>
            </w:tcBorders>
            <w:shd w:val="clear" w:color="auto" w:fill="auto"/>
            <w:tcMar>
              <w:top w:w="0" w:type="dxa"/>
              <w:left w:w="0" w:type="dxa"/>
              <w:bottom w:w="0" w:type="dxa"/>
              <w:right w:w="0" w:type="dxa"/>
            </w:tcMar>
            <w:vAlign w:val="center"/>
          </w:tcPr>
          <w:p w14:paraId="3702AB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26.4</w:t>
            </w:r>
          </w:p>
        </w:tc>
        <w:tc>
          <w:tcPr>
            <w:tcW w:w="187" w:type="pct"/>
            <w:tcBorders>
              <w:tl2br w:val="nil"/>
              <w:tr2bl w:val="nil"/>
            </w:tcBorders>
            <w:shd w:val="clear" w:color="auto" w:fill="auto"/>
            <w:tcMar>
              <w:top w:w="0" w:type="dxa"/>
              <w:left w:w="0" w:type="dxa"/>
              <w:bottom w:w="0" w:type="dxa"/>
              <w:right w:w="0" w:type="dxa"/>
            </w:tcMar>
            <w:vAlign w:val="center"/>
          </w:tcPr>
          <w:p w14:paraId="71B818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13.0</w:t>
            </w:r>
          </w:p>
        </w:tc>
        <w:tc>
          <w:tcPr>
            <w:tcW w:w="187" w:type="pct"/>
            <w:tcBorders>
              <w:tl2br w:val="nil"/>
              <w:tr2bl w:val="nil"/>
            </w:tcBorders>
            <w:shd w:val="clear" w:color="auto" w:fill="auto"/>
            <w:tcMar>
              <w:top w:w="0" w:type="dxa"/>
              <w:left w:w="0" w:type="dxa"/>
              <w:bottom w:w="0" w:type="dxa"/>
              <w:right w:w="0" w:type="dxa"/>
            </w:tcMar>
            <w:vAlign w:val="center"/>
          </w:tcPr>
          <w:p w14:paraId="2CAC32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68.4</w:t>
            </w:r>
          </w:p>
        </w:tc>
        <w:tc>
          <w:tcPr>
            <w:tcW w:w="191" w:type="pct"/>
            <w:tcBorders>
              <w:tl2br w:val="nil"/>
              <w:tr2bl w:val="nil"/>
            </w:tcBorders>
            <w:shd w:val="clear" w:color="auto" w:fill="auto"/>
            <w:tcMar>
              <w:top w:w="0" w:type="dxa"/>
              <w:left w:w="0" w:type="dxa"/>
              <w:bottom w:w="0" w:type="dxa"/>
              <w:right w:w="0" w:type="dxa"/>
            </w:tcMar>
            <w:vAlign w:val="center"/>
          </w:tcPr>
          <w:p w14:paraId="56F938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27.3</w:t>
            </w:r>
          </w:p>
        </w:tc>
        <w:tc>
          <w:tcPr>
            <w:tcW w:w="185" w:type="pct"/>
            <w:tcBorders>
              <w:tl2br w:val="nil"/>
              <w:tr2bl w:val="nil"/>
            </w:tcBorders>
            <w:shd w:val="clear" w:color="auto" w:fill="auto"/>
            <w:tcMar>
              <w:top w:w="0" w:type="dxa"/>
              <w:left w:w="0" w:type="dxa"/>
              <w:bottom w:w="0" w:type="dxa"/>
              <w:right w:w="0" w:type="dxa"/>
            </w:tcMar>
            <w:vAlign w:val="center"/>
          </w:tcPr>
          <w:p w14:paraId="650EB7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82.3</w:t>
            </w:r>
          </w:p>
        </w:tc>
        <w:tc>
          <w:tcPr>
            <w:tcW w:w="185" w:type="pct"/>
            <w:tcBorders>
              <w:tl2br w:val="nil"/>
              <w:tr2bl w:val="nil"/>
            </w:tcBorders>
            <w:shd w:val="clear" w:color="auto" w:fill="auto"/>
            <w:tcMar>
              <w:top w:w="0" w:type="dxa"/>
              <w:left w:w="0" w:type="dxa"/>
              <w:bottom w:w="0" w:type="dxa"/>
              <w:right w:w="0" w:type="dxa"/>
            </w:tcMar>
            <w:vAlign w:val="center"/>
          </w:tcPr>
          <w:p w14:paraId="513DF8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82.3</w:t>
            </w:r>
          </w:p>
        </w:tc>
        <w:tc>
          <w:tcPr>
            <w:tcW w:w="185" w:type="pct"/>
            <w:tcBorders>
              <w:tl2br w:val="nil"/>
              <w:tr2bl w:val="nil"/>
            </w:tcBorders>
            <w:shd w:val="clear" w:color="auto" w:fill="auto"/>
            <w:tcMar>
              <w:top w:w="0" w:type="dxa"/>
              <w:left w:w="0" w:type="dxa"/>
              <w:bottom w:w="0" w:type="dxa"/>
              <w:right w:w="0" w:type="dxa"/>
            </w:tcMar>
            <w:vAlign w:val="center"/>
          </w:tcPr>
          <w:p w14:paraId="65C7F6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82.2</w:t>
            </w:r>
          </w:p>
        </w:tc>
        <w:tc>
          <w:tcPr>
            <w:tcW w:w="186" w:type="pct"/>
            <w:tcBorders>
              <w:tl2br w:val="nil"/>
              <w:tr2bl w:val="nil"/>
            </w:tcBorders>
            <w:shd w:val="clear" w:color="auto" w:fill="auto"/>
            <w:tcMar>
              <w:top w:w="0" w:type="dxa"/>
              <w:left w:w="0" w:type="dxa"/>
              <w:bottom w:w="0" w:type="dxa"/>
              <w:right w:w="0" w:type="dxa"/>
            </w:tcMar>
            <w:vAlign w:val="center"/>
          </w:tcPr>
          <w:p w14:paraId="25E197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82.3</w:t>
            </w:r>
          </w:p>
        </w:tc>
        <w:tc>
          <w:tcPr>
            <w:tcW w:w="161" w:type="pct"/>
            <w:vMerge w:val="continue"/>
            <w:tcBorders>
              <w:tl2br w:val="nil"/>
              <w:tr2bl w:val="nil"/>
            </w:tcBorders>
            <w:shd w:val="clear" w:color="auto" w:fill="auto"/>
            <w:tcMar>
              <w:top w:w="0" w:type="dxa"/>
              <w:left w:w="0" w:type="dxa"/>
              <w:bottom w:w="0" w:type="dxa"/>
              <w:right w:w="0" w:type="dxa"/>
            </w:tcMar>
            <w:vAlign w:val="center"/>
          </w:tcPr>
          <w:p w14:paraId="40E766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p>
        </w:tc>
        <w:tc>
          <w:tcPr>
            <w:tcW w:w="178" w:type="pct"/>
            <w:tcBorders>
              <w:tl2br w:val="nil"/>
              <w:tr2bl w:val="nil"/>
            </w:tcBorders>
            <w:shd w:val="clear" w:color="auto" w:fill="auto"/>
            <w:tcMar>
              <w:top w:w="0" w:type="dxa"/>
              <w:left w:w="0" w:type="dxa"/>
              <w:bottom w:w="0" w:type="dxa"/>
              <w:right w:w="0" w:type="dxa"/>
            </w:tcMar>
            <w:vAlign w:val="center"/>
          </w:tcPr>
          <w:p w14:paraId="7779C0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531AE5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475F76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81" w:type="pct"/>
            <w:tcBorders>
              <w:tl2br w:val="nil"/>
              <w:tr2bl w:val="nil"/>
            </w:tcBorders>
            <w:shd w:val="clear" w:color="auto" w:fill="auto"/>
            <w:tcMar>
              <w:top w:w="0" w:type="dxa"/>
              <w:left w:w="0" w:type="dxa"/>
              <w:bottom w:w="0" w:type="dxa"/>
              <w:right w:w="0" w:type="dxa"/>
            </w:tcMar>
            <w:vAlign w:val="center"/>
          </w:tcPr>
          <w:p w14:paraId="3B7C19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90" w:type="pct"/>
            <w:tcBorders>
              <w:tl2br w:val="nil"/>
              <w:tr2bl w:val="nil"/>
            </w:tcBorders>
            <w:shd w:val="clear" w:color="auto" w:fill="auto"/>
            <w:tcMar>
              <w:top w:w="0" w:type="dxa"/>
              <w:left w:w="0" w:type="dxa"/>
              <w:bottom w:w="0" w:type="dxa"/>
              <w:right w:w="0" w:type="dxa"/>
            </w:tcMar>
            <w:vAlign w:val="center"/>
          </w:tcPr>
          <w:p w14:paraId="3735D4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66.3</w:t>
            </w:r>
          </w:p>
        </w:tc>
        <w:tc>
          <w:tcPr>
            <w:tcW w:w="190" w:type="pct"/>
            <w:tcBorders>
              <w:tl2br w:val="nil"/>
              <w:tr2bl w:val="nil"/>
            </w:tcBorders>
            <w:shd w:val="clear" w:color="auto" w:fill="auto"/>
            <w:tcMar>
              <w:top w:w="0" w:type="dxa"/>
              <w:left w:w="0" w:type="dxa"/>
              <w:bottom w:w="0" w:type="dxa"/>
              <w:right w:w="0" w:type="dxa"/>
            </w:tcMar>
            <w:vAlign w:val="center"/>
          </w:tcPr>
          <w:p w14:paraId="0FAB46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66.3</w:t>
            </w:r>
          </w:p>
        </w:tc>
        <w:tc>
          <w:tcPr>
            <w:tcW w:w="190" w:type="pct"/>
            <w:tcBorders>
              <w:tl2br w:val="nil"/>
              <w:tr2bl w:val="nil"/>
            </w:tcBorders>
            <w:shd w:val="clear" w:color="auto" w:fill="auto"/>
            <w:tcMar>
              <w:top w:w="0" w:type="dxa"/>
              <w:left w:w="0" w:type="dxa"/>
              <w:bottom w:w="0" w:type="dxa"/>
              <w:right w:w="0" w:type="dxa"/>
            </w:tcMar>
            <w:vAlign w:val="center"/>
          </w:tcPr>
          <w:p w14:paraId="6A8C92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66.2</w:t>
            </w:r>
          </w:p>
        </w:tc>
        <w:tc>
          <w:tcPr>
            <w:tcW w:w="190" w:type="pct"/>
            <w:tcBorders>
              <w:tl2br w:val="nil"/>
              <w:tr2bl w:val="nil"/>
            </w:tcBorders>
            <w:shd w:val="clear" w:color="auto" w:fill="auto"/>
            <w:tcMar>
              <w:top w:w="0" w:type="dxa"/>
              <w:left w:w="0" w:type="dxa"/>
              <w:bottom w:w="0" w:type="dxa"/>
              <w:right w:w="0" w:type="dxa"/>
            </w:tcMar>
            <w:vAlign w:val="center"/>
          </w:tcPr>
          <w:p w14:paraId="19D8B6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66.3</w:t>
            </w:r>
          </w:p>
        </w:tc>
        <w:tc>
          <w:tcPr>
            <w:tcW w:w="172" w:type="pct"/>
            <w:tcBorders>
              <w:tl2br w:val="nil"/>
              <w:tr2bl w:val="nil"/>
            </w:tcBorders>
            <w:shd w:val="clear" w:color="auto" w:fill="auto"/>
            <w:tcMar>
              <w:top w:w="0" w:type="dxa"/>
              <w:left w:w="0" w:type="dxa"/>
              <w:bottom w:w="0" w:type="dxa"/>
              <w:right w:w="0" w:type="dxa"/>
            </w:tcMar>
            <w:vAlign w:val="center"/>
          </w:tcPr>
          <w:p w14:paraId="0BB1B4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r>
      <w:tr w14:paraId="3CD18F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 w:type="pct"/>
            <w:tcBorders>
              <w:tl2br w:val="nil"/>
              <w:tr2bl w:val="nil"/>
            </w:tcBorders>
            <w:shd w:val="clear" w:color="auto" w:fill="auto"/>
            <w:tcMar>
              <w:top w:w="0" w:type="dxa"/>
              <w:left w:w="0" w:type="dxa"/>
              <w:bottom w:w="0" w:type="dxa"/>
              <w:right w:w="0" w:type="dxa"/>
            </w:tcMar>
            <w:vAlign w:val="center"/>
          </w:tcPr>
          <w:p w14:paraId="119068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208" w:type="pct"/>
            <w:tcBorders>
              <w:tl2br w:val="nil"/>
              <w:tr2bl w:val="nil"/>
            </w:tcBorders>
            <w:shd w:val="clear" w:color="auto" w:fill="auto"/>
            <w:tcMar>
              <w:top w:w="0" w:type="dxa"/>
              <w:left w:w="0" w:type="dxa"/>
              <w:bottom w:w="0" w:type="dxa"/>
              <w:right w:w="0" w:type="dxa"/>
            </w:tcMar>
            <w:vAlign w:val="center"/>
          </w:tcPr>
          <w:p w14:paraId="273489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1#厂房</w:t>
            </w:r>
          </w:p>
        </w:tc>
        <w:tc>
          <w:tcPr>
            <w:tcW w:w="199" w:type="pct"/>
            <w:tcBorders>
              <w:tl2br w:val="nil"/>
              <w:tr2bl w:val="nil"/>
            </w:tcBorders>
            <w:shd w:val="clear" w:color="auto" w:fill="auto"/>
            <w:tcMar>
              <w:top w:w="0" w:type="dxa"/>
              <w:left w:w="0" w:type="dxa"/>
              <w:bottom w:w="0" w:type="dxa"/>
              <w:right w:w="0" w:type="dxa"/>
            </w:tcMar>
            <w:vAlign w:val="center"/>
          </w:tcPr>
          <w:p w14:paraId="2E0AC7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复卷机,8台（按点声源组预测）</w:t>
            </w:r>
          </w:p>
        </w:tc>
        <w:tc>
          <w:tcPr>
            <w:tcW w:w="240" w:type="pct"/>
            <w:tcBorders>
              <w:tl2br w:val="nil"/>
              <w:tr2bl w:val="nil"/>
            </w:tcBorders>
            <w:shd w:val="clear" w:color="auto" w:fill="auto"/>
            <w:tcMar>
              <w:top w:w="0" w:type="dxa"/>
              <w:left w:w="0" w:type="dxa"/>
              <w:bottom w:w="0" w:type="dxa"/>
              <w:right w:w="0" w:type="dxa"/>
            </w:tcMar>
            <w:vAlign w:val="center"/>
          </w:tcPr>
          <w:p w14:paraId="553E7F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80（等效后：89.0)</w:t>
            </w:r>
          </w:p>
        </w:tc>
        <w:tc>
          <w:tcPr>
            <w:tcW w:w="205" w:type="pct"/>
            <w:tcBorders>
              <w:tl2br w:val="nil"/>
              <w:tr2bl w:val="nil"/>
            </w:tcBorders>
            <w:shd w:val="clear" w:color="auto" w:fill="auto"/>
            <w:tcMar>
              <w:top w:w="0" w:type="dxa"/>
              <w:left w:w="0" w:type="dxa"/>
              <w:bottom w:w="0" w:type="dxa"/>
              <w:right w:w="0" w:type="dxa"/>
            </w:tcMar>
            <w:vAlign w:val="center"/>
          </w:tcPr>
          <w:p w14:paraId="575665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隔声、减震</w:t>
            </w:r>
          </w:p>
        </w:tc>
        <w:tc>
          <w:tcPr>
            <w:tcW w:w="226" w:type="pct"/>
            <w:tcBorders>
              <w:tl2br w:val="nil"/>
              <w:tr2bl w:val="nil"/>
            </w:tcBorders>
            <w:shd w:val="clear" w:color="auto" w:fill="auto"/>
            <w:tcMar>
              <w:top w:w="0" w:type="dxa"/>
              <w:left w:w="0" w:type="dxa"/>
              <w:bottom w:w="0" w:type="dxa"/>
              <w:right w:w="0" w:type="dxa"/>
            </w:tcMar>
            <w:vAlign w:val="center"/>
          </w:tcPr>
          <w:p w14:paraId="076C30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7.8</w:t>
            </w:r>
          </w:p>
        </w:tc>
        <w:tc>
          <w:tcPr>
            <w:tcW w:w="226" w:type="pct"/>
            <w:tcBorders>
              <w:tl2br w:val="nil"/>
              <w:tr2bl w:val="nil"/>
            </w:tcBorders>
            <w:shd w:val="clear" w:color="auto" w:fill="auto"/>
            <w:tcMar>
              <w:top w:w="0" w:type="dxa"/>
              <w:left w:w="0" w:type="dxa"/>
              <w:bottom w:w="0" w:type="dxa"/>
              <w:right w:w="0" w:type="dxa"/>
            </w:tcMar>
            <w:vAlign w:val="center"/>
          </w:tcPr>
          <w:p w14:paraId="5D92C6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65.4</w:t>
            </w:r>
          </w:p>
        </w:tc>
        <w:tc>
          <w:tcPr>
            <w:tcW w:w="228" w:type="pct"/>
            <w:tcBorders>
              <w:tl2br w:val="nil"/>
              <w:tr2bl w:val="nil"/>
            </w:tcBorders>
            <w:shd w:val="clear" w:color="auto" w:fill="auto"/>
            <w:tcMar>
              <w:top w:w="0" w:type="dxa"/>
              <w:left w:w="0" w:type="dxa"/>
              <w:bottom w:w="0" w:type="dxa"/>
              <w:right w:w="0" w:type="dxa"/>
            </w:tcMar>
            <w:vAlign w:val="center"/>
          </w:tcPr>
          <w:p w14:paraId="5F0F4C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87" w:type="pct"/>
            <w:tcBorders>
              <w:tl2br w:val="nil"/>
              <w:tr2bl w:val="nil"/>
            </w:tcBorders>
            <w:shd w:val="clear" w:color="auto" w:fill="auto"/>
            <w:tcMar>
              <w:top w:w="0" w:type="dxa"/>
              <w:left w:w="0" w:type="dxa"/>
              <w:bottom w:w="0" w:type="dxa"/>
              <w:right w:w="0" w:type="dxa"/>
            </w:tcMar>
            <w:vAlign w:val="center"/>
          </w:tcPr>
          <w:p w14:paraId="5F7EA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42.1</w:t>
            </w:r>
          </w:p>
        </w:tc>
        <w:tc>
          <w:tcPr>
            <w:tcW w:w="187" w:type="pct"/>
            <w:tcBorders>
              <w:tl2br w:val="nil"/>
              <w:tr2bl w:val="nil"/>
            </w:tcBorders>
            <w:shd w:val="clear" w:color="auto" w:fill="auto"/>
            <w:tcMar>
              <w:top w:w="0" w:type="dxa"/>
              <w:left w:w="0" w:type="dxa"/>
              <w:bottom w:w="0" w:type="dxa"/>
              <w:right w:w="0" w:type="dxa"/>
            </w:tcMar>
            <w:vAlign w:val="center"/>
          </w:tcPr>
          <w:p w14:paraId="4E0741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32.1</w:t>
            </w:r>
          </w:p>
        </w:tc>
        <w:tc>
          <w:tcPr>
            <w:tcW w:w="187" w:type="pct"/>
            <w:tcBorders>
              <w:tl2br w:val="nil"/>
              <w:tr2bl w:val="nil"/>
            </w:tcBorders>
            <w:shd w:val="clear" w:color="auto" w:fill="auto"/>
            <w:tcMar>
              <w:top w:w="0" w:type="dxa"/>
              <w:left w:w="0" w:type="dxa"/>
              <w:bottom w:w="0" w:type="dxa"/>
              <w:right w:w="0" w:type="dxa"/>
            </w:tcMar>
            <w:vAlign w:val="center"/>
          </w:tcPr>
          <w:p w14:paraId="4770D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53.0</w:t>
            </w:r>
          </w:p>
        </w:tc>
        <w:tc>
          <w:tcPr>
            <w:tcW w:w="191" w:type="pct"/>
            <w:tcBorders>
              <w:tl2br w:val="nil"/>
              <w:tr2bl w:val="nil"/>
            </w:tcBorders>
            <w:shd w:val="clear" w:color="auto" w:fill="auto"/>
            <w:tcMar>
              <w:top w:w="0" w:type="dxa"/>
              <w:left w:w="0" w:type="dxa"/>
              <w:bottom w:w="0" w:type="dxa"/>
              <w:right w:w="0" w:type="dxa"/>
            </w:tcMar>
            <w:vAlign w:val="center"/>
          </w:tcPr>
          <w:p w14:paraId="45AC75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8.7</w:t>
            </w:r>
          </w:p>
        </w:tc>
        <w:tc>
          <w:tcPr>
            <w:tcW w:w="185" w:type="pct"/>
            <w:tcBorders>
              <w:tl2br w:val="nil"/>
              <w:tr2bl w:val="nil"/>
            </w:tcBorders>
            <w:shd w:val="clear" w:color="auto" w:fill="auto"/>
            <w:tcMar>
              <w:top w:w="0" w:type="dxa"/>
              <w:left w:w="0" w:type="dxa"/>
              <w:bottom w:w="0" w:type="dxa"/>
              <w:right w:w="0" w:type="dxa"/>
            </w:tcMar>
            <w:vAlign w:val="center"/>
          </w:tcPr>
          <w:p w14:paraId="08C1D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72.2</w:t>
            </w:r>
          </w:p>
        </w:tc>
        <w:tc>
          <w:tcPr>
            <w:tcW w:w="185" w:type="pct"/>
            <w:tcBorders>
              <w:tl2br w:val="nil"/>
              <w:tr2bl w:val="nil"/>
            </w:tcBorders>
            <w:shd w:val="clear" w:color="auto" w:fill="auto"/>
            <w:tcMar>
              <w:top w:w="0" w:type="dxa"/>
              <w:left w:w="0" w:type="dxa"/>
              <w:bottom w:w="0" w:type="dxa"/>
              <w:right w:w="0" w:type="dxa"/>
            </w:tcMar>
            <w:vAlign w:val="center"/>
          </w:tcPr>
          <w:p w14:paraId="1A186A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72.2</w:t>
            </w:r>
          </w:p>
        </w:tc>
        <w:tc>
          <w:tcPr>
            <w:tcW w:w="185" w:type="pct"/>
            <w:tcBorders>
              <w:tl2br w:val="nil"/>
              <w:tr2bl w:val="nil"/>
            </w:tcBorders>
            <w:shd w:val="clear" w:color="auto" w:fill="auto"/>
            <w:tcMar>
              <w:top w:w="0" w:type="dxa"/>
              <w:left w:w="0" w:type="dxa"/>
              <w:bottom w:w="0" w:type="dxa"/>
              <w:right w:w="0" w:type="dxa"/>
            </w:tcMar>
            <w:vAlign w:val="center"/>
          </w:tcPr>
          <w:p w14:paraId="0DEB7C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72.2</w:t>
            </w:r>
          </w:p>
        </w:tc>
        <w:tc>
          <w:tcPr>
            <w:tcW w:w="186" w:type="pct"/>
            <w:tcBorders>
              <w:tl2br w:val="nil"/>
              <w:tr2bl w:val="nil"/>
            </w:tcBorders>
            <w:shd w:val="clear" w:color="auto" w:fill="auto"/>
            <w:tcMar>
              <w:top w:w="0" w:type="dxa"/>
              <w:left w:w="0" w:type="dxa"/>
              <w:bottom w:w="0" w:type="dxa"/>
              <w:right w:w="0" w:type="dxa"/>
            </w:tcMar>
            <w:vAlign w:val="center"/>
          </w:tcPr>
          <w:p w14:paraId="0A262F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72.4</w:t>
            </w:r>
          </w:p>
        </w:tc>
        <w:tc>
          <w:tcPr>
            <w:tcW w:w="161" w:type="pct"/>
            <w:vMerge w:val="continue"/>
            <w:tcBorders>
              <w:tl2br w:val="nil"/>
              <w:tr2bl w:val="nil"/>
            </w:tcBorders>
            <w:shd w:val="clear" w:color="auto" w:fill="auto"/>
            <w:tcMar>
              <w:top w:w="0" w:type="dxa"/>
              <w:left w:w="0" w:type="dxa"/>
              <w:bottom w:w="0" w:type="dxa"/>
              <w:right w:w="0" w:type="dxa"/>
            </w:tcMar>
            <w:vAlign w:val="center"/>
          </w:tcPr>
          <w:p w14:paraId="7EAF14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p>
        </w:tc>
        <w:tc>
          <w:tcPr>
            <w:tcW w:w="178" w:type="pct"/>
            <w:tcBorders>
              <w:tl2br w:val="nil"/>
              <w:tr2bl w:val="nil"/>
            </w:tcBorders>
            <w:shd w:val="clear" w:color="auto" w:fill="auto"/>
            <w:tcMar>
              <w:top w:w="0" w:type="dxa"/>
              <w:left w:w="0" w:type="dxa"/>
              <w:bottom w:w="0" w:type="dxa"/>
              <w:right w:w="0" w:type="dxa"/>
            </w:tcMar>
            <w:vAlign w:val="center"/>
          </w:tcPr>
          <w:p w14:paraId="2285A9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1812AB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7C02F6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81" w:type="pct"/>
            <w:tcBorders>
              <w:tl2br w:val="nil"/>
              <w:tr2bl w:val="nil"/>
            </w:tcBorders>
            <w:shd w:val="clear" w:color="auto" w:fill="auto"/>
            <w:tcMar>
              <w:top w:w="0" w:type="dxa"/>
              <w:left w:w="0" w:type="dxa"/>
              <w:bottom w:w="0" w:type="dxa"/>
              <w:right w:w="0" w:type="dxa"/>
            </w:tcMar>
            <w:vAlign w:val="center"/>
          </w:tcPr>
          <w:p w14:paraId="3A047A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90" w:type="pct"/>
            <w:tcBorders>
              <w:tl2br w:val="nil"/>
              <w:tr2bl w:val="nil"/>
            </w:tcBorders>
            <w:shd w:val="clear" w:color="auto" w:fill="auto"/>
            <w:tcMar>
              <w:top w:w="0" w:type="dxa"/>
              <w:left w:w="0" w:type="dxa"/>
              <w:bottom w:w="0" w:type="dxa"/>
              <w:right w:w="0" w:type="dxa"/>
            </w:tcMar>
            <w:vAlign w:val="center"/>
          </w:tcPr>
          <w:p w14:paraId="7ECCCB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56.2</w:t>
            </w:r>
          </w:p>
        </w:tc>
        <w:tc>
          <w:tcPr>
            <w:tcW w:w="190" w:type="pct"/>
            <w:tcBorders>
              <w:tl2br w:val="nil"/>
              <w:tr2bl w:val="nil"/>
            </w:tcBorders>
            <w:shd w:val="clear" w:color="auto" w:fill="auto"/>
            <w:tcMar>
              <w:top w:w="0" w:type="dxa"/>
              <w:left w:w="0" w:type="dxa"/>
              <w:bottom w:w="0" w:type="dxa"/>
              <w:right w:w="0" w:type="dxa"/>
            </w:tcMar>
            <w:vAlign w:val="center"/>
          </w:tcPr>
          <w:p w14:paraId="153AB2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56.2</w:t>
            </w:r>
          </w:p>
        </w:tc>
        <w:tc>
          <w:tcPr>
            <w:tcW w:w="190" w:type="pct"/>
            <w:tcBorders>
              <w:tl2br w:val="nil"/>
              <w:tr2bl w:val="nil"/>
            </w:tcBorders>
            <w:shd w:val="clear" w:color="auto" w:fill="auto"/>
            <w:tcMar>
              <w:top w:w="0" w:type="dxa"/>
              <w:left w:w="0" w:type="dxa"/>
              <w:bottom w:w="0" w:type="dxa"/>
              <w:right w:w="0" w:type="dxa"/>
            </w:tcMar>
            <w:vAlign w:val="center"/>
          </w:tcPr>
          <w:p w14:paraId="698BD3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56.2</w:t>
            </w:r>
          </w:p>
        </w:tc>
        <w:tc>
          <w:tcPr>
            <w:tcW w:w="190" w:type="pct"/>
            <w:tcBorders>
              <w:tl2br w:val="nil"/>
              <w:tr2bl w:val="nil"/>
            </w:tcBorders>
            <w:shd w:val="clear" w:color="auto" w:fill="auto"/>
            <w:tcMar>
              <w:top w:w="0" w:type="dxa"/>
              <w:left w:w="0" w:type="dxa"/>
              <w:bottom w:w="0" w:type="dxa"/>
              <w:right w:w="0" w:type="dxa"/>
            </w:tcMar>
            <w:vAlign w:val="center"/>
          </w:tcPr>
          <w:p w14:paraId="122F0F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56.4</w:t>
            </w:r>
          </w:p>
        </w:tc>
        <w:tc>
          <w:tcPr>
            <w:tcW w:w="172" w:type="pct"/>
            <w:tcBorders>
              <w:tl2br w:val="nil"/>
              <w:tr2bl w:val="nil"/>
            </w:tcBorders>
            <w:shd w:val="clear" w:color="auto" w:fill="auto"/>
            <w:tcMar>
              <w:top w:w="0" w:type="dxa"/>
              <w:left w:w="0" w:type="dxa"/>
              <w:bottom w:w="0" w:type="dxa"/>
              <w:right w:w="0" w:type="dxa"/>
            </w:tcMar>
            <w:vAlign w:val="center"/>
          </w:tcPr>
          <w:p w14:paraId="4CC00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r>
      <w:tr w14:paraId="39E24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61" w:type="pct"/>
            <w:tcBorders>
              <w:tl2br w:val="nil"/>
              <w:tr2bl w:val="nil"/>
            </w:tcBorders>
            <w:shd w:val="clear" w:color="auto" w:fill="auto"/>
            <w:tcMar>
              <w:top w:w="0" w:type="dxa"/>
              <w:left w:w="0" w:type="dxa"/>
              <w:bottom w:w="0" w:type="dxa"/>
              <w:right w:w="0" w:type="dxa"/>
            </w:tcMar>
            <w:vAlign w:val="center"/>
          </w:tcPr>
          <w:p w14:paraId="2A9C0D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w:t>
            </w:r>
          </w:p>
        </w:tc>
        <w:tc>
          <w:tcPr>
            <w:tcW w:w="208" w:type="pct"/>
            <w:tcBorders>
              <w:tl2br w:val="nil"/>
              <w:tr2bl w:val="nil"/>
            </w:tcBorders>
            <w:shd w:val="clear" w:color="auto" w:fill="auto"/>
            <w:tcMar>
              <w:top w:w="0" w:type="dxa"/>
              <w:left w:w="0" w:type="dxa"/>
              <w:bottom w:w="0" w:type="dxa"/>
              <w:right w:w="0" w:type="dxa"/>
            </w:tcMar>
            <w:vAlign w:val="center"/>
          </w:tcPr>
          <w:p w14:paraId="79C105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2#厂房</w:t>
            </w:r>
          </w:p>
        </w:tc>
        <w:tc>
          <w:tcPr>
            <w:tcW w:w="199" w:type="pct"/>
            <w:tcBorders>
              <w:tl2br w:val="nil"/>
              <w:tr2bl w:val="nil"/>
            </w:tcBorders>
            <w:shd w:val="clear" w:color="auto" w:fill="auto"/>
            <w:tcMar>
              <w:top w:w="0" w:type="dxa"/>
              <w:left w:w="0" w:type="dxa"/>
              <w:bottom w:w="0" w:type="dxa"/>
              <w:right w:w="0" w:type="dxa"/>
            </w:tcMar>
            <w:vAlign w:val="center"/>
          </w:tcPr>
          <w:p w14:paraId="004C88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复卷机,4台（按点声源组预测）</w:t>
            </w:r>
          </w:p>
        </w:tc>
        <w:tc>
          <w:tcPr>
            <w:tcW w:w="240" w:type="pct"/>
            <w:tcBorders>
              <w:tl2br w:val="nil"/>
              <w:tr2bl w:val="nil"/>
            </w:tcBorders>
            <w:shd w:val="clear" w:color="auto" w:fill="auto"/>
            <w:tcMar>
              <w:top w:w="0" w:type="dxa"/>
              <w:left w:w="0" w:type="dxa"/>
              <w:bottom w:w="0" w:type="dxa"/>
              <w:right w:w="0" w:type="dxa"/>
            </w:tcMar>
            <w:vAlign w:val="center"/>
          </w:tcPr>
          <w:p w14:paraId="6E7FE4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80（等效后：86.0)</w:t>
            </w:r>
          </w:p>
        </w:tc>
        <w:tc>
          <w:tcPr>
            <w:tcW w:w="205" w:type="pct"/>
            <w:tcBorders>
              <w:tl2br w:val="nil"/>
              <w:tr2bl w:val="nil"/>
            </w:tcBorders>
            <w:shd w:val="clear" w:color="auto" w:fill="auto"/>
            <w:tcMar>
              <w:top w:w="0" w:type="dxa"/>
              <w:left w:w="0" w:type="dxa"/>
              <w:bottom w:w="0" w:type="dxa"/>
              <w:right w:w="0" w:type="dxa"/>
            </w:tcMar>
            <w:vAlign w:val="center"/>
          </w:tcPr>
          <w:p w14:paraId="7F629F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隔声、减震</w:t>
            </w:r>
          </w:p>
        </w:tc>
        <w:tc>
          <w:tcPr>
            <w:tcW w:w="226" w:type="pct"/>
            <w:tcBorders>
              <w:tl2br w:val="nil"/>
              <w:tr2bl w:val="nil"/>
            </w:tcBorders>
            <w:shd w:val="clear" w:color="auto" w:fill="auto"/>
            <w:tcMar>
              <w:top w:w="0" w:type="dxa"/>
              <w:left w:w="0" w:type="dxa"/>
              <w:bottom w:w="0" w:type="dxa"/>
              <w:right w:w="0" w:type="dxa"/>
            </w:tcMar>
            <w:vAlign w:val="center"/>
          </w:tcPr>
          <w:p w14:paraId="3C5E68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9.2</w:t>
            </w:r>
          </w:p>
        </w:tc>
        <w:tc>
          <w:tcPr>
            <w:tcW w:w="226" w:type="pct"/>
            <w:tcBorders>
              <w:tl2br w:val="nil"/>
              <w:tr2bl w:val="nil"/>
            </w:tcBorders>
            <w:shd w:val="clear" w:color="auto" w:fill="auto"/>
            <w:tcMar>
              <w:top w:w="0" w:type="dxa"/>
              <w:left w:w="0" w:type="dxa"/>
              <w:bottom w:w="0" w:type="dxa"/>
              <w:right w:w="0" w:type="dxa"/>
            </w:tcMar>
            <w:vAlign w:val="center"/>
          </w:tcPr>
          <w:p w14:paraId="160EAD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-2.1</w:t>
            </w:r>
          </w:p>
        </w:tc>
        <w:tc>
          <w:tcPr>
            <w:tcW w:w="228" w:type="pct"/>
            <w:tcBorders>
              <w:tl2br w:val="nil"/>
              <w:tr2bl w:val="nil"/>
            </w:tcBorders>
            <w:shd w:val="clear" w:color="auto" w:fill="auto"/>
            <w:tcMar>
              <w:top w:w="0" w:type="dxa"/>
              <w:left w:w="0" w:type="dxa"/>
              <w:bottom w:w="0" w:type="dxa"/>
              <w:right w:w="0" w:type="dxa"/>
            </w:tcMar>
            <w:vAlign w:val="center"/>
          </w:tcPr>
          <w:p w14:paraId="55FCAE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87" w:type="pct"/>
            <w:tcBorders>
              <w:tl2br w:val="nil"/>
              <w:tr2bl w:val="nil"/>
            </w:tcBorders>
            <w:shd w:val="clear" w:color="auto" w:fill="auto"/>
            <w:tcMar>
              <w:top w:w="0" w:type="dxa"/>
              <w:left w:w="0" w:type="dxa"/>
              <w:bottom w:w="0" w:type="dxa"/>
              <w:right w:w="0" w:type="dxa"/>
            </w:tcMar>
            <w:vAlign w:val="center"/>
          </w:tcPr>
          <w:p w14:paraId="076DF5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40.9</w:t>
            </w:r>
          </w:p>
        </w:tc>
        <w:tc>
          <w:tcPr>
            <w:tcW w:w="187" w:type="pct"/>
            <w:tcBorders>
              <w:tl2br w:val="nil"/>
              <w:tr2bl w:val="nil"/>
            </w:tcBorders>
            <w:shd w:val="clear" w:color="auto" w:fill="auto"/>
            <w:tcMar>
              <w:top w:w="0" w:type="dxa"/>
              <w:left w:w="0" w:type="dxa"/>
              <w:bottom w:w="0" w:type="dxa"/>
              <w:right w:w="0" w:type="dxa"/>
            </w:tcMar>
            <w:vAlign w:val="center"/>
          </w:tcPr>
          <w:p w14:paraId="040C5B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12.9</w:t>
            </w:r>
          </w:p>
        </w:tc>
        <w:tc>
          <w:tcPr>
            <w:tcW w:w="187" w:type="pct"/>
            <w:tcBorders>
              <w:tl2br w:val="nil"/>
              <w:tr2bl w:val="nil"/>
            </w:tcBorders>
            <w:shd w:val="clear" w:color="auto" w:fill="auto"/>
            <w:tcMar>
              <w:top w:w="0" w:type="dxa"/>
              <w:left w:w="0" w:type="dxa"/>
              <w:bottom w:w="0" w:type="dxa"/>
              <w:right w:w="0" w:type="dxa"/>
            </w:tcMar>
            <w:vAlign w:val="center"/>
          </w:tcPr>
          <w:p w14:paraId="58A1CB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53.9</w:t>
            </w:r>
          </w:p>
        </w:tc>
        <w:tc>
          <w:tcPr>
            <w:tcW w:w="191" w:type="pct"/>
            <w:tcBorders>
              <w:tl2br w:val="nil"/>
              <w:tr2bl w:val="nil"/>
            </w:tcBorders>
            <w:shd w:val="clear" w:color="auto" w:fill="auto"/>
            <w:tcMar>
              <w:top w:w="0" w:type="dxa"/>
              <w:left w:w="0" w:type="dxa"/>
              <w:bottom w:w="0" w:type="dxa"/>
              <w:right w:w="0" w:type="dxa"/>
            </w:tcMar>
            <w:vAlign w:val="center"/>
          </w:tcPr>
          <w:p w14:paraId="52E7BB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27.4</w:t>
            </w:r>
          </w:p>
        </w:tc>
        <w:tc>
          <w:tcPr>
            <w:tcW w:w="185" w:type="pct"/>
            <w:tcBorders>
              <w:tl2br w:val="nil"/>
              <w:tr2bl w:val="nil"/>
            </w:tcBorders>
            <w:shd w:val="clear" w:color="auto" w:fill="auto"/>
            <w:tcMar>
              <w:top w:w="0" w:type="dxa"/>
              <w:left w:w="0" w:type="dxa"/>
              <w:bottom w:w="0" w:type="dxa"/>
              <w:right w:w="0" w:type="dxa"/>
            </w:tcMar>
            <w:vAlign w:val="center"/>
          </w:tcPr>
          <w:p w14:paraId="054E56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69.2</w:t>
            </w:r>
          </w:p>
        </w:tc>
        <w:tc>
          <w:tcPr>
            <w:tcW w:w="185" w:type="pct"/>
            <w:tcBorders>
              <w:tl2br w:val="nil"/>
              <w:tr2bl w:val="nil"/>
            </w:tcBorders>
            <w:shd w:val="clear" w:color="auto" w:fill="auto"/>
            <w:tcMar>
              <w:top w:w="0" w:type="dxa"/>
              <w:left w:w="0" w:type="dxa"/>
              <w:bottom w:w="0" w:type="dxa"/>
              <w:right w:w="0" w:type="dxa"/>
            </w:tcMar>
            <w:vAlign w:val="center"/>
          </w:tcPr>
          <w:p w14:paraId="5088E9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69.3</w:t>
            </w:r>
          </w:p>
        </w:tc>
        <w:tc>
          <w:tcPr>
            <w:tcW w:w="185" w:type="pct"/>
            <w:tcBorders>
              <w:tl2br w:val="nil"/>
              <w:tr2bl w:val="nil"/>
            </w:tcBorders>
            <w:shd w:val="clear" w:color="auto" w:fill="auto"/>
            <w:tcMar>
              <w:top w:w="0" w:type="dxa"/>
              <w:left w:w="0" w:type="dxa"/>
              <w:bottom w:w="0" w:type="dxa"/>
              <w:right w:w="0" w:type="dxa"/>
            </w:tcMar>
            <w:vAlign w:val="center"/>
          </w:tcPr>
          <w:p w14:paraId="6E4B14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69.2</w:t>
            </w:r>
          </w:p>
        </w:tc>
        <w:tc>
          <w:tcPr>
            <w:tcW w:w="186" w:type="pct"/>
            <w:tcBorders>
              <w:tl2br w:val="nil"/>
              <w:tr2bl w:val="nil"/>
            </w:tcBorders>
            <w:shd w:val="clear" w:color="auto" w:fill="auto"/>
            <w:tcMar>
              <w:top w:w="0" w:type="dxa"/>
              <w:left w:w="0" w:type="dxa"/>
              <w:bottom w:w="0" w:type="dxa"/>
              <w:right w:w="0" w:type="dxa"/>
            </w:tcMar>
            <w:vAlign w:val="center"/>
          </w:tcPr>
          <w:p w14:paraId="7C92E6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69.3</w:t>
            </w:r>
          </w:p>
        </w:tc>
        <w:tc>
          <w:tcPr>
            <w:tcW w:w="161" w:type="pct"/>
            <w:vMerge w:val="continue"/>
            <w:tcBorders>
              <w:tl2br w:val="nil"/>
              <w:tr2bl w:val="nil"/>
            </w:tcBorders>
            <w:shd w:val="clear" w:color="auto" w:fill="auto"/>
            <w:tcMar>
              <w:top w:w="0" w:type="dxa"/>
              <w:left w:w="0" w:type="dxa"/>
              <w:bottom w:w="0" w:type="dxa"/>
              <w:right w:w="0" w:type="dxa"/>
            </w:tcMar>
            <w:vAlign w:val="center"/>
          </w:tcPr>
          <w:p w14:paraId="0E0BF8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p>
        </w:tc>
        <w:tc>
          <w:tcPr>
            <w:tcW w:w="178" w:type="pct"/>
            <w:tcBorders>
              <w:tl2br w:val="nil"/>
              <w:tr2bl w:val="nil"/>
            </w:tcBorders>
            <w:shd w:val="clear" w:color="auto" w:fill="auto"/>
            <w:tcMar>
              <w:top w:w="0" w:type="dxa"/>
              <w:left w:w="0" w:type="dxa"/>
              <w:bottom w:w="0" w:type="dxa"/>
              <w:right w:w="0" w:type="dxa"/>
            </w:tcMar>
            <w:vAlign w:val="center"/>
          </w:tcPr>
          <w:p w14:paraId="6310E6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040C5E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1FBAFF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81" w:type="pct"/>
            <w:tcBorders>
              <w:tl2br w:val="nil"/>
              <w:tr2bl w:val="nil"/>
            </w:tcBorders>
            <w:shd w:val="clear" w:color="auto" w:fill="auto"/>
            <w:tcMar>
              <w:top w:w="0" w:type="dxa"/>
              <w:left w:w="0" w:type="dxa"/>
              <w:bottom w:w="0" w:type="dxa"/>
              <w:right w:w="0" w:type="dxa"/>
            </w:tcMar>
            <w:vAlign w:val="center"/>
          </w:tcPr>
          <w:p w14:paraId="390E19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90" w:type="pct"/>
            <w:tcBorders>
              <w:tl2br w:val="nil"/>
              <w:tr2bl w:val="nil"/>
            </w:tcBorders>
            <w:shd w:val="clear" w:color="auto" w:fill="auto"/>
            <w:tcMar>
              <w:top w:w="0" w:type="dxa"/>
              <w:left w:w="0" w:type="dxa"/>
              <w:bottom w:w="0" w:type="dxa"/>
              <w:right w:w="0" w:type="dxa"/>
            </w:tcMar>
            <w:vAlign w:val="center"/>
          </w:tcPr>
          <w:p w14:paraId="769630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53.2</w:t>
            </w:r>
          </w:p>
        </w:tc>
        <w:tc>
          <w:tcPr>
            <w:tcW w:w="190" w:type="pct"/>
            <w:tcBorders>
              <w:tl2br w:val="nil"/>
              <w:tr2bl w:val="nil"/>
            </w:tcBorders>
            <w:shd w:val="clear" w:color="auto" w:fill="auto"/>
            <w:tcMar>
              <w:top w:w="0" w:type="dxa"/>
              <w:left w:w="0" w:type="dxa"/>
              <w:bottom w:w="0" w:type="dxa"/>
              <w:right w:w="0" w:type="dxa"/>
            </w:tcMar>
            <w:vAlign w:val="center"/>
          </w:tcPr>
          <w:p w14:paraId="78ED34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53.3</w:t>
            </w:r>
          </w:p>
        </w:tc>
        <w:tc>
          <w:tcPr>
            <w:tcW w:w="190" w:type="pct"/>
            <w:tcBorders>
              <w:tl2br w:val="nil"/>
              <w:tr2bl w:val="nil"/>
            </w:tcBorders>
            <w:shd w:val="clear" w:color="auto" w:fill="auto"/>
            <w:tcMar>
              <w:top w:w="0" w:type="dxa"/>
              <w:left w:w="0" w:type="dxa"/>
              <w:bottom w:w="0" w:type="dxa"/>
              <w:right w:w="0" w:type="dxa"/>
            </w:tcMar>
            <w:vAlign w:val="center"/>
          </w:tcPr>
          <w:p w14:paraId="275A61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53.2</w:t>
            </w:r>
          </w:p>
        </w:tc>
        <w:tc>
          <w:tcPr>
            <w:tcW w:w="190" w:type="pct"/>
            <w:tcBorders>
              <w:tl2br w:val="nil"/>
              <w:tr2bl w:val="nil"/>
            </w:tcBorders>
            <w:shd w:val="clear" w:color="auto" w:fill="auto"/>
            <w:tcMar>
              <w:top w:w="0" w:type="dxa"/>
              <w:left w:w="0" w:type="dxa"/>
              <w:bottom w:w="0" w:type="dxa"/>
              <w:right w:w="0" w:type="dxa"/>
            </w:tcMar>
            <w:vAlign w:val="center"/>
          </w:tcPr>
          <w:p w14:paraId="3FC8AD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53.3</w:t>
            </w:r>
          </w:p>
        </w:tc>
        <w:tc>
          <w:tcPr>
            <w:tcW w:w="172" w:type="pct"/>
            <w:tcBorders>
              <w:tl2br w:val="nil"/>
              <w:tr2bl w:val="nil"/>
            </w:tcBorders>
            <w:shd w:val="clear" w:color="auto" w:fill="auto"/>
            <w:tcMar>
              <w:top w:w="0" w:type="dxa"/>
              <w:left w:w="0" w:type="dxa"/>
              <w:bottom w:w="0" w:type="dxa"/>
              <w:right w:w="0" w:type="dxa"/>
            </w:tcMar>
            <w:vAlign w:val="center"/>
          </w:tcPr>
          <w:p w14:paraId="191F49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r>
      <w:tr w14:paraId="4A092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 w:type="pct"/>
            <w:tcBorders>
              <w:tl2br w:val="nil"/>
              <w:tr2bl w:val="nil"/>
            </w:tcBorders>
            <w:shd w:val="clear" w:color="auto" w:fill="auto"/>
            <w:tcMar>
              <w:top w:w="0" w:type="dxa"/>
              <w:left w:w="0" w:type="dxa"/>
              <w:bottom w:w="0" w:type="dxa"/>
              <w:right w:w="0" w:type="dxa"/>
            </w:tcMar>
            <w:vAlign w:val="center"/>
          </w:tcPr>
          <w:p w14:paraId="6BF057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w:t>
            </w:r>
          </w:p>
        </w:tc>
        <w:tc>
          <w:tcPr>
            <w:tcW w:w="208" w:type="pct"/>
            <w:tcBorders>
              <w:tl2br w:val="nil"/>
              <w:tr2bl w:val="nil"/>
            </w:tcBorders>
            <w:shd w:val="clear" w:color="auto" w:fill="auto"/>
            <w:tcMar>
              <w:top w:w="0" w:type="dxa"/>
              <w:left w:w="0" w:type="dxa"/>
              <w:bottom w:w="0" w:type="dxa"/>
              <w:right w:w="0" w:type="dxa"/>
            </w:tcMar>
            <w:vAlign w:val="center"/>
          </w:tcPr>
          <w:p w14:paraId="2DE1EC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2#厂房</w:t>
            </w:r>
          </w:p>
        </w:tc>
        <w:tc>
          <w:tcPr>
            <w:tcW w:w="199" w:type="pct"/>
            <w:tcBorders>
              <w:tl2br w:val="nil"/>
              <w:tr2bl w:val="nil"/>
            </w:tcBorders>
            <w:shd w:val="clear" w:color="auto" w:fill="auto"/>
            <w:tcMar>
              <w:top w:w="0" w:type="dxa"/>
              <w:left w:w="0" w:type="dxa"/>
              <w:bottom w:w="0" w:type="dxa"/>
              <w:right w:w="0" w:type="dxa"/>
            </w:tcMar>
            <w:vAlign w:val="center"/>
          </w:tcPr>
          <w:p w14:paraId="71CE74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印刷机,2台（按点声源组预测）</w:t>
            </w:r>
          </w:p>
        </w:tc>
        <w:tc>
          <w:tcPr>
            <w:tcW w:w="240" w:type="pct"/>
            <w:tcBorders>
              <w:tl2br w:val="nil"/>
              <w:tr2bl w:val="nil"/>
            </w:tcBorders>
            <w:shd w:val="clear" w:color="auto" w:fill="auto"/>
            <w:tcMar>
              <w:top w:w="0" w:type="dxa"/>
              <w:left w:w="0" w:type="dxa"/>
              <w:bottom w:w="0" w:type="dxa"/>
              <w:right w:w="0" w:type="dxa"/>
            </w:tcMar>
            <w:vAlign w:val="center"/>
          </w:tcPr>
          <w:p w14:paraId="0F9F2E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80（等效后：83.0)</w:t>
            </w:r>
          </w:p>
        </w:tc>
        <w:tc>
          <w:tcPr>
            <w:tcW w:w="205" w:type="pct"/>
            <w:tcBorders>
              <w:tl2br w:val="nil"/>
              <w:tr2bl w:val="nil"/>
            </w:tcBorders>
            <w:shd w:val="clear" w:color="auto" w:fill="auto"/>
            <w:tcMar>
              <w:top w:w="0" w:type="dxa"/>
              <w:left w:w="0" w:type="dxa"/>
              <w:bottom w:w="0" w:type="dxa"/>
              <w:right w:w="0" w:type="dxa"/>
            </w:tcMar>
            <w:vAlign w:val="center"/>
          </w:tcPr>
          <w:p w14:paraId="4E1156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隔声、减振</w:t>
            </w:r>
          </w:p>
        </w:tc>
        <w:tc>
          <w:tcPr>
            <w:tcW w:w="226" w:type="pct"/>
            <w:tcBorders>
              <w:tl2br w:val="nil"/>
              <w:tr2bl w:val="nil"/>
            </w:tcBorders>
            <w:shd w:val="clear" w:color="auto" w:fill="auto"/>
            <w:tcMar>
              <w:top w:w="0" w:type="dxa"/>
              <w:left w:w="0" w:type="dxa"/>
              <w:bottom w:w="0" w:type="dxa"/>
              <w:right w:w="0" w:type="dxa"/>
            </w:tcMar>
            <w:vAlign w:val="center"/>
          </w:tcPr>
          <w:p w14:paraId="6F565B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47.9</w:t>
            </w:r>
          </w:p>
        </w:tc>
        <w:tc>
          <w:tcPr>
            <w:tcW w:w="226" w:type="pct"/>
            <w:tcBorders>
              <w:tl2br w:val="nil"/>
              <w:tr2bl w:val="nil"/>
            </w:tcBorders>
            <w:shd w:val="clear" w:color="auto" w:fill="auto"/>
            <w:tcMar>
              <w:top w:w="0" w:type="dxa"/>
              <w:left w:w="0" w:type="dxa"/>
              <w:bottom w:w="0" w:type="dxa"/>
              <w:right w:w="0" w:type="dxa"/>
            </w:tcMar>
            <w:vAlign w:val="center"/>
          </w:tcPr>
          <w:p w14:paraId="3A832F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-0.2</w:t>
            </w:r>
          </w:p>
        </w:tc>
        <w:tc>
          <w:tcPr>
            <w:tcW w:w="228" w:type="pct"/>
            <w:tcBorders>
              <w:tl2br w:val="nil"/>
              <w:tr2bl w:val="nil"/>
            </w:tcBorders>
            <w:shd w:val="clear" w:color="auto" w:fill="auto"/>
            <w:tcMar>
              <w:top w:w="0" w:type="dxa"/>
              <w:left w:w="0" w:type="dxa"/>
              <w:bottom w:w="0" w:type="dxa"/>
              <w:right w:w="0" w:type="dxa"/>
            </w:tcMar>
            <w:vAlign w:val="center"/>
          </w:tcPr>
          <w:p w14:paraId="3DBCE3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87" w:type="pct"/>
            <w:tcBorders>
              <w:tl2br w:val="nil"/>
              <w:tr2bl w:val="nil"/>
            </w:tcBorders>
            <w:shd w:val="clear" w:color="auto" w:fill="auto"/>
            <w:tcMar>
              <w:top w:w="0" w:type="dxa"/>
              <w:left w:w="0" w:type="dxa"/>
              <w:bottom w:w="0" w:type="dxa"/>
              <w:right w:w="0" w:type="dxa"/>
            </w:tcMar>
            <w:vAlign w:val="center"/>
          </w:tcPr>
          <w:p w14:paraId="1E0E48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2.2</w:t>
            </w:r>
          </w:p>
        </w:tc>
        <w:tc>
          <w:tcPr>
            <w:tcW w:w="187" w:type="pct"/>
            <w:tcBorders>
              <w:tl2br w:val="nil"/>
              <w:tr2bl w:val="nil"/>
            </w:tcBorders>
            <w:shd w:val="clear" w:color="auto" w:fill="auto"/>
            <w:tcMar>
              <w:top w:w="0" w:type="dxa"/>
              <w:left w:w="0" w:type="dxa"/>
              <w:bottom w:w="0" w:type="dxa"/>
              <w:right w:w="0" w:type="dxa"/>
            </w:tcMar>
            <w:vAlign w:val="center"/>
          </w:tcPr>
          <w:p w14:paraId="0305BF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14.8</w:t>
            </w:r>
          </w:p>
        </w:tc>
        <w:tc>
          <w:tcPr>
            <w:tcW w:w="187" w:type="pct"/>
            <w:tcBorders>
              <w:tl2br w:val="nil"/>
              <w:tr2bl w:val="nil"/>
            </w:tcBorders>
            <w:shd w:val="clear" w:color="auto" w:fill="auto"/>
            <w:tcMar>
              <w:top w:w="0" w:type="dxa"/>
              <w:left w:w="0" w:type="dxa"/>
              <w:bottom w:w="0" w:type="dxa"/>
              <w:right w:w="0" w:type="dxa"/>
            </w:tcMar>
            <w:vAlign w:val="center"/>
          </w:tcPr>
          <w:p w14:paraId="45159C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92.6</w:t>
            </w:r>
          </w:p>
        </w:tc>
        <w:tc>
          <w:tcPr>
            <w:tcW w:w="191" w:type="pct"/>
            <w:tcBorders>
              <w:tl2br w:val="nil"/>
              <w:tr2bl w:val="nil"/>
            </w:tcBorders>
            <w:shd w:val="clear" w:color="auto" w:fill="auto"/>
            <w:tcMar>
              <w:top w:w="0" w:type="dxa"/>
              <w:left w:w="0" w:type="dxa"/>
              <w:bottom w:w="0" w:type="dxa"/>
              <w:right w:w="0" w:type="dxa"/>
            </w:tcMar>
            <w:vAlign w:val="center"/>
          </w:tcPr>
          <w:p w14:paraId="053AA5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25.5</w:t>
            </w:r>
          </w:p>
        </w:tc>
        <w:tc>
          <w:tcPr>
            <w:tcW w:w="185" w:type="pct"/>
            <w:tcBorders>
              <w:tl2br w:val="nil"/>
              <w:tr2bl w:val="nil"/>
            </w:tcBorders>
            <w:shd w:val="clear" w:color="auto" w:fill="auto"/>
            <w:tcMar>
              <w:top w:w="0" w:type="dxa"/>
              <w:left w:w="0" w:type="dxa"/>
              <w:bottom w:w="0" w:type="dxa"/>
              <w:right w:w="0" w:type="dxa"/>
            </w:tcMar>
            <w:vAlign w:val="center"/>
          </w:tcPr>
          <w:p w14:paraId="4B66ED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68.7</w:t>
            </w:r>
          </w:p>
        </w:tc>
        <w:tc>
          <w:tcPr>
            <w:tcW w:w="185" w:type="pct"/>
            <w:tcBorders>
              <w:tl2br w:val="nil"/>
              <w:tr2bl w:val="nil"/>
            </w:tcBorders>
            <w:shd w:val="clear" w:color="auto" w:fill="auto"/>
            <w:tcMar>
              <w:top w:w="0" w:type="dxa"/>
              <w:left w:w="0" w:type="dxa"/>
              <w:bottom w:w="0" w:type="dxa"/>
              <w:right w:w="0" w:type="dxa"/>
            </w:tcMar>
            <w:vAlign w:val="center"/>
          </w:tcPr>
          <w:p w14:paraId="48F843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66.3</w:t>
            </w:r>
          </w:p>
        </w:tc>
        <w:tc>
          <w:tcPr>
            <w:tcW w:w="185" w:type="pct"/>
            <w:tcBorders>
              <w:tl2br w:val="nil"/>
              <w:tr2bl w:val="nil"/>
            </w:tcBorders>
            <w:shd w:val="clear" w:color="auto" w:fill="auto"/>
            <w:tcMar>
              <w:top w:w="0" w:type="dxa"/>
              <w:left w:w="0" w:type="dxa"/>
              <w:bottom w:w="0" w:type="dxa"/>
              <w:right w:w="0" w:type="dxa"/>
            </w:tcMar>
            <w:vAlign w:val="center"/>
          </w:tcPr>
          <w:p w14:paraId="629013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66.2</w:t>
            </w:r>
          </w:p>
        </w:tc>
        <w:tc>
          <w:tcPr>
            <w:tcW w:w="186" w:type="pct"/>
            <w:tcBorders>
              <w:tl2br w:val="nil"/>
              <w:tr2bl w:val="nil"/>
            </w:tcBorders>
            <w:shd w:val="clear" w:color="auto" w:fill="auto"/>
            <w:tcMar>
              <w:top w:w="0" w:type="dxa"/>
              <w:left w:w="0" w:type="dxa"/>
              <w:bottom w:w="0" w:type="dxa"/>
              <w:right w:w="0" w:type="dxa"/>
            </w:tcMar>
            <w:vAlign w:val="center"/>
          </w:tcPr>
          <w:p w14:paraId="2748C3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66.3</w:t>
            </w:r>
          </w:p>
        </w:tc>
        <w:tc>
          <w:tcPr>
            <w:tcW w:w="161" w:type="pct"/>
            <w:vMerge w:val="continue"/>
            <w:tcBorders>
              <w:tl2br w:val="nil"/>
              <w:tr2bl w:val="nil"/>
            </w:tcBorders>
            <w:shd w:val="clear" w:color="auto" w:fill="auto"/>
            <w:tcMar>
              <w:top w:w="0" w:type="dxa"/>
              <w:left w:w="0" w:type="dxa"/>
              <w:bottom w:w="0" w:type="dxa"/>
              <w:right w:w="0" w:type="dxa"/>
            </w:tcMar>
            <w:vAlign w:val="center"/>
          </w:tcPr>
          <w:p w14:paraId="70A006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p>
        </w:tc>
        <w:tc>
          <w:tcPr>
            <w:tcW w:w="178" w:type="pct"/>
            <w:tcBorders>
              <w:tl2br w:val="nil"/>
              <w:tr2bl w:val="nil"/>
            </w:tcBorders>
            <w:shd w:val="clear" w:color="auto" w:fill="auto"/>
            <w:tcMar>
              <w:top w:w="0" w:type="dxa"/>
              <w:left w:w="0" w:type="dxa"/>
              <w:bottom w:w="0" w:type="dxa"/>
              <w:right w:w="0" w:type="dxa"/>
            </w:tcMar>
            <w:vAlign w:val="center"/>
          </w:tcPr>
          <w:p w14:paraId="409C03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6779BC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614CA9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81" w:type="pct"/>
            <w:tcBorders>
              <w:tl2br w:val="nil"/>
              <w:tr2bl w:val="nil"/>
            </w:tcBorders>
            <w:shd w:val="clear" w:color="auto" w:fill="auto"/>
            <w:tcMar>
              <w:top w:w="0" w:type="dxa"/>
              <w:left w:w="0" w:type="dxa"/>
              <w:bottom w:w="0" w:type="dxa"/>
              <w:right w:w="0" w:type="dxa"/>
            </w:tcMar>
            <w:vAlign w:val="center"/>
          </w:tcPr>
          <w:p w14:paraId="40AF0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90" w:type="pct"/>
            <w:tcBorders>
              <w:tl2br w:val="nil"/>
              <w:tr2bl w:val="nil"/>
            </w:tcBorders>
            <w:shd w:val="clear" w:color="auto" w:fill="auto"/>
            <w:tcMar>
              <w:top w:w="0" w:type="dxa"/>
              <w:left w:w="0" w:type="dxa"/>
              <w:bottom w:w="0" w:type="dxa"/>
              <w:right w:w="0" w:type="dxa"/>
            </w:tcMar>
            <w:vAlign w:val="center"/>
          </w:tcPr>
          <w:p w14:paraId="040EF4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52.7</w:t>
            </w:r>
          </w:p>
        </w:tc>
        <w:tc>
          <w:tcPr>
            <w:tcW w:w="190" w:type="pct"/>
            <w:tcBorders>
              <w:tl2br w:val="nil"/>
              <w:tr2bl w:val="nil"/>
            </w:tcBorders>
            <w:shd w:val="clear" w:color="auto" w:fill="auto"/>
            <w:tcMar>
              <w:top w:w="0" w:type="dxa"/>
              <w:left w:w="0" w:type="dxa"/>
              <w:bottom w:w="0" w:type="dxa"/>
              <w:right w:w="0" w:type="dxa"/>
            </w:tcMar>
            <w:vAlign w:val="center"/>
          </w:tcPr>
          <w:p w14:paraId="10122C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50.3</w:t>
            </w:r>
          </w:p>
        </w:tc>
        <w:tc>
          <w:tcPr>
            <w:tcW w:w="190" w:type="pct"/>
            <w:tcBorders>
              <w:tl2br w:val="nil"/>
              <w:tr2bl w:val="nil"/>
            </w:tcBorders>
            <w:shd w:val="clear" w:color="auto" w:fill="auto"/>
            <w:tcMar>
              <w:top w:w="0" w:type="dxa"/>
              <w:left w:w="0" w:type="dxa"/>
              <w:bottom w:w="0" w:type="dxa"/>
              <w:right w:w="0" w:type="dxa"/>
            </w:tcMar>
            <w:vAlign w:val="center"/>
          </w:tcPr>
          <w:p w14:paraId="1B80EB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50.2</w:t>
            </w:r>
          </w:p>
        </w:tc>
        <w:tc>
          <w:tcPr>
            <w:tcW w:w="190" w:type="pct"/>
            <w:tcBorders>
              <w:tl2br w:val="nil"/>
              <w:tr2bl w:val="nil"/>
            </w:tcBorders>
            <w:shd w:val="clear" w:color="auto" w:fill="auto"/>
            <w:tcMar>
              <w:top w:w="0" w:type="dxa"/>
              <w:left w:w="0" w:type="dxa"/>
              <w:bottom w:w="0" w:type="dxa"/>
              <w:right w:w="0" w:type="dxa"/>
            </w:tcMar>
            <w:vAlign w:val="center"/>
          </w:tcPr>
          <w:p w14:paraId="2F7E60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50.3</w:t>
            </w:r>
          </w:p>
        </w:tc>
        <w:tc>
          <w:tcPr>
            <w:tcW w:w="172" w:type="pct"/>
            <w:tcBorders>
              <w:tl2br w:val="nil"/>
              <w:tr2bl w:val="nil"/>
            </w:tcBorders>
            <w:shd w:val="clear" w:color="auto" w:fill="auto"/>
            <w:tcMar>
              <w:top w:w="0" w:type="dxa"/>
              <w:left w:w="0" w:type="dxa"/>
              <w:bottom w:w="0" w:type="dxa"/>
              <w:right w:w="0" w:type="dxa"/>
            </w:tcMar>
            <w:vAlign w:val="center"/>
          </w:tcPr>
          <w:p w14:paraId="080407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r>
      <w:tr w14:paraId="6B8AE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 w:type="pct"/>
            <w:tcBorders>
              <w:tl2br w:val="nil"/>
              <w:tr2bl w:val="nil"/>
            </w:tcBorders>
            <w:shd w:val="clear" w:color="auto" w:fill="auto"/>
            <w:tcMar>
              <w:top w:w="0" w:type="dxa"/>
              <w:left w:w="0" w:type="dxa"/>
              <w:bottom w:w="0" w:type="dxa"/>
              <w:right w:w="0" w:type="dxa"/>
            </w:tcMar>
            <w:vAlign w:val="center"/>
          </w:tcPr>
          <w:p w14:paraId="407F5A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w:t>
            </w:r>
          </w:p>
        </w:tc>
        <w:tc>
          <w:tcPr>
            <w:tcW w:w="208" w:type="pct"/>
            <w:tcBorders>
              <w:tl2br w:val="nil"/>
              <w:tr2bl w:val="nil"/>
            </w:tcBorders>
            <w:shd w:val="clear" w:color="auto" w:fill="auto"/>
            <w:tcMar>
              <w:top w:w="0" w:type="dxa"/>
              <w:left w:w="0" w:type="dxa"/>
              <w:bottom w:w="0" w:type="dxa"/>
              <w:right w:w="0" w:type="dxa"/>
            </w:tcMar>
            <w:vAlign w:val="center"/>
          </w:tcPr>
          <w:p w14:paraId="13FDA9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2#厂房</w:t>
            </w:r>
          </w:p>
        </w:tc>
        <w:tc>
          <w:tcPr>
            <w:tcW w:w="199" w:type="pct"/>
            <w:tcBorders>
              <w:tl2br w:val="nil"/>
              <w:tr2bl w:val="nil"/>
            </w:tcBorders>
            <w:shd w:val="clear" w:color="auto" w:fill="auto"/>
            <w:tcMar>
              <w:top w:w="0" w:type="dxa"/>
              <w:left w:w="0" w:type="dxa"/>
              <w:bottom w:w="0" w:type="dxa"/>
              <w:right w:w="0" w:type="dxa"/>
            </w:tcMar>
            <w:vAlign w:val="center"/>
          </w:tcPr>
          <w:p w14:paraId="73CD74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切纸机</w:t>
            </w:r>
          </w:p>
        </w:tc>
        <w:tc>
          <w:tcPr>
            <w:tcW w:w="240" w:type="pct"/>
            <w:tcBorders>
              <w:tl2br w:val="nil"/>
              <w:tr2bl w:val="nil"/>
            </w:tcBorders>
            <w:shd w:val="clear" w:color="auto" w:fill="auto"/>
            <w:tcMar>
              <w:top w:w="0" w:type="dxa"/>
              <w:left w:w="0" w:type="dxa"/>
              <w:bottom w:w="0" w:type="dxa"/>
              <w:right w:w="0" w:type="dxa"/>
            </w:tcMar>
            <w:vAlign w:val="center"/>
          </w:tcPr>
          <w:p w14:paraId="20E121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85</w:t>
            </w:r>
          </w:p>
        </w:tc>
        <w:tc>
          <w:tcPr>
            <w:tcW w:w="205" w:type="pct"/>
            <w:tcBorders>
              <w:tl2br w:val="nil"/>
              <w:tr2bl w:val="nil"/>
            </w:tcBorders>
            <w:shd w:val="clear" w:color="auto" w:fill="auto"/>
            <w:tcMar>
              <w:top w:w="0" w:type="dxa"/>
              <w:left w:w="0" w:type="dxa"/>
              <w:bottom w:w="0" w:type="dxa"/>
              <w:right w:w="0" w:type="dxa"/>
            </w:tcMar>
            <w:vAlign w:val="center"/>
          </w:tcPr>
          <w:p w14:paraId="6A3F33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隔声、减振</w:t>
            </w:r>
          </w:p>
        </w:tc>
        <w:tc>
          <w:tcPr>
            <w:tcW w:w="226" w:type="pct"/>
            <w:tcBorders>
              <w:tl2br w:val="nil"/>
              <w:tr2bl w:val="nil"/>
            </w:tcBorders>
            <w:shd w:val="clear" w:color="auto" w:fill="auto"/>
            <w:tcMar>
              <w:top w:w="0" w:type="dxa"/>
              <w:left w:w="0" w:type="dxa"/>
              <w:bottom w:w="0" w:type="dxa"/>
              <w:right w:w="0" w:type="dxa"/>
            </w:tcMar>
            <w:vAlign w:val="center"/>
          </w:tcPr>
          <w:p w14:paraId="47EF7E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40.1</w:t>
            </w:r>
          </w:p>
        </w:tc>
        <w:tc>
          <w:tcPr>
            <w:tcW w:w="226" w:type="pct"/>
            <w:tcBorders>
              <w:tl2br w:val="nil"/>
              <w:tr2bl w:val="nil"/>
            </w:tcBorders>
            <w:shd w:val="clear" w:color="auto" w:fill="auto"/>
            <w:tcMar>
              <w:top w:w="0" w:type="dxa"/>
              <w:left w:w="0" w:type="dxa"/>
              <w:bottom w:w="0" w:type="dxa"/>
              <w:right w:w="0" w:type="dxa"/>
            </w:tcMar>
            <w:vAlign w:val="center"/>
          </w:tcPr>
          <w:p w14:paraId="621B48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-2.3</w:t>
            </w:r>
          </w:p>
        </w:tc>
        <w:tc>
          <w:tcPr>
            <w:tcW w:w="228" w:type="pct"/>
            <w:tcBorders>
              <w:tl2br w:val="nil"/>
              <w:tr2bl w:val="nil"/>
            </w:tcBorders>
            <w:shd w:val="clear" w:color="auto" w:fill="auto"/>
            <w:tcMar>
              <w:top w:w="0" w:type="dxa"/>
              <w:left w:w="0" w:type="dxa"/>
              <w:bottom w:w="0" w:type="dxa"/>
              <w:right w:w="0" w:type="dxa"/>
            </w:tcMar>
            <w:vAlign w:val="center"/>
          </w:tcPr>
          <w:p w14:paraId="1DBE48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87" w:type="pct"/>
            <w:tcBorders>
              <w:tl2br w:val="nil"/>
              <w:tr2bl w:val="nil"/>
            </w:tcBorders>
            <w:shd w:val="clear" w:color="auto" w:fill="auto"/>
            <w:tcMar>
              <w:top w:w="0" w:type="dxa"/>
              <w:left w:w="0" w:type="dxa"/>
              <w:bottom w:w="0" w:type="dxa"/>
              <w:right w:w="0" w:type="dxa"/>
            </w:tcMar>
            <w:vAlign w:val="center"/>
          </w:tcPr>
          <w:p w14:paraId="575F6E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w:t>
            </w:r>
          </w:p>
        </w:tc>
        <w:tc>
          <w:tcPr>
            <w:tcW w:w="187" w:type="pct"/>
            <w:tcBorders>
              <w:tl2br w:val="nil"/>
              <w:tr2bl w:val="nil"/>
            </w:tcBorders>
            <w:shd w:val="clear" w:color="auto" w:fill="auto"/>
            <w:tcMar>
              <w:top w:w="0" w:type="dxa"/>
              <w:left w:w="0" w:type="dxa"/>
              <w:bottom w:w="0" w:type="dxa"/>
              <w:right w:w="0" w:type="dxa"/>
            </w:tcMar>
            <w:vAlign w:val="center"/>
          </w:tcPr>
          <w:p w14:paraId="714405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12.7</w:t>
            </w:r>
          </w:p>
        </w:tc>
        <w:tc>
          <w:tcPr>
            <w:tcW w:w="187" w:type="pct"/>
            <w:tcBorders>
              <w:tl2br w:val="nil"/>
              <w:tr2bl w:val="nil"/>
            </w:tcBorders>
            <w:shd w:val="clear" w:color="auto" w:fill="auto"/>
            <w:tcMar>
              <w:top w:w="0" w:type="dxa"/>
              <w:left w:w="0" w:type="dxa"/>
              <w:bottom w:w="0" w:type="dxa"/>
              <w:right w:w="0" w:type="dxa"/>
            </w:tcMar>
            <w:vAlign w:val="center"/>
          </w:tcPr>
          <w:p w14:paraId="648D0B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84.8</w:t>
            </w:r>
          </w:p>
        </w:tc>
        <w:tc>
          <w:tcPr>
            <w:tcW w:w="191" w:type="pct"/>
            <w:tcBorders>
              <w:tl2br w:val="nil"/>
              <w:tr2bl w:val="nil"/>
            </w:tcBorders>
            <w:shd w:val="clear" w:color="auto" w:fill="auto"/>
            <w:tcMar>
              <w:top w:w="0" w:type="dxa"/>
              <w:left w:w="0" w:type="dxa"/>
              <w:bottom w:w="0" w:type="dxa"/>
              <w:right w:w="0" w:type="dxa"/>
            </w:tcMar>
            <w:vAlign w:val="center"/>
          </w:tcPr>
          <w:p w14:paraId="45F819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27.6</w:t>
            </w:r>
          </w:p>
        </w:tc>
        <w:tc>
          <w:tcPr>
            <w:tcW w:w="185" w:type="pct"/>
            <w:tcBorders>
              <w:tl2br w:val="nil"/>
              <w:tr2bl w:val="nil"/>
            </w:tcBorders>
            <w:shd w:val="clear" w:color="auto" w:fill="auto"/>
            <w:tcMar>
              <w:top w:w="0" w:type="dxa"/>
              <w:left w:w="0" w:type="dxa"/>
              <w:bottom w:w="0" w:type="dxa"/>
              <w:right w:w="0" w:type="dxa"/>
            </w:tcMar>
            <w:vAlign w:val="center"/>
          </w:tcPr>
          <w:p w14:paraId="0CE0CA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68.4</w:t>
            </w:r>
          </w:p>
        </w:tc>
        <w:tc>
          <w:tcPr>
            <w:tcW w:w="185" w:type="pct"/>
            <w:tcBorders>
              <w:tl2br w:val="nil"/>
              <w:tr2bl w:val="nil"/>
            </w:tcBorders>
            <w:shd w:val="clear" w:color="auto" w:fill="auto"/>
            <w:tcMar>
              <w:top w:w="0" w:type="dxa"/>
              <w:left w:w="0" w:type="dxa"/>
              <w:bottom w:w="0" w:type="dxa"/>
              <w:right w:w="0" w:type="dxa"/>
            </w:tcMar>
            <w:vAlign w:val="center"/>
          </w:tcPr>
          <w:p w14:paraId="63B0F5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68.3</w:t>
            </w:r>
          </w:p>
        </w:tc>
        <w:tc>
          <w:tcPr>
            <w:tcW w:w="185" w:type="pct"/>
            <w:tcBorders>
              <w:tl2br w:val="nil"/>
              <w:tr2bl w:val="nil"/>
            </w:tcBorders>
            <w:shd w:val="clear" w:color="auto" w:fill="auto"/>
            <w:tcMar>
              <w:top w:w="0" w:type="dxa"/>
              <w:left w:w="0" w:type="dxa"/>
              <w:bottom w:w="0" w:type="dxa"/>
              <w:right w:w="0" w:type="dxa"/>
            </w:tcMar>
            <w:vAlign w:val="center"/>
          </w:tcPr>
          <w:p w14:paraId="723957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68.2</w:t>
            </w:r>
          </w:p>
        </w:tc>
        <w:tc>
          <w:tcPr>
            <w:tcW w:w="186" w:type="pct"/>
            <w:tcBorders>
              <w:tl2br w:val="nil"/>
              <w:tr2bl w:val="nil"/>
            </w:tcBorders>
            <w:shd w:val="clear" w:color="auto" w:fill="auto"/>
            <w:tcMar>
              <w:top w:w="0" w:type="dxa"/>
              <w:left w:w="0" w:type="dxa"/>
              <w:bottom w:w="0" w:type="dxa"/>
              <w:right w:w="0" w:type="dxa"/>
            </w:tcMar>
            <w:vAlign w:val="center"/>
          </w:tcPr>
          <w:p w14:paraId="1101EC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68.3</w:t>
            </w:r>
          </w:p>
        </w:tc>
        <w:tc>
          <w:tcPr>
            <w:tcW w:w="161" w:type="pct"/>
            <w:vMerge w:val="continue"/>
            <w:tcBorders>
              <w:tl2br w:val="nil"/>
              <w:tr2bl w:val="nil"/>
            </w:tcBorders>
            <w:shd w:val="clear" w:color="auto" w:fill="auto"/>
            <w:tcMar>
              <w:top w:w="0" w:type="dxa"/>
              <w:left w:w="0" w:type="dxa"/>
              <w:bottom w:w="0" w:type="dxa"/>
              <w:right w:w="0" w:type="dxa"/>
            </w:tcMar>
            <w:vAlign w:val="center"/>
          </w:tcPr>
          <w:p w14:paraId="54D99F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p>
        </w:tc>
        <w:tc>
          <w:tcPr>
            <w:tcW w:w="178" w:type="pct"/>
            <w:tcBorders>
              <w:tl2br w:val="nil"/>
              <w:tr2bl w:val="nil"/>
            </w:tcBorders>
            <w:shd w:val="clear" w:color="auto" w:fill="auto"/>
            <w:tcMar>
              <w:top w:w="0" w:type="dxa"/>
              <w:left w:w="0" w:type="dxa"/>
              <w:bottom w:w="0" w:type="dxa"/>
              <w:right w:w="0" w:type="dxa"/>
            </w:tcMar>
            <w:vAlign w:val="center"/>
          </w:tcPr>
          <w:p w14:paraId="132D0B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37836D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70C9DB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81" w:type="pct"/>
            <w:tcBorders>
              <w:tl2br w:val="nil"/>
              <w:tr2bl w:val="nil"/>
            </w:tcBorders>
            <w:shd w:val="clear" w:color="auto" w:fill="auto"/>
            <w:tcMar>
              <w:top w:w="0" w:type="dxa"/>
              <w:left w:w="0" w:type="dxa"/>
              <w:bottom w:w="0" w:type="dxa"/>
              <w:right w:w="0" w:type="dxa"/>
            </w:tcMar>
            <w:vAlign w:val="center"/>
          </w:tcPr>
          <w:p w14:paraId="0197AC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90" w:type="pct"/>
            <w:tcBorders>
              <w:tl2br w:val="nil"/>
              <w:tr2bl w:val="nil"/>
            </w:tcBorders>
            <w:shd w:val="clear" w:color="auto" w:fill="auto"/>
            <w:tcMar>
              <w:top w:w="0" w:type="dxa"/>
              <w:left w:w="0" w:type="dxa"/>
              <w:bottom w:w="0" w:type="dxa"/>
              <w:right w:w="0" w:type="dxa"/>
            </w:tcMar>
            <w:vAlign w:val="center"/>
          </w:tcPr>
          <w:p w14:paraId="7B3FDE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52.4</w:t>
            </w:r>
          </w:p>
        </w:tc>
        <w:tc>
          <w:tcPr>
            <w:tcW w:w="190" w:type="pct"/>
            <w:tcBorders>
              <w:tl2br w:val="nil"/>
              <w:tr2bl w:val="nil"/>
            </w:tcBorders>
            <w:shd w:val="clear" w:color="auto" w:fill="auto"/>
            <w:tcMar>
              <w:top w:w="0" w:type="dxa"/>
              <w:left w:w="0" w:type="dxa"/>
              <w:bottom w:w="0" w:type="dxa"/>
              <w:right w:w="0" w:type="dxa"/>
            </w:tcMar>
            <w:vAlign w:val="center"/>
          </w:tcPr>
          <w:p w14:paraId="78374C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52.3</w:t>
            </w:r>
          </w:p>
        </w:tc>
        <w:tc>
          <w:tcPr>
            <w:tcW w:w="190" w:type="pct"/>
            <w:tcBorders>
              <w:tl2br w:val="nil"/>
              <w:tr2bl w:val="nil"/>
            </w:tcBorders>
            <w:shd w:val="clear" w:color="auto" w:fill="auto"/>
            <w:tcMar>
              <w:top w:w="0" w:type="dxa"/>
              <w:left w:w="0" w:type="dxa"/>
              <w:bottom w:w="0" w:type="dxa"/>
              <w:right w:w="0" w:type="dxa"/>
            </w:tcMar>
            <w:vAlign w:val="center"/>
          </w:tcPr>
          <w:p w14:paraId="11EFEC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52.2</w:t>
            </w:r>
          </w:p>
        </w:tc>
        <w:tc>
          <w:tcPr>
            <w:tcW w:w="190" w:type="pct"/>
            <w:tcBorders>
              <w:tl2br w:val="nil"/>
              <w:tr2bl w:val="nil"/>
            </w:tcBorders>
            <w:shd w:val="clear" w:color="auto" w:fill="auto"/>
            <w:tcMar>
              <w:top w:w="0" w:type="dxa"/>
              <w:left w:w="0" w:type="dxa"/>
              <w:bottom w:w="0" w:type="dxa"/>
              <w:right w:w="0" w:type="dxa"/>
            </w:tcMar>
            <w:vAlign w:val="center"/>
          </w:tcPr>
          <w:p w14:paraId="0BD72B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52.3</w:t>
            </w:r>
          </w:p>
        </w:tc>
        <w:tc>
          <w:tcPr>
            <w:tcW w:w="172" w:type="pct"/>
            <w:tcBorders>
              <w:tl2br w:val="nil"/>
              <w:tr2bl w:val="nil"/>
            </w:tcBorders>
            <w:shd w:val="clear" w:color="auto" w:fill="auto"/>
            <w:tcMar>
              <w:top w:w="0" w:type="dxa"/>
              <w:left w:w="0" w:type="dxa"/>
              <w:bottom w:w="0" w:type="dxa"/>
              <w:right w:w="0" w:type="dxa"/>
            </w:tcMar>
            <w:vAlign w:val="center"/>
          </w:tcPr>
          <w:p w14:paraId="407F8E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r>
      <w:tr w14:paraId="61926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 w:type="pct"/>
            <w:tcBorders>
              <w:tl2br w:val="nil"/>
              <w:tr2bl w:val="nil"/>
            </w:tcBorders>
            <w:shd w:val="clear" w:color="auto" w:fill="auto"/>
            <w:tcMar>
              <w:top w:w="0" w:type="dxa"/>
              <w:left w:w="0" w:type="dxa"/>
              <w:bottom w:w="0" w:type="dxa"/>
              <w:right w:w="0" w:type="dxa"/>
            </w:tcMar>
            <w:vAlign w:val="center"/>
          </w:tcPr>
          <w:p w14:paraId="7A0A34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w:t>
            </w:r>
          </w:p>
        </w:tc>
        <w:tc>
          <w:tcPr>
            <w:tcW w:w="208" w:type="pct"/>
            <w:tcBorders>
              <w:tl2br w:val="nil"/>
              <w:tr2bl w:val="nil"/>
            </w:tcBorders>
            <w:shd w:val="clear" w:color="auto" w:fill="auto"/>
            <w:tcMar>
              <w:top w:w="0" w:type="dxa"/>
              <w:left w:w="0" w:type="dxa"/>
              <w:bottom w:w="0" w:type="dxa"/>
              <w:right w:w="0" w:type="dxa"/>
            </w:tcMar>
            <w:vAlign w:val="center"/>
          </w:tcPr>
          <w:p w14:paraId="7C78CD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2#厂房</w:t>
            </w:r>
          </w:p>
        </w:tc>
        <w:tc>
          <w:tcPr>
            <w:tcW w:w="199" w:type="pct"/>
            <w:tcBorders>
              <w:tl2br w:val="nil"/>
              <w:tr2bl w:val="nil"/>
            </w:tcBorders>
            <w:shd w:val="clear" w:color="auto" w:fill="auto"/>
            <w:tcMar>
              <w:top w:w="0" w:type="dxa"/>
              <w:left w:w="0" w:type="dxa"/>
              <w:bottom w:w="0" w:type="dxa"/>
              <w:right w:w="0" w:type="dxa"/>
            </w:tcMar>
            <w:vAlign w:val="center"/>
          </w:tcPr>
          <w:p w14:paraId="6162DB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胶订机</w:t>
            </w:r>
          </w:p>
        </w:tc>
        <w:tc>
          <w:tcPr>
            <w:tcW w:w="240" w:type="pct"/>
            <w:tcBorders>
              <w:tl2br w:val="nil"/>
              <w:tr2bl w:val="nil"/>
            </w:tcBorders>
            <w:shd w:val="clear" w:color="auto" w:fill="auto"/>
            <w:tcMar>
              <w:top w:w="0" w:type="dxa"/>
              <w:left w:w="0" w:type="dxa"/>
              <w:bottom w:w="0" w:type="dxa"/>
              <w:right w:w="0" w:type="dxa"/>
            </w:tcMar>
            <w:vAlign w:val="center"/>
          </w:tcPr>
          <w:p w14:paraId="0B22F6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w:t>
            </w:r>
          </w:p>
        </w:tc>
        <w:tc>
          <w:tcPr>
            <w:tcW w:w="205" w:type="pct"/>
            <w:tcBorders>
              <w:tl2br w:val="nil"/>
              <w:tr2bl w:val="nil"/>
            </w:tcBorders>
            <w:shd w:val="clear" w:color="auto" w:fill="auto"/>
            <w:tcMar>
              <w:top w:w="0" w:type="dxa"/>
              <w:left w:w="0" w:type="dxa"/>
              <w:bottom w:w="0" w:type="dxa"/>
              <w:right w:w="0" w:type="dxa"/>
            </w:tcMar>
            <w:vAlign w:val="center"/>
          </w:tcPr>
          <w:p w14:paraId="59201E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隔声、减振</w:t>
            </w:r>
          </w:p>
        </w:tc>
        <w:tc>
          <w:tcPr>
            <w:tcW w:w="226" w:type="pct"/>
            <w:tcBorders>
              <w:tl2br w:val="nil"/>
              <w:tr2bl w:val="nil"/>
            </w:tcBorders>
            <w:shd w:val="clear" w:color="auto" w:fill="auto"/>
            <w:tcMar>
              <w:top w:w="0" w:type="dxa"/>
              <w:left w:w="0" w:type="dxa"/>
              <w:bottom w:w="0" w:type="dxa"/>
              <w:right w:w="0" w:type="dxa"/>
            </w:tcMar>
            <w:vAlign w:val="center"/>
          </w:tcPr>
          <w:p w14:paraId="41C150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47.6</w:t>
            </w:r>
          </w:p>
        </w:tc>
        <w:tc>
          <w:tcPr>
            <w:tcW w:w="226" w:type="pct"/>
            <w:tcBorders>
              <w:tl2br w:val="nil"/>
              <w:tr2bl w:val="nil"/>
            </w:tcBorders>
            <w:shd w:val="clear" w:color="auto" w:fill="auto"/>
            <w:tcMar>
              <w:top w:w="0" w:type="dxa"/>
              <w:left w:w="0" w:type="dxa"/>
              <w:bottom w:w="0" w:type="dxa"/>
              <w:right w:w="0" w:type="dxa"/>
            </w:tcMar>
            <w:vAlign w:val="center"/>
          </w:tcPr>
          <w:p w14:paraId="5939FB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-4.5</w:t>
            </w:r>
          </w:p>
        </w:tc>
        <w:tc>
          <w:tcPr>
            <w:tcW w:w="228" w:type="pct"/>
            <w:tcBorders>
              <w:tl2br w:val="nil"/>
              <w:tr2bl w:val="nil"/>
            </w:tcBorders>
            <w:shd w:val="clear" w:color="auto" w:fill="auto"/>
            <w:tcMar>
              <w:top w:w="0" w:type="dxa"/>
              <w:left w:w="0" w:type="dxa"/>
              <w:bottom w:w="0" w:type="dxa"/>
              <w:right w:w="0" w:type="dxa"/>
            </w:tcMar>
            <w:vAlign w:val="center"/>
          </w:tcPr>
          <w:p w14:paraId="342974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87" w:type="pct"/>
            <w:tcBorders>
              <w:tl2br w:val="nil"/>
              <w:tr2bl w:val="nil"/>
            </w:tcBorders>
            <w:shd w:val="clear" w:color="auto" w:fill="auto"/>
            <w:tcMar>
              <w:top w:w="0" w:type="dxa"/>
              <w:left w:w="0" w:type="dxa"/>
              <w:bottom w:w="0" w:type="dxa"/>
              <w:right w:w="0" w:type="dxa"/>
            </w:tcMar>
            <w:vAlign w:val="center"/>
          </w:tcPr>
          <w:p w14:paraId="4E77BE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w:t>
            </w:r>
          </w:p>
        </w:tc>
        <w:tc>
          <w:tcPr>
            <w:tcW w:w="187" w:type="pct"/>
            <w:tcBorders>
              <w:tl2br w:val="nil"/>
              <w:tr2bl w:val="nil"/>
            </w:tcBorders>
            <w:shd w:val="clear" w:color="auto" w:fill="auto"/>
            <w:tcMar>
              <w:top w:w="0" w:type="dxa"/>
              <w:left w:w="0" w:type="dxa"/>
              <w:bottom w:w="0" w:type="dxa"/>
              <w:right w:w="0" w:type="dxa"/>
            </w:tcMar>
            <w:vAlign w:val="center"/>
          </w:tcPr>
          <w:p w14:paraId="2869F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10.5</w:t>
            </w:r>
          </w:p>
        </w:tc>
        <w:tc>
          <w:tcPr>
            <w:tcW w:w="187" w:type="pct"/>
            <w:tcBorders>
              <w:tl2br w:val="nil"/>
              <w:tr2bl w:val="nil"/>
            </w:tcBorders>
            <w:shd w:val="clear" w:color="auto" w:fill="auto"/>
            <w:tcMar>
              <w:top w:w="0" w:type="dxa"/>
              <w:left w:w="0" w:type="dxa"/>
              <w:bottom w:w="0" w:type="dxa"/>
              <w:right w:w="0" w:type="dxa"/>
            </w:tcMar>
            <w:vAlign w:val="center"/>
          </w:tcPr>
          <w:p w14:paraId="44770C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92.3</w:t>
            </w:r>
          </w:p>
        </w:tc>
        <w:tc>
          <w:tcPr>
            <w:tcW w:w="191" w:type="pct"/>
            <w:tcBorders>
              <w:tl2br w:val="nil"/>
              <w:tr2bl w:val="nil"/>
            </w:tcBorders>
            <w:shd w:val="clear" w:color="auto" w:fill="auto"/>
            <w:tcMar>
              <w:top w:w="0" w:type="dxa"/>
              <w:left w:w="0" w:type="dxa"/>
              <w:bottom w:w="0" w:type="dxa"/>
              <w:right w:w="0" w:type="dxa"/>
            </w:tcMar>
            <w:vAlign w:val="center"/>
          </w:tcPr>
          <w:p w14:paraId="705070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29.8</w:t>
            </w:r>
          </w:p>
        </w:tc>
        <w:tc>
          <w:tcPr>
            <w:tcW w:w="185" w:type="pct"/>
            <w:tcBorders>
              <w:tl2br w:val="nil"/>
              <w:tr2bl w:val="nil"/>
            </w:tcBorders>
            <w:shd w:val="clear" w:color="auto" w:fill="auto"/>
            <w:tcMar>
              <w:top w:w="0" w:type="dxa"/>
              <w:left w:w="0" w:type="dxa"/>
              <w:bottom w:w="0" w:type="dxa"/>
              <w:right w:w="0" w:type="dxa"/>
            </w:tcMar>
            <w:vAlign w:val="center"/>
          </w:tcPr>
          <w:p w14:paraId="4514FA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65.3</w:t>
            </w:r>
          </w:p>
        </w:tc>
        <w:tc>
          <w:tcPr>
            <w:tcW w:w="185" w:type="pct"/>
            <w:tcBorders>
              <w:tl2br w:val="nil"/>
              <w:tr2bl w:val="nil"/>
            </w:tcBorders>
            <w:shd w:val="clear" w:color="auto" w:fill="auto"/>
            <w:tcMar>
              <w:top w:w="0" w:type="dxa"/>
              <w:left w:w="0" w:type="dxa"/>
              <w:bottom w:w="0" w:type="dxa"/>
              <w:right w:w="0" w:type="dxa"/>
            </w:tcMar>
            <w:vAlign w:val="center"/>
          </w:tcPr>
          <w:p w14:paraId="0E3A92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63.4</w:t>
            </w:r>
          </w:p>
        </w:tc>
        <w:tc>
          <w:tcPr>
            <w:tcW w:w="185" w:type="pct"/>
            <w:tcBorders>
              <w:tl2br w:val="nil"/>
              <w:tr2bl w:val="nil"/>
            </w:tcBorders>
            <w:shd w:val="clear" w:color="auto" w:fill="auto"/>
            <w:tcMar>
              <w:top w:w="0" w:type="dxa"/>
              <w:left w:w="0" w:type="dxa"/>
              <w:bottom w:w="0" w:type="dxa"/>
              <w:right w:w="0" w:type="dxa"/>
            </w:tcMar>
            <w:vAlign w:val="center"/>
          </w:tcPr>
          <w:p w14:paraId="192D47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63.2</w:t>
            </w:r>
          </w:p>
        </w:tc>
        <w:tc>
          <w:tcPr>
            <w:tcW w:w="186" w:type="pct"/>
            <w:tcBorders>
              <w:tl2br w:val="nil"/>
              <w:tr2bl w:val="nil"/>
            </w:tcBorders>
            <w:shd w:val="clear" w:color="auto" w:fill="auto"/>
            <w:tcMar>
              <w:top w:w="0" w:type="dxa"/>
              <w:left w:w="0" w:type="dxa"/>
              <w:bottom w:w="0" w:type="dxa"/>
              <w:right w:w="0" w:type="dxa"/>
            </w:tcMar>
            <w:vAlign w:val="center"/>
          </w:tcPr>
          <w:p w14:paraId="2D3585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63.3</w:t>
            </w:r>
          </w:p>
        </w:tc>
        <w:tc>
          <w:tcPr>
            <w:tcW w:w="161" w:type="pct"/>
            <w:vMerge w:val="continue"/>
            <w:tcBorders>
              <w:tl2br w:val="nil"/>
              <w:tr2bl w:val="nil"/>
            </w:tcBorders>
            <w:shd w:val="clear" w:color="auto" w:fill="auto"/>
            <w:tcMar>
              <w:top w:w="0" w:type="dxa"/>
              <w:left w:w="0" w:type="dxa"/>
              <w:bottom w:w="0" w:type="dxa"/>
              <w:right w:w="0" w:type="dxa"/>
            </w:tcMar>
            <w:vAlign w:val="center"/>
          </w:tcPr>
          <w:p w14:paraId="62612F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p>
        </w:tc>
        <w:tc>
          <w:tcPr>
            <w:tcW w:w="178" w:type="pct"/>
            <w:tcBorders>
              <w:tl2br w:val="nil"/>
              <w:tr2bl w:val="nil"/>
            </w:tcBorders>
            <w:shd w:val="clear" w:color="auto" w:fill="auto"/>
            <w:tcMar>
              <w:top w:w="0" w:type="dxa"/>
              <w:left w:w="0" w:type="dxa"/>
              <w:bottom w:w="0" w:type="dxa"/>
              <w:right w:w="0" w:type="dxa"/>
            </w:tcMar>
            <w:vAlign w:val="center"/>
          </w:tcPr>
          <w:p w14:paraId="209FEA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1D23E8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7F2FC5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81" w:type="pct"/>
            <w:tcBorders>
              <w:tl2br w:val="nil"/>
              <w:tr2bl w:val="nil"/>
            </w:tcBorders>
            <w:shd w:val="clear" w:color="auto" w:fill="auto"/>
            <w:tcMar>
              <w:top w:w="0" w:type="dxa"/>
              <w:left w:w="0" w:type="dxa"/>
              <w:bottom w:w="0" w:type="dxa"/>
              <w:right w:w="0" w:type="dxa"/>
            </w:tcMar>
            <w:vAlign w:val="center"/>
          </w:tcPr>
          <w:p w14:paraId="2657C4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90" w:type="pct"/>
            <w:tcBorders>
              <w:tl2br w:val="nil"/>
              <w:tr2bl w:val="nil"/>
            </w:tcBorders>
            <w:shd w:val="clear" w:color="auto" w:fill="auto"/>
            <w:tcMar>
              <w:top w:w="0" w:type="dxa"/>
              <w:left w:w="0" w:type="dxa"/>
              <w:bottom w:w="0" w:type="dxa"/>
              <w:right w:w="0" w:type="dxa"/>
            </w:tcMar>
            <w:vAlign w:val="center"/>
          </w:tcPr>
          <w:p w14:paraId="237C85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49.3</w:t>
            </w:r>
          </w:p>
        </w:tc>
        <w:tc>
          <w:tcPr>
            <w:tcW w:w="190" w:type="pct"/>
            <w:tcBorders>
              <w:tl2br w:val="nil"/>
              <w:tr2bl w:val="nil"/>
            </w:tcBorders>
            <w:shd w:val="clear" w:color="auto" w:fill="auto"/>
            <w:tcMar>
              <w:top w:w="0" w:type="dxa"/>
              <w:left w:w="0" w:type="dxa"/>
              <w:bottom w:w="0" w:type="dxa"/>
              <w:right w:w="0" w:type="dxa"/>
            </w:tcMar>
            <w:vAlign w:val="center"/>
          </w:tcPr>
          <w:p w14:paraId="374652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47.4</w:t>
            </w:r>
          </w:p>
        </w:tc>
        <w:tc>
          <w:tcPr>
            <w:tcW w:w="190" w:type="pct"/>
            <w:tcBorders>
              <w:tl2br w:val="nil"/>
              <w:tr2bl w:val="nil"/>
            </w:tcBorders>
            <w:shd w:val="clear" w:color="auto" w:fill="auto"/>
            <w:tcMar>
              <w:top w:w="0" w:type="dxa"/>
              <w:left w:w="0" w:type="dxa"/>
              <w:bottom w:w="0" w:type="dxa"/>
              <w:right w:w="0" w:type="dxa"/>
            </w:tcMar>
            <w:vAlign w:val="center"/>
          </w:tcPr>
          <w:p w14:paraId="564DF6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47.2</w:t>
            </w:r>
          </w:p>
        </w:tc>
        <w:tc>
          <w:tcPr>
            <w:tcW w:w="190" w:type="pct"/>
            <w:tcBorders>
              <w:tl2br w:val="nil"/>
              <w:tr2bl w:val="nil"/>
            </w:tcBorders>
            <w:shd w:val="clear" w:color="auto" w:fill="auto"/>
            <w:tcMar>
              <w:top w:w="0" w:type="dxa"/>
              <w:left w:w="0" w:type="dxa"/>
              <w:bottom w:w="0" w:type="dxa"/>
              <w:right w:w="0" w:type="dxa"/>
            </w:tcMar>
            <w:vAlign w:val="center"/>
          </w:tcPr>
          <w:p w14:paraId="3A9A66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47.3</w:t>
            </w:r>
          </w:p>
        </w:tc>
        <w:tc>
          <w:tcPr>
            <w:tcW w:w="172" w:type="pct"/>
            <w:tcBorders>
              <w:tl2br w:val="nil"/>
              <w:tr2bl w:val="nil"/>
            </w:tcBorders>
            <w:shd w:val="clear" w:color="auto" w:fill="auto"/>
            <w:tcMar>
              <w:top w:w="0" w:type="dxa"/>
              <w:left w:w="0" w:type="dxa"/>
              <w:bottom w:w="0" w:type="dxa"/>
              <w:right w:w="0" w:type="dxa"/>
            </w:tcMar>
            <w:vAlign w:val="center"/>
          </w:tcPr>
          <w:p w14:paraId="4E767D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r>
      <w:tr w14:paraId="10473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61" w:type="pct"/>
            <w:tcBorders>
              <w:tl2br w:val="nil"/>
              <w:tr2bl w:val="nil"/>
            </w:tcBorders>
            <w:shd w:val="clear" w:color="auto" w:fill="auto"/>
            <w:tcMar>
              <w:top w:w="0" w:type="dxa"/>
              <w:left w:w="0" w:type="dxa"/>
              <w:bottom w:w="0" w:type="dxa"/>
              <w:right w:w="0" w:type="dxa"/>
            </w:tcMar>
            <w:vAlign w:val="center"/>
          </w:tcPr>
          <w:p w14:paraId="719C52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w:t>
            </w:r>
          </w:p>
        </w:tc>
        <w:tc>
          <w:tcPr>
            <w:tcW w:w="208" w:type="pct"/>
            <w:tcBorders>
              <w:tl2br w:val="nil"/>
              <w:tr2bl w:val="nil"/>
            </w:tcBorders>
            <w:shd w:val="clear" w:color="auto" w:fill="auto"/>
            <w:tcMar>
              <w:top w:w="0" w:type="dxa"/>
              <w:left w:w="0" w:type="dxa"/>
              <w:bottom w:w="0" w:type="dxa"/>
              <w:right w:w="0" w:type="dxa"/>
            </w:tcMar>
            <w:vAlign w:val="center"/>
          </w:tcPr>
          <w:p w14:paraId="2E95C9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1#厂房</w:t>
            </w:r>
          </w:p>
        </w:tc>
        <w:tc>
          <w:tcPr>
            <w:tcW w:w="199" w:type="pct"/>
            <w:tcBorders>
              <w:tl2br w:val="nil"/>
              <w:tr2bl w:val="nil"/>
            </w:tcBorders>
            <w:shd w:val="clear" w:color="auto" w:fill="auto"/>
            <w:tcMar>
              <w:top w:w="0" w:type="dxa"/>
              <w:left w:w="0" w:type="dxa"/>
              <w:bottom w:w="0" w:type="dxa"/>
              <w:right w:w="0" w:type="dxa"/>
            </w:tcMar>
            <w:vAlign w:val="center"/>
          </w:tcPr>
          <w:p w14:paraId="3341AA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分切机,4台（按点声源组预测）</w:t>
            </w:r>
          </w:p>
        </w:tc>
        <w:tc>
          <w:tcPr>
            <w:tcW w:w="240" w:type="pct"/>
            <w:tcBorders>
              <w:tl2br w:val="nil"/>
              <w:tr2bl w:val="nil"/>
            </w:tcBorders>
            <w:shd w:val="clear" w:color="auto" w:fill="auto"/>
            <w:tcMar>
              <w:top w:w="0" w:type="dxa"/>
              <w:left w:w="0" w:type="dxa"/>
              <w:bottom w:w="0" w:type="dxa"/>
              <w:right w:w="0" w:type="dxa"/>
            </w:tcMar>
            <w:vAlign w:val="center"/>
          </w:tcPr>
          <w:p w14:paraId="3EB901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80（等效后：86.0)</w:t>
            </w:r>
          </w:p>
        </w:tc>
        <w:tc>
          <w:tcPr>
            <w:tcW w:w="205" w:type="pct"/>
            <w:tcBorders>
              <w:tl2br w:val="nil"/>
              <w:tr2bl w:val="nil"/>
            </w:tcBorders>
            <w:shd w:val="clear" w:color="auto" w:fill="auto"/>
            <w:tcMar>
              <w:top w:w="0" w:type="dxa"/>
              <w:left w:w="0" w:type="dxa"/>
              <w:bottom w:w="0" w:type="dxa"/>
              <w:right w:w="0" w:type="dxa"/>
            </w:tcMar>
            <w:vAlign w:val="center"/>
          </w:tcPr>
          <w:p w14:paraId="1F2077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隔声、减震</w:t>
            </w:r>
          </w:p>
        </w:tc>
        <w:tc>
          <w:tcPr>
            <w:tcW w:w="226" w:type="pct"/>
            <w:tcBorders>
              <w:tl2br w:val="nil"/>
              <w:tr2bl w:val="nil"/>
            </w:tcBorders>
            <w:shd w:val="clear" w:color="auto" w:fill="auto"/>
            <w:tcMar>
              <w:top w:w="0" w:type="dxa"/>
              <w:left w:w="0" w:type="dxa"/>
              <w:bottom w:w="0" w:type="dxa"/>
              <w:right w:w="0" w:type="dxa"/>
            </w:tcMar>
            <w:vAlign w:val="center"/>
          </w:tcPr>
          <w:p w14:paraId="7B7593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-17.6</w:t>
            </w:r>
          </w:p>
        </w:tc>
        <w:tc>
          <w:tcPr>
            <w:tcW w:w="226" w:type="pct"/>
            <w:tcBorders>
              <w:tl2br w:val="nil"/>
              <w:tr2bl w:val="nil"/>
            </w:tcBorders>
            <w:shd w:val="clear" w:color="auto" w:fill="auto"/>
            <w:tcMar>
              <w:top w:w="0" w:type="dxa"/>
              <w:left w:w="0" w:type="dxa"/>
              <w:bottom w:w="0" w:type="dxa"/>
              <w:right w:w="0" w:type="dxa"/>
            </w:tcMar>
            <w:vAlign w:val="center"/>
          </w:tcPr>
          <w:p w14:paraId="1CA1F1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55.1</w:t>
            </w:r>
          </w:p>
        </w:tc>
        <w:tc>
          <w:tcPr>
            <w:tcW w:w="228" w:type="pct"/>
            <w:tcBorders>
              <w:tl2br w:val="nil"/>
              <w:tr2bl w:val="nil"/>
            </w:tcBorders>
            <w:shd w:val="clear" w:color="auto" w:fill="auto"/>
            <w:tcMar>
              <w:top w:w="0" w:type="dxa"/>
              <w:left w:w="0" w:type="dxa"/>
              <w:bottom w:w="0" w:type="dxa"/>
              <w:right w:w="0" w:type="dxa"/>
            </w:tcMar>
            <w:vAlign w:val="center"/>
          </w:tcPr>
          <w:p w14:paraId="764CAD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87" w:type="pct"/>
            <w:tcBorders>
              <w:tl2br w:val="nil"/>
              <w:tr2bl w:val="nil"/>
            </w:tcBorders>
            <w:shd w:val="clear" w:color="auto" w:fill="auto"/>
            <w:tcMar>
              <w:top w:w="0" w:type="dxa"/>
              <w:left w:w="0" w:type="dxa"/>
              <w:bottom w:w="0" w:type="dxa"/>
              <w:right w:w="0" w:type="dxa"/>
            </w:tcMar>
            <w:vAlign w:val="center"/>
          </w:tcPr>
          <w:p w14:paraId="66C037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67.5</w:t>
            </w:r>
          </w:p>
        </w:tc>
        <w:tc>
          <w:tcPr>
            <w:tcW w:w="187" w:type="pct"/>
            <w:tcBorders>
              <w:tl2br w:val="nil"/>
              <w:tr2bl w:val="nil"/>
            </w:tcBorders>
            <w:shd w:val="clear" w:color="auto" w:fill="auto"/>
            <w:tcMar>
              <w:top w:w="0" w:type="dxa"/>
              <w:left w:w="0" w:type="dxa"/>
              <w:bottom w:w="0" w:type="dxa"/>
              <w:right w:w="0" w:type="dxa"/>
            </w:tcMar>
            <w:vAlign w:val="center"/>
          </w:tcPr>
          <w:p w14:paraId="280335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21.8</w:t>
            </w:r>
          </w:p>
        </w:tc>
        <w:tc>
          <w:tcPr>
            <w:tcW w:w="187" w:type="pct"/>
            <w:tcBorders>
              <w:tl2br w:val="nil"/>
              <w:tr2bl w:val="nil"/>
            </w:tcBorders>
            <w:shd w:val="clear" w:color="auto" w:fill="auto"/>
            <w:tcMar>
              <w:top w:w="0" w:type="dxa"/>
              <w:left w:w="0" w:type="dxa"/>
              <w:bottom w:w="0" w:type="dxa"/>
              <w:right w:w="0" w:type="dxa"/>
            </w:tcMar>
            <w:vAlign w:val="center"/>
          </w:tcPr>
          <w:p w14:paraId="1FDED1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27.6</w:t>
            </w:r>
          </w:p>
        </w:tc>
        <w:tc>
          <w:tcPr>
            <w:tcW w:w="191" w:type="pct"/>
            <w:tcBorders>
              <w:tl2br w:val="nil"/>
              <w:tr2bl w:val="nil"/>
            </w:tcBorders>
            <w:shd w:val="clear" w:color="auto" w:fill="auto"/>
            <w:tcMar>
              <w:top w:w="0" w:type="dxa"/>
              <w:left w:w="0" w:type="dxa"/>
              <w:bottom w:w="0" w:type="dxa"/>
              <w:right w:w="0" w:type="dxa"/>
            </w:tcMar>
            <w:vAlign w:val="center"/>
          </w:tcPr>
          <w:p w14:paraId="7DC7CE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19.0</w:t>
            </w:r>
          </w:p>
        </w:tc>
        <w:tc>
          <w:tcPr>
            <w:tcW w:w="185" w:type="pct"/>
            <w:tcBorders>
              <w:tl2br w:val="nil"/>
              <w:tr2bl w:val="nil"/>
            </w:tcBorders>
            <w:shd w:val="clear" w:color="auto" w:fill="auto"/>
            <w:tcMar>
              <w:top w:w="0" w:type="dxa"/>
              <w:left w:w="0" w:type="dxa"/>
              <w:bottom w:w="0" w:type="dxa"/>
              <w:right w:w="0" w:type="dxa"/>
            </w:tcMar>
            <w:vAlign w:val="center"/>
          </w:tcPr>
          <w:p w14:paraId="5E57BE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69.2</w:t>
            </w:r>
          </w:p>
        </w:tc>
        <w:tc>
          <w:tcPr>
            <w:tcW w:w="185" w:type="pct"/>
            <w:tcBorders>
              <w:tl2br w:val="nil"/>
              <w:tr2bl w:val="nil"/>
            </w:tcBorders>
            <w:shd w:val="clear" w:color="auto" w:fill="auto"/>
            <w:tcMar>
              <w:top w:w="0" w:type="dxa"/>
              <w:left w:w="0" w:type="dxa"/>
              <w:bottom w:w="0" w:type="dxa"/>
              <w:right w:w="0" w:type="dxa"/>
            </w:tcMar>
            <w:vAlign w:val="center"/>
          </w:tcPr>
          <w:p w14:paraId="7E6BE9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69.2</w:t>
            </w:r>
          </w:p>
        </w:tc>
        <w:tc>
          <w:tcPr>
            <w:tcW w:w="185" w:type="pct"/>
            <w:tcBorders>
              <w:tl2br w:val="nil"/>
              <w:tr2bl w:val="nil"/>
            </w:tcBorders>
            <w:shd w:val="clear" w:color="auto" w:fill="auto"/>
            <w:tcMar>
              <w:top w:w="0" w:type="dxa"/>
              <w:left w:w="0" w:type="dxa"/>
              <w:bottom w:w="0" w:type="dxa"/>
              <w:right w:w="0" w:type="dxa"/>
            </w:tcMar>
            <w:vAlign w:val="center"/>
          </w:tcPr>
          <w:p w14:paraId="4CE63C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69.2</w:t>
            </w:r>
          </w:p>
        </w:tc>
        <w:tc>
          <w:tcPr>
            <w:tcW w:w="186" w:type="pct"/>
            <w:tcBorders>
              <w:tl2br w:val="nil"/>
              <w:tr2bl w:val="nil"/>
            </w:tcBorders>
            <w:shd w:val="clear" w:color="auto" w:fill="auto"/>
            <w:tcMar>
              <w:top w:w="0" w:type="dxa"/>
              <w:left w:w="0" w:type="dxa"/>
              <w:bottom w:w="0" w:type="dxa"/>
              <w:right w:w="0" w:type="dxa"/>
            </w:tcMar>
            <w:vAlign w:val="center"/>
          </w:tcPr>
          <w:p w14:paraId="5AF375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69.3</w:t>
            </w:r>
          </w:p>
        </w:tc>
        <w:tc>
          <w:tcPr>
            <w:tcW w:w="161" w:type="pct"/>
            <w:vMerge w:val="continue"/>
            <w:tcBorders>
              <w:tl2br w:val="nil"/>
              <w:tr2bl w:val="nil"/>
            </w:tcBorders>
            <w:shd w:val="clear" w:color="auto" w:fill="auto"/>
            <w:tcMar>
              <w:top w:w="0" w:type="dxa"/>
              <w:left w:w="0" w:type="dxa"/>
              <w:bottom w:w="0" w:type="dxa"/>
              <w:right w:w="0" w:type="dxa"/>
            </w:tcMar>
            <w:vAlign w:val="center"/>
          </w:tcPr>
          <w:p w14:paraId="08EB68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p>
        </w:tc>
        <w:tc>
          <w:tcPr>
            <w:tcW w:w="178" w:type="pct"/>
            <w:tcBorders>
              <w:tl2br w:val="nil"/>
              <w:tr2bl w:val="nil"/>
            </w:tcBorders>
            <w:shd w:val="clear" w:color="auto" w:fill="auto"/>
            <w:tcMar>
              <w:top w:w="0" w:type="dxa"/>
              <w:left w:w="0" w:type="dxa"/>
              <w:bottom w:w="0" w:type="dxa"/>
              <w:right w:w="0" w:type="dxa"/>
            </w:tcMar>
            <w:vAlign w:val="center"/>
          </w:tcPr>
          <w:p w14:paraId="1A11D5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2EEFAB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0CDFD4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81" w:type="pct"/>
            <w:tcBorders>
              <w:tl2br w:val="nil"/>
              <w:tr2bl w:val="nil"/>
            </w:tcBorders>
            <w:shd w:val="clear" w:color="auto" w:fill="auto"/>
            <w:tcMar>
              <w:top w:w="0" w:type="dxa"/>
              <w:left w:w="0" w:type="dxa"/>
              <w:bottom w:w="0" w:type="dxa"/>
              <w:right w:w="0" w:type="dxa"/>
            </w:tcMar>
            <w:vAlign w:val="center"/>
          </w:tcPr>
          <w:p w14:paraId="1E655C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90" w:type="pct"/>
            <w:tcBorders>
              <w:tl2br w:val="nil"/>
              <w:tr2bl w:val="nil"/>
            </w:tcBorders>
            <w:shd w:val="clear" w:color="auto" w:fill="auto"/>
            <w:tcMar>
              <w:top w:w="0" w:type="dxa"/>
              <w:left w:w="0" w:type="dxa"/>
              <w:bottom w:w="0" w:type="dxa"/>
              <w:right w:w="0" w:type="dxa"/>
            </w:tcMar>
            <w:vAlign w:val="center"/>
          </w:tcPr>
          <w:p w14:paraId="12E24A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53.2</w:t>
            </w:r>
          </w:p>
        </w:tc>
        <w:tc>
          <w:tcPr>
            <w:tcW w:w="190" w:type="pct"/>
            <w:tcBorders>
              <w:tl2br w:val="nil"/>
              <w:tr2bl w:val="nil"/>
            </w:tcBorders>
            <w:shd w:val="clear" w:color="auto" w:fill="auto"/>
            <w:tcMar>
              <w:top w:w="0" w:type="dxa"/>
              <w:left w:w="0" w:type="dxa"/>
              <w:bottom w:w="0" w:type="dxa"/>
              <w:right w:w="0" w:type="dxa"/>
            </w:tcMar>
            <w:vAlign w:val="center"/>
          </w:tcPr>
          <w:p w14:paraId="0CF73D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53.2</w:t>
            </w:r>
          </w:p>
        </w:tc>
        <w:tc>
          <w:tcPr>
            <w:tcW w:w="190" w:type="pct"/>
            <w:tcBorders>
              <w:tl2br w:val="nil"/>
              <w:tr2bl w:val="nil"/>
            </w:tcBorders>
            <w:shd w:val="clear" w:color="auto" w:fill="auto"/>
            <w:tcMar>
              <w:top w:w="0" w:type="dxa"/>
              <w:left w:w="0" w:type="dxa"/>
              <w:bottom w:w="0" w:type="dxa"/>
              <w:right w:w="0" w:type="dxa"/>
            </w:tcMar>
            <w:vAlign w:val="center"/>
          </w:tcPr>
          <w:p w14:paraId="75A775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53.2</w:t>
            </w:r>
          </w:p>
        </w:tc>
        <w:tc>
          <w:tcPr>
            <w:tcW w:w="190" w:type="pct"/>
            <w:tcBorders>
              <w:tl2br w:val="nil"/>
              <w:tr2bl w:val="nil"/>
            </w:tcBorders>
            <w:shd w:val="clear" w:color="auto" w:fill="auto"/>
            <w:tcMar>
              <w:top w:w="0" w:type="dxa"/>
              <w:left w:w="0" w:type="dxa"/>
              <w:bottom w:w="0" w:type="dxa"/>
              <w:right w:w="0" w:type="dxa"/>
            </w:tcMar>
            <w:vAlign w:val="center"/>
          </w:tcPr>
          <w:p w14:paraId="621E1E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53.3</w:t>
            </w:r>
          </w:p>
        </w:tc>
        <w:tc>
          <w:tcPr>
            <w:tcW w:w="172" w:type="pct"/>
            <w:tcBorders>
              <w:tl2br w:val="nil"/>
              <w:tr2bl w:val="nil"/>
            </w:tcBorders>
            <w:shd w:val="clear" w:color="auto" w:fill="auto"/>
            <w:tcMar>
              <w:top w:w="0" w:type="dxa"/>
              <w:left w:w="0" w:type="dxa"/>
              <w:bottom w:w="0" w:type="dxa"/>
              <w:right w:w="0" w:type="dxa"/>
            </w:tcMar>
            <w:vAlign w:val="center"/>
          </w:tcPr>
          <w:p w14:paraId="3C5514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r>
      <w:tr w14:paraId="3E71A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 w:type="pct"/>
            <w:tcBorders>
              <w:tl2br w:val="nil"/>
              <w:tr2bl w:val="nil"/>
            </w:tcBorders>
            <w:shd w:val="clear" w:color="auto" w:fill="auto"/>
            <w:tcMar>
              <w:top w:w="0" w:type="dxa"/>
              <w:left w:w="0" w:type="dxa"/>
              <w:bottom w:w="0" w:type="dxa"/>
              <w:right w:w="0" w:type="dxa"/>
            </w:tcMar>
            <w:vAlign w:val="center"/>
          </w:tcPr>
          <w:p w14:paraId="100E17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c>
          <w:tcPr>
            <w:tcW w:w="208" w:type="pct"/>
            <w:tcBorders>
              <w:tl2br w:val="nil"/>
              <w:tr2bl w:val="nil"/>
            </w:tcBorders>
            <w:shd w:val="clear" w:color="auto" w:fill="auto"/>
            <w:tcMar>
              <w:top w:w="0" w:type="dxa"/>
              <w:left w:w="0" w:type="dxa"/>
              <w:bottom w:w="0" w:type="dxa"/>
              <w:right w:w="0" w:type="dxa"/>
            </w:tcMar>
            <w:vAlign w:val="center"/>
          </w:tcPr>
          <w:p w14:paraId="6D1CEA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1#厂房</w:t>
            </w:r>
          </w:p>
        </w:tc>
        <w:tc>
          <w:tcPr>
            <w:tcW w:w="199" w:type="pct"/>
            <w:tcBorders>
              <w:tl2br w:val="nil"/>
              <w:tr2bl w:val="nil"/>
            </w:tcBorders>
            <w:shd w:val="clear" w:color="auto" w:fill="auto"/>
            <w:tcMar>
              <w:top w:w="0" w:type="dxa"/>
              <w:left w:w="0" w:type="dxa"/>
              <w:bottom w:w="0" w:type="dxa"/>
              <w:right w:w="0" w:type="dxa"/>
            </w:tcMar>
            <w:vAlign w:val="center"/>
          </w:tcPr>
          <w:p w14:paraId="2EDDC0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水泵,3台（按点声源组预测）</w:t>
            </w:r>
          </w:p>
        </w:tc>
        <w:tc>
          <w:tcPr>
            <w:tcW w:w="240" w:type="pct"/>
            <w:tcBorders>
              <w:tl2br w:val="nil"/>
              <w:tr2bl w:val="nil"/>
            </w:tcBorders>
            <w:shd w:val="clear" w:color="auto" w:fill="auto"/>
            <w:tcMar>
              <w:top w:w="0" w:type="dxa"/>
              <w:left w:w="0" w:type="dxa"/>
              <w:bottom w:w="0" w:type="dxa"/>
              <w:right w:w="0" w:type="dxa"/>
            </w:tcMar>
            <w:vAlign w:val="center"/>
          </w:tcPr>
          <w:p w14:paraId="3DC757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70（等效后：74.8)</w:t>
            </w:r>
          </w:p>
        </w:tc>
        <w:tc>
          <w:tcPr>
            <w:tcW w:w="205" w:type="pct"/>
            <w:tcBorders>
              <w:tl2br w:val="nil"/>
              <w:tr2bl w:val="nil"/>
            </w:tcBorders>
            <w:shd w:val="clear" w:color="auto" w:fill="auto"/>
            <w:tcMar>
              <w:top w:w="0" w:type="dxa"/>
              <w:left w:w="0" w:type="dxa"/>
              <w:bottom w:w="0" w:type="dxa"/>
              <w:right w:w="0" w:type="dxa"/>
            </w:tcMar>
            <w:vAlign w:val="center"/>
          </w:tcPr>
          <w:p w14:paraId="2381F7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隔声、减振、柔性连接</w:t>
            </w:r>
          </w:p>
        </w:tc>
        <w:tc>
          <w:tcPr>
            <w:tcW w:w="226" w:type="pct"/>
            <w:tcBorders>
              <w:tl2br w:val="nil"/>
              <w:tr2bl w:val="nil"/>
            </w:tcBorders>
            <w:shd w:val="clear" w:color="auto" w:fill="auto"/>
            <w:tcMar>
              <w:top w:w="0" w:type="dxa"/>
              <w:left w:w="0" w:type="dxa"/>
              <w:bottom w:w="0" w:type="dxa"/>
              <w:right w:w="0" w:type="dxa"/>
            </w:tcMar>
            <w:vAlign w:val="center"/>
          </w:tcPr>
          <w:p w14:paraId="3949F1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46</w:t>
            </w:r>
          </w:p>
        </w:tc>
        <w:tc>
          <w:tcPr>
            <w:tcW w:w="226" w:type="pct"/>
            <w:tcBorders>
              <w:tl2br w:val="nil"/>
              <w:tr2bl w:val="nil"/>
            </w:tcBorders>
            <w:shd w:val="clear" w:color="auto" w:fill="auto"/>
            <w:tcMar>
              <w:top w:w="0" w:type="dxa"/>
              <w:left w:w="0" w:type="dxa"/>
              <w:bottom w:w="0" w:type="dxa"/>
              <w:right w:w="0" w:type="dxa"/>
            </w:tcMar>
            <w:vAlign w:val="center"/>
          </w:tcPr>
          <w:p w14:paraId="686F13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43.9</w:t>
            </w:r>
          </w:p>
        </w:tc>
        <w:tc>
          <w:tcPr>
            <w:tcW w:w="228" w:type="pct"/>
            <w:tcBorders>
              <w:tl2br w:val="nil"/>
              <w:tr2bl w:val="nil"/>
            </w:tcBorders>
            <w:shd w:val="clear" w:color="auto" w:fill="auto"/>
            <w:tcMar>
              <w:top w:w="0" w:type="dxa"/>
              <w:left w:w="0" w:type="dxa"/>
              <w:bottom w:w="0" w:type="dxa"/>
              <w:right w:w="0" w:type="dxa"/>
            </w:tcMar>
            <w:vAlign w:val="center"/>
          </w:tcPr>
          <w:p w14:paraId="39CEA0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87" w:type="pct"/>
            <w:tcBorders>
              <w:tl2br w:val="nil"/>
              <w:tr2bl w:val="nil"/>
            </w:tcBorders>
            <w:shd w:val="clear" w:color="auto" w:fill="auto"/>
            <w:tcMar>
              <w:top w:w="0" w:type="dxa"/>
              <w:left w:w="0" w:type="dxa"/>
              <w:bottom w:w="0" w:type="dxa"/>
              <w:right w:w="0" w:type="dxa"/>
            </w:tcMar>
            <w:vAlign w:val="center"/>
          </w:tcPr>
          <w:p w14:paraId="1F3229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3.9</w:t>
            </w:r>
          </w:p>
        </w:tc>
        <w:tc>
          <w:tcPr>
            <w:tcW w:w="187" w:type="pct"/>
            <w:tcBorders>
              <w:tl2br w:val="nil"/>
              <w:tr2bl w:val="nil"/>
            </w:tcBorders>
            <w:shd w:val="clear" w:color="auto" w:fill="auto"/>
            <w:tcMar>
              <w:top w:w="0" w:type="dxa"/>
              <w:left w:w="0" w:type="dxa"/>
              <w:bottom w:w="0" w:type="dxa"/>
              <w:right w:w="0" w:type="dxa"/>
            </w:tcMar>
            <w:vAlign w:val="center"/>
          </w:tcPr>
          <w:p w14:paraId="06D855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10.6</w:t>
            </w:r>
          </w:p>
        </w:tc>
        <w:tc>
          <w:tcPr>
            <w:tcW w:w="187" w:type="pct"/>
            <w:tcBorders>
              <w:tl2br w:val="nil"/>
              <w:tr2bl w:val="nil"/>
            </w:tcBorders>
            <w:shd w:val="clear" w:color="auto" w:fill="auto"/>
            <w:tcMar>
              <w:top w:w="0" w:type="dxa"/>
              <w:left w:w="0" w:type="dxa"/>
              <w:bottom w:w="0" w:type="dxa"/>
              <w:right w:w="0" w:type="dxa"/>
            </w:tcMar>
            <w:vAlign w:val="center"/>
          </w:tcPr>
          <w:p w14:paraId="11A4FE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91.2</w:t>
            </w:r>
          </w:p>
        </w:tc>
        <w:tc>
          <w:tcPr>
            <w:tcW w:w="191" w:type="pct"/>
            <w:tcBorders>
              <w:tl2br w:val="nil"/>
              <w:tr2bl w:val="nil"/>
            </w:tcBorders>
            <w:shd w:val="clear" w:color="auto" w:fill="auto"/>
            <w:tcMar>
              <w:top w:w="0" w:type="dxa"/>
              <w:left w:w="0" w:type="dxa"/>
              <w:bottom w:w="0" w:type="dxa"/>
              <w:right w:w="0" w:type="dxa"/>
            </w:tcMar>
            <w:vAlign w:val="center"/>
          </w:tcPr>
          <w:p w14:paraId="69FE7F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30.2</w:t>
            </w:r>
          </w:p>
        </w:tc>
        <w:tc>
          <w:tcPr>
            <w:tcW w:w="185" w:type="pct"/>
            <w:tcBorders>
              <w:tl2br w:val="nil"/>
              <w:tr2bl w:val="nil"/>
            </w:tcBorders>
            <w:shd w:val="clear" w:color="auto" w:fill="auto"/>
            <w:tcMar>
              <w:top w:w="0" w:type="dxa"/>
              <w:left w:w="0" w:type="dxa"/>
              <w:bottom w:w="0" w:type="dxa"/>
              <w:right w:w="0" w:type="dxa"/>
            </w:tcMar>
            <w:vAlign w:val="center"/>
          </w:tcPr>
          <w:p w14:paraId="1CAC95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59.0</w:t>
            </w:r>
          </w:p>
        </w:tc>
        <w:tc>
          <w:tcPr>
            <w:tcW w:w="185" w:type="pct"/>
            <w:tcBorders>
              <w:tl2br w:val="nil"/>
              <w:tr2bl w:val="nil"/>
            </w:tcBorders>
            <w:shd w:val="clear" w:color="auto" w:fill="auto"/>
            <w:tcMar>
              <w:top w:w="0" w:type="dxa"/>
              <w:left w:w="0" w:type="dxa"/>
              <w:bottom w:w="0" w:type="dxa"/>
              <w:right w:w="0" w:type="dxa"/>
            </w:tcMar>
            <w:vAlign w:val="center"/>
          </w:tcPr>
          <w:p w14:paraId="0B8CDE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58.2</w:t>
            </w:r>
          </w:p>
        </w:tc>
        <w:tc>
          <w:tcPr>
            <w:tcW w:w="185" w:type="pct"/>
            <w:tcBorders>
              <w:tl2br w:val="nil"/>
              <w:tr2bl w:val="nil"/>
            </w:tcBorders>
            <w:shd w:val="clear" w:color="auto" w:fill="auto"/>
            <w:tcMar>
              <w:top w:w="0" w:type="dxa"/>
              <w:left w:w="0" w:type="dxa"/>
              <w:bottom w:w="0" w:type="dxa"/>
              <w:right w:w="0" w:type="dxa"/>
            </w:tcMar>
            <w:vAlign w:val="center"/>
          </w:tcPr>
          <w:p w14:paraId="264276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58.0</w:t>
            </w:r>
          </w:p>
        </w:tc>
        <w:tc>
          <w:tcPr>
            <w:tcW w:w="186" w:type="pct"/>
            <w:tcBorders>
              <w:tl2br w:val="nil"/>
              <w:tr2bl w:val="nil"/>
            </w:tcBorders>
            <w:shd w:val="clear" w:color="auto" w:fill="auto"/>
            <w:tcMar>
              <w:top w:w="0" w:type="dxa"/>
              <w:left w:w="0" w:type="dxa"/>
              <w:bottom w:w="0" w:type="dxa"/>
              <w:right w:w="0" w:type="dxa"/>
            </w:tcMar>
            <w:vAlign w:val="center"/>
          </w:tcPr>
          <w:p w14:paraId="301E1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58.0</w:t>
            </w:r>
          </w:p>
        </w:tc>
        <w:tc>
          <w:tcPr>
            <w:tcW w:w="161" w:type="pct"/>
            <w:vMerge w:val="continue"/>
            <w:tcBorders>
              <w:tl2br w:val="nil"/>
              <w:tr2bl w:val="nil"/>
            </w:tcBorders>
            <w:shd w:val="clear" w:color="auto" w:fill="auto"/>
            <w:tcMar>
              <w:top w:w="0" w:type="dxa"/>
              <w:left w:w="0" w:type="dxa"/>
              <w:bottom w:w="0" w:type="dxa"/>
              <w:right w:w="0" w:type="dxa"/>
            </w:tcMar>
            <w:vAlign w:val="center"/>
          </w:tcPr>
          <w:p w14:paraId="6D5861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p>
        </w:tc>
        <w:tc>
          <w:tcPr>
            <w:tcW w:w="178" w:type="pct"/>
            <w:tcBorders>
              <w:tl2br w:val="nil"/>
              <w:tr2bl w:val="nil"/>
            </w:tcBorders>
            <w:shd w:val="clear" w:color="auto" w:fill="auto"/>
            <w:tcMar>
              <w:top w:w="0" w:type="dxa"/>
              <w:left w:w="0" w:type="dxa"/>
              <w:bottom w:w="0" w:type="dxa"/>
              <w:right w:w="0" w:type="dxa"/>
            </w:tcMar>
            <w:vAlign w:val="center"/>
          </w:tcPr>
          <w:p w14:paraId="1BD7C1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7C8922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78" w:type="pct"/>
            <w:tcBorders>
              <w:tl2br w:val="nil"/>
              <w:tr2bl w:val="nil"/>
            </w:tcBorders>
            <w:shd w:val="clear" w:color="auto" w:fill="auto"/>
            <w:tcMar>
              <w:top w:w="0" w:type="dxa"/>
              <w:left w:w="0" w:type="dxa"/>
              <w:bottom w:w="0" w:type="dxa"/>
              <w:right w:w="0" w:type="dxa"/>
            </w:tcMar>
            <w:vAlign w:val="center"/>
          </w:tcPr>
          <w:p w14:paraId="79FD41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81" w:type="pct"/>
            <w:tcBorders>
              <w:tl2br w:val="nil"/>
              <w:tr2bl w:val="nil"/>
            </w:tcBorders>
            <w:shd w:val="clear" w:color="auto" w:fill="auto"/>
            <w:tcMar>
              <w:top w:w="0" w:type="dxa"/>
              <w:left w:w="0" w:type="dxa"/>
              <w:bottom w:w="0" w:type="dxa"/>
              <w:right w:w="0" w:type="dxa"/>
            </w:tcMar>
            <w:vAlign w:val="center"/>
          </w:tcPr>
          <w:p w14:paraId="3C479B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w:t>
            </w:r>
          </w:p>
        </w:tc>
        <w:tc>
          <w:tcPr>
            <w:tcW w:w="190" w:type="pct"/>
            <w:tcBorders>
              <w:tl2br w:val="nil"/>
              <w:tr2bl w:val="nil"/>
            </w:tcBorders>
            <w:shd w:val="clear" w:color="auto" w:fill="auto"/>
            <w:tcMar>
              <w:top w:w="0" w:type="dxa"/>
              <w:left w:w="0" w:type="dxa"/>
              <w:bottom w:w="0" w:type="dxa"/>
              <w:right w:w="0" w:type="dxa"/>
            </w:tcMar>
            <w:vAlign w:val="center"/>
          </w:tcPr>
          <w:p w14:paraId="14A201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43.0</w:t>
            </w:r>
          </w:p>
        </w:tc>
        <w:tc>
          <w:tcPr>
            <w:tcW w:w="190" w:type="pct"/>
            <w:tcBorders>
              <w:tl2br w:val="nil"/>
              <w:tr2bl w:val="nil"/>
            </w:tcBorders>
            <w:shd w:val="clear" w:color="auto" w:fill="auto"/>
            <w:tcMar>
              <w:top w:w="0" w:type="dxa"/>
              <w:left w:w="0" w:type="dxa"/>
              <w:bottom w:w="0" w:type="dxa"/>
              <w:right w:w="0" w:type="dxa"/>
            </w:tcMar>
            <w:vAlign w:val="center"/>
          </w:tcPr>
          <w:p w14:paraId="279D46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42.2</w:t>
            </w:r>
          </w:p>
        </w:tc>
        <w:tc>
          <w:tcPr>
            <w:tcW w:w="190" w:type="pct"/>
            <w:tcBorders>
              <w:tl2br w:val="nil"/>
              <w:tr2bl w:val="nil"/>
            </w:tcBorders>
            <w:shd w:val="clear" w:color="auto" w:fill="auto"/>
            <w:tcMar>
              <w:top w:w="0" w:type="dxa"/>
              <w:left w:w="0" w:type="dxa"/>
              <w:bottom w:w="0" w:type="dxa"/>
              <w:right w:w="0" w:type="dxa"/>
            </w:tcMar>
            <w:vAlign w:val="center"/>
          </w:tcPr>
          <w:p w14:paraId="5A9EF7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42.0</w:t>
            </w:r>
          </w:p>
        </w:tc>
        <w:tc>
          <w:tcPr>
            <w:tcW w:w="190" w:type="pct"/>
            <w:tcBorders>
              <w:tl2br w:val="nil"/>
              <w:tr2bl w:val="nil"/>
            </w:tcBorders>
            <w:shd w:val="clear" w:color="auto" w:fill="auto"/>
            <w:tcMar>
              <w:top w:w="0" w:type="dxa"/>
              <w:left w:w="0" w:type="dxa"/>
              <w:bottom w:w="0" w:type="dxa"/>
              <w:right w:w="0" w:type="dxa"/>
            </w:tcMar>
            <w:vAlign w:val="center"/>
          </w:tcPr>
          <w:p w14:paraId="3A5809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42.0</w:t>
            </w:r>
          </w:p>
        </w:tc>
        <w:tc>
          <w:tcPr>
            <w:tcW w:w="172" w:type="pct"/>
            <w:tcBorders>
              <w:tl2br w:val="nil"/>
              <w:tr2bl w:val="nil"/>
            </w:tcBorders>
            <w:shd w:val="clear" w:color="auto" w:fill="auto"/>
            <w:tcMar>
              <w:top w:w="0" w:type="dxa"/>
              <w:left w:w="0" w:type="dxa"/>
              <w:bottom w:w="0" w:type="dxa"/>
              <w:right w:w="0" w:type="dxa"/>
            </w:tcMar>
            <w:vAlign w:val="center"/>
          </w:tcPr>
          <w:p w14:paraId="753A44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r>
      <w:bookmarkEnd w:id="7"/>
    </w:tbl>
    <w:p w14:paraId="3AAF312F">
      <w:pPr>
        <w:jc w:val="center"/>
      </w:pPr>
    </w:p>
    <w:p w14:paraId="3049B694"/>
    <w:p w14:paraId="68E2A039"/>
    <w:p w14:paraId="75009DEE">
      <w:p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4"/>
        <w:tblW w:w="90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40"/>
        <w:gridCol w:w="8717"/>
      </w:tblGrid>
      <w:tr w14:paraId="1FE6B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187" w:hRule="atLeast"/>
          <w:jc w:val="center"/>
        </w:trPr>
        <w:tc>
          <w:tcPr>
            <w:tcW w:w="340" w:type="dxa"/>
            <w:noWrap w:val="0"/>
            <w:tcMar>
              <w:left w:w="28" w:type="dxa"/>
              <w:right w:w="28" w:type="dxa"/>
            </w:tcMar>
            <w:vAlign w:val="center"/>
          </w:tcPr>
          <w:p w14:paraId="6EFA24FC">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2"/>
                <w:sz w:val="24"/>
                <w:szCs w:val="24"/>
                <w:lang w:eastAsia="zh-CN"/>
              </w:rPr>
            </w:pPr>
          </w:p>
        </w:tc>
        <w:tc>
          <w:tcPr>
            <w:tcW w:w="8717" w:type="dxa"/>
            <w:noWrap w:val="0"/>
            <w:vAlign w:val="top"/>
          </w:tcPr>
          <w:p w14:paraId="03D2F3E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38" w:firstLineChars="200"/>
              <w:jc w:val="left"/>
              <w:textAlignment w:val="auto"/>
              <w:rPr>
                <w:rFonts w:hint="default" w:ascii="Times New Roman" w:hAnsi="Times New Roman" w:cs="宋体"/>
                <w:b/>
                <w:bCs w:val="0"/>
                <w:color w:val="auto"/>
                <w:spacing w:val="-11"/>
                <w:sz w:val="24"/>
                <w:szCs w:val="24"/>
                <w:highlight w:val="none"/>
                <w:lang w:val="en-US" w:eastAsia="zh-CN"/>
              </w:rPr>
            </w:pPr>
            <w:r>
              <w:rPr>
                <w:rFonts w:hint="eastAsia" w:ascii="Times New Roman" w:hAnsi="Times New Roman" w:cs="宋体"/>
                <w:b/>
                <w:bCs w:val="0"/>
                <w:color w:val="auto"/>
                <w:spacing w:val="-11"/>
                <w:sz w:val="24"/>
                <w:szCs w:val="24"/>
                <w:highlight w:val="none"/>
                <w:lang w:val="en-US" w:eastAsia="zh-CN"/>
              </w:rPr>
              <w:t>3.2噪声影响分析</w:t>
            </w:r>
          </w:p>
          <w:p w14:paraId="4CC32D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iCs/>
                <w:sz w:val="24"/>
              </w:rPr>
            </w:pPr>
            <w:r>
              <w:rPr>
                <w:rFonts w:hint="eastAsia" w:ascii="Times New Roman" w:hAnsi="Times New Roman" w:cs="Times New Roman"/>
                <w:sz w:val="24"/>
                <w:lang w:val="en-US" w:eastAsia="zh-CN"/>
              </w:rPr>
              <w:t>噪声</w:t>
            </w:r>
            <w:r>
              <w:rPr>
                <w:rFonts w:hint="default" w:ascii="Times New Roman" w:hAnsi="Times New Roman" w:cs="Times New Roman"/>
                <w:iCs/>
                <w:sz w:val="24"/>
              </w:rPr>
              <w:t>影响</w:t>
            </w:r>
            <w:r>
              <w:rPr>
                <w:rFonts w:hint="eastAsia" w:ascii="Times New Roman" w:hAnsi="Times New Roman" w:cs="Times New Roman"/>
                <w:iCs/>
                <w:sz w:val="24"/>
                <w:lang w:val="en-US" w:eastAsia="zh-CN"/>
              </w:rPr>
              <w:t>及达标分析</w:t>
            </w:r>
          </w:p>
          <w:p w14:paraId="1BDBF1B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iCs/>
                <w:sz w:val="24"/>
              </w:rPr>
            </w:pPr>
            <w:r>
              <w:rPr>
                <w:rFonts w:hint="default" w:ascii="Times New Roman" w:hAnsi="Times New Roman" w:cs="Times New Roman"/>
                <w:iCs/>
                <w:sz w:val="24"/>
              </w:rPr>
              <w:t>预测模式</w:t>
            </w:r>
          </w:p>
          <w:p w14:paraId="4954DA6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iCs/>
                <w:sz w:val="24"/>
              </w:rPr>
            </w:pPr>
            <w:r>
              <w:rPr>
                <w:rFonts w:hint="default" w:ascii="Times New Roman" w:hAnsi="Times New Roman" w:cs="Times New Roman"/>
                <w:iCs/>
                <w:sz w:val="24"/>
              </w:rPr>
              <w:t>基准预测点噪声级叠加公式：</w:t>
            </w:r>
          </w:p>
          <w:p w14:paraId="2350B3F6">
            <w:pPr>
              <w:keepNext w:val="0"/>
              <w:keepLines w:val="0"/>
              <w:suppressLineNumbers w:val="0"/>
              <w:spacing w:before="0" w:beforeAutospacing="0" w:after="0" w:afterAutospacing="0" w:line="360" w:lineRule="auto"/>
              <w:ind w:left="0" w:right="0"/>
              <w:jc w:val="left"/>
              <w:rPr>
                <w:rFonts w:hint="default" w:ascii="Times New Roman" w:hAnsi="Times New Roman" w:cs="Times New Roman"/>
                <w:sz w:val="24"/>
                <w:szCs w:val="20"/>
              </w:rPr>
            </w:pPr>
            <w:r>
              <w:rPr>
                <w:rFonts w:hint="default" w:ascii="Times New Roman" w:hAnsi="Times New Roman" w:cs="Times New Roman"/>
                <w:sz w:val="24"/>
                <w:szCs w:val="20"/>
              </w:rPr>
              <w:t xml:space="preserve">                 L</w:t>
            </w:r>
            <w:r>
              <w:rPr>
                <w:rFonts w:hint="default" w:ascii="Times New Roman" w:hAnsi="Times New Roman" w:cs="Times New Roman"/>
                <w:sz w:val="24"/>
                <w:szCs w:val="20"/>
                <w:vertAlign w:val="subscript"/>
              </w:rPr>
              <w:t>pe</w:t>
            </w:r>
            <w:r>
              <w:rPr>
                <w:rFonts w:hint="default" w:ascii="Times New Roman" w:hAnsi="Times New Roman" w:cs="Times New Roman"/>
                <w:sz w:val="24"/>
                <w:szCs w:val="20"/>
              </w:rPr>
              <w:t xml:space="preserve"> =10×lg[</w:t>
            </w:r>
            <w:r>
              <w:rPr>
                <w:rFonts w:hint="default" w:ascii="Times New Roman" w:hAnsi="Times New Roman" w:cs="Times New Roman"/>
                <w:position w:val="-28"/>
                <w:sz w:val="24"/>
                <w:szCs w:val="20"/>
              </w:rPr>
              <w:object>
                <v:shape id="_x0000_i1026" o:spt="75" type="#_x0000_t75" style="height:34.35pt;width:21.75pt;" o:ole="t" filled="f" o:preferrelative="t" stroked="f" coordsize="21600,21600">
                  <v:path/>
                  <v:fill on="f" focussize="0,0"/>
                  <v:stroke on="f"/>
                  <v:imagedata r:id="rId24" o:title=""/>
                  <o:lock v:ext="edit" aspectratio="t"/>
                  <w10:wrap type="none"/>
                  <w10:anchorlock/>
                </v:shape>
                <o:OLEObject Type="Embed" ProgID="Equation.3" ShapeID="_x0000_i1026" DrawAspect="Content" ObjectID="_1468075727" r:id="rId23">
                  <o:LockedField>false</o:LockedField>
                </o:OLEObject>
              </w:object>
            </w:r>
            <w:r>
              <w:rPr>
                <w:rFonts w:hint="default" w:ascii="Times New Roman" w:hAnsi="Times New Roman" w:cs="Times New Roman"/>
                <w:position w:val="-6"/>
                <w:sz w:val="24"/>
                <w:szCs w:val="20"/>
              </w:rPr>
              <w:object>
                <v:shape id="_x0000_i1027" o:spt="75" type="#_x0000_t75" style="height:23.45pt;width:26.8pt;" o:ole="t" filled="f" o:preferrelative="t" stroked="f" coordsize="21600,21600">
                  <v:path/>
                  <v:fill on="f" focussize="0,0"/>
                  <v:stroke on="f"/>
                  <v:imagedata r:id="rId26" o:title=""/>
                  <o:lock v:ext="edit" aspectratio="t"/>
                  <w10:wrap type="none"/>
                  <w10:anchorlock/>
                </v:shape>
                <o:OLEObject Type="Embed" ProgID="Equation.3" ShapeID="_x0000_i1027" DrawAspect="Content" ObjectID="_1468075728" r:id="rId25">
                  <o:LockedField>false</o:LockedField>
                </o:OLEObject>
              </w:object>
            </w:r>
            <w:r>
              <w:rPr>
                <w:rFonts w:hint="default" w:ascii="Times New Roman" w:hAnsi="Times New Roman" w:cs="Times New Roman"/>
                <w:sz w:val="24"/>
                <w:szCs w:val="20"/>
              </w:rPr>
              <w:t>]</w:t>
            </w:r>
          </w:p>
          <w:p w14:paraId="2BA1FE6D">
            <w:pPr>
              <w:keepNext w:val="0"/>
              <w:keepLines w:val="0"/>
              <w:suppressLineNumbers w:val="0"/>
              <w:spacing w:before="0" w:beforeAutospacing="0" w:after="0" w:afterAutospacing="0" w:line="360" w:lineRule="auto"/>
              <w:ind w:left="0" w:right="0" w:firstLine="578"/>
              <w:jc w:val="left"/>
              <w:rPr>
                <w:rFonts w:hint="default" w:ascii="Times New Roman" w:hAnsi="Times New Roman" w:cs="Times New Roman"/>
                <w:sz w:val="24"/>
                <w:szCs w:val="20"/>
              </w:rPr>
            </w:pPr>
            <w:r>
              <w:rPr>
                <w:rFonts w:hint="default" w:ascii="Times New Roman" w:hAnsi="Times New Roman" w:cs="Times New Roman"/>
                <w:sz w:val="24"/>
                <w:szCs w:val="20"/>
              </w:rPr>
              <w:t>式中：L</w:t>
            </w:r>
            <w:r>
              <w:rPr>
                <w:rFonts w:hint="default" w:ascii="Times New Roman" w:hAnsi="Times New Roman" w:cs="Times New Roman"/>
                <w:sz w:val="24"/>
                <w:szCs w:val="20"/>
                <w:vertAlign w:val="subscript"/>
              </w:rPr>
              <w:t>pe</w:t>
            </w:r>
            <w:r>
              <w:rPr>
                <w:rFonts w:hint="default" w:ascii="Times New Roman" w:hAnsi="Times New Roman" w:cs="Times New Roman"/>
                <w:sz w:val="24"/>
                <w:szCs w:val="20"/>
              </w:rPr>
              <w:t>—叠加后总声级，dB(A)。</w:t>
            </w:r>
          </w:p>
          <w:p w14:paraId="087661A1">
            <w:pPr>
              <w:keepNext w:val="0"/>
              <w:keepLines w:val="0"/>
              <w:suppressLineNumbers w:val="0"/>
              <w:spacing w:before="0" w:beforeAutospacing="0" w:after="0" w:afterAutospacing="0" w:line="360" w:lineRule="auto"/>
              <w:ind w:left="0" w:right="0" w:firstLine="576"/>
              <w:jc w:val="left"/>
              <w:rPr>
                <w:rFonts w:hint="default" w:ascii="Times New Roman" w:hAnsi="Times New Roman" w:cs="Times New Roman"/>
                <w:sz w:val="24"/>
                <w:szCs w:val="20"/>
              </w:rPr>
            </w:pPr>
            <w:r>
              <w:rPr>
                <w:rFonts w:hint="default" w:ascii="Times New Roman" w:hAnsi="Times New Roman" w:cs="Times New Roman"/>
                <w:sz w:val="24"/>
                <w:szCs w:val="20"/>
              </w:rPr>
              <w:t xml:space="preserve">      L</w:t>
            </w:r>
            <w:r>
              <w:rPr>
                <w:rFonts w:hint="default" w:ascii="Times New Roman" w:hAnsi="Times New Roman" w:cs="Times New Roman"/>
                <w:sz w:val="24"/>
                <w:szCs w:val="20"/>
                <w:vertAlign w:val="subscript"/>
              </w:rPr>
              <w:t>pi</w:t>
            </w:r>
            <w:r>
              <w:rPr>
                <w:rFonts w:hint="default" w:ascii="Times New Roman" w:hAnsi="Times New Roman" w:cs="Times New Roman"/>
                <w:sz w:val="24"/>
                <w:szCs w:val="20"/>
              </w:rPr>
              <w:t>—i声源至基准预测点的声级，dB(A)。</w:t>
            </w:r>
          </w:p>
          <w:p w14:paraId="550BAAC1">
            <w:pPr>
              <w:keepNext w:val="0"/>
              <w:keepLines w:val="0"/>
              <w:suppressLineNumbers w:val="0"/>
              <w:spacing w:before="0" w:beforeAutospacing="0" w:after="0" w:afterAutospacing="0" w:line="360" w:lineRule="auto"/>
              <w:ind w:left="0" w:right="0" w:firstLine="578"/>
              <w:jc w:val="left"/>
              <w:rPr>
                <w:rFonts w:hint="default" w:ascii="Times New Roman" w:hAnsi="Times New Roman" w:cs="Times New Roman"/>
                <w:sz w:val="24"/>
                <w:szCs w:val="20"/>
              </w:rPr>
            </w:pPr>
            <w:r>
              <w:rPr>
                <w:rFonts w:hint="default" w:ascii="Times New Roman" w:hAnsi="Times New Roman" w:cs="Times New Roman"/>
                <w:sz w:val="24"/>
                <w:szCs w:val="20"/>
              </w:rPr>
              <w:t xml:space="preserve">      n—噪声源数目。</w:t>
            </w:r>
          </w:p>
          <w:p w14:paraId="4842B2F0">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sz w:val="24"/>
                <w:szCs w:val="20"/>
              </w:rPr>
            </w:pPr>
            <w:r>
              <w:rPr>
                <w:rFonts w:hint="default" w:ascii="Times New Roman" w:hAnsi="Times New Roman" w:cs="Times New Roman"/>
                <w:sz w:val="24"/>
                <w:szCs w:val="20"/>
              </w:rPr>
              <w:t>用上述公式计算出各噪声源点至基准预测点的总声压级，然后以基准预测点的噪声强度为工程噪声源强。</w:t>
            </w:r>
          </w:p>
          <w:p w14:paraId="61EE433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计算预测点的声级：</w:t>
            </w:r>
          </w:p>
          <w:p w14:paraId="1CA39FA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24"/>
              </w:rPr>
            </w:pPr>
            <w:r>
              <w:rPr>
                <w:rFonts w:hint="default" w:ascii="Times New Roman" w:hAnsi="Times New Roman" w:cs="Times New Roman"/>
                <w:position w:val="-14"/>
                <w:sz w:val="24"/>
              </w:rPr>
              <w:object>
                <v:shape id="_x0000_i1028" o:spt="75" type="#_x0000_t75" style="height:19pt;width:240.2pt;" o:ole="t" filled="f" o:preferrelative="t" stroked="f" coordsize="21600,21600">
                  <v:path/>
                  <v:fill on="f" focussize="0,0"/>
                  <v:stroke on="f"/>
                  <v:imagedata r:id="rId28" o:title=""/>
                  <o:lock v:ext="edit" aspectratio="t"/>
                  <w10:wrap type="none"/>
                  <w10:anchorlock/>
                </v:shape>
                <o:OLEObject Type="Embed" ProgID="Equation.3" ShapeID="_x0000_i1028" DrawAspect="Content" ObjectID="_1468075729" r:id="rId27">
                  <o:LockedField>false</o:LockedField>
                </o:OLEObject>
              </w:object>
            </w:r>
          </w:p>
          <w:p w14:paraId="40FE8BA0">
            <w:pPr>
              <w:keepNext w:val="0"/>
              <w:keepLines w:val="0"/>
              <w:suppressLineNumbers w:val="0"/>
              <w:spacing w:before="0" w:beforeAutospacing="0" w:after="0" w:afterAutospacing="0" w:line="360" w:lineRule="auto"/>
              <w:ind w:left="0" w:right="0"/>
              <w:rPr>
                <w:rFonts w:hint="default" w:ascii="Times New Roman" w:hAnsi="Times New Roman" w:cs="Times New Roman"/>
                <w:sz w:val="24"/>
              </w:rPr>
            </w:pPr>
            <w:r>
              <w:rPr>
                <w:rFonts w:hint="default" w:ascii="Times New Roman" w:hAnsi="宋体" w:cs="Times New Roman"/>
                <w:sz w:val="24"/>
              </w:rPr>
              <w:t>式中：</w:t>
            </w:r>
            <w:r>
              <w:rPr>
                <w:rFonts w:hint="default" w:ascii="Times New Roman" w:hAnsi="Times New Roman" w:cs="Times New Roman"/>
                <w:position w:val="-14"/>
                <w:sz w:val="24"/>
              </w:rPr>
              <w:object>
                <v:shape id="_x0000_i1029" o:spt="75" type="#_x0000_t75" style="height:19pt;width:30pt;" o:ole="t" fillcolor="#6D6D6D" filled="f" o:preferrelative="t" stroked="f" coordsize="21600,21600">
                  <v:path/>
                  <v:fill on="f" alignshape="1" focussize="0,0"/>
                  <v:stroke on="f"/>
                  <v:imagedata r:id="rId30" o:title=""/>
                  <o:lock v:ext="edit" aspectratio="t"/>
                  <w10:wrap type="none"/>
                  <w10:anchorlock/>
                </v:shape>
                <o:OLEObject Type="Embed" ProgID="Equation.3" ShapeID="_x0000_i1029" DrawAspect="Content" ObjectID="_1468075730" r:id="rId29">
                  <o:LockedField>false</o:LockedField>
                </o:OLEObject>
              </w:object>
            </w:r>
            <w:r>
              <w:rPr>
                <w:rFonts w:hint="default" w:ascii="Times New Roman" w:hAnsi="Times New Roman" w:cs="Times New Roman"/>
                <w:sz w:val="24"/>
              </w:rPr>
              <w:t>——</w:t>
            </w:r>
            <w:r>
              <w:rPr>
                <w:rFonts w:hint="eastAsia" w:ascii="Times New Roman" w:hAnsi="Times New Roman" w:cs="Times New Roman"/>
                <w:sz w:val="24"/>
                <w:lang w:val="en-US" w:eastAsia="zh-CN"/>
              </w:rPr>
              <w:t>预测点处声压级</w:t>
            </w:r>
            <w:r>
              <w:rPr>
                <w:rFonts w:hint="default" w:ascii="Times New Roman" w:hAnsi="宋体" w:cs="Times New Roman"/>
                <w:sz w:val="24"/>
              </w:rPr>
              <w:t>，</w:t>
            </w:r>
            <w:r>
              <w:rPr>
                <w:rFonts w:hint="default" w:ascii="Times New Roman" w:hAnsi="Times New Roman" w:cs="Times New Roman"/>
                <w:sz w:val="24"/>
              </w:rPr>
              <w:t>dB</w:t>
            </w:r>
            <w:r>
              <w:rPr>
                <w:rFonts w:hint="default" w:ascii="Times New Roman" w:hAnsi="宋体" w:cs="Times New Roman"/>
                <w:sz w:val="24"/>
              </w:rPr>
              <w:t>；</w:t>
            </w:r>
          </w:p>
          <w:p w14:paraId="1A7046CC">
            <w:pPr>
              <w:keepNext w:val="0"/>
              <w:keepLines w:val="0"/>
              <w:suppressLineNumbers w:val="0"/>
              <w:spacing w:before="0" w:beforeAutospacing="0" w:after="0" w:afterAutospacing="0" w:line="360" w:lineRule="auto"/>
              <w:ind w:left="0" w:right="0" w:firstLine="480" w:firstLineChars="200"/>
              <w:rPr>
                <w:rFonts w:hint="default" w:ascii="Times New Roman" w:hAnsi="宋体" w:cs="Times New Roman"/>
                <w:sz w:val="24"/>
              </w:rPr>
            </w:pPr>
            <w:r>
              <w:rPr>
                <w:rFonts w:hint="default" w:ascii="Times New Roman" w:hAnsi="Times New Roman" w:cs="Times New Roman"/>
                <w:sz w:val="24"/>
              </w:rPr>
              <w:t>L</w:t>
            </w:r>
            <w:r>
              <w:rPr>
                <w:rFonts w:hint="eastAsia" w:ascii="Times New Roman" w:hAnsi="Times New Roman" w:cs="Times New Roman"/>
                <w:sz w:val="24"/>
                <w:vertAlign w:val="subscript"/>
                <w:lang w:val="en-US" w:eastAsia="zh-CN"/>
              </w:rPr>
              <w:t>W</w:t>
            </w:r>
            <w:r>
              <w:rPr>
                <w:rFonts w:hint="default" w:ascii="Times New Roman" w:hAnsi="Times New Roman" w:cs="Times New Roman"/>
                <w:sz w:val="24"/>
              </w:rPr>
              <w:t>——</w:t>
            </w:r>
            <w:r>
              <w:rPr>
                <w:rFonts w:hint="eastAsia" w:ascii="Times New Roman" w:hAnsi="Times New Roman" w:cs="Times New Roman"/>
                <w:sz w:val="24"/>
                <w:lang w:val="en-US" w:eastAsia="zh-CN"/>
              </w:rPr>
              <w:t>由点声源</w:t>
            </w:r>
            <w:r>
              <w:rPr>
                <w:rFonts w:hint="eastAsia" w:cs="Times New Roman"/>
                <w:sz w:val="24"/>
                <w:lang w:val="en-US" w:eastAsia="zh-CN"/>
              </w:rPr>
              <w:t>产生</w:t>
            </w:r>
            <w:r>
              <w:rPr>
                <w:rFonts w:hint="eastAsia" w:ascii="Times New Roman" w:hAnsi="Times New Roman" w:cs="Times New Roman"/>
                <w:sz w:val="24"/>
                <w:lang w:val="en-US" w:eastAsia="zh-CN"/>
              </w:rPr>
              <w:t>的声功能级（A计权或倍频带）</w:t>
            </w:r>
            <w:r>
              <w:rPr>
                <w:rFonts w:hint="default" w:ascii="Times New Roman" w:hAnsi="宋体" w:cs="Times New Roman"/>
                <w:sz w:val="24"/>
              </w:rPr>
              <w:t>，</w:t>
            </w:r>
            <w:r>
              <w:rPr>
                <w:rFonts w:hint="default" w:ascii="Times New Roman" w:hAnsi="Times New Roman" w:cs="Times New Roman"/>
                <w:sz w:val="24"/>
              </w:rPr>
              <w:t>dB</w:t>
            </w:r>
            <w:r>
              <w:rPr>
                <w:rFonts w:hint="default" w:ascii="Times New Roman" w:hAnsi="宋体" w:cs="Times New Roman"/>
                <w:sz w:val="24"/>
              </w:rPr>
              <w:t>；</w:t>
            </w:r>
          </w:p>
          <w:p w14:paraId="7F2163EC">
            <w:pPr>
              <w:keepNext w:val="0"/>
              <w:keepLines w:val="0"/>
              <w:suppressLineNumbers w:val="0"/>
              <w:spacing w:before="0" w:beforeAutospacing="0" w:after="0" w:afterAutospacing="0" w:line="360" w:lineRule="auto"/>
              <w:ind w:left="0" w:right="0" w:firstLine="480" w:firstLineChars="200"/>
              <w:rPr>
                <w:rFonts w:hint="eastAsia" w:ascii="Times New Roman" w:hAnsi="宋体" w:cs="Times New Roman"/>
                <w:sz w:val="24"/>
                <w:lang w:val="en-US" w:eastAsia="zh-CN"/>
              </w:rPr>
            </w:pPr>
            <w:r>
              <w:rPr>
                <w:rFonts w:hint="eastAsia" w:ascii="Times New Roman" w:hAnsi="宋体" w:cs="Times New Roman"/>
                <w:sz w:val="24"/>
                <w:lang w:val="en-US" w:eastAsia="zh-CN"/>
              </w:rPr>
              <w:t>DC</w:t>
            </w:r>
            <w:r>
              <w:rPr>
                <w:rFonts w:hint="default" w:ascii="Times New Roman" w:hAnsi="Times New Roman" w:cs="Times New Roman"/>
                <w:sz w:val="24"/>
              </w:rPr>
              <w:t>——</w:t>
            </w:r>
            <w:r>
              <w:rPr>
                <w:rFonts w:hint="default" w:ascii="Times New Roman" w:hAnsi="Times New Roman" w:eastAsia="宋体" w:cs="Times New Roman"/>
                <w:sz w:val="24"/>
                <w:szCs w:val="24"/>
                <w:lang w:val="en-US" w:eastAsia="zh-CN"/>
              </w:rPr>
              <w:t>指向性较正，它描述点声源的等效连续声压级与产生声功率级LW的全向点声源在规定方向的声级偏差程度，</w:t>
            </w:r>
            <w:r>
              <w:rPr>
                <w:rFonts w:hint="default" w:ascii="Times New Roman" w:hAnsi="Times New Roman" w:eastAsia="宋体" w:cs="Times New Roman"/>
                <w:sz w:val="24"/>
                <w:szCs w:val="24"/>
              </w:rPr>
              <w:t>dB；</w:t>
            </w:r>
          </w:p>
          <w:p w14:paraId="24ED51B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A</w:t>
            </w:r>
            <w:r>
              <w:rPr>
                <w:rFonts w:hint="default" w:ascii="Times New Roman" w:hAnsi="Times New Roman" w:cs="Times New Roman"/>
                <w:sz w:val="24"/>
                <w:vertAlign w:val="subscript"/>
              </w:rPr>
              <w:t>div</w:t>
            </w:r>
            <w:r>
              <w:rPr>
                <w:rFonts w:hint="default" w:ascii="Times New Roman" w:hAnsi="Times New Roman" w:cs="Times New Roman"/>
                <w:sz w:val="24"/>
              </w:rPr>
              <w:t>——几何发散引起的衰减，dB</w:t>
            </w:r>
            <w:r>
              <w:rPr>
                <w:rFonts w:hint="default" w:ascii="Times New Roman" w:hAnsi="宋体" w:cs="Times New Roman"/>
                <w:sz w:val="24"/>
              </w:rPr>
              <w:t>；</w:t>
            </w:r>
          </w:p>
          <w:p w14:paraId="5395CAD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A</w:t>
            </w:r>
            <w:r>
              <w:rPr>
                <w:rFonts w:hint="default" w:ascii="Times New Roman" w:hAnsi="Times New Roman" w:cs="Times New Roman"/>
                <w:sz w:val="24"/>
                <w:vertAlign w:val="subscript"/>
              </w:rPr>
              <w:t>bar</w:t>
            </w:r>
            <w:r>
              <w:rPr>
                <w:rFonts w:hint="default" w:ascii="Times New Roman" w:hAnsi="Times New Roman" w:cs="Times New Roman"/>
                <w:sz w:val="24"/>
              </w:rPr>
              <w:t>——</w:t>
            </w:r>
            <w:r>
              <w:rPr>
                <w:rFonts w:hint="eastAsia" w:ascii="Times New Roman" w:hAnsi="Times New Roman" w:cs="Times New Roman"/>
                <w:sz w:val="24"/>
                <w:lang w:val="en-US" w:eastAsia="zh-CN"/>
              </w:rPr>
              <w:t>障碍</w:t>
            </w:r>
            <w:r>
              <w:rPr>
                <w:rFonts w:hint="default" w:ascii="Times New Roman" w:hAnsi="宋体" w:cs="Times New Roman"/>
                <w:sz w:val="24"/>
              </w:rPr>
              <w:t>物</w:t>
            </w:r>
            <w:r>
              <w:rPr>
                <w:rFonts w:hint="eastAsia" w:ascii="Times New Roman" w:hAnsi="宋体" w:cs="Times New Roman"/>
                <w:sz w:val="24"/>
                <w:lang w:val="en-US" w:eastAsia="zh-CN"/>
              </w:rPr>
              <w:t>屏蔽</w:t>
            </w:r>
            <w:r>
              <w:rPr>
                <w:rFonts w:hint="default" w:ascii="Times New Roman" w:hAnsi="宋体" w:cs="Times New Roman"/>
                <w:sz w:val="24"/>
              </w:rPr>
              <w:t>引起的衰减</w:t>
            </w:r>
            <w:r>
              <w:rPr>
                <w:rFonts w:hint="eastAsia" w:ascii="Times New Roman" w:hAnsi="宋体" w:cs="Times New Roman"/>
                <w:sz w:val="24"/>
                <w:lang w:eastAsia="zh-CN"/>
              </w:rPr>
              <w:t>，</w:t>
            </w:r>
            <w:r>
              <w:rPr>
                <w:rFonts w:hint="default" w:ascii="Times New Roman" w:hAnsi="Times New Roman" w:cs="Times New Roman"/>
                <w:sz w:val="24"/>
              </w:rPr>
              <w:t>dB</w:t>
            </w:r>
            <w:r>
              <w:rPr>
                <w:rFonts w:hint="default" w:ascii="Times New Roman" w:hAnsi="宋体" w:cs="Times New Roman"/>
                <w:sz w:val="24"/>
              </w:rPr>
              <w:t>；</w:t>
            </w:r>
          </w:p>
          <w:p w14:paraId="37FEAD6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A</w:t>
            </w:r>
            <w:r>
              <w:rPr>
                <w:rFonts w:hint="default" w:ascii="Times New Roman" w:hAnsi="Times New Roman" w:cs="Times New Roman"/>
                <w:sz w:val="24"/>
                <w:vertAlign w:val="subscript"/>
              </w:rPr>
              <w:t>atm</w:t>
            </w:r>
            <w:r>
              <w:rPr>
                <w:rFonts w:hint="default" w:ascii="Times New Roman" w:hAnsi="Times New Roman" w:cs="Times New Roman"/>
                <w:sz w:val="24"/>
              </w:rPr>
              <w:t>——</w:t>
            </w:r>
            <w:r>
              <w:rPr>
                <w:rFonts w:hint="eastAsia" w:ascii="Times New Roman" w:hAnsi="宋体" w:cs="Times New Roman"/>
                <w:sz w:val="24"/>
                <w:lang w:val="en-US" w:eastAsia="zh-CN"/>
              </w:rPr>
              <w:t>大气</w:t>
            </w:r>
            <w:r>
              <w:rPr>
                <w:rFonts w:hint="default" w:ascii="Times New Roman" w:hAnsi="宋体" w:cs="Times New Roman"/>
                <w:sz w:val="24"/>
              </w:rPr>
              <w:t>吸收引起的衰减</w:t>
            </w:r>
            <w:r>
              <w:rPr>
                <w:rFonts w:hint="eastAsia" w:ascii="Times New Roman" w:hAnsi="宋体" w:cs="Times New Roman"/>
                <w:sz w:val="24"/>
                <w:lang w:eastAsia="zh-CN"/>
              </w:rPr>
              <w:t>，</w:t>
            </w:r>
            <w:r>
              <w:rPr>
                <w:rFonts w:hint="default" w:ascii="Times New Roman" w:hAnsi="Times New Roman" w:cs="Times New Roman"/>
                <w:sz w:val="24"/>
              </w:rPr>
              <w:t>dB</w:t>
            </w:r>
            <w:r>
              <w:rPr>
                <w:rFonts w:hint="default" w:ascii="Times New Roman" w:hAnsi="宋体" w:cs="Times New Roman"/>
                <w:sz w:val="24"/>
              </w:rPr>
              <w:t>；</w:t>
            </w:r>
          </w:p>
          <w:p w14:paraId="13855A2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A</w:t>
            </w:r>
            <w:r>
              <w:rPr>
                <w:rFonts w:hint="default" w:ascii="Times New Roman" w:hAnsi="Times New Roman" w:cs="Times New Roman"/>
                <w:sz w:val="24"/>
                <w:vertAlign w:val="subscript"/>
              </w:rPr>
              <w:t>gr</w:t>
            </w:r>
            <w:r>
              <w:rPr>
                <w:rFonts w:hint="default" w:ascii="Times New Roman" w:hAnsi="Times New Roman" w:cs="Times New Roman"/>
                <w:sz w:val="24"/>
              </w:rPr>
              <w:t>——</w:t>
            </w:r>
            <w:r>
              <w:rPr>
                <w:rFonts w:hint="default" w:ascii="Times New Roman" w:hAnsi="宋体" w:cs="Times New Roman"/>
                <w:sz w:val="24"/>
              </w:rPr>
              <w:t>地面效应引起的衰减</w:t>
            </w:r>
            <w:r>
              <w:rPr>
                <w:rFonts w:hint="eastAsia" w:ascii="Times New Roman" w:hAnsi="宋体" w:cs="Times New Roman"/>
                <w:sz w:val="24"/>
                <w:lang w:eastAsia="zh-CN"/>
              </w:rPr>
              <w:t>，</w:t>
            </w:r>
            <w:r>
              <w:rPr>
                <w:rFonts w:hint="default" w:ascii="Times New Roman" w:hAnsi="Times New Roman" w:cs="Times New Roman"/>
                <w:sz w:val="24"/>
              </w:rPr>
              <w:t>dB</w:t>
            </w:r>
            <w:r>
              <w:rPr>
                <w:rFonts w:hint="default" w:ascii="Times New Roman" w:hAnsi="宋体" w:cs="Times New Roman"/>
                <w:sz w:val="24"/>
              </w:rPr>
              <w:t>；</w:t>
            </w:r>
          </w:p>
          <w:p w14:paraId="5F6AF42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A</w:t>
            </w:r>
            <w:r>
              <w:rPr>
                <w:rFonts w:hint="eastAsia" w:ascii="Times New Roman" w:hAnsi="Times New Roman" w:cs="Times New Roman"/>
                <w:sz w:val="24"/>
                <w:vertAlign w:val="subscript"/>
                <w:lang w:val="en-US" w:eastAsia="zh-CN"/>
              </w:rPr>
              <w:t>misc</w:t>
            </w:r>
            <w:r>
              <w:rPr>
                <w:rFonts w:hint="default" w:ascii="Times New Roman" w:hAnsi="Times New Roman" w:cs="Times New Roman"/>
                <w:sz w:val="24"/>
              </w:rPr>
              <w:t>——</w:t>
            </w:r>
            <w:r>
              <w:rPr>
                <w:rFonts w:hint="eastAsia" w:ascii="Times New Roman" w:hAnsi="Times New Roman" w:cs="Times New Roman"/>
                <w:sz w:val="24"/>
                <w:lang w:val="en-US" w:eastAsia="zh-CN"/>
              </w:rPr>
              <w:t>其他多方面效应引起的</w:t>
            </w:r>
            <w:r>
              <w:rPr>
                <w:rFonts w:hint="default" w:ascii="Times New Roman" w:hAnsi="宋体" w:cs="Times New Roman"/>
                <w:sz w:val="24"/>
              </w:rPr>
              <w:t>衰减</w:t>
            </w:r>
            <w:r>
              <w:rPr>
                <w:rFonts w:hint="eastAsia" w:ascii="Times New Roman" w:hAnsi="宋体" w:cs="Times New Roman"/>
                <w:sz w:val="24"/>
                <w:lang w:eastAsia="zh-CN"/>
              </w:rPr>
              <w:t>，</w:t>
            </w:r>
            <w:r>
              <w:rPr>
                <w:rFonts w:hint="default" w:ascii="Times New Roman" w:hAnsi="Times New Roman" w:cs="Times New Roman"/>
                <w:sz w:val="24"/>
              </w:rPr>
              <w:t>dB</w:t>
            </w:r>
            <w:r>
              <w:rPr>
                <w:rFonts w:hint="default" w:ascii="Times New Roman" w:hAnsi="宋体" w:cs="Times New Roman"/>
                <w:sz w:val="24"/>
              </w:rPr>
              <w:t>。</w:t>
            </w:r>
          </w:p>
          <w:p w14:paraId="0AFA3D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302116"/>
                <w:sz w:val="24"/>
                <w:szCs w:val="24"/>
                <w:lang w:val="en-US" w:eastAsia="zh-CN"/>
              </w:rPr>
            </w:pPr>
            <w:r>
              <w:rPr>
                <w:rFonts w:hint="default" w:ascii="Times New Roman" w:hAnsi="Times New Roman" w:eastAsia="宋体" w:cs="Times New Roman"/>
                <w:color w:val="302116"/>
                <w:sz w:val="24"/>
                <w:szCs w:val="24"/>
                <w:lang w:eastAsia="zh-CN"/>
              </w:rPr>
              <w:t>通过预测模型计算，项目厂界噪声预测结果与达标</w:t>
            </w:r>
            <w:r>
              <w:rPr>
                <w:rFonts w:hint="default" w:ascii="Times New Roman" w:hAnsi="Times New Roman" w:eastAsia="宋体" w:cs="Times New Roman"/>
                <w:color w:val="302116"/>
                <w:sz w:val="24"/>
                <w:szCs w:val="24"/>
                <w:lang w:val="en-US" w:eastAsia="zh-CN"/>
              </w:rPr>
              <w:t>情况具体见表4-1</w:t>
            </w:r>
            <w:r>
              <w:rPr>
                <w:rFonts w:hint="eastAsia" w:cs="Times New Roman"/>
                <w:color w:val="302116"/>
                <w:sz w:val="24"/>
                <w:szCs w:val="24"/>
                <w:lang w:val="en-US" w:eastAsia="zh-CN"/>
              </w:rPr>
              <w:t>5</w:t>
            </w:r>
            <w:r>
              <w:rPr>
                <w:rFonts w:hint="eastAsia" w:ascii="Times New Roman" w:hAnsi="Times New Roman" w:eastAsia="宋体" w:cs="Times New Roman"/>
                <w:color w:val="302116"/>
                <w:sz w:val="24"/>
                <w:szCs w:val="24"/>
                <w:lang w:val="en-US" w:eastAsia="zh-CN"/>
              </w:rPr>
              <w:t>。</w:t>
            </w:r>
          </w:p>
          <w:p w14:paraId="2FD44B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Times New Roman"/>
                <w:b/>
                <w:color w:val="auto"/>
                <w:sz w:val="24"/>
                <w:szCs w:val="24"/>
                <w:lang w:eastAsia="zh-CN"/>
              </w:rPr>
            </w:pPr>
            <w:r>
              <w:rPr>
                <w:rFonts w:hint="default" w:ascii="宋体" w:hAnsi="宋体" w:eastAsia="宋体" w:cs="Times New Roman"/>
                <w:b/>
                <w:color w:val="auto"/>
                <w:sz w:val="24"/>
                <w:szCs w:val="24"/>
                <w:lang w:eastAsia="zh-CN"/>
              </w:rPr>
              <w:t>表</w:t>
            </w:r>
            <w:r>
              <w:rPr>
                <w:rFonts w:hint="eastAsia" w:ascii="Times New Roman" w:hAnsi="Times New Roman" w:eastAsia="宋体" w:cs="Times New Roman"/>
                <w:b/>
                <w:color w:val="auto"/>
                <w:sz w:val="24"/>
                <w:szCs w:val="24"/>
                <w:lang w:val="en-US" w:eastAsia="zh-CN"/>
              </w:rPr>
              <w:t>4-1</w:t>
            </w:r>
            <w:r>
              <w:rPr>
                <w:rFonts w:hint="eastAsia" w:cs="Times New Roman"/>
                <w:b/>
                <w:color w:val="auto"/>
                <w:sz w:val="24"/>
                <w:szCs w:val="24"/>
                <w:lang w:val="en-US" w:eastAsia="zh-CN"/>
              </w:rPr>
              <w:t>5</w:t>
            </w:r>
            <w:r>
              <w:rPr>
                <w:rFonts w:hint="default" w:ascii="宋体" w:hAnsi="宋体" w:eastAsia="宋体" w:cs="Times New Roman"/>
                <w:b/>
                <w:color w:val="auto"/>
                <w:sz w:val="24"/>
                <w:szCs w:val="24"/>
                <w:lang w:eastAsia="zh-CN"/>
              </w:rPr>
              <w:t xml:space="preserve"> </w:t>
            </w:r>
            <w:r>
              <w:rPr>
                <w:rFonts w:hint="eastAsia" w:ascii="宋体" w:hAnsi="宋体" w:eastAsia="宋体" w:cs="Times New Roman"/>
                <w:b/>
                <w:color w:val="auto"/>
                <w:sz w:val="24"/>
                <w:szCs w:val="24"/>
                <w:lang w:val="en-US" w:eastAsia="zh-CN"/>
              </w:rPr>
              <w:t xml:space="preserve"> </w:t>
            </w:r>
            <w:r>
              <w:rPr>
                <w:rFonts w:hint="default" w:ascii="宋体" w:hAnsi="宋体" w:eastAsia="宋体" w:cs="Times New Roman"/>
                <w:b/>
                <w:color w:val="auto"/>
                <w:sz w:val="24"/>
                <w:szCs w:val="24"/>
                <w:lang w:eastAsia="zh-CN"/>
              </w:rPr>
              <w:t>厂界噪声预测结果与达标分析表</w:t>
            </w:r>
          </w:p>
          <w:tbl>
            <w:tblPr>
              <w:tblStyle w:val="34"/>
              <w:tblW w:w="85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803"/>
              <w:gridCol w:w="803"/>
              <w:gridCol w:w="803"/>
              <w:gridCol w:w="993"/>
              <w:gridCol w:w="1417"/>
              <w:gridCol w:w="1418"/>
              <w:gridCol w:w="1188"/>
            </w:tblGrid>
            <w:tr w14:paraId="046D1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0" w:hRule="exact"/>
                <w:jc w:val="center"/>
              </w:trPr>
              <w:tc>
                <w:tcPr>
                  <w:tcW w:w="1101" w:type="dxa"/>
                  <w:vMerge w:val="restart"/>
                  <w:tcBorders>
                    <w:tl2br w:val="nil"/>
                    <w:tr2bl w:val="nil"/>
                  </w:tcBorders>
                  <w:shd w:val="clear" w:color="auto" w:fill="auto"/>
                  <w:vAlign w:val="center"/>
                </w:tcPr>
                <w:p w14:paraId="53F28F9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sz w:val="21"/>
                      <w:szCs w:val="21"/>
                    </w:rPr>
                  </w:pPr>
                  <w:r>
                    <w:rPr>
                      <w:rFonts w:hint="default" w:ascii="Times New Roman" w:hAnsi="Times New Roman" w:cs="Times New Roman" w:eastAsiaTheme="minorEastAsia"/>
                      <w:b/>
                      <w:bCs w:val="0"/>
                      <w:sz w:val="21"/>
                      <w:szCs w:val="21"/>
                    </w:rPr>
                    <w:t>预测方位</w:t>
                  </w:r>
                </w:p>
              </w:tc>
              <w:tc>
                <w:tcPr>
                  <w:tcW w:w="2409" w:type="dxa"/>
                  <w:gridSpan w:val="3"/>
                  <w:tcBorders>
                    <w:tl2br w:val="nil"/>
                    <w:tr2bl w:val="nil"/>
                  </w:tcBorders>
                  <w:shd w:val="clear" w:color="auto" w:fill="auto"/>
                  <w:vAlign w:val="center"/>
                </w:tcPr>
                <w:p w14:paraId="15F4455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sz w:val="21"/>
                      <w:szCs w:val="21"/>
                    </w:rPr>
                  </w:pPr>
                  <w:r>
                    <w:rPr>
                      <w:rFonts w:hint="eastAsia" w:ascii="Times New Roman" w:hAnsi="Times New Roman" w:cs="Times New Roman" w:eastAsiaTheme="minorEastAsia"/>
                      <w:b/>
                      <w:bCs w:val="0"/>
                      <w:sz w:val="21"/>
                      <w:szCs w:val="21"/>
                      <w:lang w:val="en-US" w:eastAsia="zh-CN"/>
                    </w:rPr>
                    <w:t>最大值点</w:t>
                  </w:r>
                  <w:r>
                    <w:rPr>
                      <w:rFonts w:hint="default" w:ascii="Times New Roman" w:hAnsi="Times New Roman" w:cs="Times New Roman" w:eastAsiaTheme="minorEastAsia"/>
                      <w:b/>
                      <w:bCs w:val="0"/>
                      <w:sz w:val="21"/>
                      <w:szCs w:val="21"/>
                    </w:rPr>
                    <w:t>空间相对位置/m</w:t>
                  </w:r>
                </w:p>
              </w:tc>
              <w:tc>
                <w:tcPr>
                  <w:tcW w:w="993" w:type="dxa"/>
                  <w:vMerge w:val="restart"/>
                  <w:tcBorders>
                    <w:tl2br w:val="nil"/>
                    <w:tr2bl w:val="nil"/>
                  </w:tcBorders>
                  <w:shd w:val="clear" w:color="auto" w:fill="auto"/>
                  <w:vAlign w:val="center"/>
                </w:tcPr>
                <w:p w14:paraId="66CC9F0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sz w:val="21"/>
                      <w:szCs w:val="21"/>
                    </w:rPr>
                  </w:pPr>
                  <w:r>
                    <w:rPr>
                      <w:rFonts w:hint="default" w:ascii="Times New Roman" w:hAnsi="Times New Roman" w:cs="Times New Roman" w:eastAsiaTheme="minorEastAsia"/>
                      <w:b/>
                      <w:bCs w:val="0"/>
                      <w:sz w:val="21"/>
                      <w:szCs w:val="21"/>
                    </w:rPr>
                    <w:t>时段</w:t>
                  </w:r>
                </w:p>
              </w:tc>
              <w:tc>
                <w:tcPr>
                  <w:tcW w:w="1417" w:type="dxa"/>
                  <w:vMerge w:val="restart"/>
                  <w:tcBorders>
                    <w:tl2br w:val="nil"/>
                    <w:tr2bl w:val="nil"/>
                  </w:tcBorders>
                  <w:shd w:val="clear" w:color="auto" w:fill="auto"/>
                  <w:vAlign w:val="center"/>
                </w:tcPr>
                <w:p w14:paraId="0DB8D34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sz w:val="21"/>
                      <w:szCs w:val="21"/>
                    </w:rPr>
                  </w:pPr>
                  <w:r>
                    <w:rPr>
                      <w:rFonts w:hint="eastAsia" w:ascii="Times New Roman" w:hAnsi="Times New Roman" w:cs="Times New Roman" w:eastAsiaTheme="minorEastAsia"/>
                      <w:b/>
                      <w:bCs w:val="0"/>
                      <w:sz w:val="21"/>
                      <w:szCs w:val="21"/>
                    </w:rPr>
                    <w:t>贡献值</w:t>
                  </w:r>
                  <w:r>
                    <w:rPr>
                      <w:rFonts w:hint="default" w:ascii="Times New Roman" w:hAnsi="Times New Roman" w:cs="Times New Roman" w:eastAsiaTheme="minorEastAsia"/>
                      <w:b/>
                      <w:bCs w:val="0"/>
                      <w:sz w:val="21"/>
                      <w:szCs w:val="21"/>
                    </w:rPr>
                    <w:t>（dB(A)）</w:t>
                  </w:r>
                </w:p>
              </w:tc>
              <w:tc>
                <w:tcPr>
                  <w:tcW w:w="1418" w:type="dxa"/>
                  <w:vMerge w:val="restart"/>
                  <w:tcBorders>
                    <w:tl2br w:val="nil"/>
                    <w:tr2bl w:val="nil"/>
                  </w:tcBorders>
                  <w:shd w:val="clear" w:color="auto" w:fill="auto"/>
                  <w:vAlign w:val="center"/>
                </w:tcPr>
                <w:p w14:paraId="63FFFFB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sz w:val="21"/>
                      <w:szCs w:val="21"/>
                    </w:rPr>
                  </w:pPr>
                  <w:r>
                    <w:rPr>
                      <w:rFonts w:hint="default" w:ascii="Times New Roman" w:hAnsi="Times New Roman" w:cs="Times New Roman" w:eastAsiaTheme="minorEastAsia"/>
                      <w:b/>
                      <w:bCs w:val="0"/>
                      <w:sz w:val="21"/>
                      <w:szCs w:val="21"/>
                    </w:rPr>
                    <w:t>标准限值（dB(A)）</w:t>
                  </w:r>
                </w:p>
              </w:tc>
              <w:tc>
                <w:tcPr>
                  <w:tcW w:w="1188" w:type="dxa"/>
                  <w:vMerge w:val="restart"/>
                  <w:tcBorders>
                    <w:tl2br w:val="nil"/>
                    <w:tr2bl w:val="nil"/>
                  </w:tcBorders>
                  <w:shd w:val="clear" w:color="auto" w:fill="auto"/>
                  <w:vAlign w:val="center"/>
                </w:tcPr>
                <w:p w14:paraId="749C05F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sz w:val="21"/>
                      <w:szCs w:val="21"/>
                    </w:rPr>
                  </w:pPr>
                  <w:r>
                    <w:rPr>
                      <w:rFonts w:hint="default" w:ascii="Times New Roman" w:hAnsi="Times New Roman" w:cs="Times New Roman" w:eastAsiaTheme="minorEastAsia"/>
                      <w:b/>
                      <w:bCs w:val="0"/>
                      <w:sz w:val="21"/>
                      <w:szCs w:val="21"/>
                    </w:rPr>
                    <w:t>达标情况</w:t>
                  </w:r>
                </w:p>
              </w:tc>
            </w:tr>
            <w:tr w14:paraId="4B236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01" w:type="dxa"/>
                  <w:vMerge w:val="continue"/>
                  <w:tcBorders>
                    <w:tl2br w:val="nil"/>
                    <w:tr2bl w:val="nil"/>
                  </w:tcBorders>
                  <w:shd w:val="clear" w:color="auto" w:fill="auto"/>
                  <w:vAlign w:val="center"/>
                </w:tcPr>
                <w:p w14:paraId="35D86AB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1"/>
                      <w:szCs w:val="21"/>
                    </w:rPr>
                  </w:pPr>
                </w:p>
              </w:tc>
              <w:tc>
                <w:tcPr>
                  <w:tcW w:w="803" w:type="dxa"/>
                  <w:tcBorders>
                    <w:tl2br w:val="nil"/>
                    <w:tr2bl w:val="nil"/>
                  </w:tcBorders>
                  <w:shd w:val="clear" w:color="auto" w:fill="auto"/>
                  <w:vAlign w:val="center"/>
                </w:tcPr>
                <w:p w14:paraId="4091D39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sz w:val="21"/>
                      <w:szCs w:val="21"/>
                    </w:rPr>
                  </w:pPr>
                  <w:r>
                    <w:rPr>
                      <w:rFonts w:hint="default" w:ascii="Times New Roman" w:hAnsi="Times New Roman" w:cs="Times New Roman" w:eastAsiaTheme="minorEastAsia"/>
                      <w:b/>
                      <w:bCs w:val="0"/>
                      <w:sz w:val="21"/>
                      <w:szCs w:val="21"/>
                    </w:rPr>
                    <w:t>X</w:t>
                  </w:r>
                </w:p>
              </w:tc>
              <w:tc>
                <w:tcPr>
                  <w:tcW w:w="803" w:type="dxa"/>
                  <w:tcBorders>
                    <w:tl2br w:val="nil"/>
                    <w:tr2bl w:val="nil"/>
                  </w:tcBorders>
                  <w:shd w:val="clear" w:color="auto" w:fill="auto"/>
                  <w:vAlign w:val="center"/>
                </w:tcPr>
                <w:p w14:paraId="631B7BF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sz w:val="21"/>
                      <w:szCs w:val="21"/>
                    </w:rPr>
                  </w:pPr>
                  <w:r>
                    <w:rPr>
                      <w:rFonts w:hint="default" w:ascii="Times New Roman" w:hAnsi="Times New Roman" w:cs="Times New Roman" w:eastAsiaTheme="minorEastAsia"/>
                      <w:b/>
                      <w:bCs w:val="0"/>
                      <w:sz w:val="21"/>
                      <w:szCs w:val="21"/>
                    </w:rPr>
                    <w:t>Y</w:t>
                  </w:r>
                </w:p>
              </w:tc>
              <w:tc>
                <w:tcPr>
                  <w:tcW w:w="803" w:type="dxa"/>
                  <w:tcBorders>
                    <w:tl2br w:val="nil"/>
                    <w:tr2bl w:val="nil"/>
                  </w:tcBorders>
                  <w:shd w:val="clear" w:color="auto" w:fill="auto"/>
                  <w:vAlign w:val="center"/>
                </w:tcPr>
                <w:p w14:paraId="5A5EB08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sz w:val="21"/>
                      <w:szCs w:val="21"/>
                    </w:rPr>
                  </w:pPr>
                  <w:r>
                    <w:rPr>
                      <w:rFonts w:hint="default" w:ascii="Times New Roman" w:hAnsi="Times New Roman" w:cs="Times New Roman" w:eastAsiaTheme="minorEastAsia"/>
                      <w:b/>
                      <w:bCs w:val="0"/>
                      <w:sz w:val="21"/>
                      <w:szCs w:val="21"/>
                    </w:rPr>
                    <w:t>Z</w:t>
                  </w:r>
                </w:p>
              </w:tc>
              <w:tc>
                <w:tcPr>
                  <w:tcW w:w="993" w:type="dxa"/>
                  <w:vMerge w:val="continue"/>
                  <w:tcBorders>
                    <w:tl2br w:val="nil"/>
                    <w:tr2bl w:val="nil"/>
                  </w:tcBorders>
                  <w:shd w:val="clear" w:color="auto" w:fill="auto"/>
                  <w:vAlign w:val="center"/>
                </w:tcPr>
                <w:p w14:paraId="46B9757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1"/>
                      <w:szCs w:val="21"/>
                    </w:rPr>
                  </w:pPr>
                </w:p>
              </w:tc>
              <w:tc>
                <w:tcPr>
                  <w:tcW w:w="1417" w:type="dxa"/>
                  <w:vMerge w:val="continue"/>
                  <w:tcBorders>
                    <w:tl2br w:val="nil"/>
                    <w:tr2bl w:val="nil"/>
                  </w:tcBorders>
                  <w:shd w:val="clear" w:color="auto" w:fill="auto"/>
                  <w:vAlign w:val="center"/>
                </w:tcPr>
                <w:p w14:paraId="5046251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1"/>
                      <w:szCs w:val="21"/>
                    </w:rPr>
                  </w:pPr>
                </w:p>
              </w:tc>
              <w:tc>
                <w:tcPr>
                  <w:tcW w:w="1418" w:type="dxa"/>
                  <w:vMerge w:val="continue"/>
                  <w:tcBorders>
                    <w:tl2br w:val="nil"/>
                    <w:tr2bl w:val="nil"/>
                  </w:tcBorders>
                  <w:shd w:val="clear" w:color="auto" w:fill="auto"/>
                  <w:vAlign w:val="center"/>
                </w:tcPr>
                <w:p w14:paraId="4C73ACC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1"/>
                      <w:szCs w:val="21"/>
                    </w:rPr>
                  </w:pPr>
                </w:p>
              </w:tc>
              <w:tc>
                <w:tcPr>
                  <w:tcW w:w="1188" w:type="dxa"/>
                  <w:vMerge w:val="continue"/>
                  <w:tcBorders>
                    <w:tl2br w:val="nil"/>
                    <w:tr2bl w:val="nil"/>
                  </w:tcBorders>
                  <w:shd w:val="clear" w:color="auto" w:fill="auto"/>
                  <w:vAlign w:val="center"/>
                </w:tcPr>
                <w:p w14:paraId="78EDD70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1"/>
                      <w:szCs w:val="21"/>
                    </w:rPr>
                  </w:pPr>
                </w:p>
              </w:tc>
            </w:tr>
            <w:tr w14:paraId="30A4E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restart"/>
                  <w:tcBorders>
                    <w:tl2br w:val="nil"/>
                    <w:tr2bl w:val="nil"/>
                  </w:tcBorders>
                  <w:shd w:val="clear" w:color="auto" w:fill="auto"/>
                  <w:vAlign w:val="center"/>
                </w:tcPr>
                <w:p w14:paraId="70DEF8E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东侧</w:t>
                  </w:r>
                </w:p>
              </w:tc>
              <w:tc>
                <w:tcPr>
                  <w:tcW w:w="803" w:type="dxa"/>
                  <w:vMerge w:val="restart"/>
                  <w:tcBorders>
                    <w:tl2br w:val="nil"/>
                    <w:tr2bl w:val="nil"/>
                  </w:tcBorders>
                  <w:shd w:val="clear" w:color="auto" w:fill="auto"/>
                  <w:vAlign w:val="center"/>
                </w:tcPr>
                <w:p w14:paraId="2BD2E95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59.3</w:t>
                  </w:r>
                </w:p>
              </w:tc>
              <w:tc>
                <w:tcPr>
                  <w:tcW w:w="803" w:type="dxa"/>
                  <w:vMerge w:val="restart"/>
                  <w:tcBorders>
                    <w:tl2br w:val="nil"/>
                    <w:tr2bl w:val="nil"/>
                  </w:tcBorders>
                  <w:shd w:val="clear" w:color="auto" w:fill="auto"/>
                  <w:vAlign w:val="center"/>
                </w:tcPr>
                <w:p w14:paraId="4C9D992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0.1</w:t>
                  </w:r>
                </w:p>
              </w:tc>
              <w:tc>
                <w:tcPr>
                  <w:tcW w:w="803" w:type="dxa"/>
                  <w:vMerge w:val="restart"/>
                  <w:tcBorders>
                    <w:tl2br w:val="nil"/>
                    <w:tr2bl w:val="nil"/>
                  </w:tcBorders>
                  <w:shd w:val="clear" w:color="auto" w:fill="auto"/>
                  <w:vAlign w:val="center"/>
                </w:tcPr>
                <w:p w14:paraId="5EB2C9F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1.2</w:t>
                  </w:r>
                </w:p>
              </w:tc>
              <w:tc>
                <w:tcPr>
                  <w:tcW w:w="993" w:type="dxa"/>
                  <w:tcBorders>
                    <w:tl2br w:val="nil"/>
                    <w:tr2bl w:val="nil"/>
                  </w:tcBorders>
                  <w:shd w:val="clear" w:color="auto" w:fill="auto"/>
                  <w:vAlign w:val="center"/>
                </w:tcPr>
                <w:p w14:paraId="7A24444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昼间</w:t>
                  </w:r>
                </w:p>
              </w:tc>
              <w:tc>
                <w:tcPr>
                  <w:tcW w:w="1417" w:type="dxa"/>
                  <w:tcBorders>
                    <w:tl2br w:val="nil"/>
                    <w:tr2bl w:val="nil"/>
                  </w:tcBorders>
                  <w:shd w:val="clear" w:color="auto" w:fill="auto"/>
                  <w:vAlign w:val="center"/>
                </w:tcPr>
                <w:p w14:paraId="35FE84C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44.9</w:t>
                  </w:r>
                </w:p>
              </w:tc>
              <w:tc>
                <w:tcPr>
                  <w:tcW w:w="1418" w:type="dxa"/>
                  <w:tcBorders>
                    <w:tl2br w:val="nil"/>
                    <w:tr2bl w:val="nil"/>
                  </w:tcBorders>
                  <w:shd w:val="clear" w:color="auto" w:fill="auto"/>
                  <w:vAlign w:val="center"/>
                </w:tcPr>
                <w:p w14:paraId="48D0727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65</w:t>
                  </w:r>
                </w:p>
              </w:tc>
              <w:tc>
                <w:tcPr>
                  <w:tcW w:w="1188" w:type="dxa"/>
                  <w:tcBorders>
                    <w:tl2br w:val="nil"/>
                    <w:tr2bl w:val="nil"/>
                  </w:tcBorders>
                  <w:shd w:val="clear" w:color="auto" w:fill="auto"/>
                  <w:vAlign w:val="center"/>
                </w:tcPr>
                <w:p w14:paraId="327AC7C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达标</w:t>
                  </w:r>
                </w:p>
              </w:tc>
            </w:tr>
            <w:tr w14:paraId="24967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continue"/>
                  <w:tcBorders>
                    <w:tl2br w:val="nil"/>
                    <w:tr2bl w:val="nil"/>
                  </w:tcBorders>
                  <w:shd w:val="clear" w:color="auto" w:fill="auto"/>
                  <w:vAlign w:val="center"/>
                </w:tcPr>
                <w:p w14:paraId="5FD9AE7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p>
              </w:tc>
              <w:tc>
                <w:tcPr>
                  <w:tcW w:w="803" w:type="dxa"/>
                  <w:vMerge w:val="continue"/>
                  <w:tcBorders>
                    <w:tl2br w:val="nil"/>
                    <w:tr2bl w:val="nil"/>
                  </w:tcBorders>
                  <w:shd w:val="clear" w:color="auto" w:fill="auto"/>
                  <w:vAlign w:val="center"/>
                </w:tcPr>
                <w:p w14:paraId="3B57720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sz w:val="20"/>
                    </w:rPr>
                  </w:pPr>
                </w:p>
              </w:tc>
              <w:tc>
                <w:tcPr>
                  <w:tcW w:w="803" w:type="dxa"/>
                  <w:vMerge w:val="continue"/>
                  <w:tcBorders>
                    <w:tl2br w:val="nil"/>
                    <w:tr2bl w:val="nil"/>
                  </w:tcBorders>
                  <w:shd w:val="clear" w:color="auto" w:fill="auto"/>
                  <w:vAlign w:val="center"/>
                </w:tcPr>
                <w:p w14:paraId="3AE4E23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sz w:val="20"/>
                    </w:rPr>
                  </w:pPr>
                </w:p>
              </w:tc>
              <w:tc>
                <w:tcPr>
                  <w:tcW w:w="803" w:type="dxa"/>
                  <w:vMerge w:val="continue"/>
                  <w:tcBorders>
                    <w:tl2br w:val="nil"/>
                    <w:tr2bl w:val="nil"/>
                  </w:tcBorders>
                  <w:shd w:val="clear" w:color="auto" w:fill="auto"/>
                  <w:vAlign w:val="center"/>
                </w:tcPr>
                <w:p w14:paraId="5536D4D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sz w:val="20"/>
                    </w:rPr>
                  </w:pPr>
                </w:p>
              </w:tc>
              <w:tc>
                <w:tcPr>
                  <w:tcW w:w="993" w:type="dxa"/>
                  <w:tcBorders>
                    <w:tl2br w:val="nil"/>
                    <w:tr2bl w:val="nil"/>
                  </w:tcBorders>
                  <w:shd w:val="clear" w:color="auto" w:fill="auto"/>
                  <w:vAlign w:val="center"/>
                </w:tcPr>
                <w:p w14:paraId="0A89911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sz w:val="20"/>
                    </w:rPr>
                  </w:pPr>
                  <w:r>
                    <w:rPr>
                      <w:rFonts w:hint="eastAsia" w:ascii="Times New Roman" w:hAnsi="Times New Roman" w:cs="Times New Roman" w:eastAsiaTheme="minorEastAsia"/>
                      <w:b w:val="0"/>
                      <w:bCs/>
                      <w:sz w:val="20"/>
                      <w:lang w:val="en-US" w:eastAsia="zh-CN"/>
                    </w:rPr>
                    <w:t>夜</w:t>
                  </w:r>
                  <w:r>
                    <w:rPr>
                      <w:rFonts w:hint="default" w:ascii="Times New Roman" w:hAnsi="Times New Roman" w:cs="Times New Roman" w:eastAsiaTheme="minorEastAsia"/>
                      <w:b w:val="0"/>
                      <w:bCs/>
                      <w:sz w:val="20"/>
                    </w:rPr>
                    <w:t>间</w:t>
                  </w:r>
                </w:p>
              </w:tc>
              <w:tc>
                <w:tcPr>
                  <w:tcW w:w="1417" w:type="dxa"/>
                  <w:tcBorders>
                    <w:tl2br w:val="nil"/>
                    <w:tr2bl w:val="nil"/>
                  </w:tcBorders>
                  <w:shd w:val="clear" w:color="auto" w:fill="auto"/>
                  <w:vAlign w:val="center"/>
                </w:tcPr>
                <w:p w14:paraId="0ADF061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sz w:val="20"/>
                    </w:rPr>
                  </w:pPr>
                  <w:r>
                    <w:rPr>
                      <w:rFonts w:hint="default" w:ascii="Times New Roman" w:hAnsi="Times New Roman" w:cs="Times New Roman" w:eastAsiaTheme="minorEastAsia"/>
                      <w:b w:val="0"/>
                      <w:bCs/>
                      <w:sz w:val="20"/>
                    </w:rPr>
                    <w:t>44.9</w:t>
                  </w:r>
                </w:p>
              </w:tc>
              <w:tc>
                <w:tcPr>
                  <w:tcW w:w="1418" w:type="dxa"/>
                  <w:tcBorders>
                    <w:tl2br w:val="nil"/>
                    <w:tr2bl w:val="nil"/>
                  </w:tcBorders>
                  <w:shd w:val="clear" w:color="auto" w:fill="auto"/>
                  <w:vAlign w:val="center"/>
                </w:tcPr>
                <w:p w14:paraId="011F4FB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sz w:val="20"/>
                    </w:rPr>
                  </w:pPr>
                  <w:r>
                    <w:rPr>
                      <w:rFonts w:hint="eastAsia" w:ascii="Times New Roman" w:hAnsi="Times New Roman" w:cs="Times New Roman" w:eastAsiaTheme="minorEastAsia"/>
                      <w:b w:val="0"/>
                      <w:bCs/>
                      <w:sz w:val="20"/>
                      <w:lang w:val="en-US" w:eastAsia="zh-CN"/>
                    </w:rPr>
                    <w:t>5</w:t>
                  </w:r>
                  <w:r>
                    <w:rPr>
                      <w:rFonts w:hint="default" w:ascii="Times New Roman" w:hAnsi="Times New Roman" w:cs="Times New Roman" w:eastAsiaTheme="minorEastAsia"/>
                      <w:b w:val="0"/>
                      <w:bCs/>
                      <w:sz w:val="20"/>
                    </w:rPr>
                    <w:t>5</w:t>
                  </w:r>
                </w:p>
              </w:tc>
              <w:tc>
                <w:tcPr>
                  <w:tcW w:w="1188" w:type="dxa"/>
                  <w:tcBorders>
                    <w:tl2br w:val="nil"/>
                    <w:tr2bl w:val="nil"/>
                  </w:tcBorders>
                  <w:shd w:val="clear" w:color="auto" w:fill="auto"/>
                  <w:vAlign w:val="center"/>
                </w:tcPr>
                <w:p w14:paraId="1C7FA6F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sz w:val="20"/>
                    </w:rPr>
                  </w:pPr>
                  <w:r>
                    <w:rPr>
                      <w:rFonts w:hint="default" w:ascii="Times New Roman" w:hAnsi="Times New Roman" w:cs="Times New Roman" w:eastAsiaTheme="minorEastAsia"/>
                      <w:b w:val="0"/>
                      <w:bCs/>
                      <w:sz w:val="20"/>
                    </w:rPr>
                    <w:t>达标</w:t>
                  </w:r>
                </w:p>
              </w:tc>
            </w:tr>
            <w:tr w14:paraId="49CDD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restart"/>
                  <w:tcBorders>
                    <w:tl2br w:val="nil"/>
                    <w:tr2bl w:val="nil"/>
                  </w:tcBorders>
                  <w:shd w:val="clear" w:color="auto" w:fill="auto"/>
                  <w:vAlign w:val="center"/>
                </w:tcPr>
                <w:p w14:paraId="08010D5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南侧</w:t>
                  </w:r>
                </w:p>
              </w:tc>
              <w:tc>
                <w:tcPr>
                  <w:tcW w:w="803" w:type="dxa"/>
                  <w:vMerge w:val="restart"/>
                  <w:tcBorders>
                    <w:tl2br w:val="nil"/>
                    <w:tr2bl w:val="nil"/>
                  </w:tcBorders>
                  <w:shd w:val="clear" w:color="auto" w:fill="auto"/>
                  <w:vAlign w:val="center"/>
                </w:tcPr>
                <w:p w14:paraId="441FF43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58</w:t>
                  </w:r>
                </w:p>
              </w:tc>
              <w:tc>
                <w:tcPr>
                  <w:tcW w:w="803" w:type="dxa"/>
                  <w:vMerge w:val="restart"/>
                  <w:tcBorders>
                    <w:tl2br w:val="nil"/>
                    <w:tr2bl w:val="nil"/>
                  </w:tcBorders>
                  <w:shd w:val="clear" w:color="auto" w:fill="auto"/>
                  <w:vAlign w:val="center"/>
                </w:tcPr>
                <w:p w14:paraId="4403EC2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-88.5</w:t>
                  </w:r>
                </w:p>
              </w:tc>
              <w:tc>
                <w:tcPr>
                  <w:tcW w:w="803" w:type="dxa"/>
                  <w:vMerge w:val="restart"/>
                  <w:tcBorders>
                    <w:tl2br w:val="nil"/>
                    <w:tr2bl w:val="nil"/>
                  </w:tcBorders>
                  <w:shd w:val="clear" w:color="auto" w:fill="auto"/>
                  <w:vAlign w:val="center"/>
                </w:tcPr>
                <w:p w14:paraId="6D1F0CD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1.2</w:t>
                  </w:r>
                </w:p>
              </w:tc>
              <w:tc>
                <w:tcPr>
                  <w:tcW w:w="993" w:type="dxa"/>
                  <w:tcBorders>
                    <w:tl2br w:val="nil"/>
                    <w:tr2bl w:val="nil"/>
                  </w:tcBorders>
                  <w:shd w:val="clear" w:color="auto" w:fill="auto"/>
                  <w:vAlign w:val="center"/>
                </w:tcPr>
                <w:p w14:paraId="4420D4B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昼间</w:t>
                  </w:r>
                </w:p>
              </w:tc>
              <w:tc>
                <w:tcPr>
                  <w:tcW w:w="1417" w:type="dxa"/>
                  <w:tcBorders>
                    <w:tl2br w:val="nil"/>
                    <w:tr2bl w:val="nil"/>
                  </w:tcBorders>
                  <w:shd w:val="clear" w:color="auto" w:fill="auto"/>
                  <w:vAlign w:val="center"/>
                </w:tcPr>
                <w:p w14:paraId="1CD6DFD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15.6</w:t>
                  </w:r>
                </w:p>
              </w:tc>
              <w:tc>
                <w:tcPr>
                  <w:tcW w:w="1418" w:type="dxa"/>
                  <w:tcBorders>
                    <w:tl2br w:val="nil"/>
                    <w:tr2bl w:val="nil"/>
                  </w:tcBorders>
                  <w:shd w:val="clear" w:color="auto" w:fill="auto"/>
                  <w:vAlign w:val="center"/>
                </w:tcPr>
                <w:p w14:paraId="6BA1EBC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65</w:t>
                  </w:r>
                </w:p>
              </w:tc>
              <w:tc>
                <w:tcPr>
                  <w:tcW w:w="1188" w:type="dxa"/>
                  <w:tcBorders>
                    <w:tl2br w:val="nil"/>
                    <w:tr2bl w:val="nil"/>
                  </w:tcBorders>
                  <w:shd w:val="clear" w:color="auto" w:fill="auto"/>
                  <w:vAlign w:val="center"/>
                </w:tcPr>
                <w:p w14:paraId="38B2E5C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达标</w:t>
                  </w:r>
                </w:p>
              </w:tc>
            </w:tr>
            <w:tr w14:paraId="07608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continue"/>
                  <w:tcBorders>
                    <w:tl2br w:val="nil"/>
                    <w:tr2bl w:val="nil"/>
                  </w:tcBorders>
                  <w:shd w:val="clear" w:color="auto" w:fill="auto"/>
                  <w:vAlign w:val="center"/>
                </w:tcPr>
                <w:p w14:paraId="623F5E4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p>
              </w:tc>
              <w:tc>
                <w:tcPr>
                  <w:tcW w:w="803" w:type="dxa"/>
                  <w:vMerge w:val="continue"/>
                  <w:tcBorders>
                    <w:tl2br w:val="nil"/>
                    <w:tr2bl w:val="nil"/>
                  </w:tcBorders>
                  <w:shd w:val="clear" w:color="auto" w:fill="auto"/>
                  <w:vAlign w:val="center"/>
                </w:tcPr>
                <w:p w14:paraId="3DB0868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p>
              </w:tc>
              <w:tc>
                <w:tcPr>
                  <w:tcW w:w="803" w:type="dxa"/>
                  <w:vMerge w:val="continue"/>
                  <w:tcBorders>
                    <w:tl2br w:val="nil"/>
                    <w:tr2bl w:val="nil"/>
                  </w:tcBorders>
                  <w:shd w:val="clear" w:color="auto" w:fill="auto"/>
                  <w:vAlign w:val="center"/>
                </w:tcPr>
                <w:p w14:paraId="38BFFC7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p>
              </w:tc>
              <w:tc>
                <w:tcPr>
                  <w:tcW w:w="803" w:type="dxa"/>
                  <w:vMerge w:val="continue"/>
                  <w:tcBorders>
                    <w:tl2br w:val="nil"/>
                    <w:tr2bl w:val="nil"/>
                  </w:tcBorders>
                  <w:shd w:val="clear" w:color="auto" w:fill="auto"/>
                  <w:vAlign w:val="center"/>
                </w:tcPr>
                <w:p w14:paraId="74193E1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p>
              </w:tc>
              <w:tc>
                <w:tcPr>
                  <w:tcW w:w="993" w:type="dxa"/>
                  <w:tcBorders>
                    <w:tl2br w:val="nil"/>
                    <w:tr2bl w:val="nil"/>
                  </w:tcBorders>
                  <w:shd w:val="clear" w:color="auto" w:fill="auto"/>
                  <w:vAlign w:val="center"/>
                </w:tcPr>
                <w:p w14:paraId="775A0AB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r>
                    <w:rPr>
                      <w:rFonts w:hint="eastAsia" w:ascii="Times New Roman" w:hAnsi="Times New Roman" w:cs="Times New Roman" w:eastAsiaTheme="minorEastAsia"/>
                      <w:b w:val="0"/>
                      <w:bCs/>
                      <w:sz w:val="20"/>
                      <w:lang w:val="en-US" w:eastAsia="zh-CN"/>
                    </w:rPr>
                    <w:t>夜</w:t>
                  </w:r>
                  <w:r>
                    <w:rPr>
                      <w:rFonts w:hint="default" w:ascii="Times New Roman" w:hAnsi="Times New Roman" w:cs="Times New Roman" w:eastAsiaTheme="minorEastAsia"/>
                      <w:b w:val="0"/>
                      <w:bCs/>
                      <w:sz w:val="20"/>
                    </w:rPr>
                    <w:t>间</w:t>
                  </w:r>
                </w:p>
              </w:tc>
              <w:tc>
                <w:tcPr>
                  <w:tcW w:w="1417" w:type="dxa"/>
                  <w:tcBorders>
                    <w:tl2br w:val="nil"/>
                    <w:tr2bl w:val="nil"/>
                  </w:tcBorders>
                  <w:shd w:val="clear" w:color="auto" w:fill="auto"/>
                  <w:vAlign w:val="center"/>
                </w:tcPr>
                <w:p w14:paraId="780B980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r>
                    <w:rPr>
                      <w:rFonts w:hint="default" w:ascii="Times New Roman" w:hAnsi="Times New Roman" w:cs="Times New Roman" w:eastAsiaTheme="minorEastAsia"/>
                      <w:b w:val="0"/>
                      <w:bCs/>
                      <w:sz w:val="20"/>
                    </w:rPr>
                    <w:t>15.6</w:t>
                  </w:r>
                </w:p>
              </w:tc>
              <w:tc>
                <w:tcPr>
                  <w:tcW w:w="1418" w:type="dxa"/>
                  <w:tcBorders>
                    <w:tl2br w:val="nil"/>
                    <w:tr2bl w:val="nil"/>
                  </w:tcBorders>
                  <w:shd w:val="clear" w:color="auto" w:fill="auto"/>
                  <w:vAlign w:val="center"/>
                </w:tcPr>
                <w:p w14:paraId="13CDC37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r>
                    <w:rPr>
                      <w:rFonts w:hint="eastAsia" w:ascii="Times New Roman" w:hAnsi="Times New Roman" w:cs="Times New Roman" w:eastAsiaTheme="minorEastAsia"/>
                      <w:b w:val="0"/>
                      <w:bCs/>
                      <w:sz w:val="20"/>
                      <w:lang w:val="en-US" w:eastAsia="zh-CN"/>
                    </w:rPr>
                    <w:t>5</w:t>
                  </w:r>
                  <w:r>
                    <w:rPr>
                      <w:rFonts w:hint="default" w:ascii="Times New Roman" w:hAnsi="Times New Roman" w:cs="Times New Roman" w:eastAsiaTheme="minorEastAsia"/>
                      <w:b w:val="0"/>
                      <w:bCs/>
                      <w:sz w:val="20"/>
                    </w:rPr>
                    <w:t>5</w:t>
                  </w:r>
                </w:p>
              </w:tc>
              <w:tc>
                <w:tcPr>
                  <w:tcW w:w="1188" w:type="dxa"/>
                  <w:tcBorders>
                    <w:tl2br w:val="nil"/>
                    <w:tr2bl w:val="nil"/>
                  </w:tcBorders>
                  <w:shd w:val="clear" w:color="auto" w:fill="auto"/>
                  <w:vAlign w:val="center"/>
                </w:tcPr>
                <w:p w14:paraId="7A81F08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sz w:val="20"/>
                    </w:rPr>
                  </w:pPr>
                  <w:r>
                    <w:rPr>
                      <w:rFonts w:hint="default" w:ascii="Times New Roman" w:hAnsi="Times New Roman" w:cs="Times New Roman" w:eastAsiaTheme="minorEastAsia"/>
                      <w:b w:val="0"/>
                      <w:bCs/>
                      <w:sz w:val="20"/>
                    </w:rPr>
                    <w:t>达标</w:t>
                  </w:r>
                </w:p>
              </w:tc>
            </w:tr>
            <w:tr w14:paraId="1CBF2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restart"/>
                  <w:tcBorders>
                    <w:tl2br w:val="nil"/>
                    <w:tr2bl w:val="nil"/>
                  </w:tcBorders>
                  <w:shd w:val="clear" w:color="auto" w:fill="auto"/>
                  <w:vAlign w:val="center"/>
                </w:tcPr>
                <w:p w14:paraId="77EDD05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西侧</w:t>
                  </w:r>
                </w:p>
              </w:tc>
              <w:tc>
                <w:tcPr>
                  <w:tcW w:w="803" w:type="dxa"/>
                  <w:vMerge w:val="restart"/>
                  <w:tcBorders>
                    <w:tl2br w:val="nil"/>
                    <w:tr2bl w:val="nil"/>
                  </w:tcBorders>
                  <w:shd w:val="clear" w:color="auto" w:fill="auto"/>
                  <w:vAlign w:val="center"/>
                </w:tcPr>
                <w:p w14:paraId="2BB0FC0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-59.6</w:t>
                  </w:r>
                </w:p>
              </w:tc>
              <w:tc>
                <w:tcPr>
                  <w:tcW w:w="803" w:type="dxa"/>
                  <w:vMerge w:val="restart"/>
                  <w:tcBorders>
                    <w:tl2br w:val="nil"/>
                    <w:tr2bl w:val="nil"/>
                  </w:tcBorders>
                  <w:shd w:val="clear" w:color="auto" w:fill="auto"/>
                  <w:vAlign w:val="center"/>
                </w:tcPr>
                <w:p w14:paraId="3ED5995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39</w:t>
                  </w:r>
                </w:p>
              </w:tc>
              <w:tc>
                <w:tcPr>
                  <w:tcW w:w="803" w:type="dxa"/>
                  <w:vMerge w:val="restart"/>
                  <w:tcBorders>
                    <w:tl2br w:val="nil"/>
                    <w:tr2bl w:val="nil"/>
                  </w:tcBorders>
                  <w:shd w:val="clear" w:color="auto" w:fill="auto"/>
                  <w:vAlign w:val="center"/>
                </w:tcPr>
                <w:p w14:paraId="5EFE030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1.2</w:t>
                  </w:r>
                </w:p>
              </w:tc>
              <w:tc>
                <w:tcPr>
                  <w:tcW w:w="993" w:type="dxa"/>
                  <w:tcBorders>
                    <w:tl2br w:val="nil"/>
                    <w:tr2bl w:val="nil"/>
                  </w:tcBorders>
                  <w:shd w:val="clear" w:color="auto" w:fill="auto"/>
                  <w:vAlign w:val="center"/>
                </w:tcPr>
                <w:p w14:paraId="298CF00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昼间</w:t>
                  </w:r>
                </w:p>
              </w:tc>
              <w:tc>
                <w:tcPr>
                  <w:tcW w:w="1417" w:type="dxa"/>
                  <w:tcBorders>
                    <w:tl2br w:val="nil"/>
                    <w:tr2bl w:val="nil"/>
                  </w:tcBorders>
                  <w:shd w:val="clear" w:color="auto" w:fill="auto"/>
                  <w:vAlign w:val="center"/>
                </w:tcPr>
                <w:p w14:paraId="185E6FD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29.7</w:t>
                  </w:r>
                </w:p>
              </w:tc>
              <w:tc>
                <w:tcPr>
                  <w:tcW w:w="1418" w:type="dxa"/>
                  <w:tcBorders>
                    <w:tl2br w:val="nil"/>
                    <w:tr2bl w:val="nil"/>
                  </w:tcBorders>
                  <w:shd w:val="clear" w:color="auto" w:fill="auto"/>
                  <w:vAlign w:val="center"/>
                </w:tcPr>
                <w:p w14:paraId="03276E1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65</w:t>
                  </w:r>
                </w:p>
              </w:tc>
              <w:tc>
                <w:tcPr>
                  <w:tcW w:w="1188" w:type="dxa"/>
                  <w:tcBorders>
                    <w:tl2br w:val="nil"/>
                    <w:tr2bl w:val="nil"/>
                  </w:tcBorders>
                  <w:shd w:val="clear" w:color="auto" w:fill="auto"/>
                  <w:vAlign w:val="center"/>
                </w:tcPr>
                <w:p w14:paraId="4ADCB87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达标</w:t>
                  </w:r>
                </w:p>
              </w:tc>
            </w:tr>
            <w:tr w14:paraId="60479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continue"/>
                  <w:tcBorders>
                    <w:tl2br w:val="nil"/>
                    <w:tr2bl w:val="nil"/>
                  </w:tcBorders>
                  <w:shd w:val="clear" w:color="auto" w:fill="auto"/>
                  <w:vAlign w:val="center"/>
                </w:tcPr>
                <w:p w14:paraId="2B87245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p>
              </w:tc>
              <w:tc>
                <w:tcPr>
                  <w:tcW w:w="803" w:type="dxa"/>
                  <w:vMerge w:val="continue"/>
                  <w:tcBorders>
                    <w:tl2br w:val="nil"/>
                    <w:tr2bl w:val="nil"/>
                  </w:tcBorders>
                  <w:shd w:val="clear" w:color="auto" w:fill="auto"/>
                  <w:vAlign w:val="center"/>
                </w:tcPr>
                <w:p w14:paraId="703BEC3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p>
              </w:tc>
              <w:tc>
                <w:tcPr>
                  <w:tcW w:w="803" w:type="dxa"/>
                  <w:vMerge w:val="continue"/>
                  <w:tcBorders>
                    <w:tl2br w:val="nil"/>
                    <w:tr2bl w:val="nil"/>
                  </w:tcBorders>
                  <w:shd w:val="clear" w:color="auto" w:fill="auto"/>
                  <w:vAlign w:val="center"/>
                </w:tcPr>
                <w:p w14:paraId="3D9256D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p>
              </w:tc>
              <w:tc>
                <w:tcPr>
                  <w:tcW w:w="803" w:type="dxa"/>
                  <w:vMerge w:val="continue"/>
                  <w:tcBorders>
                    <w:tl2br w:val="nil"/>
                    <w:tr2bl w:val="nil"/>
                  </w:tcBorders>
                  <w:shd w:val="clear" w:color="auto" w:fill="auto"/>
                  <w:vAlign w:val="center"/>
                </w:tcPr>
                <w:p w14:paraId="40F2662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p>
              </w:tc>
              <w:tc>
                <w:tcPr>
                  <w:tcW w:w="993" w:type="dxa"/>
                  <w:tcBorders>
                    <w:tl2br w:val="nil"/>
                    <w:tr2bl w:val="nil"/>
                  </w:tcBorders>
                  <w:shd w:val="clear" w:color="auto" w:fill="auto"/>
                  <w:vAlign w:val="center"/>
                </w:tcPr>
                <w:p w14:paraId="3E86A9B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r>
                    <w:rPr>
                      <w:rFonts w:hint="eastAsia" w:ascii="Times New Roman" w:hAnsi="Times New Roman" w:cs="Times New Roman" w:eastAsiaTheme="minorEastAsia"/>
                      <w:b w:val="0"/>
                      <w:bCs/>
                      <w:sz w:val="20"/>
                      <w:lang w:val="en-US" w:eastAsia="zh-CN"/>
                    </w:rPr>
                    <w:t>夜</w:t>
                  </w:r>
                  <w:r>
                    <w:rPr>
                      <w:rFonts w:hint="default" w:ascii="Times New Roman" w:hAnsi="Times New Roman" w:cs="Times New Roman" w:eastAsiaTheme="minorEastAsia"/>
                      <w:b w:val="0"/>
                      <w:bCs/>
                      <w:sz w:val="20"/>
                    </w:rPr>
                    <w:t>间</w:t>
                  </w:r>
                </w:p>
              </w:tc>
              <w:tc>
                <w:tcPr>
                  <w:tcW w:w="1417" w:type="dxa"/>
                  <w:tcBorders>
                    <w:tl2br w:val="nil"/>
                    <w:tr2bl w:val="nil"/>
                  </w:tcBorders>
                  <w:shd w:val="clear" w:color="auto" w:fill="auto"/>
                  <w:vAlign w:val="center"/>
                </w:tcPr>
                <w:p w14:paraId="181659D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r>
                    <w:rPr>
                      <w:rFonts w:hint="default" w:ascii="Times New Roman" w:hAnsi="Times New Roman" w:cs="Times New Roman" w:eastAsiaTheme="minorEastAsia"/>
                      <w:b w:val="0"/>
                      <w:bCs/>
                      <w:sz w:val="20"/>
                    </w:rPr>
                    <w:t>29.7</w:t>
                  </w:r>
                </w:p>
              </w:tc>
              <w:tc>
                <w:tcPr>
                  <w:tcW w:w="1418" w:type="dxa"/>
                  <w:tcBorders>
                    <w:tl2br w:val="nil"/>
                    <w:tr2bl w:val="nil"/>
                  </w:tcBorders>
                  <w:shd w:val="clear" w:color="auto" w:fill="auto"/>
                  <w:vAlign w:val="center"/>
                </w:tcPr>
                <w:p w14:paraId="02931C5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r>
                    <w:rPr>
                      <w:rFonts w:hint="eastAsia" w:ascii="Times New Roman" w:hAnsi="Times New Roman" w:cs="Times New Roman" w:eastAsiaTheme="minorEastAsia"/>
                      <w:b w:val="0"/>
                      <w:bCs/>
                      <w:sz w:val="20"/>
                      <w:lang w:val="en-US" w:eastAsia="zh-CN"/>
                    </w:rPr>
                    <w:t>5</w:t>
                  </w:r>
                  <w:r>
                    <w:rPr>
                      <w:rFonts w:hint="default" w:ascii="Times New Roman" w:hAnsi="Times New Roman" w:cs="Times New Roman" w:eastAsiaTheme="minorEastAsia"/>
                      <w:b w:val="0"/>
                      <w:bCs/>
                      <w:sz w:val="20"/>
                    </w:rPr>
                    <w:t>5</w:t>
                  </w:r>
                </w:p>
              </w:tc>
              <w:tc>
                <w:tcPr>
                  <w:tcW w:w="1188" w:type="dxa"/>
                  <w:tcBorders>
                    <w:tl2br w:val="nil"/>
                    <w:tr2bl w:val="nil"/>
                  </w:tcBorders>
                  <w:shd w:val="clear" w:color="auto" w:fill="auto"/>
                  <w:vAlign w:val="center"/>
                </w:tcPr>
                <w:p w14:paraId="081742D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sz w:val="20"/>
                    </w:rPr>
                  </w:pPr>
                  <w:r>
                    <w:rPr>
                      <w:rFonts w:hint="default" w:ascii="Times New Roman" w:hAnsi="Times New Roman" w:cs="Times New Roman" w:eastAsiaTheme="minorEastAsia"/>
                      <w:b w:val="0"/>
                      <w:bCs/>
                      <w:sz w:val="20"/>
                    </w:rPr>
                    <w:t>达标</w:t>
                  </w:r>
                </w:p>
              </w:tc>
            </w:tr>
            <w:tr w14:paraId="37BA8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restart"/>
                  <w:tcBorders>
                    <w:tl2br w:val="nil"/>
                    <w:tr2bl w:val="nil"/>
                  </w:tcBorders>
                  <w:shd w:val="clear" w:color="auto" w:fill="auto"/>
                  <w:vAlign w:val="center"/>
                </w:tcPr>
                <w:p w14:paraId="2B03480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北侧</w:t>
                  </w:r>
                </w:p>
              </w:tc>
              <w:tc>
                <w:tcPr>
                  <w:tcW w:w="803" w:type="dxa"/>
                  <w:vMerge w:val="restart"/>
                  <w:tcBorders>
                    <w:tl2br w:val="nil"/>
                    <w:tr2bl w:val="nil"/>
                  </w:tcBorders>
                  <w:shd w:val="clear" w:color="auto" w:fill="auto"/>
                  <w:vAlign w:val="center"/>
                </w:tcPr>
                <w:p w14:paraId="29FDC1F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18.9</w:t>
                  </w:r>
                </w:p>
              </w:tc>
              <w:tc>
                <w:tcPr>
                  <w:tcW w:w="803" w:type="dxa"/>
                  <w:vMerge w:val="restart"/>
                  <w:tcBorders>
                    <w:tl2br w:val="nil"/>
                    <w:tr2bl w:val="nil"/>
                  </w:tcBorders>
                  <w:shd w:val="clear" w:color="auto" w:fill="auto"/>
                  <w:vAlign w:val="center"/>
                </w:tcPr>
                <w:p w14:paraId="7CC83E0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89.7</w:t>
                  </w:r>
                </w:p>
              </w:tc>
              <w:tc>
                <w:tcPr>
                  <w:tcW w:w="803" w:type="dxa"/>
                  <w:vMerge w:val="restart"/>
                  <w:tcBorders>
                    <w:tl2br w:val="nil"/>
                    <w:tr2bl w:val="nil"/>
                  </w:tcBorders>
                  <w:shd w:val="clear" w:color="auto" w:fill="auto"/>
                  <w:vAlign w:val="center"/>
                </w:tcPr>
                <w:p w14:paraId="1C701C8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1.2</w:t>
                  </w:r>
                </w:p>
              </w:tc>
              <w:tc>
                <w:tcPr>
                  <w:tcW w:w="993" w:type="dxa"/>
                  <w:tcBorders>
                    <w:tl2br w:val="nil"/>
                    <w:tr2bl w:val="nil"/>
                  </w:tcBorders>
                  <w:shd w:val="clear" w:color="auto" w:fill="auto"/>
                  <w:vAlign w:val="center"/>
                </w:tcPr>
                <w:p w14:paraId="5E8C9F5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昼间</w:t>
                  </w:r>
                </w:p>
              </w:tc>
              <w:tc>
                <w:tcPr>
                  <w:tcW w:w="1417" w:type="dxa"/>
                  <w:tcBorders>
                    <w:tl2br w:val="nil"/>
                    <w:tr2bl w:val="nil"/>
                  </w:tcBorders>
                  <w:shd w:val="clear" w:color="auto" w:fill="auto"/>
                  <w:vAlign w:val="center"/>
                </w:tcPr>
                <w:p w14:paraId="6BEB088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40</w:t>
                  </w:r>
                </w:p>
              </w:tc>
              <w:tc>
                <w:tcPr>
                  <w:tcW w:w="1418" w:type="dxa"/>
                  <w:tcBorders>
                    <w:tl2br w:val="nil"/>
                    <w:tr2bl w:val="nil"/>
                  </w:tcBorders>
                  <w:shd w:val="clear" w:color="auto" w:fill="auto"/>
                  <w:vAlign w:val="center"/>
                </w:tcPr>
                <w:p w14:paraId="4293AAC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65</w:t>
                  </w:r>
                </w:p>
              </w:tc>
              <w:tc>
                <w:tcPr>
                  <w:tcW w:w="1188" w:type="dxa"/>
                  <w:tcBorders>
                    <w:tl2br w:val="nil"/>
                    <w:tr2bl w:val="nil"/>
                  </w:tcBorders>
                  <w:shd w:val="clear" w:color="auto" w:fill="auto"/>
                  <w:vAlign w:val="center"/>
                </w:tcPr>
                <w:p w14:paraId="34927ED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rPr>
                  </w:pPr>
                  <w:r>
                    <w:rPr>
                      <w:rFonts w:hint="default" w:ascii="Times New Roman" w:hAnsi="Times New Roman" w:cs="Times New Roman" w:eastAsiaTheme="minorEastAsia"/>
                      <w:b w:val="0"/>
                      <w:bCs/>
                      <w:sz w:val="20"/>
                    </w:rPr>
                    <w:t>达标</w:t>
                  </w:r>
                </w:p>
              </w:tc>
            </w:tr>
            <w:tr w14:paraId="2F184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continue"/>
                  <w:tcBorders>
                    <w:tl2br w:val="nil"/>
                    <w:tr2bl w:val="nil"/>
                  </w:tcBorders>
                  <w:shd w:val="clear" w:color="auto" w:fill="auto"/>
                  <w:vAlign w:val="center"/>
                </w:tcPr>
                <w:p w14:paraId="7819B27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p>
              </w:tc>
              <w:tc>
                <w:tcPr>
                  <w:tcW w:w="803" w:type="dxa"/>
                  <w:vMerge w:val="continue"/>
                  <w:tcBorders>
                    <w:tl2br w:val="nil"/>
                    <w:tr2bl w:val="nil"/>
                  </w:tcBorders>
                  <w:shd w:val="clear" w:color="auto" w:fill="auto"/>
                  <w:vAlign w:val="center"/>
                </w:tcPr>
                <w:p w14:paraId="38DB249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p>
              </w:tc>
              <w:tc>
                <w:tcPr>
                  <w:tcW w:w="803" w:type="dxa"/>
                  <w:vMerge w:val="continue"/>
                  <w:tcBorders>
                    <w:tl2br w:val="nil"/>
                    <w:tr2bl w:val="nil"/>
                  </w:tcBorders>
                  <w:shd w:val="clear" w:color="auto" w:fill="auto"/>
                  <w:vAlign w:val="center"/>
                </w:tcPr>
                <w:p w14:paraId="2B05DAD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p>
              </w:tc>
              <w:tc>
                <w:tcPr>
                  <w:tcW w:w="803" w:type="dxa"/>
                  <w:vMerge w:val="continue"/>
                  <w:tcBorders>
                    <w:tl2br w:val="nil"/>
                    <w:tr2bl w:val="nil"/>
                  </w:tcBorders>
                  <w:shd w:val="clear" w:color="auto" w:fill="auto"/>
                  <w:vAlign w:val="center"/>
                </w:tcPr>
                <w:p w14:paraId="4A5369C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p>
              </w:tc>
              <w:tc>
                <w:tcPr>
                  <w:tcW w:w="993" w:type="dxa"/>
                  <w:tcBorders>
                    <w:tl2br w:val="nil"/>
                    <w:tr2bl w:val="nil"/>
                  </w:tcBorders>
                  <w:shd w:val="clear" w:color="auto" w:fill="auto"/>
                  <w:vAlign w:val="center"/>
                </w:tcPr>
                <w:p w14:paraId="44327FF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r>
                    <w:rPr>
                      <w:rFonts w:hint="eastAsia" w:ascii="Times New Roman" w:hAnsi="Times New Roman" w:cs="Times New Roman" w:eastAsiaTheme="minorEastAsia"/>
                      <w:b w:val="0"/>
                      <w:bCs/>
                      <w:sz w:val="20"/>
                      <w:lang w:val="en-US" w:eastAsia="zh-CN"/>
                    </w:rPr>
                    <w:t>夜</w:t>
                  </w:r>
                  <w:r>
                    <w:rPr>
                      <w:rFonts w:hint="default" w:ascii="Times New Roman" w:hAnsi="Times New Roman" w:cs="Times New Roman" w:eastAsiaTheme="minorEastAsia"/>
                      <w:b w:val="0"/>
                      <w:bCs/>
                      <w:sz w:val="20"/>
                    </w:rPr>
                    <w:t>间</w:t>
                  </w:r>
                </w:p>
              </w:tc>
              <w:tc>
                <w:tcPr>
                  <w:tcW w:w="1417" w:type="dxa"/>
                  <w:tcBorders>
                    <w:tl2br w:val="nil"/>
                    <w:tr2bl w:val="nil"/>
                  </w:tcBorders>
                  <w:shd w:val="clear" w:color="auto" w:fill="auto"/>
                  <w:vAlign w:val="center"/>
                </w:tcPr>
                <w:p w14:paraId="653B026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r>
                    <w:rPr>
                      <w:rFonts w:hint="default" w:ascii="Times New Roman" w:hAnsi="Times New Roman" w:cs="Times New Roman" w:eastAsiaTheme="minorEastAsia"/>
                      <w:b w:val="0"/>
                      <w:bCs/>
                      <w:sz w:val="20"/>
                    </w:rPr>
                    <w:t>40</w:t>
                  </w:r>
                </w:p>
              </w:tc>
              <w:tc>
                <w:tcPr>
                  <w:tcW w:w="1418" w:type="dxa"/>
                  <w:tcBorders>
                    <w:tl2br w:val="nil"/>
                    <w:tr2bl w:val="nil"/>
                  </w:tcBorders>
                  <w:shd w:val="clear" w:color="auto" w:fill="auto"/>
                  <w:vAlign w:val="center"/>
                </w:tcPr>
                <w:p w14:paraId="201B236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sz w:val="20"/>
                    </w:rPr>
                  </w:pPr>
                  <w:r>
                    <w:rPr>
                      <w:rFonts w:hint="eastAsia" w:ascii="Times New Roman" w:hAnsi="Times New Roman" w:cs="Times New Roman" w:eastAsiaTheme="minorEastAsia"/>
                      <w:b w:val="0"/>
                      <w:bCs/>
                      <w:sz w:val="20"/>
                      <w:lang w:val="en-US" w:eastAsia="zh-CN"/>
                    </w:rPr>
                    <w:t>5</w:t>
                  </w:r>
                  <w:r>
                    <w:rPr>
                      <w:rFonts w:hint="default" w:ascii="Times New Roman" w:hAnsi="Times New Roman" w:cs="Times New Roman" w:eastAsiaTheme="minorEastAsia"/>
                      <w:b w:val="0"/>
                      <w:bCs/>
                      <w:sz w:val="20"/>
                    </w:rPr>
                    <w:t>5</w:t>
                  </w:r>
                </w:p>
              </w:tc>
              <w:tc>
                <w:tcPr>
                  <w:tcW w:w="1188" w:type="dxa"/>
                  <w:tcBorders>
                    <w:tl2br w:val="nil"/>
                    <w:tr2bl w:val="nil"/>
                  </w:tcBorders>
                  <w:shd w:val="clear" w:color="auto" w:fill="auto"/>
                  <w:vAlign w:val="center"/>
                </w:tcPr>
                <w:p w14:paraId="0C62E5E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sz w:val="20"/>
                    </w:rPr>
                  </w:pPr>
                  <w:r>
                    <w:rPr>
                      <w:rFonts w:hint="default" w:ascii="Times New Roman" w:hAnsi="Times New Roman" w:cs="Times New Roman" w:eastAsiaTheme="minorEastAsia"/>
                      <w:b w:val="0"/>
                      <w:bCs/>
                      <w:sz w:val="20"/>
                    </w:rPr>
                    <w:t>达标</w:t>
                  </w:r>
                </w:p>
              </w:tc>
            </w:tr>
          </w:tbl>
          <w:p w14:paraId="2A8DF3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000000"/>
                <w:spacing w:val="0"/>
                <w:sz w:val="24"/>
                <w:szCs w:val="24"/>
                <w:highlight w:val="none"/>
                <w:lang w:val="en-US" w:eastAsia="zh-CN"/>
              </w:rPr>
            </w:pPr>
            <w:r>
              <w:rPr>
                <w:rFonts w:hint="default" w:ascii="Times New Roman" w:hAnsi="Times New Roman" w:eastAsia="宋体" w:cs="Times New Roman"/>
                <w:bCs/>
                <w:color w:val="000000"/>
                <w:spacing w:val="0"/>
                <w:sz w:val="24"/>
                <w:szCs w:val="24"/>
                <w:lang w:val="en-US" w:eastAsia="zh-CN"/>
              </w:rPr>
              <w:t>根据噪声预测分析，本项目各噪</w:t>
            </w:r>
            <w:r>
              <w:rPr>
                <w:rFonts w:hint="default" w:ascii="Times New Roman" w:hAnsi="Times New Roman" w:eastAsia="宋体" w:cs="Times New Roman"/>
                <w:bCs/>
                <w:color w:val="000000"/>
                <w:spacing w:val="0"/>
                <w:sz w:val="24"/>
                <w:szCs w:val="24"/>
                <w:highlight w:val="none"/>
                <w:lang w:val="en-US" w:eastAsia="zh-CN"/>
              </w:rPr>
              <w:t>声源在加强采取相应的噪声污染治理措施后，经过几何发散衰减和距离衰减，各边界最大噪声</w:t>
            </w:r>
            <w:r>
              <w:rPr>
                <w:rFonts w:hint="eastAsia" w:cs="Times New Roman"/>
                <w:bCs/>
                <w:color w:val="000000"/>
                <w:spacing w:val="0"/>
                <w:sz w:val="24"/>
                <w:szCs w:val="24"/>
                <w:highlight w:val="none"/>
                <w:lang w:val="en-US" w:eastAsia="zh-CN"/>
              </w:rPr>
              <w:t>贡献值</w:t>
            </w:r>
            <w:r>
              <w:rPr>
                <w:rFonts w:hint="eastAsia" w:cs="Times New Roman"/>
                <w:b w:val="0"/>
                <w:bCs/>
                <w:color w:val="000000"/>
                <w:spacing w:val="0"/>
                <w:sz w:val="24"/>
                <w:szCs w:val="24"/>
                <w:highlight w:val="none"/>
                <w:lang w:val="en-US" w:eastAsia="zh-CN"/>
              </w:rPr>
              <w:t>44.9</w:t>
            </w:r>
            <w:r>
              <w:rPr>
                <w:rFonts w:hint="default" w:ascii="Times New Roman" w:hAnsi="Times New Roman" w:eastAsia="宋体" w:cs="Times New Roman"/>
                <w:b w:val="0"/>
                <w:bCs/>
                <w:color w:val="000000"/>
                <w:spacing w:val="0"/>
                <w:sz w:val="24"/>
                <w:szCs w:val="24"/>
                <w:highlight w:val="none"/>
                <w:lang w:val="en-US" w:eastAsia="zh-CN"/>
              </w:rPr>
              <w:t>dB(A)，</w:t>
            </w:r>
            <w:r>
              <w:rPr>
                <w:rFonts w:hint="eastAsia" w:cs="Times New Roman"/>
                <w:b w:val="0"/>
                <w:bCs/>
                <w:color w:val="000000"/>
                <w:spacing w:val="0"/>
                <w:sz w:val="24"/>
                <w:szCs w:val="24"/>
                <w:highlight w:val="none"/>
                <w:lang w:val="en-US" w:eastAsia="zh-CN"/>
              </w:rPr>
              <w:t>项目建成后厂界噪声变化不大，</w:t>
            </w:r>
            <w:r>
              <w:rPr>
                <w:rFonts w:hint="default" w:ascii="Times New Roman" w:hAnsi="Times New Roman" w:eastAsia="宋体" w:cs="Times New Roman"/>
                <w:bCs/>
                <w:color w:val="000000"/>
                <w:spacing w:val="0"/>
                <w:sz w:val="24"/>
                <w:szCs w:val="24"/>
                <w:lang w:val="en-US" w:eastAsia="zh-CN"/>
              </w:rPr>
              <w:t>能满足《工业企业厂界环境噪声排放标准》（GB12348-2008）中</w:t>
            </w:r>
            <w:r>
              <w:rPr>
                <w:rFonts w:hint="eastAsia" w:cs="Times New Roman"/>
                <w:bCs/>
                <w:color w:val="000000"/>
                <w:spacing w:val="0"/>
                <w:sz w:val="24"/>
                <w:szCs w:val="24"/>
                <w:lang w:val="en-US" w:eastAsia="zh-CN"/>
              </w:rPr>
              <w:t>3</w:t>
            </w:r>
            <w:r>
              <w:rPr>
                <w:rFonts w:hint="default" w:ascii="Times New Roman" w:hAnsi="Times New Roman" w:eastAsia="宋体" w:cs="Times New Roman"/>
                <w:bCs/>
                <w:color w:val="000000"/>
                <w:spacing w:val="0"/>
                <w:sz w:val="24"/>
                <w:szCs w:val="24"/>
                <w:lang w:val="en-US" w:eastAsia="zh-CN"/>
              </w:rPr>
              <w:t>类区标准要求（即昼间≤6</w:t>
            </w:r>
            <w:r>
              <w:rPr>
                <w:rFonts w:hint="eastAsia" w:cs="Times New Roman"/>
                <w:bCs/>
                <w:color w:val="000000"/>
                <w:spacing w:val="0"/>
                <w:sz w:val="24"/>
                <w:szCs w:val="24"/>
                <w:lang w:val="en-US" w:eastAsia="zh-CN"/>
              </w:rPr>
              <w:t>5</w:t>
            </w:r>
            <w:r>
              <w:rPr>
                <w:rFonts w:hint="default" w:ascii="Times New Roman" w:hAnsi="Times New Roman" w:eastAsia="宋体" w:cs="Times New Roman"/>
                <w:bCs/>
                <w:color w:val="000000"/>
                <w:spacing w:val="0"/>
                <w:sz w:val="24"/>
                <w:szCs w:val="24"/>
                <w:lang w:val="en-US" w:eastAsia="zh-CN"/>
              </w:rPr>
              <w:t>dB(A)</w:t>
            </w:r>
            <w:r>
              <w:rPr>
                <w:rFonts w:hint="eastAsia" w:cs="Times New Roman"/>
                <w:bCs/>
                <w:color w:val="000000"/>
                <w:spacing w:val="0"/>
                <w:sz w:val="24"/>
                <w:szCs w:val="24"/>
                <w:lang w:val="en-US" w:eastAsia="zh-CN"/>
              </w:rPr>
              <w:t>，夜间</w:t>
            </w:r>
            <w:r>
              <w:rPr>
                <w:rFonts w:hint="default" w:ascii="Times New Roman" w:hAnsi="Times New Roman" w:eastAsia="宋体" w:cs="Times New Roman"/>
                <w:bCs/>
                <w:color w:val="000000"/>
                <w:spacing w:val="0"/>
                <w:sz w:val="24"/>
                <w:szCs w:val="24"/>
                <w:lang w:val="en-US" w:eastAsia="zh-CN"/>
              </w:rPr>
              <w:t>≤</w:t>
            </w:r>
            <w:r>
              <w:rPr>
                <w:rFonts w:hint="eastAsia" w:ascii="Times New Roman" w:hAnsi="Times New Roman" w:eastAsia="宋体" w:cs="Times New Roman"/>
                <w:bCs/>
                <w:color w:val="000000"/>
                <w:spacing w:val="0"/>
                <w:sz w:val="24"/>
                <w:szCs w:val="24"/>
                <w:lang w:val="en-US" w:eastAsia="zh-CN"/>
              </w:rPr>
              <w:t>5</w:t>
            </w:r>
            <w:r>
              <w:rPr>
                <w:rFonts w:hint="eastAsia" w:cs="Times New Roman"/>
                <w:bCs/>
                <w:color w:val="000000"/>
                <w:spacing w:val="0"/>
                <w:sz w:val="24"/>
                <w:szCs w:val="24"/>
                <w:lang w:val="en-US" w:eastAsia="zh-CN"/>
              </w:rPr>
              <w:t>5</w:t>
            </w:r>
            <w:r>
              <w:rPr>
                <w:rFonts w:hint="default" w:ascii="Times New Roman" w:hAnsi="Times New Roman" w:eastAsia="宋体" w:cs="Times New Roman"/>
                <w:bCs/>
                <w:color w:val="000000"/>
                <w:spacing w:val="0"/>
                <w:sz w:val="24"/>
                <w:szCs w:val="24"/>
                <w:lang w:val="en-US" w:eastAsia="zh-CN"/>
              </w:rPr>
              <w:t>dB(A)）。</w:t>
            </w:r>
          </w:p>
          <w:p w14:paraId="6098C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000000"/>
                <w:kern w:val="2"/>
                <w:sz w:val="24"/>
                <w:szCs w:val="24"/>
              </w:rPr>
            </w:pPr>
            <w:r>
              <w:rPr>
                <w:rFonts w:hint="default" w:ascii="Times New Roman" w:hAnsi="Times New Roman" w:eastAsia="宋体" w:cs="Times New Roman"/>
                <w:bCs/>
                <w:color w:val="000000"/>
                <w:spacing w:val="0"/>
                <w:sz w:val="24"/>
                <w:szCs w:val="24"/>
                <w:lang w:val="en-US" w:eastAsia="zh-CN"/>
              </w:rPr>
              <w:t>以上噪声治理措施容易实施，技术成熟可靠，投资费用较少，在经济上是可行的。</w:t>
            </w:r>
          </w:p>
          <w:p w14:paraId="25C3B95A">
            <w:pPr>
              <w:keepNext w:val="0"/>
              <w:keepLines w:val="0"/>
              <w:widowControl w:val="0"/>
              <w:suppressLineNumbers w:val="0"/>
              <w:autoSpaceDE w:val="0"/>
              <w:autoSpaceDN/>
              <w:adjustRightInd w:val="0"/>
              <w:snapToGrid w:val="0"/>
              <w:spacing w:before="0" w:beforeAutospacing="0" w:after="0" w:afterAutospacing="0" w:line="360" w:lineRule="auto"/>
              <w:ind w:left="0" w:right="0" w:firstLine="438" w:firstLineChars="200"/>
              <w:jc w:val="left"/>
              <w:rPr>
                <w:rFonts w:hint="eastAsia" w:ascii="Times New Roman" w:hAnsi="Times New Roman" w:eastAsia="宋体" w:cs="宋体"/>
                <w:b/>
                <w:bCs w:val="0"/>
                <w:spacing w:val="-11"/>
                <w:kern w:val="2"/>
                <w:sz w:val="24"/>
                <w:szCs w:val="24"/>
              </w:rPr>
            </w:pPr>
            <w:r>
              <w:rPr>
                <w:rFonts w:hint="default" w:ascii="Times New Roman" w:hAnsi="Times New Roman" w:eastAsia="宋体" w:cs="Times New Roman"/>
                <w:b/>
                <w:bCs w:val="0"/>
                <w:spacing w:val="-11"/>
                <w:kern w:val="2"/>
                <w:sz w:val="24"/>
                <w:szCs w:val="24"/>
                <w:lang w:val="en-US" w:eastAsia="zh-CN" w:bidi="ar"/>
              </w:rPr>
              <w:t>3.3</w:t>
            </w:r>
            <w:r>
              <w:rPr>
                <w:rFonts w:hint="eastAsia" w:ascii="宋体" w:hAnsi="宋体" w:eastAsia="宋体" w:cs="宋体"/>
                <w:b/>
                <w:bCs w:val="0"/>
                <w:spacing w:val="-11"/>
                <w:kern w:val="2"/>
                <w:sz w:val="24"/>
                <w:szCs w:val="24"/>
                <w:lang w:val="en-US" w:eastAsia="zh-CN" w:bidi="ar"/>
              </w:rPr>
              <w:t>、噪声监测计划</w:t>
            </w:r>
          </w:p>
          <w:p w14:paraId="179F0F9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根据《排污单位自行监测技术指南 总则》（</w:t>
            </w:r>
            <w:r>
              <w:rPr>
                <w:rFonts w:hint="default" w:ascii="Times New Roman" w:hAnsi="Times New Roman" w:eastAsia="宋体" w:cs="Times New Roman"/>
                <w:kern w:val="2"/>
                <w:sz w:val="24"/>
                <w:szCs w:val="24"/>
                <w:lang w:val="en-US" w:eastAsia="zh-CN" w:bidi="ar"/>
              </w:rPr>
              <w:t>HJ819-2017</w:t>
            </w: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及</w:t>
            </w:r>
            <w:r>
              <w:rPr>
                <w:rFonts w:hint="eastAsia"/>
                <w:sz w:val="24"/>
              </w:rPr>
              <w:t>《</w:t>
            </w:r>
            <w:r>
              <w:rPr>
                <w:rFonts w:hint="default"/>
                <w:sz w:val="24"/>
              </w:rPr>
              <w:t>排污单位自行监测技术指南</w:t>
            </w:r>
            <w:r>
              <w:rPr>
                <w:rFonts w:hint="eastAsia"/>
                <w:sz w:val="24"/>
              </w:rPr>
              <w:t xml:space="preserve"> </w:t>
            </w:r>
            <w:r>
              <w:rPr>
                <w:rFonts w:hint="default"/>
                <w:sz w:val="24"/>
              </w:rPr>
              <w:t>造纸工业</w:t>
            </w:r>
            <w:r>
              <w:rPr>
                <w:rFonts w:hint="eastAsia"/>
                <w:sz w:val="24"/>
              </w:rPr>
              <w:t>》</w:t>
            </w:r>
            <w:r>
              <w:rPr>
                <w:rFonts w:hint="default"/>
                <w:sz w:val="24"/>
              </w:rPr>
              <w:t>(HJ 821-2017)</w:t>
            </w:r>
            <w:r>
              <w:rPr>
                <w:rFonts w:hint="eastAsia" w:ascii="宋体" w:hAnsi="宋体" w:eastAsia="宋体" w:cs="宋体"/>
                <w:kern w:val="2"/>
                <w:sz w:val="24"/>
                <w:szCs w:val="24"/>
                <w:lang w:val="en-US" w:eastAsia="zh-CN" w:bidi="ar"/>
              </w:rPr>
              <w:t>等相关要求，本项目噪声监测计划见下表，监测方法采用国家标准测试方法。</w:t>
            </w:r>
          </w:p>
          <w:p w14:paraId="3582A522">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表</w:t>
            </w:r>
            <w:r>
              <w:rPr>
                <w:rFonts w:hint="default" w:ascii="Times New Roman" w:hAnsi="Times New Roman" w:eastAsia="宋体" w:cs="Times New Roman"/>
                <w:b/>
                <w:bCs w:val="0"/>
                <w:kern w:val="2"/>
                <w:sz w:val="24"/>
                <w:szCs w:val="24"/>
                <w:lang w:val="en-US" w:eastAsia="zh-CN" w:bidi="ar"/>
              </w:rPr>
              <w:t>4-</w:t>
            </w:r>
            <w:r>
              <w:rPr>
                <w:rFonts w:hint="eastAsia" w:ascii="Times New Roman" w:hAnsi="Times New Roman" w:eastAsia="宋体" w:cs="Times New Roman"/>
                <w:b/>
                <w:bCs w:val="0"/>
                <w:kern w:val="2"/>
                <w:sz w:val="24"/>
                <w:szCs w:val="24"/>
                <w:lang w:val="en-US" w:eastAsia="zh-CN" w:bidi="ar"/>
              </w:rPr>
              <w:t>1</w:t>
            </w:r>
            <w:r>
              <w:rPr>
                <w:rFonts w:hint="eastAsia" w:cs="Times New Roman"/>
                <w:b/>
                <w:bCs w:val="0"/>
                <w:kern w:val="2"/>
                <w:sz w:val="24"/>
                <w:szCs w:val="24"/>
                <w:lang w:val="en-US" w:eastAsia="zh-CN" w:bidi="ar"/>
              </w:rPr>
              <w:t>6</w:t>
            </w:r>
            <w:r>
              <w:rPr>
                <w:rFonts w:hint="eastAsia" w:ascii="Times New Roman" w:hAnsi="Times New Roman" w:eastAsia="宋体" w:cs="Times New Roman"/>
                <w:b/>
                <w:bCs w:val="0"/>
                <w:kern w:val="2"/>
                <w:sz w:val="24"/>
                <w:szCs w:val="24"/>
                <w:lang w:val="en-US" w:eastAsia="zh-CN" w:bidi="ar"/>
              </w:rPr>
              <w:t xml:space="preserve">  </w:t>
            </w:r>
            <w:r>
              <w:rPr>
                <w:rFonts w:hint="eastAsia" w:ascii="宋体" w:hAnsi="宋体" w:eastAsia="宋体" w:cs="宋体"/>
                <w:b/>
                <w:bCs w:val="0"/>
                <w:kern w:val="2"/>
                <w:sz w:val="24"/>
                <w:szCs w:val="24"/>
                <w:lang w:val="en-US" w:eastAsia="zh-CN" w:bidi="ar"/>
              </w:rPr>
              <w:t>项目噪声监测计划一览表</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2146"/>
              <w:gridCol w:w="2702"/>
              <w:gridCol w:w="1975"/>
            </w:tblGrid>
            <w:tr w14:paraId="2185A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6" w:type="dxa"/>
                  <w:tcBorders>
                    <w:top w:val="single" w:color="auto" w:sz="12" w:space="0"/>
                    <w:left w:val="single" w:color="auto" w:sz="12" w:space="0"/>
                    <w:bottom w:val="single" w:color="auto" w:sz="4" w:space="0"/>
                    <w:right w:val="single" w:color="auto" w:sz="4" w:space="0"/>
                  </w:tcBorders>
                  <w:noWrap w:val="0"/>
                  <w:vAlign w:val="center"/>
                </w:tcPr>
                <w:p w14:paraId="26AF1CD6">
                  <w:pPr>
                    <w:keepNext w:val="0"/>
                    <w:keepLines w:val="0"/>
                    <w:widowControl w:val="0"/>
                    <w:suppressLineNumbers w:val="0"/>
                    <w:adjustRightInd w:val="0"/>
                    <w:spacing w:before="0" w:beforeAutospacing="0" w:after="0" w:afterAutospacing="0"/>
                    <w:ind w:left="0" w:right="0"/>
                    <w:jc w:val="center"/>
                    <w:rPr>
                      <w:rFonts w:hint="default" w:ascii="Times New Roman" w:hAnsi="Times New Roman" w:cs="Times New Roman"/>
                      <w:b/>
                      <w:bCs/>
                      <w:kern w:val="2"/>
                      <w:sz w:val="21"/>
                      <w:szCs w:val="21"/>
                      <w:lang w:val="en-US" w:eastAsia="zh-CN"/>
                    </w:rPr>
                  </w:pPr>
                  <w:r>
                    <w:rPr>
                      <w:rFonts w:hint="eastAsia" w:ascii="宋体" w:hAnsi="宋体" w:eastAsia="宋体" w:cs="宋体"/>
                      <w:b/>
                      <w:bCs/>
                      <w:kern w:val="2"/>
                      <w:sz w:val="21"/>
                      <w:szCs w:val="21"/>
                      <w:lang w:val="en-US" w:eastAsia="zh-CN" w:bidi="ar"/>
                    </w:rPr>
                    <w:t>检测项目</w:t>
                  </w:r>
                </w:p>
              </w:tc>
              <w:tc>
                <w:tcPr>
                  <w:tcW w:w="2146" w:type="dxa"/>
                  <w:tcBorders>
                    <w:top w:val="single" w:color="auto" w:sz="12" w:space="0"/>
                    <w:left w:val="single" w:color="auto" w:sz="4" w:space="0"/>
                    <w:bottom w:val="single" w:color="auto" w:sz="4" w:space="0"/>
                    <w:right w:val="single" w:color="auto" w:sz="4" w:space="0"/>
                  </w:tcBorders>
                  <w:noWrap w:val="0"/>
                  <w:vAlign w:val="center"/>
                </w:tcPr>
                <w:p w14:paraId="11850094">
                  <w:pPr>
                    <w:keepNext w:val="0"/>
                    <w:keepLines w:val="0"/>
                    <w:widowControl w:val="0"/>
                    <w:suppressLineNumbers w:val="0"/>
                    <w:adjustRightInd w:val="0"/>
                    <w:spacing w:before="0" w:beforeAutospacing="0" w:after="0" w:afterAutospacing="0"/>
                    <w:ind w:left="0" w:right="0"/>
                    <w:jc w:val="center"/>
                    <w:rPr>
                      <w:rFonts w:hint="default" w:ascii="Times New Roman" w:hAnsi="Times New Roman" w:cs="Times New Roman"/>
                      <w:b/>
                      <w:bCs/>
                      <w:kern w:val="2"/>
                      <w:sz w:val="21"/>
                      <w:szCs w:val="21"/>
                      <w:lang w:val="en-US" w:eastAsia="zh-CN"/>
                    </w:rPr>
                  </w:pPr>
                  <w:r>
                    <w:rPr>
                      <w:rFonts w:hint="eastAsia" w:ascii="宋体" w:hAnsi="宋体" w:eastAsia="宋体" w:cs="宋体"/>
                      <w:b/>
                      <w:bCs/>
                      <w:kern w:val="2"/>
                      <w:sz w:val="21"/>
                      <w:szCs w:val="21"/>
                      <w:lang w:val="en-US" w:eastAsia="zh-CN" w:bidi="ar"/>
                    </w:rPr>
                    <w:t>检测点位</w:t>
                  </w:r>
                </w:p>
              </w:tc>
              <w:tc>
                <w:tcPr>
                  <w:tcW w:w="2702" w:type="dxa"/>
                  <w:tcBorders>
                    <w:top w:val="single" w:color="auto" w:sz="12" w:space="0"/>
                    <w:left w:val="single" w:color="auto" w:sz="4" w:space="0"/>
                    <w:bottom w:val="single" w:color="auto" w:sz="4" w:space="0"/>
                    <w:right w:val="single" w:color="auto" w:sz="4" w:space="0"/>
                  </w:tcBorders>
                  <w:noWrap w:val="0"/>
                  <w:vAlign w:val="center"/>
                </w:tcPr>
                <w:p w14:paraId="08253774">
                  <w:pPr>
                    <w:keepNext w:val="0"/>
                    <w:keepLines w:val="0"/>
                    <w:widowControl w:val="0"/>
                    <w:suppressLineNumbers w:val="0"/>
                    <w:adjustRightInd w:val="0"/>
                    <w:spacing w:before="0" w:beforeAutospacing="0" w:after="0" w:afterAutospacing="0"/>
                    <w:ind w:left="0" w:right="0"/>
                    <w:jc w:val="center"/>
                    <w:rPr>
                      <w:rFonts w:hint="default" w:ascii="Times New Roman" w:hAnsi="Times New Roman" w:cs="Times New Roman"/>
                      <w:b/>
                      <w:bCs/>
                      <w:kern w:val="2"/>
                      <w:sz w:val="21"/>
                      <w:szCs w:val="21"/>
                      <w:lang w:val="en-US" w:eastAsia="zh-CN"/>
                    </w:rPr>
                  </w:pPr>
                  <w:r>
                    <w:rPr>
                      <w:rFonts w:hint="eastAsia" w:ascii="宋体" w:hAnsi="宋体" w:eastAsia="宋体" w:cs="宋体"/>
                      <w:b/>
                      <w:bCs/>
                      <w:kern w:val="2"/>
                      <w:sz w:val="21"/>
                      <w:szCs w:val="21"/>
                      <w:lang w:val="en-US" w:eastAsia="zh-CN" w:bidi="ar"/>
                    </w:rPr>
                    <w:t>检测指标</w:t>
                  </w:r>
                </w:p>
              </w:tc>
              <w:tc>
                <w:tcPr>
                  <w:tcW w:w="1975" w:type="dxa"/>
                  <w:tcBorders>
                    <w:top w:val="single" w:color="auto" w:sz="12" w:space="0"/>
                    <w:left w:val="single" w:color="auto" w:sz="4" w:space="0"/>
                    <w:bottom w:val="single" w:color="auto" w:sz="4" w:space="0"/>
                    <w:right w:val="single" w:color="auto" w:sz="12" w:space="0"/>
                  </w:tcBorders>
                  <w:noWrap w:val="0"/>
                  <w:vAlign w:val="center"/>
                </w:tcPr>
                <w:p w14:paraId="200C1DB2">
                  <w:pPr>
                    <w:keepNext w:val="0"/>
                    <w:keepLines w:val="0"/>
                    <w:widowControl w:val="0"/>
                    <w:suppressLineNumbers w:val="0"/>
                    <w:adjustRightInd w:val="0"/>
                    <w:spacing w:before="0" w:beforeAutospacing="0" w:after="0" w:afterAutospacing="0"/>
                    <w:ind w:left="0" w:right="0"/>
                    <w:jc w:val="center"/>
                    <w:rPr>
                      <w:rFonts w:hint="default" w:ascii="Times New Roman" w:hAnsi="Times New Roman" w:cs="Times New Roman"/>
                      <w:b/>
                      <w:bCs/>
                      <w:kern w:val="2"/>
                      <w:sz w:val="21"/>
                      <w:szCs w:val="21"/>
                      <w:lang w:val="en-US" w:eastAsia="zh-CN"/>
                    </w:rPr>
                  </w:pPr>
                  <w:r>
                    <w:rPr>
                      <w:rFonts w:hint="eastAsia" w:ascii="宋体" w:hAnsi="宋体" w:eastAsia="宋体" w:cs="宋体"/>
                      <w:b/>
                      <w:bCs/>
                      <w:kern w:val="2"/>
                      <w:sz w:val="21"/>
                      <w:szCs w:val="21"/>
                      <w:lang w:val="en-US" w:eastAsia="zh-CN" w:bidi="ar"/>
                    </w:rPr>
                    <w:t>检测频次</w:t>
                  </w:r>
                </w:p>
              </w:tc>
            </w:tr>
            <w:tr w14:paraId="71D90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6" w:type="dxa"/>
                  <w:vMerge w:val="restart"/>
                  <w:tcBorders>
                    <w:top w:val="single" w:color="auto" w:sz="4" w:space="0"/>
                    <w:left w:val="single" w:color="auto" w:sz="12" w:space="0"/>
                    <w:bottom w:val="single" w:color="auto" w:sz="4" w:space="0"/>
                    <w:right w:val="single" w:color="auto" w:sz="4" w:space="0"/>
                  </w:tcBorders>
                  <w:noWrap w:val="0"/>
                  <w:vAlign w:val="center"/>
                </w:tcPr>
                <w:p w14:paraId="7E3F034C">
                  <w:pPr>
                    <w:keepNext w:val="0"/>
                    <w:keepLines w:val="0"/>
                    <w:widowControl w:val="0"/>
                    <w:suppressLineNumbers w:val="0"/>
                    <w:adjustRightInd w:val="0"/>
                    <w:spacing w:before="0" w:beforeAutospacing="0" w:after="0" w:afterAutospacing="0"/>
                    <w:ind w:left="0" w:right="0"/>
                    <w:jc w:val="center"/>
                    <w:rPr>
                      <w:rFonts w:hint="default" w:ascii="Times New Roman" w:hAnsi="Times New Roman" w:cs="Times New Roman"/>
                      <w:kern w:val="2"/>
                      <w:sz w:val="21"/>
                      <w:szCs w:val="21"/>
                      <w:lang w:val="en-US" w:eastAsia="zh-CN"/>
                    </w:rPr>
                  </w:pPr>
                  <w:r>
                    <w:rPr>
                      <w:rFonts w:hint="eastAsia" w:ascii="宋体" w:hAnsi="宋体" w:eastAsia="宋体" w:cs="宋体"/>
                      <w:kern w:val="2"/>
                      <w:sz w:val="21"/>
                      <w:szCs w:val="21"/>
                      <w:lang w:val="en-US" w:eastAsia="zh-CN" w:bidi="ar"/>
                    </w:rPr>
                    <w:t>噪声</w:t>
                  </w:r>
                </w:p>
              </w:tc>
              <w:tc>
                <w:tcPr>
                  <w:tcW w:w="2146" w:type="dxa"/>
                  <w:tcBorders>
                    <w:top w:val="single" w:color="auto" w:sz="4" w:space="0"/>
                    <w:left w:val="single" w:color="auto" w:sz="4" w:space="0"/>
                    <w:bottom w:val="single" w:color="auto" w:sz="4" w:space="0"/>
                    <w:right w:val="single" w:color="auto" w:sz="4" w:space="0"/>
                  </w:tcBorders>
                  <w:noWrap w:val="0"/>
                  <w:vAlign w:val="center"/>
                </w:tcPr>
                <w:p w14:paraId="27F0AE35">
                  <w:pPr>
                    <w:keepNext w:val="0"/>
                    <w:keepLines w:val="0"/>
                    <w:widowControl w:val="0"/>
                    <w:suppressLineNumbers w:val="0"/>
                    <w:adjustRightInd w:val="0"/>
                    <w:spacing w:before="0" w:beforeAutospacing="0" w:after="0" w:afterAutospacing="0"/>
                    <w:ind w:left="0" w:right="0"/>
                    <w:jc w:val="center"/>
                    <w:rPr>
                      <w:rFonts w:hint="default" w:ascii="Times New Roman" w:hAnsi="Times New Roman" w:cs="Times New Roman"/>
                      <w:kern w:val="2"/>
                      <w:sz w:val="21"/>
                      <w:szCs w:val="21"/>
                      <w:lang w:val="en-US" w:eastAsia="zh-CN"/>
                    </w:rPr>
                  </w:pPr>
                  <w:r>
                    <w:rPr>
                      <w:rFonts w:hint="eastAsia" w:ascii="宋体" w:hAnsi="宋体" w:eastAsia="宋体" w:cs="宋体"/>
                      <w:kern w:val="2"/>
                      <w:sz w:val="21"/>
                      <w:szCs w:val="21"/>
                      <w:lang w:val="en-US" w:eastAsia="zh-CN" w:bidi="ar"/>
                    </w:rPr>
                    <w:t>东厂界外</w:t>
                  </w:r>
                  <w:r>
                    <w:rPr>
                      <w:rFonts w:hint="default" w:ascii="Times New Roman" w:hAnsi="Times New Roman" w:cs="Times New Roman"/>
                      <w:kern w:val="2"/>
                      <w:sz w:val="21"/>
                      <w:szCs w:val="21"/>
                      <w:lang w:val="en-US" w:eastAsia="zh-CN" w:bidi="ar"/>
                    </w:rPr>
                    <w:t>1m</w:t>
                  </w:r>
                </w:p>
              </w:tc>
              <w:tc>
                <w:tcPr>
                  <w:tcW w:w="2702" w:type="dxa"/>
                  <w:vMerge w:val="restart"/>
                  <w:tcBorders>
                    <w:top w:val="single" w:color="auto" w:sz="4" w:space="0"/>
                    <w:left w:val="single" w:color="auto" w:sz="4" w:space="0"/>
                    <w:bottom w:val="single" w:color="auto" w:sz="4" w:space="0"/>
                    <w:right w:val="single" w:color="auto" w:sz="4" w:space="0"/>
                  </w:tcBorders>
                  <w:noWrap w:val="0"/>
                  <w:vAlign w:val="center"/>
                </w:tcPr>
                <w:p w14:paraId="398368A0">
                  <w:pPr>
                    <w:keepNext w:val="0"/>
                    <w:keepLines w:val="0"/>
                    <w:widowControl w:val="0"/>
                    <w:suppressLineNumbers w:val="0"/>
                    <w:adjustRightInd w:val="0"/>
                    <w:spacing w:before="0" w:beforeAutospacing="0" w:after="0" w:afterAutospacing="0"/>
                    <w:ind w:left="0" w:right="0"/>
                    <w:jc w:val="center"/>
                    <w:rPr>
                      <w:rFonts w:hint="default" w:ascii="Times New Roman" w:hAnsi="Times New Roman" w:cs="Times New Roman"/>
                      <w:kern w:val="2"/>
                      <w:sz w:val="21"/>
                      <w:szCs w:val="21"/>
                      <w:lang w:val="en-US" w:eastAsia="zh-CN"/>
                    </w:rPr>
                  </w:pPr>
                  <w:r>
                    <w:rPr>
                      <w:rFonts w:hint="eastAsia" w:ascii="宋体" w:hAnsi="宋体" w:eastAsia="宋体" w:cs="宋体"/>
                      <w:kern w:val="2"/>
                      <w:sz w:val="21"/>
                      <w:szCs w:val="21"/>
                      <w:lang w:val="en-US" w:eastAsia="zh-CN" w:bidi="ar"/>
                    </w:rPr>
                    <w:t>等效连续</w:t>
                  </w:r>
                  <w:r>
                    <w:rPr>
                      <w:rFonts w:hint="default" w:ascii="Times New Roman" w:hAnsi="Times New Roman" w:cs="Times New Roman"/>
                      <w:kern w:val="2"/>
                      <w:sz w:val="21"/>
                      <w:szCs w:val="21"/>
                      <w:lang w:val="en-US" w:eastAsia="zh-CN" w:bidi="ar"/>
                    </w:rPr>
                    <w:t>A</w:t>
                  </w:r>
                  <w:r>
                    <w:rPr>
                      <w:rFonts w:hint="eastAsia" w:ascii="宋体" w:hAnsi="宋体" w:eastAsia="宋体" w:cs="宋体"/>
                      <w:kern w:val="2"/>
                      <w:sz w:val="21"/>
                      <w:szCs w:val="21"/>
                      <w:lang w:val="en-US" w:eastAsia="zh-CN" w:bidi="ar"/>
                    </w:rPr>
                    <w:t>声级</w:t>
                  </w:r>
                </w:p>
              </w:tc>
              <w:tc>
                <w:tcPr>
                  <w:tcW w:w="1975" w:type="dxa"/>
                  <w:vMerge w:val="restart"/>
                  <w:tcBorders>
                    <w:top w:val="single" w:color="auto" w:sz="4" w:space="0"/>
                    <w:left w:val="single" w:color="auto" w:sz="4" w:space="0"/>
                    <w:bottom w:val="single" w:color="auto" w:sz="4" w:space="0"/>
                    <w:right w:val="single" w:color="auto" w:sz="12" w:space="0"/>
                  </w:tcBorders>
                  <w:noWrap w:val="0"/>
                  <w:vAlign w:val="center"/>
                </w:tcPr>
                <w:p w14:paraId="3E6BF349">
                  <w:pPr>
                    <w:keepNext w:val="0"/>
                    <w:keepLines w:val="0"/>
                    <w:widowControl w:val="0"/>
                    <w:suppressLineNumbers w:val="0"/>
                    <w:adjustRightInd w:val="0"/>
                    <w:spacing w:before="0" w:beforeAutospacing="0" w:after="0" w:afterAutospacing="0"/>
                    <w:ind w:left="0" w:right="0"/>
                    <w:jc w:val="center"/>
                    <w:rPr>
                      <w:rFonts w:hint="default" w:ascii="Times New Roman" w:hAnsi="Times New Roman" w:cs="Times New Roman"/>
                      <w:kern w:val="2"/>
                      <w:sz w:val="21"/>
                      <w:szCs w:val="21"/>
                      <w:lang w:val="en-US" w:eastAsia="zh-CN"/>
                    </w:rPr>
                  </w:pPr>
                  <w:r>
                    <w:rPr>
                      <w:rFonts w:hint="eastAsia" w:ascii="宋体" w:hAnsi="宋体" w:eastAsia="宋体" w:cs="宋体"/>
                      <w:kern w:val="2"/>
                      <w:sz w:val="21"/>
                      <w:szCs w:val="21"/>
                      <w:lang w:val="en-US" w:eastAsia="zh-CN" w:bidi="ar"/>
                    </w:rPr>
                    <w:t>每季度一次</w:t>
                  </w:r>
                </w:p>
              </w:tc>
            </w:tr>
            <w:tr w14:paraId="6C0DA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6" w:type="dxa"/>
                  <w:vMerge w:val="continue"/>
                  <w:tcBorders>
                    <w:top w:val="single" w:color="auto" w:sz="4" w:space="0"/>
                    <w:left w:val="single" w:color="auto" w:sz="12" w:space="0"/>
                    <w:bottom w:val="single" w:color="auto" w:sz="4" w:space="0"/>
                    <w:right w:val="single" w:color="auto" w:sz="4" w:space="0"/>
                  </w:tcBorders>
                  <w:noWrap w:val="0"/>
                  <w:vAlign w:val="center"/>
                </w:tcPr>
                <w:p w14:paraId="527DC099">
                  <w:pPr>
                    <w:keepNext w:val="0"/>
                    <w:keepLines w:val="0"/>
                    <w:suppressLineNumbers w:val="0"/>
                    <w:spacing w:before="0" w:beforeAutospacing="0" w:after="0" w:afterAutospacing="0"/>
                    <w:ind w:left="0" w:right="0"/>
                    <w:rPr>
                      <w:rFonts w:hint="default" w:ascii="Times New Roman" w:hAnsi="Times New Roman" w:cs="Times New Roman"/>
                      <w:sz w:val="20"/>
                      <w:szCs w:val="20"/>
                      <w:lang w:val="en-US" w:eastAsia="zh-CN"/>
                    </w:rPr>
                  </w:pPr>
                </w:p>
              </w:tc>
              <w:tc>
                <w:tcPr>
                  <w:tcW w:w="2146" w:type="dxa"/>
                  <w:tcBorders>
                    <w:top w:val="single" w:color="auto" w:sz="4" w:space="0"/>
                    <w:left w:val="single" w:color="auto" w:sz="4" w:space="0"/>
                    <w:bottom w:val="single" w:color="auto" w:sz="4" w:space="0"/>
                    <w:right w:val="single" w:color="auto" w:sz="4" w:space="0"/>
                  </w:tcBorders>
                  <w:noWrap w:val="0"/>
                  <w:vAlign w:val="center"/>
                </w:tcPr>
                <w:p w14:paraId="1CD39F1B">
                  <w:pPr>
                    <w:keepNext w:val="0"/>
                    <w:keepLines w:val="0"/>
                    <w:widowControl w:val="0"/>
                    <w:suppressLineNumbers w:val="0"/>
                    <w:adjustRightInd w:val="0"/>
                    <w:spacing w:before="0" w:beforeAutospacing="0" w:after="0" w:afterAutospacing="0"/>
                    <w:ind w:left="0" w:right="0"/>
                    <w:jc w:val="center"/>
                    <w:rPr>
                      <w:rFonts w:hint="default" w:ascii="Times New Roman" w:hAnsi="Times New Roman" w:cs="Times New Roman"/>
                      <w:kern w:val="2"/>
                      <w:sz w:val="21"/>
                      <w:szCs w:val="21"/>
                      <w:lang w:val="en-US" w:eastAsia="zh-CN"/>
                    </w:rPr>
                  </w:pPr>
                  <w:r>
                    <w:rPr>
                      <w:rFonts w:hint="eastAsia" w:ascii="宋体" w:hAnsi="宋体" w:eastAsia="宋体" w:cs="宋体"/>
                      <w:kern w:val="2"/>
                      <w:sz w:val="21"/>
                      <w:szCs w:val="21"/>
                      <w:lang w:val="en-US" w:eastAsia="zh-CN" w:bidi="ar"/>
                    </w:rPr>
                    <w:t>南厂界外</w:t>
                  </w:r>
                  <w:r>
                    <w:rPr>
                      <w:rFonts w:hint="default" w:ascii="Times New Roman" w:hAnsi="Times New Roman" w:cs="Times New Roman"/>
                      <w:kern w:val="2"/>
                      <w:sz w:val="21"/>
                      <w:szCs w:val="21"/>
                      <w:lang w:val="en-US" w:eastAsia="zh-CN" w:bidi="ar"/>
                    </w:rPr>
                    <w:t>1m</w:t>
                  </w:r>
                </w:p>
              </w:tc>
              <w:tc>
                <w:tcPr>
                  <w:tcW w:w="2702" w:type="dxa"/>
                  <w:vMerge w:val="continue"/>
                  <w:tcBorders>
                    <w:top w:val="single" w:color="auto" w:sz="4" w:space="0"/>
                    <w:left w:val="single" w:color="auto" w:sz="4" w:space="0"/>
                    <w:bottom w:val="single" w:color="auto" w:sz="4" w:space="0"/>
                    <w:right w:val="single" w:color="auto" w:sz="4" w:space="0"/>
                  </w:tcBorders>
                  <w:noWrap w:val="0"/>
                  <w:vAlign w:val="center"/>
                </w:tcPr>
                <w:p w14:paraId="69D6F267">
                  <w:pPr>
                    <w:keepNext w:val="0"/>
                    <w:keepLines w:val="0"/>
                    <w:suppressLineNumbers w:val="0"/>
                    <w:spacing w:before="0" w:beforeAutospacing="0" w:after="0" w:afterAutospacing="0"/>
                    <w:ind w:left="0" w:right="0"/>
                    <w:rPr>
                      <w:rFonts w:hint="default" w:ascii="Times New Roman" w:hAnsi="Times New Roman" w:cs="Times New Roman"/>
                      <w:sz w:val="20"/>
                      <w:szCs w:val="20"/>
                      <w:lang w:val="en-US" w:eastAsia="zh-CN"/>
                    </w:rPr>
                  </w:pPr>
                </w:p>
              </w:tc>
              <w:tc>
                <w:tcPr>
                  <w:tcW w:w="1975" w:type="dxa"/>
                  <w:vMerge w:val="continue"/>
                  <w:tcBorders>
                    <w:top w:val="single" w:color="auto" w:sz="4" w:space="0"/>
                    <w:left w:val="single" w:color="auto" w:sz="4" w:space="0"/>
                    <w:bottom w:val="single" w:color="auto" w:sz="4" w:space="0"/>
                    <w:right w:val="single" w:color="auto" w:sz="12" w:space="0"/>
                  </w:tcBorders>
                  <w:noWrap w:val="0"/>
                  <w:vAlign w:val="center"/>
                </w:tcPr>
                <w:p w14:paraId="2FA38CE5">
                  <w:pPr>
                    <w:keepNext w:val="0"/>
                    <w:keepLines w:val="0"/>
                    <w:suppressLineNumbers w:val="0"/>
                    <w:spacing w:before="0" w:beforeAutospacing="0" w:after="0" w:afterAutospacing="0"/>
                    <w:ind w:left="0" w:right="0"/>
                    <w:rPr>
                      <w:rFonts w:hint="default" w:ascii="Times New Roman" w:hAnsi="Times New Roman" w:cs="Times New Roman"/>
                      <w:sz w:val="20"/>
                      <w:szCs w:val="20"/>
                      <w:lang w:val="en-US" w:eastAsia="zh-CN"/>
                    </w:rPr>
                  </w:pPr>
                </w:p>
              </w:tc>
            </w:tr>
            <w:tr w14:paraId="7701A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6" w:type="dxa"/>
                  <w:vMerge w:val="continue"/>
                  <w:tcBorders>
                    <w:top w:val="single" w:color="auto" w:sz="4" w:space="0"/>
                    <w:left w:val="single" w:color="auto" w:sz="12" w:space="0"/>
                    <w:bottom w:val="single" w:color="auto" w:sz="4" w:space="0"/>
                    <w:right w:val="single" w:color="auto" w:sz="4" w:space="0"/>
                  </w:tcBorders>
                  <w:noWrap w:val="0"/>
                  <w:vAlign w:val="center"/>
                </w:tcPr>
                <w:p w14:paraId="669E0305">
                  <w:pPr>
                    <w:keepNext w:val="0"/>
                    <w:keepLines w:val="0"/>
                    <w:suppressLineNumbers w:val="0"/>
                    <w:spacing w:before="0" w:beforeAutospacing="0" w:after="0" w:afterAutospacing="0"/>
                    <w:ind w:left="0" w:right="0"/>
                    <w:rPr>
                      <w:rFonts w:hint="default" w:ascii="Times New Roman" w:hAnsi="Times New Roman" w:cs="Times New Roman"/>
                      <w:sz w:val="20"/>
                      <w:szCs w:val="20"/>
                      <w:lang w:val="en-US" w:eastAsia="zh-CN"/>
                    </w:rPr>
                  </w:pPr>
                </w:p>
              </w:tc>
              <w:tc>
                <w:tcPr>
                  <w:tcW w:w="2146" w:type="dxa"/>
                  <w:tcBorders>
                    <w:top w:val="single" w:color="auto" w:sz="4" w:space="0"/>
                    <w:left w:val="single" w:color="auto" w:sz="4" w:space="0"/>
                    <w:bottom w:val="single" w:color="auto" w:sz="4" w:space="0"/>
                    <w:right w:val="single" w:color="auto" w:sz="4" w:space="0"/>
                  </w:tcBorders>
                  <w:noWrap w:val="0"/>
                  <w:vAlign w:val="center"/>
                </w:tcPr>
                <w:p w14:paraId="71A1EF76">
                  <w:pPr>
                    <w:keepNext w:val="0"/>
                    <w:keepLines w:val="0"/>
                    <w:widowControl w:val="0"/>
                    <w:suppressLineNumbers w:val="0"/>
                    <w:adjustRightInd w:val="0"/>
                    <w:spacing w:before="0" w:beforeAutospacing="0" w:after="0" w:afterAutospacing="0"/>
                    <w:ind w:left="0" w:right="0"/>
                    <w:jc w:val="center"/>
                    <w:rPr>
                      <w:rFonts w:hint="default" w:ascii="Times New Roman" w:hAnsi="Times New Roman" w:cs="Times New Roman"/>
                      <w:kern w:val="2"/>
                      <w:sz w:val="21"/>
                      <w:szCs w:val="21"/>
                      <w:lang w:val="en-US" w:eastAsia="zh-CN"/>
                    </w:rPr>
                  </w:pPr>
                  <w:r>
                    <w:rPr>
                      <w:rFonts w:hint="eastAsia" w:ascii="宋体" w:hAnsi="宋体" w:eastAsia="宋体" w:cs="宋体"/>
                      <w:kern w:val="2"/>
                      <w:sz w:val="21"/>
                      <w:szCs w:val="21"/>
                      <w:lang w:val="en-US" w:eastAsia="zh-CN" w:bidi="ar"/>
                    </w:rPr>
                    <w:t>西厂界外</w:t>
                  </w:r>
                  <w:r>
                    <w:rPr>
                      <w:rFonts w:hint="default" w:ascii="Times New Roman" w:hAnsi="Times New Roman" w:cs="Times New Roman"/>
                      <w:kern w:val="2"/>
                      <w:sz w:val="21"/>
                      <w:szCs w:val="21"/>
                      <w:lang w:val="en-US" w:eastAsia="zh-CN" w:bidi="ar"/>
                    </w:rPr>
                    <w:t>1m</w:t>
                  </w:r>
                </w:p>
              </w:tc>
              <w:tc>
                <w:tcPr>
                  <w:tcW w:w="2702" w:type="dxa"/>
                  <w:vMerge w:val="continue"/>
                  <w:tcBorders>
                    <w:top w:val="single" w:color="auto" w:sz="4" w:space="0"/>
                    <w:left w:val="single" w:color="auto" w:sz="4" w:space="0"/>
                    <w:bottom w:val="single" w:color="auto" w:sz="4" w:space="0"/>
                    <w:right w:val="single" w:color="auto" w:sz="4" w:space="0"/>
                  </w:tcBorders>
                  <w:noWrap w:val="0"/>
                  <w:vAlign w:val="center"/>
                </w:tcPr>
                <w:p w14:paraId="70058670">
                  <w:pPr>
                    <w:keepNext w:val="0"/>
                    <w:keepLines w:val="0"/>
                    <w:suppressLineNumbers w:val="0"/>
                    <w:spacing w:before="0" w:beforeAutospacing="0" w:after="0" w:afterAutospacing="0"/>
                    <w:ind w:left="0" w:right="0"/>
                    <w:rPr>
                      <w:rFonts w:hint="default" w:ascii="Times New Roman" w:hAnsi="Times New Roman" w:cs="Times New Roman"/>
                      <w:sz w:val="20"/>
                      <w:szCs w:val="20"/>
                      <w:lang w:val="en-US" w:eastAsia="zh-CN"/>
                    </w:rPr>
                  </w:pPr>
                </w:p>
              </w:tc>
              <w:tc>
                <w:tcPr>
                  <w:tcW w:w="1975" w:type="dxa"/>
                  <w:vMerge w:val="continue"/>
                  <w:tcBorders>
                    <w:top w:val="single" w:color="auto" w:sz="4" w:space="0"/>
                    <w:left w:val="single" w:color="auto" w:sz="4" w:space="0"/>
                    <w:bottom w:val="single" w:color="auto" w:sz="4" w:space="0"/>
                    <w:right w:val="single" w:color="auto" w:sz="12" w:space="0"/>
                  </w:tcBorders>
                  <w:noWrap w:val="0"/>
                  <w:vAlign w:val="center"/>
                </w:tcPr>
                <w:p w14:paraId="1DA409B3">
                  <w:pPr>
                    <w:keepNext w:val="0"/>
                    <w:keepLines w:val="0"/>
                    <w:suppressLineNumbers w:val="0"/>
                    <w:spacing w:before="0" w:beforeAutospacing="0" w:after="0" w:afterAutospacing="0"/>
                    <w:ind w:left="0" w:right="0"/>
                    <w:rPr>
                      <w:rFonts w:hint="default" w:ascii="Times New Roman" w:hAnsi="Times New Roman" w:cs="Times New Roman"/>
                      <w:sz w:val="20"/>
                      <w:szCs w:val="20"/>
                      <w:lang w:val="en-US" w:eastAsia="zh-CN"/>
                    </w:rPr>
                  </w:pPr>
                </w:p>
              </w:tc>
            </w:tr>
            <w:tr w14:paraId="037AA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6" w:type="dxa"/>
                  <w:vMerge w:val="continue"/>
                  <w:tcBorders>
                    <w:top w:val="single" w:color="auto" w:sz="4" w:space="0"/>
                    <w:left w:val="single" w:color="auto" w:sz="12" w:space="0"/>
                    <w:bottom w:val="single" w:color="auto" w:sz="4" w:space="0"/>
                    <w:right w:val="single" w:color="auto" w:sz="4" w:space="0"/>
                  </w:tcBorders>
                  <w:noWrap w:val="0"/>
                  <w:vAlign w:val="center"/>
                </w:tcPr>
                <w:p w14:paraId="745FF5B3">
                  <w:pPr>
                    <w:keepNext w:val="0"/>
                    <w:keepLines w:val="0"/>
                    <w:suppressLineNumbers w:val="0"/>
                    <w:spacing w:before="0" w:beforeAutospacing="0" w:after="0" w:afterAutospacing="0"/>
                    <w:ind w:left="0" w:right="0"/>
                    <w:rPr>
                      <w:rFonts w:hint="default" w:ascii="Times New Roman" w:hAnsi="Times New Roman" w:cs="Times New Roman"/>
                      <w:sz w:val="20"/>
                      <w:szCs w:val="20"/>
                      <w:lang w:val="en-US" w:eastAsia="zh-CN"/>
                    </w:rPr>
                  </w:pPr>
                </w:p>
              </w:tc>
              <w:tc>
                <w:tcPr>
                  <w:tcW w:w="2146" w:type="dxa"/>
                  <w:tcBorders>
                    <w:top w:val="single" w:color="auto" w:sz="4" w:space="0"/>
                    <w:left w:val="single" w:color="auto" w:sz="4" w:space="0"/>
                    <w:bottom w:val="single" w:color="auto" w:sz="4" w:space="0"/>
                    <w:right w:val="single" w:color="auto" w:sz="4" w:space="0"/>
                  </w:tcBorders>
                  <w:noWrap w:val="0"/>
                  <w:vAlign w:val="center"/>
                </w:tcPr>
                <w:p w14:paraId="6C8CD7C0">
                  <w:pPr>
                    <w:keepNext w:val="0"/>
                    <w:keepLines w:val="0"/>
                    <w:widowControl w:val="0"/>
                    <w:suppressLineNumbers w:val="0"/>
                    <w:adjustRightInd w:val="0"/>
                    <w:spacing w:before="0" w:beforeAutospacing="0" w:after="0" w:afterAutospacing="0"/>
                    <w:ind w:left="0" w:right="0"/>
                    <w:jc w:val="center"/>
                    <w:rPr>
                      <w:rFonts w:hint="default" w:ascii="Times New Roman" w:hAnsi="Times New Roman" w:cs="Times New Roman"/>
                      <w:kern w:val="2"/>
                      <w:sz w:val="21"/>
                      <w:szCs w:val="21"/>
                      <w:lang w:val="en-US" w:eastAsia="zh-CN"/>
                    </w:rPr>
                  </w:pPr>
                  <w:r>
                    <w:rPr>
                      <w:rFonts w:hint="eastAsia" w:ascii="宋体" w:hAnsi="宋体" w:eastAsia="宋体" w:cs="宋体"/>
                      <w:kern w:val="2"/>
                      <w:sz w:val="21"/>
                      <w:szCs w:val="21"/>
                      <w:lang w:val="en-US" w:eastAsia="zh-CN" w:bidi="ar"/>
                    </w:rPr>
                    <w:t>北厂界外</w:t>
                  </w:r>
                  <w:r>
                    <w:rPr>
                      <w:rFonts w:hint="default" w:ascii="Times New Roman" w:hAnsi="Times New Roman" w:cs="Times New Roman"/>
                      <w:kern w:val="2"/>
                      <w:sz w:val="21"/>
                      <w:szCs w:val="21"/>
                      <w:lang w:val="en-US" w:eastAsia="zh-CN" w:bidi="ar"/>
                    </w:rPr>
                    <w:t>1m</w:t>
                  </w:r>
                </w:p>
              </w:tc>
              <w:tc>
                <w:tcPr>
                  <w:tcW w:w="2702" w:type="dxa"/>
                  <w:vMerge w:val="continue"/>
                  <w:tcBorders>
                    <w:top w:val="single" w:color="auto" w:sz="4" w:space="0"/>
                    <w:left w:val="single" w:color="auto" w:sz="4" w:space="0"/>
                    <w:bottom w:val="single" w:color="auto" w:sz="4" w:space="0"/>
                    <w:right w:val="single" w:color="auto" w:sz="4" w:space="0"/>
                  </w:tcBorders>
                  <w:noWrap w:val="0"/>
                  <w:vAlign w:val="center"/>
                </w:tcPr>
                <w:p w14:paraId="74B63ADD">
                  <w:pPr>
                    <w:keepNext w:val="0"/>
                    <w:keepLines w:val="0"/>
                    <w:suppressLineNumbers w:val="0"/>
                    <w:spacing w:before="0" w:beforeAutospacing="0" w:after="0" w:afterAutospacing="0"/>
                    <w:ind w:left="0" w:right="0"/>
                    <w:rPr>
                      <w:rFonts w:hint="default" w:ascii="Times New Roman" w:hAnsi="Times New Roman" w:cs="Times New Roman"/>
                      <w:sz w:val="20"/>
                      <w:szCs w:val="20"/>
                      <w:lang w:val="en-US" w:eastAsia="zh-CN"/>
                    </w:rPr>
                  </w:pPr>
                </w:p>
              </w:tc>
              <w:tc>
                <w:tcPr>
                  <w:tcW w:w="1975" w:type="dxa"/>
                  <w:vMerge w:val="continue"/>
                  <w:tcBorders>
                    <w:top w:val="single" w:color="auto" w:sz="4" w:space="0"/>
                    <w:left w:val="single" w:color="auto" w:sz="4" w:space="0"/>
                    <w:bottom w:val="single" w:color="auto" w:sz="4" w:space="0"/>
                    <w:right w:val="single" w:color="auto" w:sz="12" w:space="0"/>
                  </w:tcBorders>
                  <w:noWrap w:val="0"/>
                  <w:vAlign w:val="center"/>
                </w:tcPr>
                <w:p w14:paraId="144D9FBB">
                  <w:pPr>
                    <w:keepNext w:val="0"/>
                    <w:keepLines w:val="0"/>
                    <w:suppressLineNumbers w:val="0"/>
                    <w:spacing w:before="0" w:beforeAutospacing="0" w:after="0" w:afterAutospacing="0"/>
                    <w:ind w:left="0" w:right="0"/>
                    <w:rPr>
                      <w:rFonts w:hint="default" w:ascii="Times New Roman" w:hAnsi="Times New Roman" w:cs="Times New Roman"/>
                      <w:sz w:val="20"/>
                      <w:szCs w:val="20"/>
                      <w:lang w:val="en-US" w:eastAsia="zh-CN"/>
                    </w:rPr>
                  </w:pPr>
                </w:p>
              </w:tc>
            </w:tr>
            <w:tr w14:paraId="5D9C0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9" w:type="dxa"/>
                  <w:gridSpan w:val="4"/>
                  <w:tcBorders>
                    <w:top w:val="single" w:color="auto" w:sz="4" w:space="0"/>
                    <w:left w:val="single" w:color="auto" w:sz="12" w:space="0"/>
                    <w:bottom w:val="single" w:color="auto" w:sz="12" w:space="0"/>
                    <w:right w:val="single" w:color="auto" w:sz="12" w:space="0"/>
                  </w:tcBorders>
                  <w:noWrap w:val="0"/>
                  <w:vAlign w:val="center"/>
                </w:tcPr>
                <w:p w14:paraId="21871FCB">
                  <w:pPr>
                    <w:keepNext w:val="0"/>
                    <w:keepLines w:val="0"/>
                    <w:widowControl w:val="0"/>
                    <w:suppressLineNumbers w:val="0"/>
                    <w:adjustRightInd w:val="0"/>
                    <w:spacing w:before="0" w:beforeAutospacing="0" w:after="0" w:afterAutospacing="0"/>
                    <w:ind w:left="0" w:right="0"/>
                    <w:jc w:val="both"/>
                    <w:rPr>
                      <w:rFonts w:hint="default" w:ascii="Times New Roman" w:hAnsi="Times New Roman" w:cs="Times New Roman"/>
                      <w:kern w:val="2"/>
                      <w:sz w:val="21"/>
                      <w:szCs w:val="21"/>
                      <w:lang w:val="en-US" w:eastAsia="zh-CN"/>
                    </w:rPr>
                  </w:pPr>
                  <w:r>
                    <w:rPr>
                      <w:rFonts w:hint="eastAsia" w:ascii="宋体" w:hAnsi="宋体" w:eastAsia="宋体" w:cs="宋体"/>
                      <w:kern w:val="2"/>
                      <w:sz w:val="21"/>
                      <w:szCs w:val="21"/>
                      <w:lang w:val="en-US" w:eastAsia="zh-CN" w:bidi="ar"/>
                    </w:rPr>
                    <w:t>采样方法和监测分析方法按《环境监测技术规范》及其他现行国家和行业标准执行</w:t>
                  </w:r>
                </w:p>
              </w:tc>
            </w:tr>
          </w:tbl>
          <w:p w14:paraId="297EC26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38" w:firstLineChars="200"/>
              <w:jc w:val="left"/>
              <w:textAlignment w:val="auto"/>
              <w:rPr>
                <w:rFonts w:hint="default" w:ascii="Times New Roman" w:hAnsi="Times New Roman" w:cs="宋体"/>
                <w:b/>
                <w:bCs w:val="0"/>
                <w:color w:val="auto"/>
                <w:spacing w:val="-11"/>
                <w:sz w:val="24"/>
                <w:szCs w:val="24"/>
                <w:highlight w:val="none"/>
                <w:lang w:val="en-US" w:eastAsia="zh-CN"/>
              </w:rPr>
            </w:pPr>
            <w:r>
              <w:rPr>
                <w:rFonts w:hint="eastAsia" w:ascii="Times New Roman" w:hAnsi="Times New Roman" w:cs="宋体"/>
                <w:b/>
                <w:bCs w:val="0"/>
                <w:color w:val="auto"/>
                <w:spacing w:val="-11"/>
                <w:sz w:val="24"/>
                <w:szCs w:val="24"/>
                <w:highlight w:val="none"/>
                <w:lang w:val="en-US" w:eastAsia="zh-CN"/>
              </w:rPr>
              <w:t>4、固体废物</w:t>
            </w:r>
          </w:p>
          <w:p w14:paraId="3AC74D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8" w:firstLineChars="200"/>
              <w:jc w:val="left"/>
              <w:textAlignment w:val="auto"/>
              <w:rPr>
                <w:rFonts w:hint="eastAsia" w:ascii="Times New Roman" w:hAnsi="Times New Roman" w:cs="宋体"/>
                <w:b/>
                <w:bCs w:val="0"/>
                <w:color w:val="auto"/>
                <w:spacing w:val="-11"/>
                <w:sz w:val="24"/>
                <w:szCs w:val="24"/>
                <w:highlight w:val="none"/>
                <w:lang w:val="en-US" w:eastAsia="zh-CN"/>
              </w:rPr>
            </w:pPr>
            <w:r>
              <w:rPr>
                <w:rFonts w:hint="eastAsia" w:ascii="Times New Roman" w:hAnsi="Times New Roman" w:cs="宋体"/>
                <w:b/>
                <w:bCs w:val="0"/>
                <w:color w:val="auto"/>
                <w:spacing w:val="-11"/>
                <w:sz w:val="24"/>
                <w:szCs w:val="24"/>
                <w:highlight w:val="none"/>
                <w:lang w:val="en-US" w:eastAsia="zh-CN"/>
              </w:rPr>
              <w:t>4.1固体废物产生情况</w:t>
            </w:r>
          </w:p>
          <w:p w14:paraId="583B5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200"/>
              <w:jc w:val="both"/>
              <w:textAlignment w:val="auto"/>
              <w:rPr>
                <w:rFonts w:hint="eastAsia" w:ascii="Times New Roman" w:hAnsi="Times New Roman" w:cs="宋体"/>
                <w:bCs/>
                <w:color w:val="auto"/>
                <w:spacing w:val="-11"/>
                <w:sz w:val="24"/>
                <w:szCs w:val="24"/>
                <w:highlight w:val="none"/>
                <w:lang w:val="en-US" w:eastAsia="zh-CN"/>
              </w:rPr>
            </w:pPr>
            <w:r>
              <w:rPr>
                <w:rFonts w:hint="eastAsia" w:cs="宋体"/>
                <w:bCs/>
                <w:color w:val="auto"/>
                <w:spacing w:val="-11"/>
                <w:sz w:val="24"/>
                <w:szCs w:val="24"/>
                <w:highlight w:val="none"/>
                <w:lang w:val="en-US" w:eastAsia="zh-CN"/>
              </w:rPr>
              <w:t>本项目除尘器收尘回用于配料工序，</w:t>
            </w:r>
            <w:r>
              <w:rPr>
                <w:rFonts w:hint="eastAsia" w:ascii="Times New Roman" w:hAnsi="Times New Roman" w:cs="宋体"/>
                <w:bCs/>
                <w:color w:val="auto"/>
                <w:spacing w:val="-11"/>
                <w:sz w:val="24"/>
                <w:szCs w:val="24"/>
                <w:highlight w:val="none"/>
                <w:lang w:val="en-US" w:eastAsia="zh-CN"/>
              </w:rPr>
              <w:t>项目建成运营后产生的固体废物主要包括生活垃圾、</w:t>
            </w:r>
            <w:r>
              <w:rPr>
                <w:rFonts w:hint="eastAsia" w:cs="宋体"/>
                <w:bCs/>
                <w:color w:val="auto"/>
                <w:spacing w:val="-11"/>
                <w:sz w:val="24"/>
                <w:szCs w:val="24"/>
                <w:highlight w:val="none"/>
                <w:lang w:val="en-US" w:eastAsia="zh-CN"/>
              </w:rPr>
              <w:t>一般固废和危险废物</w:t>
            </w:r>
            <w:r>
              <w:rPr>
                <w:rFonts w:hint="eastAsia" w:ascii="Times New Roman" w:hAnsi="Times New Roman" w:cs="宋体"/>
                <w:bCs/>
                <w:color w:val="auto"/>
                <w:spacing w:val="-11"/>
                <w:sz w:val="24"/>
                <w:szCs w:val="24"/>
                <w:highlight w:val="none"/>
                <w:lang w:val="en-US" w:eastAsia="zh-CN"/>
              </w:rPr>
              <w:t>，具体产生情况如下：</w:t>
            </w:r>
          </w:p>
          <w:p w14:paraId="2E50F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200"/>
              <w:jc w:val="left"/>
              <w:textAlignment w:val="auto"/>
              <w:rPr>
                <w:rFonts w:hint="default" w:ascii="Times New Roman" w:hAnsi="Times New Roman" w:cs="Times New Roman"/>
                <w:bCs/>
                <w:spacing w:val="-11"/>
                <w:sz w:val="24"/>
                <w:szCs w:val="24"/>
                <w:lang w:val="en-US" w:eastAsia="zh-CN"/>
              </w:rPr>
            </w:pPr>
            <w:r>
              <w:rPr>
                <w:rFonts w:hint="eastAsia" w:ascii="Times New Roman" w:hAnsi="Times New Roman" w:cs="宋体"/>
                <w:bCs/>
                <w:spacing w:val="-11"/>
                <w:sz w:val="24"/>
                <w:szCs w:val="24"/>
                <w:lang w:val="en-US" w:eastAsia="zh-CN"/>
              </w:rPr>
              <w:t>1、生活垃圾：本项目职工为</w:t>
            </w:r>
            <w:r>
              <w:rPr>
                <w:rFonts w:hint="eastAsia" w:cs="宋体"/>
                <w:bCs/>
                <w:spacing w:val="-11"/>
                <w:sz w:val="24"/>
                <w:szCs w:val="24"/>
                <w:lang w:val="en-US" w:eastAsia="zh-CN"/>
              </w:rPr>
              <w:t>20</w:t>
            </w:r>
            <w:r>
              <w:rPr>
                <w:rFonts w:hint="eastAsia" w:ascii="Times New Roman" w:hAnsi="Times New Roman" w:cs="宋体"/>
                <w:bCs/>
                <w:spacing w:val="-11"/>
                <w:sz w:val="24"/>
                <w:szCs w:val="24"/>
                <w:lang w:val="en-US" w:eastAsia="zh-CN"/>
              </w:rPr>
              <w:t>人，垃圾产生量按</w:t>
            </w:r>
            <w:r>
              <w:rPr>
                <w:rFonts w:hint="default" w:ascii="Times New Roman" w:hAnsi="Times New Roman" w:cs="Times New Roman"/>
                <w:bCs/>
                <w:spacing w:val="-11"/>
                <w:sz w:val="24"/>
                <w:szCs w:val="24"/>
                <w:lang w:val="en-US" w:eastAsia="zh-CN"/>
              </w:rPr>
              <w:t>0.5kg/人•d</w:t>
            </w:r>
            <w:r>
              <w:rPr>
                <w:rFonts w:hint="eastAsia" w:ascii="Times New Roman" w:hAnsi="Times New Roman" w:cs="宋体"/>
                <w:bCs/>
                <w:spacing w:val="-11"/>
                <w:sz w:val="24"/>
                <w:szCs w:val="24"/>
                <w:lang w:val="en-US" w:eastAsia="zh-CN"/>
              </w:rPr>
              <w:t>计，年工作300天，生活</w:t>
            </w:r>
            <w:r>
              <w:rPr>
                <w:rFonts w:hint="default" w:ascii="Times New Roman" w:hAnsi="Times New Roman" w:cs="Times New Roman"/>
                <w:bCs/>
                <w:spacing w:val="-11"/>
                <w:sz w:val="24"/>
                <w:szCs w:val="24"/>
                <w:lang w:val="en-US" w:eastAsia="zh-CN"/>
              </w:rPr>
              <w:t>垃圾产生量约</w:t>
            </w:r>
            <w:r>
              <w:rPr>
                <w:rFonts w:hint="default" w:ascii="Times New Roman" w:hAnsi="Times New Roman" w:cs="Times New Roman"/>
                <w:bCs/>
                <w:spacing w:val="-11"/>
                <w:sz w:val="24"/>
                <w:szCs w:val="24"/>
                <w:highlight w:val="none"/>
                <w:lang w:val="en-US" w:eastAsia="zh-CN"/>
              </w:rPr>
              <w:t>3t/a</w:t>
            </w:r>
            <w:r>
              <w:rPr>
                <w:rFonts w:hint="default" w:ascii="Times New Roman" w:hAnsi="Times New Roman" w:cs="Times New Roman"/>
                <w:bCs/>
                <w:spacing w:val="-11"/>
                <w:sz w:val="24"/>
                <w:szCs w:val="24"/>
                <w:lang w:val="en-US" w:eastAsia="zh-CN"/>
              </w:rPr>
              <w:t xml:space="preserve">，固废代码900-001-S62，生活垃圾收集后由环卫部门外运处理。 </w:t>
            </w:r>
          </w:p>
          <w:p w14:paraId="082C2D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200"/>
              <w:jc w:val="left"/>
              <w:textAlignment w:val="auto"/>
              <w:rPr>
                <w:rFonts w:hint="default" w:ascii="Times New Roman" w:hAnsi="Times New Roman" w:cs="Times New Roman"/>
                <w:bCs/>
                <w:spacing w:val="-11"/>
                <w:sz w:val="24"/>
                <w:szCs w:val="24"/>
                <w:lang w:val="en-US" w:eastAsia="zh-CN"/>
              </w:rPr>
            </w:pPr>
            <w:r>
              <w:rPr>
                <w:rFonts w:hint="eastAsia" w:ascii="Times New Roman" w:hAnsi="Times New Roman" w:cs="Times New Roman"/>
                <w:bCs/>
                <w:spacing w:val="-11"/>
                <w:sz w:val="24"/>
                <w:szCs w:val="24"/>
                <w:lang w:val="en-US" w:eastAsia="zh-CN"/>
              </w:rPr>
              <w:t>2、一般固废</w:t>
            </w:r>
          </w:p>
          <w:p w14:paraId="6CE729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200"/>
              <w:jc w:val="left"/>
              <w:textAlignment w:val="auto"/>
              <w:rPr>
                <w:rFonts w:hint="default" w:ascii="Times New Roman" w:hAnsi="Times New Roman" w:eastAsia="宋体" w:cs="Times New Roman"/>
                <w:bCs/>
                <w:spacing w:val="-11"/>
                <w:sz w:val="24"/>
                <w:szCs w:val="24"/>
                <w:lang w:val="en-US" w:eastAsia="zh-CN"/>
              </w:rPr>
            </w:pPr>
            <w:r>
              <w:rPr>
                <w:rFonts w:hint="eastAsia" w:ascii="Times New Roman" w:hAnsi="Times New Roman" w:cs="Times New Roman"/>
                <w:bCs/>
                <w:spacing w:val="-11"/>
                <w:sz w:val="24"/>
                <w:lang w:val="en-US" w:eastAsia="zh-CN"/>
              </w:rPr>
              <w:t>①</w:t>
            </w:r>
            <w:r>
              <w:rPr>
                <w:rFonts w:hint="default" w:ascii="Times New Roman" w:hAnsi="Times New Roman" w:cs="Times New Roman"/>
                <w:bCs/>
                <w:spacing w:val="-11"/>
                <w:sz w:val="24"/>
              </w:rPr>
              <w:t>边角料：项目切纸过程将产生下脚料</w:t>
            </w:r>
            <w:r>
              <w:rPr>
                <w:rFonts w:hint="default" w:ascii="Times New Roman" w:hAnsi="Times New Roman" w:cs="Times New Roman"/>
                <w:bCs/>
                <w:sz w:val="24"/>
              </w:rPr>
              <w:t>，根据企业提供资料，产生</w:t>
            </w:r>
            <w:r>
              <w:rPr>
                <w:rFonts w:hint="default" w:ascii="Times New Roman" w:hAnsi="Times New Roman" w:cs="Times New Roman"/>
                <w:bCs/>
                <w:sz w:val="24"/>
                <w:lang w:val="en-US" w:eastAsia="zh-CN"/>
              </w:rPr>
              <w:t>系数</w:t>
            </w:r>
            <w:r>
              <w:rPr>
                <w:rFonts w:hint="default" w:ascii="Times New Roman" w:hAnsi="Times New Roman" w:cs="Times New Roman"/>
                <w:bCs/>
                <w:sz w:val="24"/>
              </w:rPr>
              <w:t>约为</w:t>
            </w:r>
            <w:r>
              <w:rPr>
                <w:rFonts w:hint="default" w:ascii="Times New Roman" w:hAnsi="Times New Roman" w:cs="Times New Roman"/>
                <w:bCs/>
                <w:sz w:val="24"/>
                <w:lang w:val="en-US" w:eastAsia="zh-CN"/>
              </w:rPr>
              <w:t>产品的</w:t>
            </w:r>
            <w:r>
              <w:rPr>
                <w:rFonts w:hint="default" w:ascii="Times New Roman" w:hAnsi="Times New Roman" w:cs="Times New Roman"/>
                <w:bCs/>
                <w:sz w:val="24"/>
              </w:rPr>
              <w:t>0.07%，产生量</w:t>
            </w:r>
            <w:r>
              <w:rPr>
                <w:rFonts w:hint="default" w:ascii="Times New Roman" w:hAnsi="Times New Roman" w:cs="Times New Roman"/>
                <w:bCs/>
                <w:sz w:val="24"/>
                <w:lang w:val="en-US" w:eastAsia="zh-CN"/>
              </w:rPr>
              <w:t>14</w:t>
            </w:r>
            <w:r>
              <w:rPr>
                <w:rFonts w:hint="default" w:ascii="Times New Roman" w:hAnsi="Times New Roman" w:cs="Times New Roman"/>
                <w:bCs/>
                <w:spacing w:val="-11"/>
                <w:sz w:val="24"/>
              </w:rPr>
              <w:t>t/a</w:t>
            </w:r>
            <w:r>
              <w:rPr>
                <w:rFonts w:hint="default" w:ascii="Times New Roman" w:hAnsi="Times New Roman" w:cs="Times New Roman"/>
                <w:bCs/>
                <w:spacing w:val="-11"/>
                <w:sz w:val="24"/>
                <w:szCs w:val="24"/>
                <w:lang w:val="en-US" w:eastAsia="zh-CN"/>
              </w:rPr>
              <w:t>。下脚料为一般固废，固废代码900-005-S17，</w:t>
            </w:r>
            <w:r>
              <w:rPr>
                <w:rFonts w:hint="default" w:ascii="Times New Roman" w:hAnsi="Times New Roman" w:cs="Times New Roman"/>
                <w:bCs/>
                <w:spacing w:val="-11"/>
                <w:sz w:val="24"/>
              </w:rPr>
              <w:t>由企业定期收集后外售</w:t>
            </w:r>
            <w:r>
              <w:rPr>
                <w:rFonts w:hint="default" w:ascii="Times New Roman" w:hAnsi="Times New Roman" w:cs="Times New Roman"/>
                <w:bCs/>
                <w:spacing w:val="-11"/>
                <w:sz w:val="24"/>
                <w:lang w:eastAsia="zh-CN"/>
              </w:rPr>
              <w:t>。</w:t>
            </w:r>
          </w:p>
          <w:p w14:paraId="4F9174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200"/>
              <w:jc w:val="left"/>
              <w:textAlignment w:val="auto"/>
              <w:rPr>
                <w:rFonts w:hint="default" w:ascii="Times New Roman" w:hAnsi="Times New Roman" w:cs="Times New Roman"/>
                <w:bCs/>
                <w:spacing w:val="-11"/>
                <w:sz w:val="24"/>
                <w:szCs w:val="24"/>
                <w:lang w:val="en-US" w:eastAsia="zh-CN"/>
              </w:rPr>
            </w:pPr>
            <w:r>
              <w:rPr>
                <w:rFonts w:hint="eastAsia" w:ascii="Times New Roman" w:hAnsi="Times New Roman" w:cs="Times New Roman"/>
                <w:bCs/>
                <w:spacing w:val="-11"/>
                <w:sz w:val="24"/>
                <w:szCs w:val="24"/>
                <w:lang w:val="en-US" w:eastAsia="zh-CN"/>
              </w:rPr>
              <w:t>②</w:t>
            </w:r>
            <w:r>
              <w:rPr>
                <w:rFonts w:hint="default" w:ascii="Times New Roman" w:hAnsi="Times New Roman" w:cs="Times New Roman"/>
                <w:bCs/>
                <w:spacing w:val="-11"/>
                <w:sz w:val="24"/>
              </w:rPr>
              <w:t>废包装材料：包括废包装纸、包装袋和包装桶等，产生量约</w:t>
            </w:r>
            <w:r>
              <w:rPr>
                <w:rFonts w:hint="default" w:ascii="Times New Roman" w:hAnsi="Times New Roman" w:cs="Times New Roman"/>
                <w:bCs/>
                <w:spacing w:val="-11"/>
                <w:sz w:val="24"/>
                <w:lang w:val="en-US" w:eastAsia="zh-CN"/>
              </w:rPr>
              <w:t>3.1</w:t>
            </w:r>
            <w:r>
              <w:rPr>
                <w:rFonts w:hint="default" w:ascii="Times New Roman" w:hAnsi="Times New Roman" w:cs="Times New Roman"/>
                <w:bCs/>
                <w:spacing w:val="-11"/>
                <w:sz w:val="24"/>
              </w:rPr>
              <w:t>t/a，一般固废代码</w:t>
            </w:r>
            <w:r>
              <w:rPr>
                <w:rFonts w:hint="default" w:ascii="Times New Roman" w:hAnsi="Times New Roman" w:cs="Times New Roman"/>
                <w:bCs/>
                <w:spacing w:val="-11"/>
                <w:sz w:val="24"/>
                <w:szCs w:val="24"/>
                <w:lang w:val="en-US" w:eastAsia="zh-CN"/>
              </w:rPr>
              <w:t>900-005-S17、</w:t>
            </w:r>
            <w:r>
              <w:rPr>
                <w:rFonts w:hint="default" w:ascii="Times New Roman" w:hAnsi="Times New Roman" w:cs="Times New Roman"/>
                <w:bCs/>
                <w:spacing w:val="-11"/>
                <w:sz w:val="24"/>
              </w:rPr>
              <w:t>900-003-S17，其中废包装纸和废包装袋定期收集后外售，包装桶由供应商回收再利用。</w:t>
            </w:r>
          </w:p>
          <w:p w14:paraId="250E6F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宋体"/>
                <w:bCs/>
                <w:spacing w:val="-11"/>
                <w:sz w:val="24"/>
                <w:szCs w:val="24"/>
                <w:highlight w:val="none"/>
                <w:lang w:val="en-US" w:eastAsia="zh-CN"/>
              </w:rPr>
            </w:pPr>
            <w:r>
              <w:rPr>
                <w:rFonts w:hint="eastAsia" w:ascii="Times New Roman" w:hAnsi="Times New Roman" w:cs="Times New Roman"/>
                <w:i w:val="0"/>
                <w:iCs w:val="0"/>
                <w:caps w:val="0"/>
                <w:color w:val="auto"/>
                <w:spacing w:val="0"/>
                <w:position w:val="0"/>
                <w:sz w:val="24"/>
                <w:szCs w:val="24"/>
                <w:shd w:val="clear" w:color="auto" w:fill="FFFFFF"/>
                <w:lang w:val="en-US" w:eastAsia="zh-CN"/>
              </w:rPr>
              <w:t>③</w:t>
            </w:r>
            <w:r>
              <w:rPr>
                <w:rFonts w:hint="default" w:ascii="Times New Roman" w:hAnsi="Times New Roman" w:cs="Times New Roman"/>
                <w:color w:val="auto"/>
                <w:sz w:val="24"/>
                <w:highlight w:val="none"/>
                <w:lang w:val="en-US" w:eastAsia="zh-CN"/>
              </w:rPr>
              <w:t>污水处理站污泥：</w:t>
            </w:r>
            <w:r>
              <w:rPr>
                <w:rFonts w:hint="default" w:ascii="Times New Roman" w:hAnsi="Times New Roman" w:eastAsia="宋体" w:cs="Times New Roman"/>
                <w:color w:val="auto"/>
                <w:sz w:val="24"/>
                <w:highlight w:val="none"/>
                <w:lang w:val="en-US" w:eastAsia="zh-CN"/>
              </w:rPr>
              <w:t>污</w:t>
            </w:r>
            <w:r>
              <w:rPr>
                <w:rFonts w:hint="eastAsia" w:ascii="Times New Roman" w:hAnsi="Times New Roman" w:eastAsia="宋体" w:cs="Times New Roman"/>
                <w:color w:val="auto"/>
                <w:sz w:val="24"/>
                <w:highlight w:val="none"/>
                <w:lang w:val="en-US" w:eastAsia="zh-CN"/>
              </w:rPr>
              <w:t>水处理站污泥的产生量按照每去除1kgCODcr产生0.4kg污泥（干重）计，本项目自建的污水处理站去除CODcr约</w:t>
            </w:r>
            <w:r>
              <w:rPr>
                <w:rFonts w:hint="eastAsia" w:cs="Times New Roman"/>
                <w:color w:val="auto"/>
                <w:sz w:val="24"/>
                <w:highlight w:val="none"/>
                <w:lang w:val="en-US" w:eastAsia="zh-CN"/>
              </w:rPr>
              <w:t>0.2</w:t>
            </w:r>
            <w:r>
              <w:rPr>
                <w:rFonts w:hint="eastAsia" w:ascii="Times New Roman" w:hAnsi="Times New Roman" w:eastAsia="宋体" w:cs="Times New Roman"/>
                <w:color w:val="auto"/>
                <w:sz w:val="24"/>
                <w:highlight w:val="none"/>
                <w:lang w:val="en-US" w:eastAsia="zh-CN"/>
              </w:rPr>
              <w:t>t/a，污泥产生量为</w:t>
            </w:r>
            <w:r>
              <w:rPr>
                <w:rFonts w:hint="eastAsia" w:cs="Times New Roman"/>
                <w:color w:val="auto"/>
                <w:sz w:val="24"/>
                <w:highlight w:val="none"/>
                <w:lang w:val="en-US" w:eastAsia="zh-CN"/>
              </w:rPr>
              <w:t>0.2</w:t>
            </w:r>
            <w:r>
              <w:rPr>
                <w:rFonts w:hint="eastAsia" w:ascii="Times New Roman" w:hAnsi="Times New Roman" w:eastAsia="宋体" w:cs="Times New Roman"/>
                <w:color w:val="auto"/>
                <w:sz w:val="24"/>
                <w:highlight w:val="none"/>
                <w:lang w:val="en-US" w:eastAsia="zh-CN"/>
              </w:rPr>
              <w:t>t/a（含水率60%）。污水处理站污泥为一般固废，</w:t>
            </w:r>
            <w:r>
              <w:rPr>
                <w:rFonts w:hint="eastAsia" w:ascii="宋体" w:hAnsi="宋体" w:eastAsia="宋体" w:cs="宋体"/>
                <w:bCs/>
                <w:spacing w:val="-11"/>
                <w:kern w:val="2"/>
                <w:sz w:val="24"/>
                <w:szCs w:val="24"/>
                <w:highlight w:val="none"/>
                <w:lang w:val="en-US" w:eastAsia="zh-CN" w:bidi="ar"/>
              </w:rPr>
              <w:t>一般固废代码为</w:t>
            </w:r>
            <w:r>
              <w:rPr>
                <w:rFonts w:hint="eastAsia" w:ascii="Times New Roman" w:hAnsi="Times New Roman" w:eastAsia="宋体" w:cs="Times New Roman"/>
                <w:bCs/>
                <w:spacing w:val="-11"/>
                <w:kern w:val="2"/>
                <w:sz w:val="24"/>
                <w:szCs w:val="24"/>
                <w:highlight w:val="none"/>
                <w:lang w:val="en-US" w:eastAsia="zh-CN" w:bidi="ar"/>
              </w:rPr>
              <w:t>900</w:t>
            </w:r>
            <w:r>
              <w:rPr>
                <w:rFonts w:hint="default" w:ascii="Times New Roman" w:hAnsi="Times New Roman" w:eastAsia="宋体" w:cs="Times New Roman"/>
                <w:bCs/>
                <w:spacing w:val="-11"/>
                <w:kern w:val="2"/>
                <w:sz w:val="24"/>
                <w:szCs w:val="24"/>
                <w:highlight w:val="none"/>
                <w:lang w:val="en-US" w:eastAsia="zh-CN" w:bidi="ar"/>
              </w:rPr>
              <w:t>-</w:t>
            </w:r>
            <w:r>
              <w:rPr>
                <w:rFonts w:hint="eastAsia" w:ascii="Times New Roman" w:hAnsi="Times New Roman" w:eastAsia="宋体" w:cs="Times New Roman"/>
                <w:bCs/>
                <w:spacing w:val="-11"/>
                <w:kern w:val="2"/>
                <w:sz w:val="24"/>
                <w:szCs w:val="24"/>
                <w:highlight w:val="none"/>
                <w:lang w:val="en-US" w:eastAsia="zh-CN" w:bidi="ar"/>
              </w:rPr>
              <w:t>099</w:t>
            </w:r>
            <w:r>
              <w:rPr>
                <w:rFonts w:hint="default" w:ascii="Times New Roman" w:hAnsi="Times New Roman" w:eastAsia="宋体" w:cs="Times New Roman"/>
                <w:bCs/>
                <w:spacing w:val="-11"/>
                <w:kern w:val="2"/>
                <w:sz w:val="24"/>
                <w:szCs w:val="24"/>
                <w:highlight w:val="none"/>
                <w:lang w:val="en-US" w:eastAsia="zh-CN" w:bidi="ar"/>
              </w:rPr>
              <w:t>-</w:t>
            </w:r>
            <w:r>
              <w:rPr>
                <w:rFonts w:hint="eastAsia" w:ascii="Times New Roman" w:hAnsi="Times New Roman" w:eastAsia="宋体" w:cs="Times New Roman"/>
                <w:bCs/>
                <w:spacing w:val="-11"/>
                <w:kern w:val="2"/>
                <w:sz w:val="24"/>
                <w:szCs w:val="24"/>
                <w:highlight w:val="none"/>
                <w:lang w:val="en-US" w:eastAsia="zh-CN" w:bidi="ar"/>
              </w:rPr>
              <w:t>S07</w:t>
            </w:r>
            <w:r>
              <w:rPr>
                <w:rFonts w:hint="eastAsia" w:ascii="Times New Roman" w:hAnsi="Times New Roman" w:eastAsia="宋体" w:cs="Times New Roman"/>
                <w:color w:val="auto"/>
                <w:sz w:val="24"/>
                <w:highlight w:val="none"/>
                <w:lang w:val="en-US" w:eastAsia="zh-CN"/>
              </w:rPr>
              <w:t>，委托环卫部门定期清理。</w:t>
            </w:r>
          </w:p>
          <w:p w14:paraId="7CE33F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200"/>
              <w:jc w:val="both"/>
              <w:textAlignment w:val="auto"/>
              <w:rPr>
                <w:rFonts w:hint="default" w:ascii="Times New Roman" w:hAnsi="Times New Roman" w:eastAsia="宋体" w:cs="宋体"/>
                <w:bCs/>
                <w:color w:val="auto"/>
                <w:spacing w:val="-11"/>
                <w:sz w:val="24"/>
                <w:szCs w:val="24"/>
                <w:highlight w:val="none"/>
                <w:lang w:val="en-US" w:eastAsia="zh-CN"/>
              </w:rPr>
            </w:pPr>
            <w:r>
              <w:rPr>
                <w:rFonts w:hint="eastAsia" w:ascii="Times New Roman" w:hAnsi="Times New Roman" w:eastAsia="宋体" w:cs="宋体"/>
                <w:bCs/>
                <w:color w:val="auto"/>
                <w:spacing w:val="-11"/>
                <w:sz w:val="24"/>
                <w:szCs w:val="24"/>
                <w:highlight w:val="none"/>
                <w:lang w:val="en-US" w:eastAsia="zh-CN"/>
              </w:rPr>
              <w:t>3、危险废物</w:t>
            </w:r>
          </w:p>
          <w:p w14:paraId="5C76F0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200"/>
              <w:jc w:val="both"/>
              <w:textAlignment w:val="auto"/>
              <w:rPr>
                <w:rFonts w:hint="default" w:ascii="Times New Roman" w:hAnsi="Times New Roman" w:eastAsia="宋体" w:cs="宋体"/>
                <w:bCs/>
                <w:color w:val="auto"/>
                <w:spacing w:val="-11"/>
                <w:sz w:val="24"/>
                <w:szCs w:val="24"/>
                <w:highlight w:val="none"/>
                <w:lang w:val="en-US" w:eastAsia="zh-CN"/>
              </w:rPr>
            </w:pPr>
            <w:r>
              <w:rPr>
                <w:rFonts w:hint="eastAsia" w:ascii="Times New Roman" w:hAnsi="Times New Roman" w:eastAsia="宋体" w:cs="宋体"/>
                <w:bCs/>
                <w:color w:val="auto"/>
                <w:spacing w:val="-11"/>
                <w:sz w:val="24"/>
                <w:szCs w:val="24"/>
                <w:highlight w:val="none"/>
                <w:lang w:val="en-US" w:eastAsia="zh-CN"/>
              </w:rPr>
              <w:t>①废水墨桶：</w:t>
            </w:r>
            <w:r>
              <w:rPr>
                <w:rFonts w:hint="default" w:ascii="Times New Roman" w:hAnsi="Times New Roman" w:eastAsia="宋体" w:cs="宋体"/>
                <w:bCs/>
                <w:color w:val="auto"/>
                <w:spacing w:val="-11"/>
                <w:sz w:val="24"/>
                <w:szCs w:val="24"/>
                <w:highlight w:val="none"/>
                <w:lang w:val="en-US" w:eastAsia="zh-CN"/>
              </w:rPr>
              <w:t>根据建设单位提供的资料，项目</w:t>
            </w:r>
            <w:r>
              <w:rPr>
                <w:rFonts w:hint="eastAsia" w:ascii="Times New Roman" w:hAnsi="Times New Roman" w:eastAsia="宋体" w:cs="宋体"/>
                <w:bCs/>
                <w:color w:val="auto"/>
                <w:spacing w:val="-11"/>
                <w:sz w:val="24"/>
                <w:szCs w:val="24"/>
                <w:highlight w:val="none"/>
                <w:lang w:val="en-US" w:eastAsia="zh-CN"/>
              </w:rPr>
              <w:t>水性油墨</w:t>
            </w:r>
            <w:r>
              <w:rPr>
                <w:rFonts w:hint="default" w:ascii="Times New Roman" w:hAnsi="Times New Roman" w:eastAsia="宋体" w:cs="宋体"/>
                <w:bCs/>
                <w:color w:val="auto"/>
                <w:spacing w:val="-11"/>
                <w:sz w:val="24"/>
                <w:szCs w:val="24"/>
                <w:highlight w:val="none"/>
                <w:lang w:val="en-US" w:eastAsia="zh-CN"/>
              </w:rPr>
              <w:t>包装规格为10kg/桶，则空桶年产生量约为</w:t>
            </w:r>
            <w:r>
              <w:rPr>
                <w:rFonts w:hint="eastAsia" w:ascii="Times New Roman" w:hAnsi="Times New Roman" w:eastAsia="宋体" w:cs="宋体"/>
                <w:bCs/>
                <w:color w:val="auto"/>
                <w:spacing w:val="-11"/>
                <w:sz w:val="24"/>
                <w:szCs w:val="24"/>
                <w:highlight w:val="none"/>
                <w:lang w:val="en-US" w:eastAsia="zh-CN"/>
              </w:rPr>
              <w:t>2</w:t>
            </w:r>
            <w:r>
              <w:rPr>
                <w:rFonts w:hint="default" w:ascii="Times New Roman" w:hAnsi="Times New Roman" w:eastAsia="宋体" w:cs="宋体"/>
                <w:bCs/>
                <w:color w:val="auto"/>
                <w:spacing w:val="-11"/>
                <w:sz w:val="24"/>
                <w:szCs w:val="24"/>
                <w:highlight w:val="none"/>
                <w:lang w:val="en-US" w:eastAsia="zh-CN"/>
              </w:rPr>
              <w:t>个/a，</w:t>
            </w:r>
            <w:r>
              <w:rPr>
                <w:rFonts w:hint="eastAsia" w:ascii="Times New Roman" w:hAnsi="Times New Roman" w:eastAsia="宋体" w:cs="宋体"/>
                <w:bCs/>
                <w:color w:val="auto"/>
                <w:spacing w:val="-11"/>
                <w:sz w:val="24"/>
                <w:szCs w:val="24"/>
                <w:highlight w:val="none"/>
                <w:lang w:val="en-US" w:eastAsia="zh-CN"/>
              </w:rPr>
              <w:t>约0.002t/a，</w:t>
            </w:r>
            <w:r>
              <w:rPr>
                <w:rFonts w:hint="default" w:ascii="Times New Roman" w:hAnsi="Times New Roman" w:eastAsia="宋体" w:cs="宋体"/>
                <w:bCs/>
                <w:color w:val="auto"/>
                <w:spacing w:val="-11"/>
                <w:sz w:val="24"/>
                <w:szCs w:val="24"/>
                <w:highlight w:val="none"/>
                <w:lang w:val="en-US" w:eastAsia="zh-CN"/>
              </w:rPr>
              <w:t>废墨桶属于《国家危险废物名录》（202</w:t>
            </w:r>
            <w:r>
              <w:rPr>
                <w:rFonts w:hint="eastAsia" w:ascii="Times New Roman" w:hAnsi="Times New Roman" w:eastAsia="宋体" w:cs="宋体"/>
                <w:bCs/>
                <w:color w:val="auto"/>
                <w:spacing w:val="-11"/>
                <w:sz w:val="24"/>
                <w:szCs w:val="24"/>
                <w:highlight w:val="none"/>
                <w:lang w:val="en-US" w:eastAsia="zh-CN"/>
              </w:rPr>
              <w:t>5</w:t>
            </w:r>
            <w:r>
              <w:rPr>
                <w:rFonts w:hint="default" w:ascii="Times New Roman" w:hAnsi="Times New Roman" w:eastAsia="宋体" w:cs="宋体"/>
                <w:bCs/>
                <w:color w:val="auto"/>
                <w:spacing w:val="-11"/>
                <w:sz w:val="24"/>
                <w:szCs w:val="24"/>
                <w:highlight w:val="none"/>
                <w:lang w:val="en-US" w:eastAsia="zh-CN"/>
              </w:rPr>
              <w:t>年版）中 HW49其他废物，废物代码900-041-49，收集后密封暂存于危废间内，定期委托有资质单位外运处置。</w:t>
            </w:r>
          </w:p>
          <w:p w14:paraId="645FB7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200"/>
              <w:jc w:val="both"/>
              <w:textAlignment w:val="auto"/>
              <w:rPr>
                <w:rFonts w:hint="eastAsia" w:ascii="Times New Roman" w:hAnsi="Times New Roman" w:eastAsia="宋体" w:cs="宋体"/>
                <w:bCs/>
                <w:color w:val="auto"/>
                <w:spacing w:val="-11"/>
                <w:sz w:val="24"/>
                <w:szCs w:val="24"/>
                <w:highlight w:val="none"/>
                <w:lang w:val="en-US" w:eastAsia="zh-CN"/>
              </w:rPr>
            </w:pPr>
            <w:r>
              <w:rPr>
                <w:rFonts w:hint="eastAsia" w:ascii="Times New Roman" w:hAnsi="Times New Roman" w:eastAsia="宋体" w:cs="宋体"/>
                <w:bCs/>
                <w:color w:val="auto"/>
                <w:spacing w:val="-11"/>
                <w:sz w:val="24"/>
                <w:szCs w:val="24"/>
                <w:highlight w:val="none"/>
                <w:lang w:val="en-US" w:eastAsia="zh-CN"/>
              </w:rPr>
              <w:t>②废机油：</w:t>
            </w:r>
            <w:r>
              <w:rPr>
                <w:rFonts w:hint="default" w:ascii="Times New Roman" w:hAnsi="Times New Roman" w:eastAsia="宋体" w:cs="宋体"/>
                <w:bCs/>
                <w:color w:val="auto"/>
                <w:spacing w:val="-11"/>
                <w:sz w:val="24"/>
                <w:szCs w:val="24"/>
                <w:highlight w:val="none"/>
                <w:lang w:val="en-US" w:eastAsia="zh-CN"/>
              </w:rPr>
              <w:t>项目</w:t>
            </w:r>
            <w:r>
              <w:rPr>
                <w:rFonts w:hint="eastAsia" w:ascii="Times New Roman" w:hAnsi="Times New Roman" w:eastAsia="宋体" w:cs="宋体"/>
                <w:bCs/>
                <w:color w:val="auto"/>
                <w:spacing w:val="-11"/>
                <w:sz w:val="24"/>
                <w:szCs w:val="24"/>
                <w:highlight w:val="none"/>
                <w:lang w:val="en-US" w:eastAsia="zh-CN"/>
              </w:rPr>
              <w:t>设备运行、维护过程</w:t>
            </w:r>
            <w:r>
              <w:rPr>
                <w:rFonts w:hint="default" w:ascii="Times New Roman" w:hAnsi="Times New Roman" w:eastAsia="宋体" w:cs="宋体"/>
                <w:bCs/>
                <w:color w:val="auto"/>
                <w:spacing w:val="-11"/>
                <w:sz w:val="24"/>
                <w:szCs w:val="24"/>
                <w:highlight w:val="none"/>
                <w:lang w:val="en-US" w:eastAsia="zh-CN"/>
              </w:rPr>
              <w:t>废</w:t>
            </w:r>
            <w:r>
              <w:rPr>
                <w:rFonts w:hint="eastAsia" w:ascii="Times New Roman" w:hAnsi="Times New Roman" w:eastAsia="宋体" w:cs="宋体"/>
                <w:bCs/>
                <w:color w:val="auto"/>
                <w:spacing w:val="-11"/>
                <w:sz w:val="24"/>
                <w:szCs w:val="24"/>
                <w:highlight w:val="none"/>
                <w:lang w:val="en-US" w:eastAsia="zh-CN"/>
              </w:rPr>
              <w:t>油</w:t>
            </w:r>
            <w:r>
              <w:rPr>
                <w:rFonts w:hint="default" w:ascii="Times New Roman" w:hAnsi="Times New Roman" w:eastAsia="宋体" w:cs="宋体"/>
                <w:bCs/>
                <w:color w:val="auto"/>
                <w:spacing w:val="-11"/>
                <w:sz w:val="24"/>
                <w:szCs w:val="24"/>
                <w:highlight w:val="none"/>
                <w:lang w:val="en-US" w:eastAsia="zh-CN"/>
              </w:rPr>
              <w:t>产生量为</w:t>
            </w:r>
            <w:r>
              <w:rPr>
                <w:rFonts w:hint="eastAsia" w:ascii="Times New Roman" w:hAnsi="Times New Roman" w:eastAsia="宋体" w:cs="宋体"/>
                <w:bCs/>
                <w:color w:val="auto"/>
                <w:spacing w:val="-11"/>
                <w:sz w:val="24"/>
                <w:szCs w:val="24"/>
                <w:highlight w:val="none"/>
                <w:lang w:val="en-US" w:eastAsia="zh-CN"/>
              </w:rPr>
              <w:t>0.12</w:t>
            </w:r>
            <w:r>
              <w:rPr>
                <w:rFonts w:hint="default" w:ascii="Times New Roman" w:hAnsi="Times New Roman" w:eastAsia="宋体" w:cs="宋体"/>
                <w:bCs/>
                <w:color w:val="auto"/>
                <w:spacing w:val="-11"/>
                <w:sz w:val="24"/>
                <w:szCs w:val="24"/>
                <w:highlight w:val="none"/>
                <w:lang w:val="en-US" w:eastAsia="zh-CN"/>
              </w:rPr>
              <w:t>t/a，属于危险废物，</w:t>
            </w:r>
            <w:r>
              <w:rPr>
                <w:rFonts w:hint="eastAsia" w:ascii="Times New Roman" w:hAnsi="Times New Roman" w:eastAsia="宋体" w:cs="宋体"/>
                <w:bCs/>
                <w:color w:val="auto"/>
                <w:spacing w:val="-11"/>
                <w:sz w:val="24"/>
                <w:szCs w:val="24"/>
                <w:highlight w:val="none"/>
                <w:lang w:val="en-US" w:eastAsia="zh-CN"/>
              </w:rPr>
              <w:t>根据《国家危险废物名录》，</w:t>
            </w:r>
            <w:r>
              <w:rPr>
                <w:rFonts w:hint="default" w:ascii="Times New Roman" w:hAnsi="Times New Roman" w:eastAsia="宋体" w:cs="宋体"/>
                <w:bCs/>
                <w:color w:val="auto"/>
                <w:spacing w:val="-11"/>
                <w:sz w:val="24"/>
                <w:szCs w:val="24"/>
                <w:highlight w:val="none"/>
                <w:lang w:val="en-US" w:eastAsia="zh-CN"/>
              </w:rPr>
              <w:t>废物类别为</w:t>
            </w:r>
            <w:r>
              <w:rPr>
                <w:rFonts w:hint="eastAsia" w:ascii="Times New Roman" w:hAnsi="Times New Roman" w:eastAsia="宋体" w:cs="宋体"/>
                <w:bCs/>
                <w:color w:val="auto"/>
                <w:spacing w:val="-11"/>
                <w:sz w:val="24"/>
                <w:szCs w:val="24"/>
                <w:highlight w:val="none"/>
                <w:lang w:val="en-US" w:eastAsia="zh-CN"/>
              </w:rPr>
              <w:t>HW08（废矿物油与含矿物油废物），废物代码为900-249-08（其他生产、销售、使用过程中产生的废矿物油及含矿物油废物），收集后暂存于危废暂存间，委托有资质单位定期外运处置。</w:t>
            </w:r>
          </w:p>
          <w:p w14:paraId="007B2B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200"/>
              <w:jc w:val="both"/>
              <w:textAlignment w:val="auto"/>
              <w:rPr>
                <w:rFonts w:hint="eastAsia" w:ascii="Times New Roman" w:hAnsi="Times New Roman" w:eastAsia="宋体" w:cs="宋体"/>
                <w:bCs/>
                <w:color w:val="auto"/>
                <w:spacing w:val="-11"/>
                <w:sz w:val="24"/>
                <w:szCs w:val="24"/>
                <w:highlight w:val="none"/>
                <w:lang w:val="en-US" w:eastAsia="zh-CN"/>
              </w:rPr>
            </w:pPr>
            <w:r>
              <w:rPr>
                <w:rFonts w:hint="eastAsia" w:ascii="Times New Roman" w:hAnsi="Times New Roman" w:eastAsia="宋体" w:cs="宋体"/>
                <w:bCs/>
                <w:color w:val="auto"/>
                <w:spacing w:val="-11"/>
                <w:sz w:val="24"/>
                <w:szCs w:val="24"/>
                <w:highlight w:val="none"/>
                <w:lang w:val="en-US" w:eastAsia="zh-CN"/>
              </w:rPr>
              <w:t>③废油桶：本项目废油桶产生量3个/a，产生量为0.003t/a。根据《国家危险废物名录》，</w:t>
            </w:r>
            <w:r>
              <w:rPr>
                <w:rFonts w:hint="default" w:ascii="Times New Roman" w:hAnsi="Times New Roman" w:eastAsia="宋体" w:cs="宋体"/>
                <w:bCs/>
                <w:color w:val="auto"/>
                <w:spacing w:val="-11"/>
                <w:sz w:val="24"/>
                <w:szCs w:val="24"/>
                <w:highlight w:val="none"/>
                <w:lang w:val="en-US" w:eastAsia="zh-CN"/>
              </w:rPr>
              <w:t>废物类别为</w:t>
            </w:r>
            <w:r>
              <w:rPr>
                <w:rFonts w:hint="eastAsia" w:ascii="Times New Roman" w:hAnsi="Times New Roman" w:eastAsia="宋体" w:cs="宋体"/>
                <w:bCs/>
                <w:color w:val="auto"/>
                <w:spacing w:val="-11"/>
                <w:sz w:val="24"/>
                <w:szCs w:val="24"/>
                <w:highlight w:val="none"/>
                <w:lang w:val="en-US" w:eastAsia="zh-CN"/>
              </w:rPr>
              <w:t>HW08（废矿物油与含矿物油废物），废物代码为900-249-08（其他生产、销售、使用过程中产生的废矿物油及含矿物油废物），暂存于厂区危废间，定期委托有资质的单位清运处置。</w:t>
            </w:r>
          </w:p>
          <w:p w14:paraId="000E5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6" w:firstLineChars="200"/>
              <w:jc w:val="both"/>
              <w:textAlignment w:val="auto"/>
              <w:rPr>
                <w:rFonts w:hint="eastAsia" w:ascii="Times New Roman" w:hAnsi="Times New Roman" w:eastAsia="宋体" w:cs="宋体"/>
                <w:bCs/>
                <w:color w:val="auto"/>
                <w:spacing w:val="-11"/>
                <w:sz w:val="24"/>
                <w:szCs w:val="24"/>
                <w:highlight w:val="none"/>
                <w:lang w:val="en-US" w:eastAsia="zh-CN"/>
              </w:rPr>
            </w:pPr>
            <w:r>
              <w:rPr>
                <w:rFonts w:hint="eastAsia" w:ascii="Times New Roman" w:hAnsi="Times New Roman" w:eastAsia="宋体" w:cs="宋体"/>
                <w:bCs/>
                <w:color w:val="auto"/>
                <w:spacing w:val="-11"/>
                <w:sz w:val="24"/>
                <w:szCs w:val="24"/>
                <w:highlight w:val="none"/>
                <w:lang w:val="en-US" w:eastAsia="zh-CN"/>
              </w:rPr>
              <w:t>④废活性炭：</w:t>
            </w:r>
            <w:r>
              <w:rPr>
                <w:rFonts w:hint="eastAsia" w:ascii="Times New Roman" w:hAnsi="Times New Roman"/>
                <w:color w:val="auto"/>
                <w:sz w:val="24"/>
              </w:rPr>
              <w:t>本项目</w:t>
            </w:r>
            <w:r>
              <w:rPr>
                <w:rFonts w:hint="eastAsia" w:ascii="Times New Roman" w:hAnsi="Times New Roman"/>
                <w:color w:val="auto"/>
                <w:sz w:val="24"/>
                <w:lang w:val="en-US" w:eastAsia="zh-CN"/>
              </w:rPr>
              <w:t>活性炭吸附装置，活性炭吸附装置内装填蜂窝活性炭，蜂窝活性炭具有丰富的微孔结构来吸附有机废气，结构为蜂窝块状，比表面积为700-1000m</w:t>
            </w:r>
            <w:r>
              <w:rPr>
                <w:rFonts w:hint="eastAsia" w:ascii="Times New Roman" w:hAnsi="Times New Roman"/>
                <w:color w:val="auto"/>
                <w:sz w:val="24"/>
                <w:vertAlign w:val="superscript"/>
                <w:lang w:val="en-US" w:eastAsia="zh-CN"/>
              </w:rPr>
              <w:t>2</w:t>
            </w:r>
            <w:r>
              <w:rPr>
                <w:rFonts w:hint="eastAsia" w:ascii="Times New Roman" w:hAnsi="Times New Roman"/>
                <w:color w:val="auto"/>
                <w:sz w:val="24"/>
                <w:lang w:val="en-US" w:eastAsia="zh-CN"/>
              </w:rPr>
              <w:t>/g，密度约为450kg/m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。一次装填量为0.2t，每月更换一次，吸附后平均废活性炭产量3.27t/a。</w:t>
            </w:r>
            <w:r>
              <w:rPr>
                <w:rFonts w:hint="eastAsia" w:ascii="Times New Roman" w:hAnsi="Times New Roman"/>
                <w:color w:val="auto"/>
                <w:sz w:val="24"/>
              </w:rPr>
              <w:t>废活性炭属危险废物，</w:t>
            </w:r>
            <w:r>
              <w:rPr>
                <w:rFonts w:hint="default" w:ascii="Times New Roman" w:hAnsi="Times New Roman"/>
                <w:color w:val="auto"/>
                <w:sz w:val="24"/>
              </w:rPr>
              <w:t>废物类别</w:t>
            </w:r>
            <w:r>
              <w:rPr>
                <w:rFonts w:hint="eastAsia" w:ascii="Times New Roman" w:hAnsi="Times New Roman"/>
                <w:color w:val="auto"/>
                <w:sz w:val="24"/>
              </w:rPr>
              <w:t>“HW49 其他废物”</w:t>
            </w:r>
            <w:r>
              <w:rPr>
                <w:rFonts w:hint="default" w:ascii="Times New Roman" w:hAnsi="Times New Roman"/>
                <w:color w:val="auto"/>
                <w:sz w:val="24"/>
              </w:rPr>
              <w:t>，行业来源</w:t>
            </w:r>
            <w:r>
              <w:rPr>
                <w:rFonts w:hint="eastAsia" w:ascii="Times New Roman" w:hAnsi="Times New Roman"/>
                <w:color w:val="auto"/>
                <w:sz w:val="24"/>
              </w:rPr>
              <w:t>“</w:t>
            </w:r>
            <w:r>
              <w:rPr>
                <w:rFonts w:hint="eastAsia" w:ascii="Times New Roman" w:hAnsi="Times New Roman"/>
                <w:color w:val="auto"/>
                <w:sz w:val="24"/>
                <w:lang w:val="en-US" w:eastAsia="zh-CN"/>
              </w:rPr>
              <w:t>非特定行业</w:t>
            </w:r>
            <w:r>
              <w:rPr>
                <w:rFonts w:hint="eastAsia" w:ascii="Times New Roman" w:hAnsi="Times New Roman"/>
                <w:color w:val="auto"/>
                <w:sz w:val="24"/>
              </w:rPr>
              <w:t>”</w:t>
            </w:r>
            <w:r>
              <w:rPr>
                <w:rFonts w:hint="default" w:ascii="Times New Roman" w:hAnsi="Times New Roman"/>
                <w:color w:val="auto"/>
                <w:sz w:val="24"/>
              </w:rPr>
              <w:t>，代码</w:t>
            </w:r>
            <w:r>
              <w:rPr>
                <w:rFonts w:hint="eastAsia" w:ascii="Times New Roman" w:hAnsi="Times New Roman"/>
                <w:color w:val="auto"/>
                <w:sz w:val="24"/>
              </w:rPr>
              <w:t>“900-0</w:t>
            </w:r>
            <w:r>
              <w:rPr>
                <w:rFonts w:hint="eastAsia" w:ascii="Times New Roman" w:hAnsi="Times New Roman"/>
                <w:color w:val="auto"/>
                <w:sz w:val="24"/>
                <w:lang w:val="en-US" w:eastAsia="zh-CN"/>
              </w:rPr>
              <w:t>39</w:t>
            </w:r>
            <w:r>
              <w:rPr>
                <w:rFonts w:hint="eastAsia" w:ascii="Times New Roman" w:hAnsi="Times New Roman"/>
                <w:color w:val="auto"/>
                <w:sz w:val="24"/>
              </w:rPr>
              <w:t>-49烟气、VOCs治理过程（不包括餐饮行业油烟治理过程）产生的废活性炭”，危险特性“T”。</w:t>
            </w:r>
            <w:r>
              <w:rPr>
                <w:rFonts w:hint="default" w:ascii="Times New Roman" w:hAnsi="Times New Roman" w:eastAsia="宋体" w:cs="宋体"/>
                <w:bCs/>
                <w:color w:val="auto"/>
                <w:spacing w:val="-11"/>
                <w:sz w:val="24"/>
                <w:szCs w:val="24"/>
                <w:highlight w:val="none"/>
                <w:lang w:val="en-US" w:eastAsia="zh-CN"/>
              </w:rPr>
              <w:t>收集后采用塑料袋包装后暂存于危废间，定期委托有资质单位外运处置</w:t>
            </w:r>
            <w:r>
              <w:rPr>
                <w:rFonts w:hint="eastAsia" w:ascii="Times New Roman" w:hAnsi="Times New Roman" w:eastAsia="宋体" w:cs="宋体"/>
                <w:bCs/>
                <w:color w:val="auto"/>
                <w:spacing w:val="-11"/>
                <w:sz w:val="24"/>
                <w:szCs w:val="24"/>
                <w:highlight w:val="none"/>
                <w:lang w:val="en-US" w:eastAsia="zh-CN"/>
              </w:rPr>
              <w:t>。</w:t>
            </w:r>
          </w:p>
          <w:p w14:paraId="34CE1C3F">
            <w:pPr>
              <w:keepNext w:val="0"/>
              <w:keepLines w:val="0"/>
              <w:widowControl w:val="0"/>
              <w:suppressLineNumbers w:val="0"/>
              <w:autoSpaceDE w:val="0"/>
              <w:autoSpaceDN/>
              <w:adjustRightInd w:val="0"/>
              <w:snapToGrid w:val="0"/>
              <w:spacing w:before="0" w:beforeAutospacing="0" w:after="0" w:afterAutospacing="0" w:line="360" w:lineRule="auto"/>
              <w:ind w:left="0" w:right="0" w:firstLine="420" w:firstLineChars="200"/>
              <w:jc w:val="both"/>
              <w:rPr>
                <w:rFonts w:hint="eastAsia"/>
                <w:color w:val="auto"/>
                <w:lang w:val="en-US" w:eastAsia="zh-CN"/>
              </w:rPr>
            </w:pPr>
          </w:p>
        </w:tc>
      </w:tr>
    </w:tbl>
    <w:p w14:paraId="21EF9F04">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2E9A119">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default"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固废污染物产生、处置情况一览表</w:t>
      </w:r>
    </w:p>
    <w:tbl>
      <w:tblPr>
        <w:tblStyle w:val="34"/>
        <w:tblW w:w="537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077"/>
        <w:gridCol w:w="1532"/>
        <w:gridCol w:w="1411"/>
        <w:gridCol w:w="859"/>
        <w:gridCol w:w="1105"/>
        <w:gridCol w:w="682"/>
        <w:gridCol w:w="1090"/>
        <w:gridCol w:w="1814"/>
        <w:gridCol w:w="1077"/>
        <w:gridCol w:w="941"/>
        <w:gridCol w:w="2538"/>
      </w:tblGrid>
      <w:tr w14:paraId="7EBDC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 w:type="pct"/>
            <w:noWrap w:val="0"/>
            <w:vAlign w:val="center"/>
          </w:tcPr>
          <w:p w14:paraId="11A5DA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序号</w:t>
            </w:r>
          </w:p>
        </w:tc>
        <w:tc>
          <w:tcPr>
            <w:tcW w:w="366" w:type="pct"/>
            <w:noWrap w:val="0"/>
            <w:vAlign w:val="center"/>
          </w:tcPr>
          <w:p w14:paraId="147AAD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产生环节</w:t>
            </w:r>
          </w:p>
        </w:tc>
        <w:tc>
          <w:tcPr>
            <w:tcW w:w="522" w:type="pct"/>
            <w:noWrap w:val="0"/>
            <w:vAlign w:val="center"/>
          </w:tcPr>
          <w:p w14:paraId="0F10F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固废名称</w:t>
            </w:r>
          </w:p>
        </w:tc>
        <w:tc>
          <w:tcPr>
            <w:tcW w:w="480" w:type="pct"/>
            <w:noWrap w:val="0"/>
            <w:vAlign w:val="center"/>
          </w:tcPr>
          <w:p w14:paraId="2FBD7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形态</w:t>
            </w:r>
          </w:p>
        </w:tc>
        <w:tc>
          <w:tcPr>
            <w:tcW w:w="292" w:type="pct"/>
            <w:noWrap w:val="0"/>
            <w:vAlign w:val="center"/>
          </w:tcPr>
          <w:p w14:paraId="45AE2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rPr>
              <w:t>产生量</w:t>
            </w:r>
            <w:r>
              <w:rPr>
                <w:rFonts w:hint="default" w:ascii="Times New Roman" w:hAnsi="Times New Roman" w:cs="Times New Roman" w:eastAsiaTheme="minorEastAsia"/>
                <w:b/>
                <w:bCs/>
                <w:color w:val="auto"/>
                <w:sz w:val="21"/>
                <w:szCs w:val="21"/>
                <w:highlight w:val="none"/>
                <w:lang w:eastAsia="zh-CN"/>
              </w:rPr>
              <w:t>（</w:t>
            </w:r>
            <w:r>
              <w:rPr>
                <w:rFonts w:hint="default" w:ascii="Times New Roman" w:hAnsi="Times New Roman" w:cs="Times New Roman" w:eastAsiaTheme="minorEastAsia"/>
                <w:b/>
                <w:bCs/>
                <w:color w:val="auto"/>
                <w:sz w:val="21"/>
                <w:szCs w:val="21"/>
                <w:highlight w:val="none"/>
                <w:lang w:val="en-US" w:eastAsia="zh-CN"/>
              </w:rPr>
              <w:t>t/a</w:t>
            </w:r>
            <w:r>
              <w:rPr>
                <w:rFonts w:hint="default" w:ascii="Times New Roman" w:hAnsi="Times New Roman" w:cs="Times New Roman" w:eastAsiaTheme="minorEastAsia"/>
                <w:b/>
                <w:bCs/>
                <w:color w:val="auto"/>
                <w:sz w:val="21"/>
                <w:szCs w:val="21"/>
                <w:highlight w:val="none"/>
                <w:lang w:eastAsia="zh-CN"/>
              </w:rPr>
              <w:t>）</w:t>
            </w:r>
          </w:p>
        </w:tc>
        <w:tc>
          <w:tcPr>
            <w:tcW w:w="376" w:type="pct"/>
            <w:noWrap w:val="0"/>
            <w:vAlign w:val="center"/>
          </w:tcPr>
          <w:p w14:paraId="714FF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有毒有害物质</w:t>
            </w:r>
          </w:p>
        </w:tc>
        <w:tc>
          <w:tcPr>
            <w:tcW w:w="232" w:type="pct"/>
            <w:noWrap w:val="0"/>
            <w:vAlign w:val="center"/>
          </w:tcPr>
          <w:p w14:paraId="667FEA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危险特性</w:t>
            </w:r>
          </w:p>
        </w:tc>
        <w:tc>
          <w:tcPr>
            <w:tcW w:w="371" w:type="pct"/>
            <w:noWrap w:val="0"/>
            <w:vAlign w:val="center"/>
          </w:tcPr>
          <w:p w14:paraId="58B44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废物类别</w:t>
            </w:r>
          </w:p>
        </w:tc>
        <w:tc>
          <w:tcPr>
            <w:tcW w:w="618" w:type="pct"/>
            <w:noWrap w:val="0"/>
            <w:vAlign w:val="center"/>
          </w:tcPr>
          <w:p w14:paraId="3AB125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代码</w:t>
            </w:r>
          </w:p>
        </w:tc>
        <w:tc>
          <w:tcPr>
            <w:tcW w:w="366" w:type="pct"/>
            <w:noWrap w:val="0"/>
            <w:vAlign w:val="center"/>
          </w:tcPr>
          <w:p w14:paraId="3D74A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贮存方式</w:t>
            </w:r>
          </w:p>
        </w:tc>
        <w:tc>
          <w:tcPr>
            <w:tcW w:w="320" w:type="pct"/>
            <w:noWrap w:val="0"/>
            <w:vAlign w:val="center"/>
          </w:tcPr>
          <w:p w14:paraId="680D6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处置量（t/a）</w:t>
            </w:r>
          </w:p>
        </w:tc>
        <w:tc>
          <w:tcPr>
            <w:tcW w:w="864" w:type="pct"/>
            <w:noWrap w:val="0"/>
            <w:vAlign w:val="center"/>
          </w:tcPr>
          <w:p w14:paraId="28855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处理措施</w:t>
            </w:r>
          </w:p>
        </w:tc>
      </w:tr>
      <w:tr w14:paraId="6A99E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 w:type="pct"/>
            <w:noWrap w:val="0"/>
            <w:vAlign w:val="center"/>
          </w:tcPr>
          <w:p w14:paraId="14727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1</w:t>
            </w:r>
          </w:p>
        </w:tc>
        <w:tc>
          <w:tcPr>
            <w:tcW w:w="366" w:type="pct"/>
            <w:noWrap w:val="0"/>
            <w:vAlign w:val="center"/>
          </w:tcPr>
          <w:p w14:paraId="698B8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生活办公</w:t>
            </w:r>
          </w:p>
        </w:tc>
        <w:tc>
          <w:tcPr>
            <w:tcW w:w="522" w:type="pct"/>
            <w:noWrap w:val="0"/>
            <w:vAlign w:val="center"/>
          </w:tcPr>
          <w:p w14:paraId="207EB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生活垃圾</w:t>
            </w:r>
          </w:p>
        </w:tc>
        <w:tc>
          <w:tcPr>
            <w:tcW w:w="480" w:type="pct"/>
            <w:noWrap w:val="0"/>
            <w:vAlign w:val="center"/>
          </w:tcPr>
          <w:p w14:paraId="19BD22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固体</w:t>
            </w:r>
          </w:p>
        </w:tc>
        <w:tc>
          <w:tcPr>
            <w:tcW w:w="292" w:type="pct"/>
            <w:noWrap w:val="0"/>
            <w:vAlign w:val="center"/>
          </w:tcPr>
          <w:p w14:paraId="192DD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3</w:t>
            </w:r>
          </w:p>
        </w:tc>
        <w:tc>
          <w:tcPr>
            <w:tcW w:w="376" w:type="pct"/>
            <w:noWrap w:val="0"/>
            <w:vAlign w:val="center"/>
          </w:tcPr>
          <w:p w14:paraId="4954F6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w:t>
            </w:r>
          </w:p>
        </w:tc>
        <w:tc>
          <w:tcPr>
            <w:tcW w:w="232" w:type="pct"/>
            <w:noWrap w:val="0"/>
            <w:vAlign w:val="center"/>
          </w:tcPr>
          <w:p w14:paraId="69842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w:t>
            </w:r>
          </w:p>
        </w:tc>
        <w:tc>
          <w:tcPr>
            <w:tcW w:w="371" w:type="pct"/>
            <w:noWrap w:val="0"/>
            <w:vAlign w:val="center"/>
          </w:tcPr>
          <w:p w14:paraId="429698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生活垃圾</w:t>
            </w:r>
          </w:p>
        </w:tc>
        <w:tc>
          <w:tcPr>
            <w:tcW w:w="618" w:type="pct"/>
            <w:noWrap w:val="0"/>
            <w:vAlign w:val="center"/>
          </w:tcPr>
          <w:p w14:paraId="6D2E1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900-001-S62</w:t>
            </w:r>
          </w:p>
        </w:tc>
        <w:tc>
          <w:tcPr>
            <w:tcW w:w="366" w:type="pct"/>
            <w:noWrap w:val="0"/>
            <w:vAlign w:val="center"/>
          </w:tcPr>
          <w:p w14:paraId="3AA45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垃圾桶</w:t>
            </w:r>
          </w:p>
        </w:tc>
        <w:tc>
          <w:tcPr>
            <w:tcW w:w="941" w:type="dxa"/>
            <w:noWrap w:val="0"/>
            <w:vAlign w:val="center"/>
          </w:tcPr>
          <w:p w14:paraId="638BB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3</w:t>
            </w:r>
          </w:p>
        </w:tc>
        <w:tc>
          <w:tcPr>
            <w:tcW w:w="864" w:type="pct"/>
            <w:noWrap w:val="0"/>
            <w:vAlign w:val="center"/>
          </w:tcPr>
          <w:p w14:paraId="39E6D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环卫部门定期清运</w:t>
            </w:r>
          </w:p>
        </w:tc>
      </w:tr>
      <w:tr w14:paraId="09FD1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 w:type="pct"/>
            <w:noWrap w:val="0"/>
            <w:vAlign w:val="center"/>
          </w:tcPr>
          <w:p w14:paraId="740FCE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2</w:t>
            </w:r>
          </w:p>
        </w:tc>
        <w:tc>
          <w:tcPr>
            <w:tcW w:w="366" w:type="pct"/>
            <w:noWrap w:val="0"/>
            <w:vAlign w:val="center"/>
          </w:tcPr>
          <w:p w14:paraId="723A27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切纸</w:t>
            </w:r>
          </w:p>
        </w:tc>
        <w:tc>
          <w:tcPr>
            <w:tcW w:w="522" w:type="pct"/>
            <w:noWrap w:val="0"/>
            <w:vAlign w:val="center"/>
          </w:tcPr>
          <w:p w14:paraId="27321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边角料</w:t>
            </w:r>
          </w:p>
        </w:tc>
        <w:tc>
          <w:tcPr>
            <w:tcW w:w="480" w:type="pct"/>
            <w:noWrap w:val="0"/>
            <w:vAlign w:val="center"/>
          </w:tcPr>
          <w:p w14:paraId="17BB8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固体</w:t>
            </w:r>
          </w:p>
        </w:tc>
        <w:tc>
          <w:tcPr>
            <w:tcW w:w="292" w:type="pct"/>
            <w:noWrap w:val="0"/>
            <w:vAlign w:val="center"/>
          </w:tcPr>
          <w:p w14:paraId="574577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14</w:t>
            </w:r>
          </w:p>
        </w:tc>
        <w:tc>
          <w:tcPr>
            <w:tcW w:w="376" w:type="pct"/>
            <w:noWrap w:val="0"/>
            <w:vAlign w:val="center"/>
          </w:tcPr>
          <w:p w14:paraId="5A7045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w:t>
            </w:r>
          </w:p>
        </w:tc>
        <w:tc>
          <w:tcPr>
            <w:tcW w:w="232" w:type="pct"/>
            <w:noWrap w:val="0"/>
            <w:vAlign w:val="center"/>
          </w:tcPr>
          <w:p w14:paraId="15F94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w:t>
            </w:r>
          </w:p>
        </w:tc>
        <w:tc>
          <w:tcPr>
            <w:tcW w:w="371" w:type="pct"/>
            <w:vMerge w:val="restart"/>
            <w:noWrap w:val="0"/>
            <w:vAlign w:val="center"/>
          </w:tcPr>
          <w:p w14:paraId="6A7A0B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napToGrid w:val="0"/>
                <w:color w:val="000000"/>
                <w:kern w:val="2"/>
                <w:sz w:val="21"/>
                <w:szCs w:val="21"/>
                <w:highlight w:val="none"/>
                <w:lang w:val="en-US" w:eastAsia="zh-CN" w:bidi="ar-SA"/>
              </w:rPr>
            </w:pPr>
            <w:r>
              <w:rPr>
                <w:rFonts w:hint="default" w:ascii="Times New Roman" w:hAnsi="Times New Roman" w:cs="Times New Roman" w:eastAsiaTheme="minorEastAsia"/>
                <w:color w:val="000000"/>
                <w:sz w:val="21"/>
                <w:szCs w:val="21"/>
                <w:highlight w:val="none"/>
                <w:lang w:val="en-US" w:eastAsia="zh-CN"/>
              </w:rPr>
              <w:t>一般固废</w:t>
            </w:r>
          </w:p>
        </w:tc>
        <w:tc>
          <w:tcPr>
            <w:tcW w:w="618" w:type="pct"/>
            <w:noWrap w:val="0"/>
            <w:vAlign w:val="center"/>
          </w:tcPr>
          <w:p w14:paraId="381A5C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900-099-S13</w:t>
            </w:r>
          </w:p>
        </w:tc>
        <w:tc>
          <w:tcPr>
            <w:tcW w:w="366" w:type="pct"/>
            <w:noWrap w:val="0"/>
            <w:vAlign w:val="center"/>
          </w:tcPr>
          <w:p w14:paraId="26D86B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袋装</w:t>
            </w:r>
          </w:p>
        </w:tc>
        <w:tc>
          <w:tcPr>
            <w:tcW w:w="941" w:type="dxa"/>
            <w:noWrap w:val="0"/>
            <w:vAlign w:val="center"/>
          </w:tcPr>
          <w:p w14:paraId="596311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14</w:t>
            </w:r>
          </w:p>
        </w:tc>
        <w:tc>
          <w:tcPr>
            <w:tcW w:w="864" w:type="pct"/>
            <w:vMerge w:val="restart"/>
            <w:noWrap w:val="0"/>
            <w:vAlign w:val="center"/>
          </w:tcPr>
          <w:p w14:paraId="5D63E5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定期收集外售</w:t>
            </w:r>
          </w:p>
        </w:tc>
      </w:tr>
      <w:tr w14:paraId="4B73C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 w:type="pct"/>
            <w:noWrap w:val="0"/>
            <w:vAlign w:val="center"/>
          </w:tcPr>
          <w:p w14:paraId="402D78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3</w:t>
            </w:r>
          </w:p>
        </w:tc>
        <w:tc>
          <w:tcPr>
            <w:tcW w:w="366" w:type="pct"/>
            <w:noWrap w:val="0"/>
            <w:vAlign w:val="center"/>
          </w:tcPr>
          <w:p w14:paraId="5A8671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包装</w:t>
            </w:r>
          </w:p>
        </w:tc>
        <w:tc>
          <w:tcPr>
            <w:tcW w:w="522" w:type="pct"/>
            <w:noWrap w:val="0"/>
            <w:vAlign w:val="center"/>
          </w:tcPr>
          <w:p w14:paraId="12FCB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废包装材料</w:t>
            </w:r>
          </w:p>
        </w:tc>
        <w:tc>
          <w:tcPr>
            <w:tcW w:w="480" w:type="pct"/>
            <w:noWrap w:val="0"/>
            <w:vAlign w:val="center"/>
          </w:tcPr>
          <w:p w14:paraId="472FC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固体</w:t>
            </w:r>
          </w:p>
        </w:tc>
        <w:tc>
          <w:tcPr>
            <w:tcW w:w="292" w:type="pct"/>
            <w:noWrap w:val="0"/>
            <w:vAlign w:val="center"/>
          </w:tcPr>
          <w:p w14:paraId="26FD26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3.1</w:t>
            </w:r>
          </w:p>
        </w:tc>
        <w:tc>
          <w:tcPr>
            <w:tcW w:w="376" w:type="pct"/>
            <w:noWrap w:val="0"/>
            <w:vAlign w:val="center"/>
          </w:tcPr>
          <w:p w14:paraId="0D793B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w:t>
            </w:r>
          </w:p>
        </w:tc>
        <w:tc>
          <w:tcPr>
            <w:tcW w:w="232" w:type="pct"/>
            <w:noWrap w:val="0"/>
            <w:vAlign w:val="center"/>
          </w:tcPr>
          <w:p w14:paraId="57D5A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w:t>
            </w:r>
          </w:p>
        </w:tc>
        <w:tc>
          <w:tcPr>
            <w:tcW w:w="371" w:type="pct"/>
            <w:vMerge w:val="continue"/>
            <w:noWrap w:val="0"/>
            <w:vAlign w:val="center"/>
          </w:tcPr>
          <w:p w14:paraId="4F06C1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napToGrid w:val="0"/>
                <w:color w:val="000000"/>
                <w:kern w:val="2"/>
                <w:sz w:val="21"/>
                <w:szCs w:val="21"/>
                <w:highlight w:val="none"/>
                <w:lang w:val="en-US" w:eastAsia="zh-CN" w:bidi="ar-SA"/>
              </w:rPr>
            </w:pPr>
          </w:p>
        </w:tc>
        <w:tc>
          <w:tcPr>
            <w:tcW w:w="618" w:type="pct"/>
            <w:noWrap w:val="0"/>
            <w:vAlign w:val="center"/>
          </w:tcPr>
          <w:p w14:paraId="36ED0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900-099-S13</w:t>
            </w:r>
          </w:p>
        </w:tc>
        <w:tc>
          <w:tcPr>
            <w:tcW w:w="366" w:type="pct"/>
            <w:noWrap w:val="0"/>
            <w:vAlign w:val="center"/>
          </w:tcPr>
          <w:p w14:paraId="4C325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袋装</w:t>
            </w:r>
          </w:p>
        </w:tc>
        <w:tc>
          <w:tcPr>
            <w:tcW w:w="941" w:type="dxa"/>
            <w:noWrap w:val="0"/>
            <w:vAlign w:val="center"/>
          </w:tcPr>
          <w:p w14:paraId="63AEE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3.1</w:t>
            </w:r>
          </w:p>
        </w:tc>
        <w:tc>
          <w:tcPr>
            <w:tcW w:w="864" w:type="pct"/>
            <w:vMerge w:val="continue"/>
            <w:noWrap w:val="0"/>
            <w:vAlign w:val="center"/>
          </w:tcPr>
          <w:p w14:paraId="5007EA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p>
        </w:tc>
      </w:tr>
      <w:tr w14:paraId="6B29B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 w:type="pct"/>
            <w:noWrap w:val="0"/>
            <w:vAlign w:val="center"/>
          </w:tcPr>
          <w:p w14:paraId="64974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4</w:t>
            </w:r>
          </w:p>
        </w:tc>
        <w:tc>
          <w:tcPr>
            <w:tcW w:w="366" w:type="pct"/>
            <w:noWrap w:val="0"/>
            <w:vAlign w:val="center"/>
          </w:tcPr>
          <w:p w14:paraId="3188FE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污水处理</w:t>
            </w:r>
          </w:p>
        </w:tc>
        <w:tc>
          <w:tcPr>
            <w:tcW w:w="522" w:type="pct"/>
            <w:noWrap w:val="0"/>
            <w:vAlign w:val="center"/>
          </w:tcPr>
          <w:p w14:paraId="173E45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eastAsiaTheme="minorEastAsia"/>
                <w:color w:val="000000"/>
                <w:sz w:val="21"/>
                <w:szCs w:val="21"/>
                <w:highlight w:val="none"/>
                <w:lang w:val="en-US" w:eastAsia="zh-CN"/>
              </w:rPr>
            </w:pPr>
            <w:r>
              <w:rPr>
                <w:rFonts w:hint="eastAsia" w:cs="Times New Roman" w:eastAsiaTheme="minorEastAsia"/>
                <w:spacing w:val="8"/>
                <w:sz w:val="21"/>
                <w:szCs w:val="21"/>
                <w:lang w:val="en-US" w:eastAsia="zh-CN"/>
              </w:rPr>
              <w:t>污泥</w:t>
            </w:r>
          </w:p>
        </w:tc>
        <w:tc>
          <w:tcPr>
            <w:tcW w:w="480" w:type="pct"/>
            <w:noWrap w:val="0"/>
            <w:vAlign w:val="center"/>
          </w:tcPr>
          <w:p w14:paraId="44BBF0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固体</w:t>
            </w:r>
          </w:p>
        </w:tc>
        <w:tc>
          <w:tcPr>
            <w:tcW w:w="292" w:type="pct"/>
            <w:noWrap w:val="0"/>
            <w:vAlign w:val="center"/>
          </w:tcPr>
          <w:p w14:paraId="4A6C1E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0.2</w:t>
            </w:r>
          </w:p>
        </w:tc>
        <w:tc>
          <w:tcPr>
            <w:tcW w:w="376" w:type="pct"/>
            <w:noWrap w:val="0"/>
            <w:vAlign w:val="center"/>
          </w:tcPr>
          <w:p w14:paraId="5AE64F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w:t>
            </w:r>
          </w:p>
        </w:tc>
        <w:tc>
          <w:tcPr>
            <w:tcW w:w="232" w:type="pct"/>
            <w:noWrap w:val="0"/>
            <w:vAlign w:val="center"/>
          </w:tcPr>
          <w:p w14:paraId="6BFB0D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w:t>
            </w:r>
          </w:p>
        </w:tc>
        <w:tc>
          <w:tcPr>
            <w:tcW w:w="371" w:type="pct"/>
            <w:vMerge w:val="continue"/>
            <w:noWrap w:val="0"/>
            <w:vAlign w:val="center"/>
          </w:tcPr>
          <w:p w14:paraId="4F8FB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p>
        </w:tc>
        <w:tc>
          <w:tcPr>
            <w:tcW w:w="618" w:type="pct"/>
            <w:noWrap w:val="0"/>
            <w:vAlign w:val="center"/>
          </w:tcPr>
          <w:p w14:paraId="45A296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900-099-S13</w:t>
            </w:r>
          </w:p>
        </w:tc>
        <w:tc>
          <w:tcPr>
            <w:tcW w:w="366" w:type="pct"/>
            <w:noWrap w:val="0"/>
            <w:vAlign w:val="center"/>
          </w:tcPr>
          <w:p w14:paraId="398F5D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袋装</w:t>
            </w:r>
          </w:p>
        </w:tc>
        <w:tc>
          <w:tcPr>
            <w:tcW w:w="941" w:type="dxa"/>
            <w:noWrap w:val="0"/>
            <w:vAlign w:val="center"/>
          </w:tcPr>
          <w:p w14:paraId="14463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0.2</w:t>
            </w:r>
          </w:p>
        </w:tc>
        <w:tc>
          <w:tcPr>
            <w:tcW w:w="864" w:type="pct"/>
            <w:vMerge w:val="continue"/>
            <w:noWrap w:val="0"/>
            <w:vAlign w:val="center"/>
          </w:tcPr>
          <w:p w14:paraId="7D7CA6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p>
        </w:tc>
      </w:tr>
      <w:tr w14:paraId="0337E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 w:type="pct"/>
            <w:noWrap w:val="0"/>
            <w:vAlign w:val="center"/>
          </w:tcPr>
          <w:p w14:paraId="47151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5</w:t>
            </w:r>
          </w:p>
        </w:tc>
        <w:tc>
          <w:tcPr>
            <w:tcW w:w="366" w:type="pct"/>
            <w:noWrap w:val="0"/>
            <w:vAlign w:val="center"/>
          </w:tcPr>
          <w:p w14:paraId="450AD4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印刷</w:t>
            </w:r>
          </w:p>
        </w:tc>
        <w:tc>
          <w:tcPr>
            <w:tcW w:w="522" w:type="pct"/>
            <w:noWrap w:val="0"/>
            <w:vAlign w:val="center"/>
          </w:tcPr>
          <w:p w14:paraId="6B1A6F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eastAsiaTheme="minorEastAsia"/>
                <w:spacing w:val="8"/>
                <w:sz w:val="21"/>
                <w:szCs w:val="21"/>
                <w:lang w:val="en-US" w:eastAsia="zh-CN"/>
              </w:rPr>
            </w:pPr>
            <w:r>
              <w:rPr>
                <w:rFonts w:hint="eastAsia" w:cs="Times New Roman" w:eastAsiaTheme="minorEastAsia"/>
                <w:spacing w:val="8"/>
                <w:sz w:val="21"/>
                <w:szCs w:val="21"/>
                <w:lang w:val="en-US" w:eastAsia="zh-CN"/>
              </w:rPr>
              <w:t>废水墨桶</w:t>
            </w:r>
          </w:p>
        </w:tc>
        <w:tc>
          <w:tcPr>
            <w:tcW w:w="480" w:type="pct"/>
            <w:noWrap w:val="0"/>
            <w:vAlign w:val="center"/>
          </w:tcPr>
          <w:p w14:paraId="4B04B1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固体</w:t>
            </w:r>
          </w:p>
        </w:tc>
        <w:tc>
          <w:tcPr>
            <w:tcW w:w="292" w:type="pct"/>
            <w:noWrap w:val="0"/>
            <w:vAlign w:val="center"/>
          </w:tcPr>
          <w:p w14:paraId="17F51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0.002</w:t>
            </w:r>
          </w:p>
        </w:tc>
        <w:tc>
          <w:tcPr>
            <w:tcW w:w="376" w:type="pct"/>
            <w:noWrap w:val="0"/>
            <w:vAlign w:val="center"/>
          </w:tcPr>
          <w:p w14:paraId="3FE34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废墨</w:t>
            </w:r>
          </w:p>
        </w:tc>
        <w:tc>
          <w:tcPr>
            <w:tcW w:w="232" w:type="pct"/>
            <w:noWrap w:val="0"/>
            <w:vAlign w:val="center"/>
          </w:tcPr>
          <w:p w14:paraId="17206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pacing w:val="1"/>
                <w:sz w:val="21"/>
                <w:szCs w:val="21"/>
              </w:rPr>
            </w:pPr>
            <w:r>
              <w:rPr>
                <w:rFonts w:hint="default" w:ascii="Times New Roman" w:hAnsi="Times New Roman" w:cs="Times New Roman" w:eastAsiaTheme="minorEastAsia"/>
                <w:color w:val="000000"/>
                <w:sz w:val="21"/>
                <w:szCs w:val="21"/>
                <w:highlight w:val="none"/>
                <w:lang w:val="en-US" w:eastAsia="zh-CN"/>
              </w:rPr>
              <w:t>T/In</w:t>
            </w:r>
          </w:p>
        </w:tc>
        <w:tc>
          <w:tcPr>
            <w:tcW w:w="371" w:type="pct"/>
            <w:vMerge w:val="restart"/>
            <w:noWrap w:val="0"/>
            <w:vAlign w:val="center"/>
          </w:tcPr>
          <w:p w14:paraId="057965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危险废物</w:t>
            </w:r>
          </w:p>
        </w:tc>
        <w:tc>
          <w:tcPr>
            <w:tcW w:w="618" w:type="pct"/>
            <w:noWrap w:val="0"/>
            <w:vAlign w:val="center"/>
          </w:tcPr>
          <w:p w14:paraId="2B73C9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HW49</w:t>
            </w:r>
            <w:r>
              <w:rPr>
                <w:rFonts w:hint="eastAsia" w:cs="Times New Roman" w:eastAsiaTheme="minorEastAsia"/>
                <w:sz w:val="21"/>
                <w:szCs w:val="21"/>
                <w:lang w:val="en-US" w:eastAsia="zh-CN"/>
              </w:rPr>
              <w:t>,900-041-49</w:t>
            </w:r>
          </w:p>
        </w:tc>
        <w:tc>
          <w:tcPr>
            <w:tcW w:w="366" w:type="pct"/>
            <w:noWrap w:val="0"/>
            <w:vAlign w:val="center"/>
          </w:tcPr>
          <w:p w14:paraId="639D95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密封袋装</w:t>
            </w:r>
          </w:p>
        </w:tc>
        <w:tc>
          <w:tcPr>
            <w:tcW w:w="941" w:type="dxa"/>
            <w:noWrap w:val="0"/>
            <w:vAlign w:val="center"/>
          </w:tcPr>
          <w:p w14:paraId="19F11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0.002</w:t>
            </w:r>
          </w:p>
        </w:tc>
        <w:tc>
          <w:tcPr>
            <w:tcW w:w="864" w:type="pct"/>
            <w:vMerge w:val="restart"/>
            <w:noWrap w:val="0"/>
            <w:vAlign w:val="center"/>
          </w:tcPr>
          <w:p w14:paraId="6C09AE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定期委托有资质单位</w:t>
            </w:r>
            <w:r>
              <w:rPr>
                <w:rFonts w:hint="eastAsia" w:cs="Times New Roman" w:eastAsiaTheme="minorEastAsia"/>
                <w:color w:val="000000"/>
                <w:sz w:val="21"/>
                <w:szCs w:val="21"/>
                <w:highlight w:val="none"/>
                <w:lang w:val="en-US" w:eastAsia="zh-CN"/>
              </w:rPr>
              <w:t>处置</w:t>
            </w:r>
          </w:p>
        </w:tc>
      </w:tr>
      <w:tr w14:paraId="6B4AE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 w:type="pct"/>
            <w:noWrap w:val="0"/>
            <w:vAlign w:val="center"/>
          </w:tcPr>
          <w:p w14:paraId="36D9FA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6</w:t>
            </w:r>
          </w:p>
        </w:tc>
        <w:tc>
          <w:tcPr>
            <w:tcW w:w="366" w:type="pct"/>
            <w:noWrap w:val="0"/>
            <w:vAlign w:val="center"/>
          </w:tcPr>
          <w:p w14:paraId="0D4844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维保</w:t>
            </w:r>
          </w:p>
        </w:tc>
        <w:tc>
          <w:tcPr>
            <w:tcW w:w="522" w:type="pct"/>
            <w:noWrap w:val="0"/>
            <w:vAlign w:val="center"/>
          </w:tcPr>
          <w:p w14:paraId="52E13F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eastAsiaTheme="minorEastAsia"/>
                <w:spacing w:val="8"/>
                <w:sz w:val="21"/>
                <w:szCs w:val="21"/>
                <w:lang w:val="en-US" w:eastAsia="zh-CN"/>
              </w:rPr>
            </w:pPr>
            <w:r>
              <w:rPr>
                <w:rFonts w:hint="eastAsia" w:cs="Times New Roman" w:eastAsiaTheme="minorEastAsia"/>
                <w:spacing w:val="8"/>
                <w:sz w:val="21"/>
                <w:szCs w:val="21"/>
                <w:lang w:val="en-US" w:eastAsia="zh-CN"/>
              </w:rPr>
              <w:t>废机油</w:t>
            </w:r>
          </w:p>
        </w:tc>
        <w:tc>
          <w:tcPr>
            <w:tcW w:w="480" w:type="pct"/>
            <w:noWrap w:val="0"/>
            <w:vAlign w:val="center"/>
          </w:tcPr>
          <w:p w14:paraId="5D458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液</w:t>
            </w:r>
            <w:r>
              <w:rPr>
                <w:rFonts w:hint="eastAsia" w:cs="Times New Roman" w:eastAsiaTheme="minorEastAsia"/>
                <w:color w:val="000000"/>
                <w:sz w:val="21"/>
                <w:szCs w:val="21"/>
                <w:highlight w:val="none"/>
                <w:lang w:val="en-US" w:eastAsia="zh-CN"/>
              </w:rPr>
              <w:t>体</w:t>
            </w:r>
          </w:p>
        </w:tc>
        <w:tc>
          <w:tcPr>
            <w:tcW w:w="292" w:type="pct"/>
            <w:noWrap w:val="0"/>
            <w:vAlign w:val="center"/>
          </w:tcPr>
          <w:p w14:paraId="09C3E3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0.01</w:t>
            </w:r>
          </w:p>
        </w:tc>
        <w:tc>
          <w:tcPr>
            <w:tcW w:w="376" w:type="pct"/>
            <w:noWrap w:val="0"/>
            <w:vAlign w:val="center"/>
          </w:tcPr>
          <w:p w14:paraId="777CB6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废矿物油</w:t>
            </w:r>
          </w:p>
        </w:tc>
        <w:tc>
          <w:tcPr>
            <w:tcW w:w="232" w:type="pct"/>
            <w:noWrap w:val="0"/>
            <w:vAlign w:val="center"/>
          </w:tcPr>
          <w:p w14:paraId="404857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T</w:t>
            </w:r>
            <w:r>
              <w:rPr>
                <w:rFonts w:hint="eastAsia" w:cs="Times New Roman" w:eastAsiaTheme="minorEastAsia"/>
                <w:color w:val="000000"/>
                <w:sz w:val="21"/>
                <w:szCs w:val="21"/>
                <w:highlight w:val="none"/>
                <w:lang w:val="en-US" w:eastAsia="zh-CN"/>
              </w:rPr>
              <w:t>,</w:t>
            </w:r>
            <w:r>
              <w:rPr>
                <w:rFonts w:hint="default" w:ascii="Times New Roman" w:hAnsi="Times New Roman" w:cs="Times New Roman" w:eastAsiaTheme="minorEastAsia"/>
                <w:color w:val="000000"/>
                <w:sz w:val="21"/>
                <w:szCs w:val="21"/>
                <w:highlight w:val="none"/>
                <w:lang w:val="en-US" w:eastAsia="zh-CN"/>
              </w:rPr>
              <w:t>I</w:t>
            </w:r>
          </w:p>
        </w:tc>
        <w:tc>
          <w:tcPr>
            <w:tcW w:w="371" w:type="pct"/>
            <w:vMerge w:val="continue"/>
            <w:noWrap w:val="0"/>
            <w:vAlign w:val="center"/>
          </w:tcPr>
          <w:p w14:paraId="7F9DE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p>
        </w:tc>
        <w:tc>
          <w:tcPr>
            <w:tcW w:w="618" w:type="pct"/>
            <w:noWrap w:val="0"/>
            <w:vAlign w:val="center"/>
          </w:tcPr>
          <w:p w14:paraId="02385D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HW08</w:t>
            </w:r>
            <w:r>
              <w:rPr>
                <w:rFonts w:hint="eastAsia" w:cs="Times New Roman" w:eastAsiaTheme="minorEastAsia"/>
                <w:sz w:val="21"/>
                <w:szCs w:val="21"/>
                <w:lang w:val="en-US" w:eastAsia="zh-CN"/>
              </w:rPr>
              <w:t>,900-249-08</w:t>
            </w:r>
          </w:p>
        </w:tc>
        <w:tc>
          <w:tcPr>
            <w:tcW w:w="366" w:type="pct"/>
            <w:shd w:val="clear" w:color="auto" w:fill="auto"/>
            <w:noWrap w:val="0"/>
            <w:vAlign w:val="center"/>
          </w:tcPr>
          <w:p w14:paraId="59C3C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sz w:val="21"/>
                <w:szCs w:val="21"/>
                <w:highlight w:val="none"/>
                <w:lang w:val="en-US" w:eastAsia="zh-CN"/>
              </w:rPr>
              <w:t>密封</w:t>
            </w:r>
            <w:r>
              <w:rPr>
                <w:rFonts w:hint="eastAsia" w:cs="Times New Roman" w:eastAsiaTheme="minorEastAsia"/>
                <w:color w:val="000000"/>
                <w:sz w:val="21"/>
                <w:szCs w:val="21"/>
                <w:highlight w:val="none"/>
                <w:lang w:val="en-US" w:eastAsia="zh-CN"/>
              </w:rPr>
              <w:t>桶装</w:t>
            </w:r>
          </w:p>
        </w:tc>
        <w:tc>
          <w:tcPr>
            <w:tcW w:w="941" w:type="dxa"/>
            <w:noWrap w:val="0"/>
            <w:vAlign w:val="center"/>
          </w:tcPr>
          <w:p w14:paraId="1FCFCD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0.01</w:t>
            </w:r>
          </w:p>
        </w:tc>
        <w:tc>
          <w:tcPr>
            <w:tcW w:w="864" w:type="pct"/>
            <w:vMerge w:val="continue"/>
            <w:noWrap w:val="0"/>
            <w:vAlign w:val="center"/>
          </w:tcPr>
          <w:p w14:paraId="06F5B2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eastAsiaTheme="minorEastAsia"/>
                <w:color w:val="000000"/>
                <w:sz w:val="21"/>
                <w:szCs w:val="21"/>
                <w:highlight w:val="none"/>
                <w:lang w:val="en-US" w:eastAsia="zh-CN"/>
              </w:rPr>
            </w:pPr>
          </w:p>
        </w:tc>
      </w:tr>
      <w:tr w14:paraId="2825A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 w:type="pct"/>
            <w:noWrap w:val="0"/>
            <w:vAlign w:val="center"/>
          </w:tcPr>
          <w:p w14:paraId="707AF4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7</w:t>
            </w:r>
          </w:p>
        </w:tc>
        <w:tc>
          <w:tcPr>
            <w:tcW w:w="366" w:type="pct"/>
            <w:noWrap w:val="0"/>
            <w:vAlign w:val="center"/>
          </w:tcPr>
          <w:p w14:paraId="3496A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维保</w:t>
            </w:r>
          </w:p>
        </w:tc>
        <w:tc>
          <w:tcPr>
            <w:tcW w:w="522" w:type="pct"/>
            <w:noWrap w:val="0"/>
            <w:vAlign w:val="center"/>
          </w:tcPr>
          <w:p w14:paraId="707B7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spacing w:val="8"/>
                <w:sz w:val="21"/>
                <w:szCs w:val="21"/>
                <w:lang w:eastAsia="zh-CN"/>
              </w:rPr>
            </w:pPr>
            <w:r>
              <w:rPr>
                <w:rFonts w:hint="eastAsia" w:cs="Times New Roman" w:eastAsiaTheme="minorEastAsia"/>
                <w:spacing w:val="8"/>
                <w:sz w:val="21"/>
                <w:szCs w:val="21"/>
                <w:lang w:val="en-US" w:eastAsia="zh-CN"/>
              </w:rPr>
              <w:t>废油桶</w:t>
            </w:r>
          </w:p>
        </w:tc>
        <w:tc>
          <w:tcPr>
            <w:tcW w:w="480" w:type="pct"/>
            <w:noWrap w:val="0"/>
            <w:vAlign w:val="center"/>
          </w:tcPr>
          <w:p w14:paraId="5D890C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固体</w:t>
            </w:r>
          </w:p>
        </w:tc>
        <w:tc>
          <w:tcPr>
            <w:tcW w:w="292" w:type="pct"/>
            <w:noWrap w:val="0"/>
            <w:vAlign w:val="center"/>
          </w:tcPr>
          <w:p w14:paraId="79DBD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0.003</w:t>
            </w:r>
          </w:p>
        </w:tc>
        <w:tc>
          <w:tcPr>
            <w:tcW w:w="376" w:type="pct"/>
            <w:noWrap w:val="0"/>
            <w:vAlign w:val="center"/>
          </w:tcPr>
          <w:p w14:paraId="39DCA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废矿物油</w:t>
            </w:r>
          </w:p>
        </w:tc>
        <w:tc>
          <w:tcPr>
            <w:tcW w:w="232" w:type="pct"/>
            <w:noWrap w:val="0"/>
            <w:vAlign w:val="center"/>
          </w:tcPr>
          <w:p w14:paraId="18423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spacing w:val="1"/>
                <w:sz w:val="21"/>
                <w:szCs w:val="21"/>
              </w:rPr>
            </w:pPr>
            <w:r>
              <w:rPr>
                <w:rFonts w:hint="default" w:ascii="Times New Roman" w:hAnsi="Times New Roman" w:cs="Times New Roman" w:eastAsiaTheme="minorEastAsia"/>
                <w:color w:val="000000"/>
                <w:sz w:val="21"/>
                <w:szCs w:val="21"/>
                <w:highlight w:val="none"/>
                <w:lang w:val="en-US" w:eastAsia="zh-CN"/>
              </w:rPr>
              <w:t>T</w:t>
            </w:r>
            <w:r>
              <w:rPr>
                <w:rFonts w:hint="eastAsia" w:cs="Times New Roman" w:eastAsiaTheme="minorEastAsia"/>
                <w:color w:val="000000"/>
                <w:sz w:val="21"/>
                <w:szCs w:val="21"/>
                <w:highlight w:val="none"/>
                <w:lang w:val="en-US" w:eastAsia="zh-CN"/>
              </w:rPr>
              <w:t>,</w:t>
            </w:r>
            <w:r>
              <w:rPr>
                <w:rFonts w:hint="default" w:ascii="Times New Roman" w:hAnsi="Times New Roman" w:cs="Times New Roman" w:eastAsiaTheme="minorEastAsia"/>
                <w:color w:val="000000"/>
                <w:sz w:val="21"/>
                <w:szCs w:val="21"/>
                <w:highlight w:val="none"/>
                <w:lang w:val="en-US" w:eastAsia="zh-CN"/>
              </w:rPr>
              <w:t>I</w:t>
            </w:r>
          </w:p>
        </w:tc>
        <w:tc>
          <w:tcPr>
            <w:tcW w:w="371" w:type="pct"/>
            <w:vMerge w:val="continue"/>
            <w:noWrap w:val="0"/>
            <w:vAlign w:val="center"/>
          </w:tcPr>
          <w:p w14:paraId="503E98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p>
        </w:tc>
        <w:tc>
          <w:tcPr>
            <w:tcW w:w="618" w:type="pct"/>
            <w:shd w:val="clear" w:color="auto" w:fill="auto"/>
            <w:noWrap w:val="0"/>
            <w:vAlign w:val="center"/>
          </w:tcPr>
          <w:p w14:paraId="3D7F7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HW08</w:t>
            </w:r>
            <w:r>
              <w:rPr>
                <w:rFonts w:hint="eastAsia" w:cs="Times New Roman" w:eastAsiaTheme="minorEastAsia"/>
                <w:sz w:val="21"/>
                <w:szCs w:val="21"/>
                <w:lang w:val="en-US" w:eastAsia="zh-CN"/>
              </w:rPr>
              <w:t>,900-249-08</w:t>
            </w:r>
          </w:p>
        </w:tc>
        <w:tc>
          <w:tcPr>
            <w:tcW w:w="366" w:type="pct"/>
            <w:noWrap w:val="0"/>
            <w:vAlign w:val="center"/>
          </w:tcPr>
          <w:p w14:paraId="740254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密封袋装</w:t>
            </w:r>
          </w:p>
        </w:tc>
        <w:tc>
          <w:tcPr>
            <w:tcW w:w="941" w:type="dxa"/>
            <w:noWrap w:val="0"/>
            <w:vAlign w:val="center"/>
          </w:tcPr>
          <w:p w14:paraId="3A640E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0.003</w:t>
            </w:r>
          </w:p>
        </w:tc>
        <w:tc>
          <w:tcPr>
            <w:tcW w:w="864" w:type="pct"/>
            <w:vMerge w:val="continue"/>
            <w:noWrap w:val="0"/>
            <w:vAlign w:val="center"/>
          </w:tcPr>
          <w:p w14:paraId="36419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p>
        </w:tc>
      </w:tr>
      <w:tr w14:paraId="58044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 w:type="pct"/>
            <w:noWrap w:val="0"/>
            <w:vAlign w:val="center"/>
          </w:tcPr>
          <w:p w14:paraId="45AA2C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8</w:t>
            </w:r>
          </w:p>
        </w:tc>
        <w:tc>
          <w:tcPr>
            <w:tcW w:w="366" w:type="pct"/>
            <w:noWrap w:val="0"/>
            <w:vAlign w:val="center"/>
          </w:tcPr>
          <w:p w14:paraId="46D70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废气治理</w:t>
            </w:r>
          </w:p>
        </w:tc>
        <w:tc>
          <w:tcPr>
            <w:tcW w:w="522" w:type="pct"/>
            <w:noWrap w:val="0"/>
            <w:vAlign w:val="center"/>
          </w:tcPr>
          <w:p w14:paraId="23227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spacing w:val="8"/>
                <w:sz w:val="21"/>
                <w:szCs w:val="21"/>
                <w:lang w:val="en-US" w:eastAsia="zh-CN"/>
              </w:rPr>
            </w:pPr>
            <w:r>
              <w:rPr>
                <w:rFonts w:hint="eastAsia" w:cs="Times New Roman" w:eastAsiaTheme="minorEastAsia"/>
                <w:spacing w:val="8"/>
                <w:sz w:val="21"/>
                <w:szCs w:val="21"/>
                <w:lang w:val="en-US" w:eastAsia="zh-CN"/>
              </w:rPr>
              <w:t>废活性炭</w:t>
            </w:r>
          </w:p>
        </w:tc>
        <w:tc>
          <w:tcPr>
            <w:tcW w:w="480" w:type="pct"/>
            <w:noWrap w:val="0"/>
            <w:vAlign w:val="center"/>
          </w:tcPr>
          <w:p w14:paraId="23289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固体</w:t>
            </w:r>
          </w:p>
        </w:tc>
        <w:tc>
          <w:tcPr>
            <w:tcW w:w="292" w:type="pct"/>
            <w:noWrap w:val="0"/>
            <w:vAlign w:val="center"/>
          </w:tcPr>
          <w:p w14:paraId="067B4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3.27</w:t>
            </w:r>
          </w:p>
        </w:tc>
        <w:tc>
          <w:tcPr>
            <w:tcW w:w="376" w:type="pct"/>
            <w:noWrap w:val="0"/>
            <w:vAlign w:val="center"/>
          </w:tcPr>
          <w:p w14:paraId="5F9C0A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VOCs</w:t>
            </w:r>
          </w:p>
        </w:tc>
        <w:tc>
          <w:tcPr>
            <w:tcW w:w="232" w:type="pct"/>
            <w:noWrap w:val="0"/>
            <w:vAlign w:val="center"/>
          </w:tcPr>
          <w:p w14:paraId="6CB109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T</w:t>
            </w:r>
          </w:p>
        </w:tc>
        <w:tc>
          <w:tcPr>
            <w:tcW w:w="371" w:type="pct"/>
            <w:vMerge w:val="continue"/>
            <w:noWrap w:val="0"/>
            <w:vAlign w:val="center"/>
          </w:tcPr>
          <w:p w14:paraId="3067E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p>
        </w:tc>
        <w:tc>
          <w:tcPr>
            <w:tcW w:w="618" w:type="pct"/>
            <w:noWrap w:val="0"/>
            <w:vAlign w:val="center"/>
          </w:tcPr>
          <w:p w14:paraId="3E4F98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HW49</w:t>
            </w:r>
            <w:r>
              <w:rPr>
                <w:rFonts w:hint="eastAsia" w:cs="Times New Roman" w:eastAsiaTheme="minorEastAsia"/>
                <w:sz w:val="21"/>
                <w:szCs w:val="21"/>
                <w:lang w:val="en-US" w:eastAsia="zh-CN"/>
              </w:rPr>
              <w:t>,900-039-49</w:t>
            </w:r>
          </w:p>
        </w:tc>
        <w:tc>
          <w:tcPr>
            <w:tcW w:w="366" w:type="pct"/>
            <w:noWrap w:val="0"/>
            <w:vAlign w:val="center"/>
          </w:tcPr>
          <w:p w14:paraId="76AB8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密封袋装</w:t>
            </w:r>
          </w:p>
        </w:tc>
        <w:tc>
          <w:tcPr>
            <w:tcW w:w="941" w:type="dxa"/>
            <w:noWrap w:val="0"/>
            <w:vAlign w:val="center"/>
          </w:tcPr>
          <w:p w14:paraId="59D072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3.27</w:t>
            </w:r>
          </w:p>
        </w:tc>
        <w:tc>
          <w:tcPr>
            <w:tcW w:w="864" w:type="pct"/>
            <w:vMerge w:val="continue"/>
            <w:noWrap w:val="0"/>
            <w:vAlign w:val="center"/>
          </w:tcPr>
          <w:p w14:paraId="7EEBA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p>
        </w:tc>
      </w:tr>
    </w:tbl>
    <w:p w14:paraId="1121A320">
      <w:pPr>
        <w:rPr>
          <w:rFonts w:hint="default"/>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34"/>
        <w:tblW w:w="90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799"/>
      </w:tblGrid>
      <w:tr w14:paraId="48A88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dxa"/>
            <w:noWrap w:val="0"/>
            <w:tcMar>
              <w:left w:w="28" w:type="dxa"/>
              <w:right w:w="28" w:type="dxa"/>
            </w:tcMar>
            <w:vAlign w:val="center"/>
          </w:tcPr>
          <w:p w14:paraId="339507AB">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运营</w:t>
            </w:r>
          </w:p>
          <w:p w14:paraId="69B8C959">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期环</w:t>
            </w:r>
          </w:p>
          <w:p w14:paraId="2F98B7F4">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境影</w:t>
            </w:r>
          </w:p>
          <w:p w14:paraId="0F225CFB">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响和</w:t>
            </w:r>
          </w:p>
          <w:p w14:paraId="4E6EAAB4">
            <w:pPr>
              <w:keepNext w:val="0"/>
              <w:keepLines w:val="0"/>
              <w:suppressLineNumbers w:val="0"/>
              <w:adjustRightInd w:val="0"/>
              <w:snapToGrid w:val="0"/>
              <w:spacing w:before="0" w:beforeAutospacing="0" w:after="0" w:afterAutospacing="0"/>
              <w:ind w:left="0" w:right="0"/>
              <w:jc w:val="center"/>
              <w:rPr>
                <w:rFonts w:hint="eastAsia" w:ascii="宋体" w:hAnsi="宋体" w:cs="宋体"/>
                <w:bCs/>
                <w:color w:val="auto"/>
                <w:sz w:val="24"/>
                <w:szCs w:val="24"/>
              </w:rPr>
            </w:pPr>
            <w:r>
              <w:rPr>
                <w:rFonts w:hint="eastAsia" w:ascii="宋体" w:hAnsi="宋体" w:cs="宋体"/>
                <w:bCs/>
                <w:color w:val="auto"/>
                <w:sz w:val="24"/>
                <w:szCs w:val="24"/>
              </w:rPr>
              <w:t>保护</w:t>
            </w:r>
          </w:p>
          <w:p w14:paraId="0CA3609A">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zCs w:val="21"/>
              </w:rPr>
            </w:pPr>
            <w:r>
              <w:rPr>
                <w:rFonts w:hint="eastAsia" w:ascii="Times New Roman" w:hAnsi="Times New Roman" w:cs="宋体"/>
                <w:color w:val="auto"/>
                <w:kern w:val="2"/>
                <w:sz w:val="24"/>
                <w:szCs w:val="24"/>
                <w:lang w:eastAsia="zh-CN"/>
              </w:rPr>
              <w:t>措施</w:t>
            </w:r>
          </w:p>
        </w:tc>
        <w:tc>
          <w:tcPr>
            <w:tcW w:w="8717" w:type="dxa"/>
            <w:noWrap w:val="0"/>
            <w:vAlign w:val="top"/>
          </w:tcPr>
          <w:p w14:paraId="234606DC">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38" w:firstLineChars="200"/>
              <w:jc w:val="left"/>
              <w:textAlignment w:val="auto"/>
              <w:rPr>
                <w:rFonts w:hint="eastAsia" w:ascii="Times New Roman" w:hAnsi="Times New Roman" w:eastAsia="宋体" w:cs="宋体"/>
                <w:b/>
                <w:bCs w:val="0"/>
                <w:color w:val="auto"/>
                <w:spacing w:val="-11"/>
                <w:sz w:val="24"/>
                <w:szCs w:val="24"/>
                <w:highlight w:val="none"/>
                <w:lang w:val="en-US" w:eastAsia="zh-CN"/>
              </w:rPr>
            </w:pPr>
            <w:r>
              <w:rPr>
                <w:rFonts w:hint="eastAsia" w:ascii="Times New Roman" w:hAnsi="Times New Roman" w:eastAsia="宋体" w:cs="宋体"/>
                <w:b/>
                <w:bCs w:val="0"/>
                <w:color w:val="auto"/>
                <w:spacing w:val="-11"/>
                <w:sz w:val="24"/>
                <w:szCs w:val="24"/>
                <w:highlight w:val="none"/>
                <w:lang w:val="en-US" w:eastAsia="zh-CN"/>
              </w:rPr>
              <w:t>4.2管理要求</w:t>
            </w:r>
          </w:p>
          <w:p w14:paraId="44823F9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cs="Times New Roman"/>
                <w:b/>
                <w:bCs/>
                <w:snapToGrid w:val="0"/>
                <w:color w:val="auto"/>
                <w:kern w:val="21"/>
                <w:sz w:val="24"/>
                <w:szCs w:val="24"/>
                <w:lang w:val="en-US" w:eastAsia="zh-CN"/>
              </w:rPr>
              <w:t>4.2.1</w:t>
            </w:r>
            <w:r>
              <w:rPr>
                <w:rFonts w:hint="default" w:ascii="Times New Roman" w:hAnsi="Times New Roman" w:cs="Times New Roman"/>
                <w:b/>
                <w:bCs/>
                <w:snapToGrid w:val="0"/>
                <w:color w:val="auto"/>
                <w:kern w:val="21"/>
                <w:sz w:val="24"/>
                <w:szCs w:val="24"/>
              </w:rPr>
              <w:t>一般废物</w:t>
            </w:r>
            <w:r>
              <w:rPr>
                <w:rFonts w:hint="eastAsia" w:ascii="Times New Roman" w:hAnsi="Times New Roman" w:cs="Times New Roman"/>
                <w:b/>
                <w:bCs/>
                <w:snapToGrid w:val="0"/>
                <w:color w:val="auto"/>
                <w:kern w:val="21"/>
                <w:sz w:val="24"/>
                <w:szCs w:val="24"/>
                <w:lang w:val="en-US" w:eastAsia="zh-CN"/>
              </w:rPr>
              <w:t>管理要求</w:t>
            </w:r>
          </w:p>
          <w:p w14:paraId="22BCCC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1"/>
                <w:sz w:val="24"/>
                <w:szCs w:val="24"/>
                <w:highlight w:val="none"/>
                <w:lang w:val="en-US" w:eastAsia="zh-CN"/>
              </w:rPr>
            </w:pPr>
            <w:r>
              <w:rPr>
                <w:rFonts w:hint="eastAsia" w:cs="Times New Roman"/>
                <w:color w:val="auto"/>
                <w:kern w:val="21"/>
                <w:sz w:val="24"/>
                <w:szCs w:val="24"/>
                <w:highlight w:val="none"/>
                <w:lang w:val="en-US" w:eastAsia="zh-CN"/>
              </w:rPr>
              <w:t>按照</w:t>
            </w:r>
            <w:r>
              <w:rPr>
                <w:rFonts w:hint="eastAsia" w:ascii="Times New Roman" w:hAnsi="Times New Roman" w:eastAsia="宋体" w:cs="Times New Roman"/>
                <w:snapToGrid w:val="0"/>
                <w:color w:val="auto"/>
                <w:kern w:val="21"/>
                <w:sz w:val="24"/>
                <w:szCs w:val="24"/>
                <w:lang w:val="en-US" w:eastAsia="zh-CN"/>
              </w:rPr>
              <w:t>《排污许可证申请与核发技术规范 工业固体废</w:t>
            </w:r>
            <w:r>
              <w:rPr>
                <w:rFonts w:hint="default" w:ascii="Times New Roman" w:hAnsi="Times New Roman" w:eastAsia="宋体" w:cs="Times New Roman"/>
                <w:snapToGrid w:val="0"/>
                <w:color w:val="auto"/>
                <w:kern w:val="21"/>
                <w:sz w:val="24"/>
                <w:szCs w:val="24"/>
                <w:lang w:val="en-US" w:eastAsia="zh-CN"/>
              </w:rPr>
              <w:t>物（试行）》（HJ1200-2021）</w:t>
            </w:r>
            <w:r>
              <w:rPr>
                <w:rFonts w:hint="eastAsia" w:cs="Times New Roman"/>
                <w:snapToGrid w:val="0"/>
                <w:color w:val="auto"/>
                <w:kern w:val="21"/>
                <w:sz w:val="24"/>
                <w:szCs w:val="24"/>
                <w:lang w:val="en-US" w:eastAsia="zh-CN"/>
              </w:rPr>
              <w:t>中关于</w:t>
            </w:r>
            <w:r>
              <w:rPr>
                <w:rFonts w:hint="default" w:ascii="宋体" w:hAnsi="宋体" w:eastAsia="宋体" w:cs="宋体"/>
                <w:color w:val="auto"/>
                <w:sz w:val="24"/>
                <w:szCs w:val="24"/>
              </w:rPr>
              <w:t>一般工业固体废物污染防控技术要求</w:t>
            </w:r>
            <w:r>
              <w:rPr>
                <w:rFonts w:hint="eastAsia" w:ascii="宋体" w:hAnsi="宋体" w:eastAsia="宋体" w:cs="宋体"/>
                <w:color w:val="auto"/>
                <w:sz w:val="24"/>
                <w:szCs w:val="24"/>
                <w:lang w:eastAsia="zh-CN"/>
              </w:rPr>
              <w:t>、</w:t>
            </w:r>
            <w:r>
              <w:rPr>
                <w:rFonts w:hint="default" w:ascii="宋体" w:hAnsi="宋体" w:eastAsia="宋体" w:cs="宋体"/>
                <w:color w:val="auto"/>
                <w:sz w:val="24"/>
                <w:szCs w:val="24"/>
              </w:rPr>
              <w:t>环境管理台账记录要求</w:t>
            </w:r>
            <w:r>
              <w:rPr>
                <w:rFonts w:hint="eastAsia" w:ascii="宋体" w:hAnsi="宋体" w:eastAsia="宋体" w:cs="宋体"/>
                <w:color w:val="auto"/>
                <w:sz w:val="24"/>
                <w:szCs w:val="24"/>
                <w:lang w:val="en-US" w:eastAsia="zh-CN"/>
              </w:rPr>
              <w:t>处置、管理</w:t>
            </w:r>
            <w:r>
              <w:rPr>
                <w:rFonts w:hint="default" w:ascii="宋体" w:hAnsi="宋体" w:eastAsia="宋体" w:cs="宋体"/>
                <w:color w:val="auto"/>
                <w:sz w:val="24"/>
                <w:szCs w:val="24"/>
              </w:rPr>
              <w:t>一般工业固体废物</w:t>
            </w:r>
            <w:r>
              <w:rPr>
                <w:rFonts w:hint="eastAsia" w:ascii="宋体" w:hAnsi="宋体" w:cs="宋体"/>
                <w:color w:val="auto"/>
                <w:sz w:val="24"/>
                <w:szCs w:val="24"/>
                <w:lang w:eastAsia="zh-CN"/>
              </w:rPr>
              <w:t>。</w:t>
            </w:r>
          </w:p>
          <w:p w14:paraId="32D36F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1"/>
                <w:sz w:val="24"/>
                <w:szCs w:val="24"/>
                <w:highlight w:val="none"/>
              </w:rPr>
            </w:pPr>
            <w:r>
              <w:rPr>
                <w:rFonts w:hint="eastAsia" w:cs="Times New Roman"/>
                <w:color w:val="auto"/>
                <w:kern w:val="21"/>
                <w:sz w:val="24"/>
                <w:szCs w:val="24"/>
                <w:highlight w:val="none"/>
                <w:lang w:eastAsia="zh-CN"/>
              </w:rPr>
              <w:t>（</w:t>
            </w:r>
            <w:r>
              <w:rPr>
                <w:rFonts w:hint="eastAsia" w:cs="Times New Roman"/>
                <w:color w:val="auto"/>
                <w:kern w:val="21"/>
                <w:sz w:val="24"/>
                <w:szCs w:val="24"/>
                <w:highlight w:val="none"/>
                <w:lang w:val="en-US" w:eastAsia="zh-CN"/>
              </w:rPr>
              <w:t>1</w:t>
            </w:r>
            <w:r>
              <w:rPr>
                <w:rFonts w:hint="eastAsia" w:cs="Times New Roman"/>
                <w:color w:val="auto"/>
                <w:kern w:val="21"/>
                <w:sz w:val="24"/>
                <w:szCs w:val="24"/>
                <w:highlight w:val="none"/>
                <w:lang w:eastAsia="zh-CN"/>
              </w:rPr>
              <w:t>）</w:t>
            </w:r>
            <w:r>
              <w:rPr>
                <w:rFonts w:hint="default" w:ascii="宋体" w:hAnsi="宋体" w:eastAsia="宋体" w:cs="宋体"/>
                <w:color w:val="auto"/>
                <w:sz w:val="24"/>
                <w:szCs w:val="24"/>
              </w:rPr>
              <w:t>一般工业固体废物污染防控技术要求</w:t>
            </w:r>
          </w:p>
          <w:p w14:paraId="1E3FAA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①</w:t>
            </w:r>
            <w:r>
              <w:rPr>
                <w:rFonts w:hint="default" w:ascii="宋体" w:hAnsi="宋体" w:eastAsia="宋体" w:cs="宋体"/>
                <w:color w:val="auto"/>
                <w:sz w:val="24"/>
                <w:szCs w:val="24"/>
              </w:rPr>
              <w:t>排污单位委托他人运输、利用、处置一般工业固体废物的，应落实《中华人民共和国固体废物污染环境防治法》等法律法规要求，对受托方的主体资格和技术能力进行核实，依法签订书面合同，在合同中约定污染防治要求等。</w:t>
            </w:r>
          </w:p>
          <w:p w14:paraId="7E1364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eastAsia="zh-CN"/>
              </w:rPr>
            </w:pPr>
            <w:r>
              <w:rPr>
                <w:rFonts w:hint="eastAsia" w:cs="Times New Roman"/>
                <w:snapToGrid w:val="0"/>
                <w:color w:val="auto"/>
                <w:kern w:val="21"/>
                <w:sz w:val="24"/>
                <w:szCs w:val="24"/>
                <w:lang w:val="en-US" w:eastAsia="zh-CN"/>
              </w:rPr>
              <w:t>②</w:t>
            </w:r>
            <w:r>
              <w:rPr>
                <w:rFonts w:hint="default" w:ascii="宋体" w:hAnsi="宋体" w:eastAsia="宋体" w:cs="宋体"/>
                <w:color w:val="auto"/>
                <w:sz w:val="24"/>
                <w:szCs w:val="24"/>
              </w:rPr>
              <w:t>贮存过程应满足相应防渗漏、防雨淋、防扬尘等环境保护要求；危险废物和生活垃圾不得进入</w:t>
            </w:r>
            <w:r>
              <w:rPr>
                <w:rFonts w:hint="default" w:ascii="Times New Roman" w:hAnsi="Times New Roman" w:eastAsia="宋体" w:cs="Times New Roman"/>
                <w:snapToGrid w:val="0"/>
                <w:color w:val="auto"/>
                <w:kern w:val="21"/>
                <w:sz w:val="24"/>
                <w:szCs w:val="24"/>
              </w:rPr>
              <w:t>一般工业固废</w:t>
            </w:r>
            <w:r>
              <w:rPr>
                <w:rFonts w:hint="eastAsia" w:cs="Times New Roman"/>
                <w:snapToGrid w:val="0"/>
                <w:color w:val="auto"/>
                <w:kern w:val="21"/>
                <w:sz w:val="24"/>
                <w:szCs w:val="24"/>
                <w:lang w:val="en-US" w:eastAsia="zh-CN"/>
              </w:rPr>
              <w:t>暂存间。</w:t>
            </w:r>
            <w:r>
              <w:rPr>
                <w:rFonts w:hint="default" w:ascii="宋体" w:hAnsi="宋体" w:eastAsia="宋体" w:cs="宋体"/>
                <w:color w:val="auto"/>
                <w:sz w:val="24"/>
                <w:szCs w:val="24"/>
              </w:rPr>
              <w:t>不相容的一般工业固体废物应设置不同的分区进行贮存</w:t>
            </w:r>
            <w:r>
              <w:rPr>
                <w:rFonts w:hint="eastAsia" w:ascii="宋体" w:hAnsi="宋体" w:eastAsia="宋体" w:cs="宋体"/>
                <w:color w:val="auto"/>
                <w:sz w:val="24"/>
                <w:szCs w:val="24"/>
                <w:lang w:eastAsia="zh-CN"/>
              </w:rPr>
              <w:t>。</w:t>
            </w:r>
            <w:r>
              <w:rPr>
                <w:rFonts w:hint="default" w:ascii="宋体" w:hAnsi="宋体" w:eastAsia="宋体" w:cs="宋体"/>
                <w:color w:val="auto"/>
                <w:sz w:val="24"/>
                <w:szCs w:val="24"/>
              </w:rPr>
              <w:t>应设置清晰、完整的一般工业固体废物标志牌等。</w:t>
            </w:r>
          </w:p>
          <w:p w14:paraId="68B343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1"/>
                <w:sz w:val="24"/>
                <w:szCs w:val="24"/>
                <w:highlight w:val="none"/>
              </w:rPr>
            </w:pPr>
            <w:r>
              <w:rPr>
                <w:rFonts w:hint="eastAsia" w:cs="Times New Roman"/>
                <w:color w:val="auto"/>
                <w:kern w:val="21"/>
                <w:sz w:val="24"/>
                <w:szCs w:val="24"/>
                <w:highlight w:val="none"/>
                <w:lang w:eastAsia="zh-CN"/>
              </w:rPr>
              <w:t>（</w:t>
            </w:r>
            <w:r>
              <w:rPr>
                <w:rFonts w:hint="eastAsia" w:cs="Times New Roman"/>
                <w:color w:val="auto"/>
                <w:kern w:val="21"/>
                <w:sz w:val="24"/>
                <w:szCs w:val="24"/>
                <w:highlight w:val="none"/>
                <w:lang w:val="en-US" w:eastAsia="zh-CN"/>
              </w:rPr>
              <w:t>2</w:t>
            </w:r>
            <w:r>
              <w:rPr>
                <w:rFonts w:hint="eastAsia" w:cs="Times New Roman"/>
                <w:color w:val="auto"/>
                <w:kern w:val="21"/>
                <w:sz w:val="24"/>
                <w:szCs w:val="24"/>
                <w:highlight w:val="none"/>
                <w:lang w:eastAsia="zh-CN"/>
              </w:rPr>
              <w:t>）环境管理台账编制要求</w:t>
            </w:r>
          </w:p>
          <w:p w14:paraId="5617A3B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snapToGrid w:val="0"/>
                <w:color w:val="auto"/>
                <w:kern w:val="21"/>
                <w:sz w:val="24"/>
                <w:szCs w:val="24"/>
              </w:rPr>
            </w:pPr>
            <w:r>
              <w:rPr>
                <w:rFonts w:hint="default" w:ascii="宋体" w:hAnsi="宋体" w:eastAsia="宋体" w:cs="宋体"/>
                <w:color w:val="auto"/>
                <w:sz w:val="24"/>
                <w:szCs w:val="24"/>
              </w:rPr>
              <w:t>排污单位应建立环境管理台账制度，一般工业固体废物环境管理台账记录应符合生态环境部规定的一般工业固体废物环境管理台账相关标准及管理文件要求。</w:t>
            </w:r>
          </w:p>
          <w:p w14:paraId="7D123EA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kern w:val="21"/>
                <w:sz w:val="24"/>
                <w:szCs w:val="24"/>
                <w:lang w:val="en-US" w:eastAsia="zh-CN"/>
              </w:rPr>
            </w:pPr>
            <w:r>
              <w:rPr>
                <w:rFonts w:hint="eastAsia" w:ascii="Times New Roman" w:hAnsi="Times New Roman" w:cs="Times New Roman"/>
                <w:b/>
                <w:bCs/>
                <w:snapToGrid w:val="0"/>
                <w:color w:val="auto"/>
                <w:kern w:val="21"/>
                <w:sz w:val="24"/>
                <w:szCs w:val="24"/>
                <w:lang w:val="en-US" w:eastAsia="zh-CN"/>
              </w:rPr>
              <w:t>4.2.2</w:t>
            </w:r>
            <w:r>
              <w:rPr>
                <w:rFonts w:hint="default" w:ascii="Times New Roman" w:hAnsi="Times New Roman" w:cs="Times New Roman"/>
                <w:b/>
                <w:bCs/>
                <w:snapToGrid w:val="0"/>
                <w:color w:val="auto"/>
                <w:kern w:val="21"/>
                <w:sz w:val="24"/>
                <w:szCs w:val="24"/>
              </w:rPr>
              <w:t>危险废物</w:t>
            </w:r>
            <w:r>
              <w:rPr>
                <w:rFonts w:hint="eastAsia" w:ascii="Times New Roman" w:hAnsi="Times New Roman" w:cs="Times New Roman"/>
                <w:b/>
                <w:bCs/>
                <w:snapToGrid w:val="0"/>
                <w:color w:val="auto"/>
                <w:kern w:val="21"/>
                <w:sz w:val="24"/>
                <w:szCs w:val="24"/>
                <w:lang w:val="en-US" w:eastAsia="zh-CN"/>
              </w:rPr>
              <w:t>管理要求</w:t>
            </w:r>
          </w:p>
          <w:p w14:paraId="7BB0B13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项目应严格按照</w:t>
            </w:r>
            <w:r>
              <w:rPr>
                <w:rFonts w:hint="eastAsia" w:cs="Times New Roman"/>
                <w:snapToGrid w:val="0"/>
                <w:color w:val="auto"/>
                <w:kern w:val="21"/>
                <w:sz w:val="24"/>
                <w:szCs w:val="32"/>
                <w:lang w:eastAsia="zh-CN"/>
              </w:rPr>
              <w:t>《危险废物贮存污染控制标准》（GB18597—2023）</w:t>
            </w:r>
            <w:r>
              <w:rPr>
                <w:rFonts w:hint="default" w:ascii="Times New Roman" w:hAnsi="Times New Roman" w:cs="Times New Roman"/>
                <w:snapToGrid w:val="0"/>
                <w:color w:val="auto"/>
                <w:kern w:val="21"/>
                <w:sz w:val="24"/>
                <w:szCs w:val="32"/>
              </w:rPr>
              <w:t>、《</w:t>
            </w:r>
            <w:r>
              <w:rPr>
                <w:rFonts w:hint="eastAsia" w:ascii="Times New Roman" w:hAnsi="Times New Roman" w:cs="Times New Roman"/>
                <w:snapToGrid w:val="0"/>
                <w:color w:val="auto"/>
                <w:kern w:val="21"/>
                <w:sz w:val="24"/>
                <w:szCs w:val="32"/>
                <w:lang w:eastAsia="zh-CN"/>
              </w:rPr>
              <w:t>危险废物收集 贮存 运输技术规范</w:t>
            </w:r>
            <w:r>
              <w:rPr>
                <w:rFonts w:hint="default" w:ascii="Times New Roman" w:hAnsi="Times New Roman" w:cs="Times New Roman"/>
                <w:snapToGrid w:val="0"/>
                <w:color w:val="auto"/>
                <w:kern w:val="21"/>
                <w:sz w:val="24"/>
                <w:szCs w:val="32"/>
              </w:rPr>
              <w:t>》(HJ2025-2012) 以及《建设项目危险废物评价指南》的相关要求对危险废物进行暂存和处置。</w:t>
            </w:r>
          </w:p>
          <w:p w14:paraId="0653994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1）危险废物收集要求</w:t>
            </w:r>
          </w:p>
          <w:p w14:paraId="30643B9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项目危险废物的收集包括两个方面：一是在危险废物产生节点将危险废物集中到适当的包装容器中的活动；二是将危险废物集中到危险废物暂存仓库的内部转运。</w:t>
            </w:r>
          </w:p>
          <w:p w14:paraId="5013B8C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项目危险废物的收集须严格按照《</w:t>
            </w:r>
            <w:r>
              <w:rPr>
                <w:rFonts w:hint="eastAsia" w:ascii="Times New Roman" w:hAnsi="Times New Roman" w:cs="Times New Roman"/>
                <w:snapToGrid w:val="0"/>
                <w:color w:val="auto"/>
                <w:kern w:val="21"/>
                <w:sz w:val="24"/>
                <w:szCs w:val="32"/>
                <w:lang w:eastAsia="zh-CN"/>
              </w:rPr>
              <w:t>危险废物收集 贮存 运输技术规范</w:t>
            </w:r>
            <w:r>
              <w:rPr>
                <w:rFonts w:hint="default" w:ascii="Times New Roman" w:hAnsi="Times New Roman" w:cs="Times New Roman"/>
                <w:snapToGrid w:val="0"/>
                <w:color w:val="auto"/>
                <w:kern w:val="21"/>
                <w:sz w:val="24"/>
                <w:szCs w:val="32"/>
              </w:rPr>
              <w:t>》（HJ2025-2012）的要求：</w:t>
            </w:r>
          </w:p>
          <w:p w14:paraId="6159C71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①根据危险废物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w:t>
            </w:r>
          </w:p>
          <w:p w14:paraId="2B71F38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②制定危险废物收集操作规程，内容包括适用范围、操作程序和方法、专用设备和工具、转移和交接、安全保障和应急防护等。</w:t>
            </w:r>
          </w:p>
          <w:p w14:paraId="3DD212D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③危险废物收集和转运作业人员根据工作需要配备必要的个人防护装备，如手套、防护镜、防护服、防毒面具或口罩等。</w:t>
            </w:r>
          </w:p>
          <w:p w14:paraId="208437A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④在危险废物收集和转运过程中，采取相应的安全防护和污染防治措施，包括防爆、防火、防泄漏、防飞扬、防雨或其他防治污染环境的措施。</w:t>
            </w:r>
          </w:p>
          <w:p w14:paraId="6FC4F30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⑤危险废物收集时应根据危险废物的种类、数量、危险特性、物理形态、运输要求等因素选择合适的包装形式。</w:t>
            </w:r>
          </w:p>
          <w:p w14:paraId="6B94E8F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eastAsia" w:ascii="Times New Roman" w:hAnsi="Times New Roman" w:cs="Times New Roman"/>
                <w:snapToGrid w:val="0"/>
                <w:color w:val="auto"/>
                <w:kern w:val="21"/>
                <w:sz w:val="24"/>
                <w:szCs w:val="32"/>
              </w:rPr>
              <w:t>2）</w:t>
            </w:r>
            <w:r>
              <w:rPr>
                <w:rFonts w:hint="default" w:ascii="Times New Roman" w:hAnsi="Times New Roman" w:cs="Times New Roman"/>
                <w:snapToGrid w:val="0"/>
                <w:color w:val="auto"/>
                <w:kern w:val="21"/>
                <w:sz w:val="24"/>
                <w:szCs w:val="32"/>
              </w:rPr>
              <w:t>暂存要求</w:t>
            </w:r>
          </w:p>
          <w:p w14:paraId="02669A9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eastAsia" w:ascii="Times New Roman" w:hAnsi="Times New Roman" w:cs="Times New Roman"/>
                <w:snapToGrid w:val="0"/>
                <w:color w:val="auto"/>
                <w:kern w:val="21"/>
                <w:sz w:val="24"/>
                <w:szCs w:val="32"/>
              </w:rPr>
              <w:t>A</w:t>
            </w:r>
            <w:r>
              <w:rPr>
                <w:rFonts w:hint="eastAsia" w:cs="Times New Roman"/>
                <w:snapToGrid w:val="0"/>
                <w:color w:val="auto"/>
                <w:kern w:val="21"/>
                <w:sz w:val="24"/>
                <w:szCs w:val="32"/>
                <w:lang w:eastAsia="zh-CN"/>
              </w:rPr>
              <w:t>.</w:t>
            </w:r>
            <w:r>
              <w:rPr>
                <w:rFonts w:hint="default" w:ascii="Times New Roman" w:hAnsi="Times New Roman" w:cs="Times New Roman"/>
                <w:snapToGrid w:val="0"/>
                <w:color w:val="auto"/>
                <w:kern w:val="21"/>
                <w:sz w:val="24"/>
                <w:szCs w:val="32"/>
              </w:rPr>
              <w:t>项目设置危险废物暂存库，根据</w:t>
            </w:r>
            <w:r>
              <w:rPr>
                <w:rFonts w:hint="eastAsia" w:cs="Times New Roman"/>
                <w:snapToGrid w:val="0"/>
                <w:color w:val="auto"/>
                <w:kern w:val="21"/>
                <w:sz w:val="24"/>
                <w:szCs w:val="32"/>
                <w:lang w:eastAsia="zh-CN"/>
              </w:rPr>
              <w:t>《危险废物贮存污染控制标准》（GB18597—2023）</w:t>
            </w:r>
            <w:r>
              <w:rPr>
                <w:rFonts w:hint="default" w:ascii="Times New Roman" w:hAnsi="Times New Roman" w:cs="Times New Roman"/>
                <w:snapToGrid w:val="0"/>
                <w:color w:val="auto"/>
                <w:kern w:val="21"/>
                <w:sz w:val="24"/>
                <w:szCs w:val="32"/>
              </w:rPr>
              <w:t>和《</w:t>
            </w:r>
            <w:r>
              <w:rPr>
                <w:rFonts w:hint="eastAsia" w:ascii="Times New Roman" w:hAnsi="Times New Roman" w:cs="Times New Roman"/>
                <w:snapToGrid w:val="0"/>
                <w:color w:val="auto"/>
                <w:kern w:val="21"/>
                <w:sz w:val="24"/>
                <w:szCs w:val="32"/>
                <w:lang w:eastAsia="zh-CN"/>
              </w:rPr>
              <w:t>危险废物收集 贮存 运输技术规范</w:t>
            </w:r>
            <w:r>
              <w:rPr>
                <w:rFonts w:hint="default" w:ascii="Times New Roman" w:hAnsi="Times New Roman" w:cs="Times New Roman"/>
                <w:snapToGrid w:val="0"/>
                <w:color w:val="auto"/>
                <w:kern w:val="21"/>
                <w:sz w:val="24"/>
                <w:szCs w:val="32"/>
              </w:rPr>
              <w:t>》</w:t>
            </w:r>
            <w:r>
              <w:rPr>
                <w:rFonts w:hint="eastAsia" w:cs="Times New Roman"/>
                <w:snapToGrid w:val="0"/>
                <w:color w:val="auto"/>
                <w:kern w:val="21"/>
                <w:sz w:val="24"/>
                <w:szCs w:val="32"/>
                <w:lang w:eastAsia="zh-CN"/>
              </w:rPr>
              <w:t>（</w:t>
            </w:r>
            <w:r>
              <w:rPr>
                <w:rFonts w:hint="default" w:ascii="Times New Roman" w:hAnsi="Times New Roman" w:cs="Times New Roman"/>
                <w:snapToGrid w:val="0"/>
                <w:color w:val="auto"/>
                <w:kern w:val="21"/>
                <w:sz w:val="24"/>
                <w:szCs w:val="32"/>
              </w:rPr>
              <w:t>HJ2025-2012</w:t>
            </w:r>
            <w:r>
              <w:rPr>
                <w:rFonts w:hint="eastAsia" w:cs="Times New Roman"/>
                <w:snapToGrid w:val="0"/>
                <w:color w:val="auto"/>
                <w:kern w:val="21"/>
                <w:sz w:val="24"/>
                <w:szCs w:val="32"/>
                <w:lang w:eastAsia="zh-CN"/>
              </w:rPr>
              <w:t>）</w:t>
            </w:r>
            <w:r>
              <w:rPr>
                <w:rFonts w:hint="default" w:ascii="Times New Roman" w:hAnsi="Times New Roman" w:cs="Times New Roman"/>
                <w:snapToGrid w:val="0"/>
                <w:color w:val="auto"/>
                <w:kern w:val="21"/>
                <w:sz w:val="24"/>
                <w:szCs w:val="32"/>
              </w:rPr>
              <w:t>的相关要求，危险废物暂存库采取如下措施：</w:t>
            </w:r>
          </w:p>
          <w:p w14:paraId="36F5DBA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①危废储存库地面基础应采取防渗，地基采用3:7灰土垫层300mm厚，地面采用C30防渗砼200mm厚，面层用防渗砂浆抹面30mm厚，防渗系数能够达到10</w:t>
            </w:r>
            <w:r>
              <w:rPr>
                <w:rFonts w:hint="eastAsia" w:cs="Times New Roman"/>
                <w:snapToGrid w:val="0"/>
                <w:color w:val="auto"/>
                <w:kern w:val="21"/>
                <w:sz w:val="24"/>
                <w:szCs w:val="32"/>
                <w:lang w:eastAsia="zh-CN"/>
              </w:rPr>
              <w:t>—</w:t>
            </w:r>
            <w:r>
              <w:rPr>
                <w:rFonts w:hint="default" w:ascii="Times New Roman" w:hAnsi="Times New Roman" w:cs="Times New Roman"/>
                <w:snapToGrid w:val="0"/>
                <w:color w:val="auto"/>
                <w:kern w:val="21"/>
                <w:sz w:val="24"/>
                <w:szCs w:val="32"/>
              </w:rPr>
              <w:t>10cm/s，</w:t>
            </w:r>
          </w:p>
          <w:p w14:paraId="6E52AA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②危废储存库地面与裙脚应用坚固、防渗的材料建造，建筑材料必须与危险废物兼容；</w:t>
            </w:r>
          </w:p>
          <w:p w14:paraId="45D548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③库房内危险废物</w:t>
            </w:r>
            <w:r>
              <w:rPr>
                <w:rFonts w:hint="eastAsia" w:ascii="Times New Roman" w:hAnsi="Times New Roman" w:cs="Times New Roman"/>
                <w:snapToGrid w:val="0"/>
                <w:color w:val="auto"/>
                <w:kern w:val="21"/>
                <w:sz w:val="24"/>
                <w:szCs w:val="32"/>
                <w:lang w:val="en-US" w:eastAsia="zh-CN"/>
              </w:rPr>
              <w:t>以桶装的方式放置于金属托盘上，堆放在危废暂存间特定区域</w:t>
            </w:r>
            <w:r>
              <w:rPr>
                <w:rFonts w:hint="default" w:ascii="Times New Roman" w:hAnsi="Times New Roman" w:cs="Times New Roman"/>
                <w:snapToGrid w:val="0"/>
                <w:color w:val="auto"/>
                <w:kern w:val="21"/>
                <w:sz w:val="24"/>
                <w:szCs w:val="32"/>
              </w:rPr>
              <w:t>；</w:t>
            </w:r>
          </w:p>
          <w:p w14:paraId="7CC387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④库房内不同危险废物进行隔离存放，隔离区应留出搬运通道；且库房内要有安全照明设施和观察窗口。</w:t>
            </w:r>
          </w:p>
          <w:p w14:paraId="661D8D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⑤危</w:t>
            </w:r>
            <w:r>
              <w:rPr>
                <w:rFonts w:hint="eastAsia" w:ascii="Times New Roman" w:hAnsi="Times New Roman" w:cs="Times New Roman"/>
                <w:snapToGrid w:val="0"/>
                <w:color w:val="auto"/>
                <w:kern w:val="21"/>
                <w:sz w:val="24"/>
                <w:szCs w:val="32"/>
                <w:lang w:val="en-US" w:eastAsia="zh-CN"/>
              </w:rPr>
              <w:t>险</w:t>
            </w:r>
            <w:r>
              <w:rPr>
                <w:rFonts w:hint="default" w:ascii="Times New Roman" w:hAnsi="Times New Roman" w:cs="Times New Roman"/>
                <w:snapToGrid w:val="0"/>
                <w:color w:val="auto"/>
                <w:kern w:val="21"/>
                <w:sz w:val="24"/>
                <w:szCs w:val="32"/>
              </w:rPr>
              <w:t>废物暂存间应“四防”（防风、防雨、防晒、防渗漏），加强防渗措施和渗漏收集措施，设置警示标志。</w:t>
            </w:r>
          </w:p>
          <w:p w14:paraId="0E8CD4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eastAsia" w:ascii="Times New Roman" w:hAnsi="Times New Roman" w:cs="Times New Roman"/>
                <w:snapToGrid w:val="0"/>
                <w:color w:val="auto"/>
                <w:kern w:val="21"/>
                <w:sz w:val="24"/>
                <w:szCs w:val="32"/>
              </w:rPr>
              <w:t>B</w:t>
            </w:r>
            <w:r>
              <w:rPr>
                <w:rFonts w:hint="eastAsia" w:cs="Times New Roman"/>
                <w:snapToGrid w:val="0"/>
                <w:color w:val="auto"/>
                <w:kern w:val="21"/>
                <w:sz w:val="24"/>
                <w:szCs w:val="32"/>
                <w:lang w:eastAsia="zh-CN"/>
              </w:rPr>
              <w:t>.</w:t>
            </w:r>
            <w:r>
              <w:rPr>
                <w:rFonts w:hint="default" w:ascii="Times New Roman" w:hAnsi="Times New Roman" w:cs="Times New Roman"/>
                <w:snapToGrid w:val="0"/>
                <w:color w:val="auto"/>
                <w:kern w:val="21"/>
                <w:sz w:val="24"/>
                <w:szCs w:val="32"/>
              </w:rPr>
              <w:t>企业须健全危险废物相关管理制度，并严格落实。</w:t>
            </w:r>
          </w:p>
          <w:p w14:paraId="391D58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①企业须配备专业技术人员和管理人员专门负责企业危险废物统计、收集、暂存、转运和管理工作，并对有关危废产生部门员工进行定期教育和培训，强化危险废物管理；</w:t>
            </w:r>
          </w:p>
          <w:p w14:paraId="60223D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②企业须建立危险废物收集操作规程、危险废物转运操作规程、危险废物暂存管理规程等相关制度，并认真落实；</w:t>
            </w:r>
          </w:p>
          <w:p w14:paraId="639357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③企业须对危险废物储运场所张贴警示标示，危险废物包装物张贴警示标签；</w:t>
            </w:r>
          </w:p>
          <w:p w14:paraId="5365C0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④规范危险废物统计、建立危险废物收集及储运有关档案，认真填写《危险废物项目区内转运记录表》，</w:t>
            </w:r>
            <w:r>
              <w:rPr>
                <w:rFonts w:hint="eastAsia" w:ascii="Times New Roman" w:hAnsi="Times New Roman" w:cs="Times New Roman"/>
                <w:snapToGrid w:val="0"/>
                <w:color w:val="auto"/>
                <w:kern w:val="21"/>
                <w:sz w:val="24"/>
                <w:szCs w:val="32"/>
                <w:lang w:eastAsia="zh-CN"/>
              </w:rPr>
              <w:t>做好</w:t>
            </w:r>
            <w:r>
              <w:rPr>
                <w:rFonts w:hint="default" w:ascii="Times New Roman" w:hAnsi="Times New Roman" w:cs="Times New Roman"/>
                <w:snapToGrid w:val="0"/>
                <w:color w:val="auto"/>
                <w:kern w:val="21"/>
                <w:sz w:val="24"/>
                <w:szCs w:val="32"/>
              </w:rPr>
              <w:t>危险废物情况的</w:t>
            </w:r>
            <w:r>
              <w:rPr>
                <w:rFonts w:hint="eastAsia" w:ascii="Times New Roman" w:hAnsi="Times New Roman" w:cs="Times New Roman"/>
                <w:snapToGrid w:val="0"/>
                <w:color w:val="auto"/>
                <w:kern w:val="21"/>
                <w:sz w:val="24"/>
                <w:szCs w:val="32"/>
                <w:lang w:val="en-US" w:eastAsia="zh-CN"/>
              </w:rPr>
              <w:t>台账</w:t>
            </w:r>
            <w:r>
              <w:rPr>
                <w:rFonts w:hint="default" w:ascii="Times New Roman" w:hAnsi="Times New Roman" w:cs="Times New Roman"/>
                <w:snapToGrid w:val="0"/>
                <w:color w:val="auto"/>
                <w:kern w:val="21"/>
                <w:sz w:val="24"/>
                <w:szCs w:val="32"/>
              </w:rPr>
              <w:t>记录，记录上须注明危险废物的名称、来源、数量、特性和包装容器的类别、入库日期、存放库位、废物出库日期及接收单位名称等，并即时存档以备查阅。</w:t>
            </w:r>
          </w:p>
          <w:p w14:paraId="69911A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eastAsia" w:ascii="Times New Roman" w:hAnsi="Times New Roman" w:cs="Times New Roman"/>
                <w:snapToGrid w:val="0"/>
                <w:color w:val="auto"/>
                <w:kern w:val="21"/>
                <w:sz w:val="24"/>
                <w:szCs w:val="32"/>
              </w:rPr>
              <w:t>C</w:t>
            </w:r>
            <w:r>
              <w:rPr>
                <w:rFonts w:hint="eastAsia" w:cs="Times New Roman"/>
                <w:snapToGrid w:val="0"/>
                <w:color w:val="auto"/>
                <w:kern w:val="21"/>
                <w:sz w:val="24"/>
                <w:szCs w:val="32"/>
                <w:lang w:eastAsia="zh-CN"/>
              </w:rPr>
              <w:t>.</w:t>
            </w:r>
            <w:r>
              <w:rPr>
                <w:rFonts w:hint="default" w:ascii="Times New Roman" w:hAnsi="Times New Roman" w:cs="Times New Roman"/>
                <w:snapToGrid w:val="0"/>
                <w:color w:val="auto"/>
                <w:kern w:val="21"/>
                <w:sz w:val="24"/>
                <w:szCs w:val="32"/>
              </w:rPr>
              <w:t>危险废物在危废库房内暂存期间应严格按照《危险废物贮存污染控制标准》（</w:t>
            </w:r>
            <w:r>
              <w:rPr>
                <w:rFonts w:hint="eastAsia" w:cs="Times New Roman"/>
                <w:snapToGrid w:val="0"/>
                <w:color w:val="auto"/>
                <w:kern w:val="21"/>
                <w:sz w:val="24"/>
                <w:szCs w:val="32"/>
                <w:lang w:eastAsia="zh-CN"/>
              </w:rPr>
              <w:t>GB 18597-2023</w:t>
            </w:r>
            <w:r>
              <w:rPr>
                <w:rFonts w:hint="default" w:ascii="Times New Roman" w:hAnsi="Times New Roman" w:cs="Times New Roman"/>
                <w:snapToGrid w:val="0"/>
                <w:color w:val="auto"/>
                <w:kern w:val="21"/>
                <w:sz w:val="24"/>
                <w:szCs w:val="32"/>
              </w:rPr>
              <w:t>）和《</w:t>
            </w:r>
            <w:r>
              <w:rPr>
                <w:rFonts w:hint="eastAsia" w:ascii="Times New Roman" w:hAnsi="Times New Roman" w:cs="Times New Roman"/>
                <w:snapToGrid w:val="0"/>
                <w:color w:val="auto"/>
                <w:kern w:val="21"/>
                <w:sz w:val="24"/>
                <w:szCs w:val="32"/>
                <w:lang w:eastAsia="zh-CN"/>
              </w:rPr>
              <w:t>危险废物收集 贮存 运输技术规范</w:t>
            </w:r>
            <w:r>
              <w:rPr>
                <w:rFonts w:hint="default" w:ascii="Times New Roman" w:hAnsi="Times New Roman" w:cs="Times New Roman"/>
                <w:snapToGrid w:val="0"/>
                <w:color w:val="auto"/>
                <w:kern w:val="21"/>
                <w:sz w:val="24"/>
                <w:szCs w:val="32"/>
              </w:rPr>
              <w:t>》（HJ2025-2012）的相关要求进行存储和管理。</w:t>
            </w:r>
          </w:p>
          <w:p w14:paraId="014410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①必须将危险废物装入容器内进行密封装运，禁止将不兼容（相互反应）的危险废物在同一容器内混装；</w:t>
            </w:r>
          </w:p>
          <w:p w14:paraId="7D0C95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②盛装危险废物的容器应当符合标准，材质要满足相应的强度要求且必须完好无损，容器材质和衬里要与危险废物兼容（不相互反应）；</w:t>
            </w:r>
          </w:p>
          <w:p w14:paraId="6D4A7B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③危险废物贮存前应进行检验，确保同预定接收的危险废物一致，并登记注册，不得接收未粘贴符合规定的标签或标签没按规定填写的危险废物；</w:t>
            </w:r>
          </w:p>
          <w:p w14:paraId="6882A4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④必须定期对所贮存的危险废物包装容器及贮存设施进行检查，发现破损，应及时采取措施清理更换。</w:t>
            </w:r>
          </w:p>
          <w:p w14:paraId="5AF457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eastAsia" w:ascii="Times New Roman" w:hAnsi="Times New Roman" w:cs="Times New Roman"/>
                <w:snapToGrid w:val="0"/>
                <w:color w:val="auto"/>
                <w:kern w:val="21"/>
                <w:sz w:val="24"/>
                <w:szCs w:val="32"/>
              </w:rPr>
              <w:t>3</w:t>
            </w:r>
            <w:r>
              <w:rPr>
                <w:rFonts w:hint="default" w:ascii="Times New Roman" w:hAnsi="Times New Roman" w:cs="Times New Roman"/>
                <w:snapToGrid w:val="0"/>
                <w:color w:val="auto"/>
                <w:kern w:val="21"/>
                <w:sz w:val="24"/>
                <w:szCs w:val="32"/>
              </w:rPr>
              <w:t>）危险废物的转运要求</w:t>
            </w:r>
          </w:p>
          <w:p w14:paraId="28E754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项目固体废物转运过程中采取篷布遮盖、防滴漏等措施，减少固体废物运输过程给环境带来污染。危险废物的转运还按照《</w:t>
            </w:r>
            <w:r>
              <w:rPr>
                <w:rFonts w:hint="eastAsia" w:ascii="Times New Roman" w:hAnsi="Times New Roman" w:cs="Times New Roman"/>
                <w:snapToGrid w:val="0"/>
                <w:color w:val="auto"/>
                <w:kern w:val="21"/>
                <w:sz w:val="24"/>
                <w:szCs w:val="32"/>
                <w:lang w:eastAsia="zh-CN"/>
              </w:rPr>
              <w:t>危险废物收集 贮存 运输技术规范</w:t>
            </w:r>
            <w:r>
              <w:rPr>
                <w:rFonts w:hint="default" w:ascii="Times New Roman" w:hAnsi="Times New Roman" w:cs="Times New Roman"/>
                <w:snapToGrid w:val="0"/>
                <w:color w:val="auto"/>
                <w:kern w:val="21"/>
                <w:sz w:val="24"/>
                <w:szCs w:val="32"/>
              </w:rPr>
              <w:t>》（HJ2025-2012）的要求进行，具体如下：</w:t>
            </w:r>
          </w:p>
          <w:p w14:paraId="31EC2B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①危险废物的运输由持有危险废物经营许可证的单位组织实施，并按照相关危险货物运输管理规定执行；</w:t>
            </w:r>
          </w:p>
          <w:p w14:paraId="0A7ABA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②项目危险废物运输采用公路运输方式，应按照《道路危险货物运输管理规定》（交通运输部令2013年第2号）执行。</w:t>
            </w:r>
          </w:p>
          <w:p w14:paraId="2FCC4A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运输单位承运危险废物时，应在危险废物包装上按照GB18597附录A设置标志，运输车辆应按GB13392设立车辆标志。危废运输车辆应配备符合有关国家标准以及与所载运的危险货物相适应的应急处理器材和安全防护设备。</w:t>
            </w:r>
          </w:p>
          <w:p w14:paraId="2DD232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③危险废物运输时的装卸应遵照如下技术要求：装卸区的工作人员应熟悉危险废物的危险特性，并配备适当的个人防护装备，如橡胶手套、防护服和口罩。装卸区域应配备必要的消防设备和设施，并设置明显的指示标志。装卸区域应设置隔离设施。</w:t>
            </w:r>
          </w:p>
          <w:p w14:paraId="4A3E98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kern w:val="21"/>
                <w:sz w:val="24"/>
                <w:szCs w:val="32"/>
              </w:rPr>
            </w:pPr>
            <w:r>
              <w:rPr>
                <w:rFonts w:hint="default" w:ascii="Times New Roman" w:hAnsi="Times New Roman" w:cs="Times New Roman"/>
                <w:snapToGrid w:val="0"/>
                <w:color w:val="auto"/>
                <w:kern w:val="21"/>
                <w:sz w:val="24"/>
                <w:szCs w:val="32"/>
              </w:rPr>
              <w:t>④废物处置单位的运输人员必须掌握危险废物运输的安全知识，了解所运载的危险废物的性质、危害特性、包装容器的使用特性和发生意外时的应急措施。运输车辆必须具有车辆危险货物运输许可证。</w:t>
            </w:r>
          </w:p>
          <w:p w14:paraId="67789F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通过采取以上措施，项目产生的固体废物均得到有效处理，</w:t>
            </w:r>
            <w:r>
              <w:rPr>
                <w:rFonts w:hint="eastAsia" w:cs="Times New Roman"/>
                <w:color w:val="auto"/>
                <w:sz w:val="24"/>
                <w:lang w:val="en-US" w:eastAsia="zh-CN"/>
              </w:rPr>
              <w:t>一般工业</w:t>
            </w:r>
            <w:r>
              <w:rPr>
                <w:rFonts w:hint="eastAsia" w:ascii="Times New Roman" w:hAnsi="Times New Roman" w:cs="Times New Roman"/>
                <w:color w:val="auto"/>
                <w:sz w:val="24"/>
                <w:lang w:val="en-US" w:eastAsia="zh-CN"/>
              </w:rPr>
              <w:t>固体废物处置能够满足</w:t>
            </w:r>
            <w:r>
              <w:rPr>
                <w:rFonts w:hint="default" w:ascii="Times New Roman" w:hAnsi="Times New Roman" w:eastAsia="宋体" w:cs="Calibri"/>
                <w:color w:val="auto"/>
                <w:sz w:val="24"/>
                <w:szCs w:val="24"/>
                <w:lang w:val="en-US" w:eastAsia="zh-CN"/>
              </w:rPr>
              <w:t>《中华人民共和国固体废物污染环境防治法》（2020年</w:t>
            </w:r>
            <w:r>
              <w:rPr>
                <w:rFonts w:hint="eastAsia" w:ascii="Times New Roman" w:hAnsi="Times New Roman" w:eastAsia="宋体" w:cs="Calibri"/>
                <w:color w:val="auto"/>
                <w:sz w:val="24"/>
                <w:szCs w:val="24"/>
                <w:lang w:val="en-US" w:eastAsia="zh-CN"/>
              </w:rPr>
              <w:t>修订</w:t>
            </w:r>
            <w:r>
              <w:rPr>
                <w:rFonts w:hint="default" w:ascii="Times New Roman" w:hAnsi="Times New Roman" w:eastAsia="宋体" w:cs="Calibri"/>
                <w:color w:val="auto"/>
                <w:sz w:val="24"/>
                <w:szCs w:val="24"/>
                <w:lang w:val="en-US" w:eastAsia="zh-CN"/>
              </w:rPr>
              <w:t>）</w:t>
            </w:r>
            <w:r>
              <w:rPr>
                <w:rFonts w:hint="eastAsia" w:ascii="Times New Roman" w:hAnsi="Times New Roman" w:eastAsia="宋体" w:cs="Calibri"/>
                <w:color w:val="auto"/>
                <w:sz w:val="24"/>
                <w:szCs w:val="24"/>
                <w:lang w:val="en-US" w:eastAsia="zh-CN"/>
              </w:rPr>
              <w:t>及</w:t>
            </w:r>
            <w:r>
              <w:rPr>
                <w:rFonts w:hint="default" w:ascii="Times New Roman" w:hAnsi="Times New Roman" w:eastAsia="宋体" w:cs="Calibri"/>
                <w:color w:val="auto"/>
                <w:sz w:val="24"/>
                <w:szCs w:val="24"/>
                <w:lang w:val="en-US" w:eastAsia="zh-CN"/>
              </w:rPr>
              <w:t>《排污许可证申请与核发技术规范 工业固体废物（试行）》（HJ1200-2021）</w:t>
            </w:r>
            <w:r>
              <w:rPr>
                <w:rFonts w:hint="eastAsia" w:ascii="Times New Roman" w:hAnsi="Times New Roman" w:cs="Times New Roman"/>
                <w:color w:val="auto"/>
                <w:sz w:val="24"/>
              </w:rPr>
              <w:t>要求，</w:t>
            </w:r>
            <w:r>
              <w:rPr>
                <w:rFonts w:hint="eastAsia" w:ascii="Times New Roman" w:hAnsi="Times New Roman" w:cs="Times New Roman"/>
                <w:color w:val="auto"/>
                <w:sz w:val="24"/>
                <w:lang w:val="en-US" w:eastAsia="zh-CN"/>
              </w:rPr>
              <w:t>危险废物处置满足</w:t>
            </w:r>
            <w:r>
              <w:rPr>
                <w:rFonts w:hint="default" w:ascii="Times New Roman" w:hAnsi="Times New Roman" w:eastAsia="宋体" w:cs="Calibri"/>
                <w:color w:val="auto"/>
                <w:sz w:val="24"/>
                <w:szCs w:val="24"/>
                <w:lang w:val="en-US" w:eastAsia="zh-CN"/>
              </w:rPr>
              <w:t>《危险废物贮存污染控制标准》（GB18597</w:t>
            </w:r>
            <w:r>
              <w:rPr>
                <w:rFonts w:hint="eastAsia" w:ascii="Times New Roman" w:hAnsi="Times New Roman" w:eastAsia="宋体" w:cs="Calibri"/>
                <w:color w:val="auto"/>
                <w:sz w:val="24"/>
                <w:szCs w:val="24"/>
                <w:lang w:val="en-US" w:eastAsia="zh-CN"/>
              </w:rPr>
              <w:t>—2023</w:t>
            </w:r>
            <w:r>
              <w:rPr>
                <w:rFonts w:hint="default" w:ascii="Times New Roman" w:hAnsi="Times New Roman" w:eastAsia="宋体" w:cs="Calibri"/>
                <w:color w:val="auto"/>
                <w:sz w:val="24"/>
                <w:szCs w:val="24"/>
                <w:lang w:val="en-US" w:eastAsia="zh-CN"/>
              </w:rPr>
              <w:t>）</w:t>
            </w:r>
            <w:r>
              <w:rPr>
                <w:rFonts w:hint="eastAsia" w:ascii="Times New Roman" w:hAnsi="Times New Roman" w:cs="Times New Roman"/>
                <w:color w:val="auto"/>
                <w:sz w:val="24"/>
                <w:lang w:val="en-US" w:eastAsia="zh-CN"/>
              </w:rPr>
              <w:t>要求</w:t>
            </w:r>
            <w:r>
              <w:rPr>
                <w:rFonts w:hint="default" w:ascii="Times New Roman" w:hAnsi="Times New Roman" w:cs="Times New Roman"/>
                <w:color w:val="auto"/>
                <w:sz w:val="24"/>
              </w:rPr>
              <w:t>。</w:t>
            </w:r>
          </w:p>
          <w:p w14:paraId="5F6E89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8" w:firstLineChars="200"/>
              <w:jc w:val="left"/>
              <w:textAlignment w:val="auto"/>
              <w:rPr>
                <w:rFonts w:hint="default" w:ascii="Times New Roman" w:hAnsi="Times New Roman" w:cs="宋体"/>
                <w:b/>
                <w:bCs w:val="0"/>
                <w:color w:val="auto"/>
                <w:spacing w:val="-11"/>
                <w:sz w:val="24"/>
                <w:szCs w:val="24"/>
                <w:lang w:val="en-US" w:eastAsia="zh-CN"/>
              </w:rPr>
            </w:pPr>
            <w:r>
              <w:rPr>
                <w:rFonts w:hint="eastAsia" w:ascii="Times New Roman" w:hAnsi="Times New Roman" w:cs="宋体"/>
                <w:b/>
                <w:bCs w:val="0"/>
                <w:color w:val="auto"/>
                <w:spacing w:val="-11"/>
                <w:sz w:val="24"/>
                <w:szCs w:val="24"/>
                <w:lang w:val="en-US" w:eastAsia="zh-CN"/>
              </w:rPr>
              <w:t>5、地下水及土壤环境</w:t>
            </w:r>
          </w:p>
          <w:p w14:paraId="2221C334">
            <w:pPr>
              <w:keepNext w:val="0"/>
              <w:keepLines w:val="0"/>
              <w:pageBreakBefore w:val="0"/>
              <w:widowControl w:val="0"/>
              <w:suppressLineNumbers w:val="0"/>
              <w:tabs>
                <w:tab w:val="left" w:pos="900"/>
              </w:tabs>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5.1</w:t>
            </w:r>
            <w:r>
              <w:rPr>
                <w:rFonts w:hint="default" w:ascii="Times New Roman" w:hAnsi="Times New Roman" w:eastAsia="宋体" w:cs="Times New Roman"/>
                <w:b/>
                <w:bCs/>
                <w:color w:val="auto"/>
                <w:sz w:val="24"/>
                <w:szCs w:val="24"/>
                <w:highlight w:val="none"/>
              </w:rPr>
              <w:t>污染途径</w:t>
            </w:r>
          </w:p>
          <w:p w14:paraId="170698E5">
            <w:pPr>
              <w:keepNext w:val="0"/>
              <w:keepLines w:val="0"/>
              <w:pageBreakBefore w:val="0"/>
              <w:suppressLineNumbers w:val="0"/>
              <w:tabs>
                <w:tab w:val="left" w:pos="900"/>
              </w:tabs>
              <w:kinsoku/>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本项目在正常工况下，危废间、</w:t>
            </w:r>
            <w:r>
              <w:rPr>
                <w:rFonts w:hint="eastAsia" w:cs="Times New Roman"/>
                <w:color w:val="auto"/>
                <w:sz w:val="24"/>
                <w:szCs w:val="24"/>
                <w:highlight w:val="none"/>
                <w:lang w:val="en-US" w:eastAsia="zh-CN"/>
              </w:rPr>
              <w:t>污水处理站</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原料库</w:t>
            </w:r>
            <w:r>
              <w:rPr>
                <w:rFonts w:hint="default" w:ascii="Times New Roman" w:hAnsi="Times New Roman" w:eastAsia="宋体" w:cs="Times New Roman"/>
                <w:color w:val="auto"/>
                <w:sz w:val="24"/>
                <w:szCs w:val="24"/>
                <w:highlight w:val="none"/>
                <w:lang w:val="en-US" w:eastAsia="zh-CN"/>
              </w:rPr>
              <w:t>等处均按标准进行了严格的防渗处理，污染途径被切断，对地下水和土壤均无影响，影响的发生主要是在</w:t>
            </w:r>
            <w:r>
              <w:rPr>
                <w:rFonts w:hint="eastAsia" w:ascii="Times New Roman" w:hAnsi="Times New Roman" w:cs="Times New Roman"/>
                <w:color w:val="auto"/>
                <w:sz w:val="24"/>
                <w:szCs w:val="24"/>
                <w:highlight w:val="none"/>
                <w:lang w:val="en-US" w:eastAsia="zh-CN"/>
              </w:rPr>
              <w:t>危险物质泄漏、防渗层破坏等</w:t>
            </w:r>
            <w:r>
              <w:rPr>
                <w:rFonts w:hint="default" w:ascii="Times New Roman" w:hAnsi="Times New Roman" w:eastAsia="宋体" w:cs="Times New Roman"/>
                <w:color w:val="auto"/>
                <w:sz w:val="24"/>
                <w:szCs w:val="24"/>
                <w:highlight w:val="none"/>
                <w:lang w:val="en-US" w:eastAsia="zh-CN"/>
              </w:rPr>
              <w:t>事故状态下。</w:t>
            </w:r>
          </w:p>
          <w:p w14:paraId="706F00A5">
            <w:pPr>
              <w:keepNext w:val="0"/>
              <w:keepLines w:val="0"/>
              <w:pageBreakBefore w:val="0"/>
              <w:suppressLineNumbers w:val="0"/>
              <w:tabs>
                <w:tab w:val="left" w:pos="900"/>
              </w:tabs>
              <w:kinsoku/>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非</w:t>
            </w:r>
            <w:r>
              <w:rPr>
                <w:rFonts w:hint="default" w:ascii="Times New Roman" w:hAnsi="Times New Roman" w:eastAsia="宋体" w:cs="Times New Roman"/>
                <w:color w:val="auto"/>
                <w:sz w:val="24"/>
                <w:szCs w:val="24"/>
                <w:highlight w:val="none"/>
                <w:lang w:val="en-US" w:eastAsia="zh-CN"/>
              </w:rPr>
              <w:t>正常情况下，项目主要污染途径包括：</w:t>
            </w:r>
          </w:p>
          <w:p w14:paraId="4D9E33B2">
            <w:pPr>
              <w:keepNext w:val="0"/>
              <w:keepLines w:val="0"/>
              <w:pageBreakBefore w:val="0"/>
              <w:suppressLineNumbers w:val="0"/>
              <w:tabs>
                <w:tab w:val="left" w:pos="900"/>
              </w:tabs>
              <w:kinsoku/>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①污水处理设施、管道防渗层破裂、粘结缝不够密封或污水管道破裂等原因造成污染物质的渗透，从而污染地下水和土壤。</w:t>
            </w:r>
          </w:p>
          <w:p w14:paraId="11A50849">
            <w:pPr>
              <w:keepNext w:val="0"/>
              <w:keepLines w:val="0"/>
              <w:pageBreakBefore w:val="0"/>
              <w:suppressLineNumbers w:val="0"/>
              <w:tabs>
                <w:tab w:val="left" w:pos="900"/>
              </w:tabs>
              <w:kinsoku/>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②固体废物储存场所地面防渗不当，造成固体废物渗滤液下渗污染地下水和土壤。</w:t>
            </w:r>
          </w:p>
          <w:p w14:paraId="220CD2B0">
            <w:pPr>
              <w:keepNext w:val="0"/>
              <w:keepLines w:val="0"/>
              <w:pageBreakBefore w:val="0"/>
              <w:suppressLineNumbers w:val="0"/>
              <w:tabs>
                <w:tab w:val="left" w:pos="900"/>
              </w:tabs>
              <w:kinsoku/>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③液体原料</w:t>
            </w:r>
            <w:r>
              <w:rPr>
                <w:rFonts w:hint="default" w:ascii="Times New Roman" w:hAnsi="Times New Roman" w:eastAsia="宋体" w:cs="Times New Roman"/>
                <w:color w:val="auto"/>
                <w:sz w:val="24"/>
                <w:szCs w:val="24"/>
                <w:highlight w:val="none"/>
                <w:lang w:val="en-US" w:eastAsia="zh-CN"/>
              </w:rPr>
              <w:t>储存场所地面防渗不当，造成</w:t>
            </w:r>
            <w:r>
              <w:rPr>
                <w:rFonts w:hint="eastAsia" w:ascii="Times New Roman" w:hAnsi="Times New Roman" w:eastAsia="宋体" w:cs="Times New Roman"/>
                <w:color w:val="auto"/>
                <w:sz w:val="24"/>
                <w:szCs w:val="24"/>
                <w:highlight w:val="none"/>
                <w:lang w:val="en-US" w:eastAsia="zh-CN"/>
              </w:rPr>
              <w:t>物料</w:t>
            </w:r>
            <w:r>
              <w:rPr>
                <w:rFonts w:hint="default" w:ascii="Times New Roman" w:hAnsi="Times New Roman" w:eastAsia="宋体" w:cs="Times New Roman"/>
                <w:color w:val="auto"/>
                <w:sz w:val="24"/>
                <w:szCs w:val="24"/>
                <w:highlight w:val="none"/>
                <w:lang w:val="en-US" w:eastAsia="zh-CN"/>
              </w:rPr>
              <w:t>下渗污染地下水和土壤。</w:t>
            </w:r>
          </w:p>
          <w:p w14:paraId="7D9F4D17">
            <w:pPr>
              <w:keepNext w:val="0"/>
              <w:keepLines w:val="0"/>
              <w:pageBreakBefore w:val="0"/>
              <w:widowControl w:val="0"/>
              <w:suppressLineNumbers w:val="0"/>
              <w:tabs>
                <w:tab w:val="left" w:pos="900"/>
              </w:tabs>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5.2污染物类型及危害</w:t>
            </w:r>
          </w:p>
          <w:p w14:paraId="21379D92">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本项目可能对地下水和土壤造成影响的途径为事故状态下泄漏或</w:t>
            </w:r>
            <w:r>
              <w:rPr>
                <w:rFonts w:hint="default" w:ascii="Times New Roman" w:hAnsi="Times New Roman" w:eastAsia="宋体" w:cs="Times New Roman"/>
                <w:color w:val="auto"/>
                <w:sz w:val="24"/>
                <w:szCs w:val="24"/>
                <w:highlight w:val="none"/>
                <w:lang w:val="en-US" w:eastAsia="zh-CN"/>
              </w:rPr>
              <w:t>防渗失效导致</w:t>
            </w:r>
            <w:r>
              <w:rPr>
                <w:rFonts w:hint="default" w:ascii="Times New Roman" w:hAnsi="Times New Roman" w:eastAsia="宋体" w:cs="Times New Roman"/>
                <w:color w:val="auto"/>
                <w:sz w:val="24"/>
                <w:szCs w:val="24"/>
                <w:highlight w:val="none"/>
              </w:rPr>
              <w:t>泄漏</w:t>
            </w:r>
            <w:r>
              <w:rPr>
                <w:rFonts w:hint="default" w:ascii="Times New Roman" w:hAnsi="Times New Roman" w:eastAsia="宋体" w:cs="Times New Roman"/>
                <w:color w:val="auto"/>
                <w:sz w:val="24"/>
                <w:szCs w:val="24"/>
                <w:highlight w:val="none"/>
                <w:lang w:val="en-US" w:eastAsia="zh-CN"/>
              </w:rPr>
              <w:t>物</w:t>
            </w:r>
            <w:r>
              <w:rPr>
                <w:rFonts w:hint="default" w:ascii="Times New Roman" w:hAnsi="Times New Roman" w:eastAsia="宋体" w:cs="Times New Roman"/>
                <w:color w:val="auto"/>
                <w:sz w:val="24"/>
                <w:szCs w:val="24"/>
                <w:highlight w:val="none"/>
              </w:rPr>
              <w:t>下渗影响地下水和土壤，项目占地范围内可能产生的渗漏环节详见表4-</w:t>
            </w:r>
            <w:r>
              <w:rPr>
                <w:rFonts w:hint="eastAsia"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w:t>
            </w:r>
          </w:p>
          <w:p w14:paraId="19EA1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表4-</w:t>
            </w:r>
            <w:r>
              <w:rPr>
                <w:rFonts w:hint="eastAsia" w:cs="Times New Roman"/>
                <w:b/>
                <w:bCs/>
                <w:color w:val="auto"/>
                <w:sz w:val="24"/>
                <w:szCs w:val="24"/>
                <w:highlight w:val="none"/>
                <w:lang w:val="en-US" w:eastAsia="zh-CN"/>
              </w:rPr>
              <w:t>18</w:t>
            </w:r>
            <w:r>
              <w:rPr>
                <w:rFonts w:hint="default" w:ascii="Times New Roman" w:hAnsi="Times New Roman" w:eastAsia="宋体" w:cs="Times New Roman"/>
                <w:b/>
                <w:bCs/>
                <w:color w:val="auto"/>
                <w:sz w:val="24"/>
                <w:szCs w:val="24"/>
                <w:highlight w:val="none"/>
              </w:rPr>
              <w:t xml:space="preserve">  污染物类型及危害</w:t>
            </w:r>
          </w:p>
          <w:tbl>
            <w:tblPr>
              <w:tblStyle w:val="3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327"/>
              <w:gridCol w:w="3266"/>
              <w:gridCol w:w="1295"/>
              <w:gridCol w:w="1607"/>
            </w:tblGrid>
            <w:tr w14:paraId="47C85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tcBorders>
                    <w:tl2br w:val="nil"/>
                    <w:tr2bl w:val="nil"/>
                  </w:tcBorders>
                  <w:noWrap w:val="0"/>
                  <w:vAlign w:val="center"/>
                </w:tcPr>
                <w:p w14:paraId="302955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327" w:type="dxa"/>
                  <w:tcBorders>
                    <w:tl2br w:val="nil"/>
                    <w:tr2bl w:val="nil"/>
                  </w:tcBorders>
                  <w:noWrap w:val="0"/>
                  <w:vAlign w:val="center"/>
                </w:tcPr>
                <w:p w14:paraId="755B51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污染源</w:t>
                  </w:r>
                </w:p>
              </w:tc>
              <w:tc>
                <w:tcPr>
                  <w:tcW w:w="3266" w:type="dxa"/>
                  <w:tcBorders>
                    <w:tl2br w:val="nil"/>
                    <w:tr2bl w:val="nil"/>
                  </w:tcBorders>
                  <w:noWrap w:val="0"/>
                  <w:vAlign w:val="center"/>
                </w:tcPr>
                <w:p w14:paraId="7F34AA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污染物类型</w:t>
                  </w:r>
                </w:p>
              </w:tc>
              <w:tc>
                <w:tcPr>
                  <w:tcW w:w="1295" w:type="dxa"/>
                  <w:tcBorders>
                    <w:tl2br w:val="nil"/>
                    <w:tr2bl w:val="nil"/>
                  </w:tcBorders>
                  <w:noWrap w:val="0"/>
                  <w:vAlign w:val="center"/>
                </w:tcPr>
                <w:p w14:paraId="3D7E80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污染途径</w:t>
                  </w:r>
                </w:p>
              </w:tc>
              <w:tc>
                <w:tcPr>
                  <w:tcW w:w="1607" w:type="dxa"/>
                  <w:tcBorders>
                    <w:tl2br w:val="nil"/>
                    <w:tr2bl w:val="nil"/>
                  </w:tcBorders>
                  <w:noWrap w:val="0"/>
                  <w:vAlign w:val="center"/>
                </w:tcPr>
                <w:p w14:paraId="7BDD00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主要影响</w:t>
                  </w:r>
                </w:p>
              </w:tc>
            </w:tr>
            <w:tr w14:paraId="5316E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tcBorders>
                    <w:tl2br w:val="nil"/>
                    <w:tr2bl w:val="nil"/>
                  </w:tcBorders>
                  <w:noWrap w:val="0"/>
                  <w:vAlign w:val="center"/>
                </w:tcPr>
                <w:p w14:paraId="01E138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27" w:type="dxa"/>
                  <w:tcBorders>
                    <w:tl2br w:val="nil"/>
                    <w:tr2bl w:val="nil"/>
                  </w:tcBorders>
                  <w:noWrap w:val="0"/>
                  <w:vAlign w:val="center"/>
                </w:tcPr>
                <w:p w14:paraId="4B88ED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危废间</w:t>
                  </w:r>
                </w:p>
              </w:tc>
              <w:tc>
                <w:tcPr>
                  <w:tcW w:w="3266" w:type="dxa"/>
                  <w:tcBorders>
                    <w:tl2br w:val="nil"/>
                    <w:tr2bl w:val="nil"/>
                  </w:tcBorders>
                  <w:noWrap w:val="0"/>
                  <w:vAlign w:val="center"/>
                </w:tcPr>
                <w:p w14:paraId="4B41A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废机油</w:t>
                  </w:r>
                </w:p>
              </w:tc>
              <w:tc>
                <w:tcPr>
                  <w:tcW w:w="1295" w:type="dxa"/>
                  <w:vMerge w:val="restart"/>
                  <w:tcBorders>
                    <w:tl2br w:val="nil"/>
                    <w:tr2bl w:val="nil"/>
                  </w:tcBorders>
                  <w:noWrap w:val="0"/>
                  <w:vAlign w:val="center"/>
                </w:tcPr>
                <w:p w14:paraId="2E5251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垂直入渗</w:t>
                  </w:r>
                </w:p>
              </w:tc>
              <w:tc>
                <w:tcPr>
                  <w:tcW w:w="1607" w:type="dxa"/>
                  <w:vMerge w:val="restart"/>
                  <w:tcBorders>
                    <w:tl2br w:val="nil"/>
                    <w:tr2bl w:val="nil"/>
                  </w:tcBorders>
                  <w:noWrap w:val="0"/>
                  <w:vAlign w:val="center"/>
                </w:tcPr>
                <w:p w14:paraId="6B9A05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污染地下水和土壤</w:t>
                  </w:r>
                </w:p>
              </w:tc>
            </w:tr>
            <w:tr w14:paraId="6F1623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tcBorders>
                    <w:tl2br w:val="nil"/>
                    <w:tr2bl w:val="nil"/>
                  </w:tcBorders>
                  <w:noWrap w:val="0"/>
                  <w:vAlign w:val="center"/>
                </w:tcPr>
                <w:p w14:paraId="688F73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1327" w:type="dxa"/>
                  <w:tcBorders>
                    <w:tl2br w:val="nil"/>
                    <w:tr2bl w:val="nil"/>
                  </w:tcBorders>
                  <w:noWrap w:val="0"/>
                  <w:vAlign w:val="center"/>
                </w:tcPr>
                <w:p w14:paraId="536F9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原料库</w:t>
                  </w:r>
                </w:p>
              </w:tc>
              <w:tc>
                <w:tcPr>
                  <w:tcW w:w="3266" w:type="dxa"/>
                  <w:tcBorders>
                    <w:tl2br w:val="nil"/>
                    <w:tr2bl w:val="nil"/>
                  </w:tcBorders>
                  <w:noWrap w:val="0"/>
                  <w:vAlign w:val="center"/>
                </w:tcPr>
                <w:p w14:paraId="4ACB89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机油、水性油墨、显色剂等</w:t>
                  </w:r>
                </w:p>
              </w:tc>
              <w:tc>
                <w:tcPr>
                  <w:tcW w:w="1295" w:type="dxa"/>
                  <w:vMerge w:val="continue"/>
                  <w:tcBorders>
                    <w:tl2br w:val="nil"/>
                    <w:tr2bl w:val="nil"/>
                  </w:tcBorders>
                  <w:noWrap w:val="0"/>
                  <w:vAlign w:val="center"/>
                </w:tcPr>
                <w:p w14:paraId="4E68D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607" w:type="dxa"/>
                  <w:vMerge w:val="continue"/>
                  <w:tcBorders>
                    <w:tl2br w:val="nil"/>
                    <w:tr2bl w:val="nil"/>
                  </w:tcBorders>
                  <w:noWrap w:val="0"/>
                  <w:vAlign w:val="center"/>
                </w:tcPr>
                <w:p w14:paraId="5DFA84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05ED0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dxa"/>
                  <w:tcBorders>
                    <w:tl2br w:val="nil"/>
                    <w:tr2bl w:val="nil"/>
                  </w:tcBorders>
                  <w:noWrap w:val="0"/>
                  <w:vAlign w:val="center"/>
                </w:tcPr>
                <w:p w14:paraId="0626F3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327" w:type="dxa"/>
                  <w:tcBorders>
                    <w:tl2br w:val="nil"/>
                    <w:tr2bl w:val="nil"/>
                  </w:tcBorders>
                  <w:noWrap w:val="0"/>
                  <w:vAlign w:val="center"/>
                </w:tcPr>
                <w:p w14:paraId="75DB28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污水处理站</w:t>
                  </w:r>
                </w:p>
              </w:tc>
              <w:tc>
                <w:tcPr>
                  <w:tcW w:w="3266" w:type="dxa"/>
                  <w:tcBorders>
                    <w:tl2br w:val="nil"/>
                    <w:tr2bl w:val="nil"/>
                  </w:tcBorders>
                  <w:noWrap w:val="0"/>
                  <w:vAlign w:val="center"/>
                </w:tcPr>
                <w:p w14:paraId="2002B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r>
                    <w:rPr>
                      <w:rFonts w:hint="eastAsia" w:ascii="Times New Roman" w:hAnsi="Times New Roman" w:eastAsia="宋体" w:cs="Times New Roman"/>
                      <w:color w:val="auto"/>
                      <w:sz w:val="21"/>
                      <w:szCs w:val="21"/>
                      <w:highlight w:val="none"/>
                      <w:lang w:val="en-US" w:eastAsia="zh-CN"/>
                    </w:rPr>
                    <w:t>cr</w:t>
                  </w:r>
                  <w:r>
                    <w:rPr>
                      <w:rFonts w:hint="default" w:ascii="Times New Roman" w:hAnsi="Times New Roman" w:eastAsia="宋体" w:cs="Times New Roman"/>
                      <w:color w:val="auto"/>
                      <w:sz w:val="21"/>
                      <w:szCs w:val="21"/>
                      <w:highlight w:val="none"/>
                      <w:lang w:val="en-US" w:eastAsia="zh-CN"/>
                    </w:rPr>
                    <w:t>、BOD</w:t>
                  </w:r>
                  <w:r>
                    <w:rPr>
                      <w:rFonts w:hint="eastAsia"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、氨氮、</w:t>
                  </w:r>
                  <w:r>
                    <w:rPr>
                      <w:rFonts w:hint="eastAsia" w:ascii="Times New Roman" w:hAnsi="Times New Roman" w:cs="Times New Roman"/>
                      <w:color w:val="auto"/>
                      <w:sz w:val="21"/>
                      <w:szCs w:val="21"/>
                      <w:highlight w:val="none"/>
                      <w:lang w:val="en-US" w:eastAsia="zh-CN"/>
                    </w:rPr>
                    <w:t>TP、</w:t>
                  </w:r>
                  <w:r>
                    <w:rPr>
                      <w:rFonts w:hint="eastAsia" w:cs="Times New Roman"/>
                      <w:color w:val="auto"/>
                      <w:sz w:val="21"/>
                      <w:szCs w:val="21"/>
                      <w:highlight w:val="none"/>
                      <w:lang w:val="en-US" w:eastAsia="zh-CN"/>
                    </w:rPr>
                    <w:t>石油类</w:t>
                  </w:r>
                </w:p>
              </w:tc>
              <w:tc>
                <w:tcPr>
                  <w:tcW w:w="1295" w:type="dxa"/>
                  <w:vMerge w:val="continue"/>
                  <w:tcBorders>
                    <w:tl2br w:val="nil"/>
                    <w:tr2bl w:val="nil"/>
                  </w:tcBorders>
                  <w:noWrap w:val="0"/>
                  <w:vAlign w:val="center"/>
                </w:tcPr>
                <w:p w14:paraId="2A97B3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607" w:type="dxa"/>
                  <w:vMerge w:val="continue"/>
                  <w:tcBorders>
                    <w:tl2br w:val="nil"/>
                    <w:tr2bl w:val="nil"/>
                  </w:tcBorders>
                  <w:noWrap w:val="0"/>
                  <w:vAlign w:val="center"/>
                </w:tcPr>
                <w:p w14:paraId="216B1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r>
          </w:tbl>
          <w:p w14:paraId="4EFCC61E">
            <w:pPr>
              <w:pStyle w:val="18"/>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危废间</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污水处理站</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原料库</w:t>
            </w:r>
            <w:r>
              <w:rPr>
                <w:rFonts w:hint="default" w:ascii="Times New Roman" w:hAnsi="Times New Roman" w:eastAsia="宋体" w:cs="Times New Roman"/>
                <w:color w:val="auto"/>
                <w:sz w:val="24"/>
                <w:szCs w:val="24"/>
                <w:highlight w:val="none"/>
                <w:lang w:val="en-US" w:eastAsia="zh-CN"/>
              </w:rPr>
              <w:t>等处可能会对</w:t>
            </w:r>
            <w:r>
              <w:rPr>
                <w:rFonts w:hint="default" w:ascii="Times New Roman" w:hAnsi="Times New Roman" w:eastAsia="宋体" w:cs="Times New Roman"/>
                <w:color w:val="auto"/>
                <w:sz w:val="24"/>
                <w:szCs w:val="24"/>
                <w:highlight w:val="none"/>
              </w:rPr>
              <w:t>地下水和土壤造成污染，应建设严格的防渗漏设施，使可能产生渗漏的环节均得到有效控制，从而避免跑、冒、滴、漏现象的发生。</w:t>
            </w:r>
          </w:p>
          <w:p w14:paraId="6E1FAAC9">
            <w:pPr>
              <w:keepNext w:val="0"/>
              <w:keepLines w:val="0"/>
              <w:pageBreakBefore w:val="0"/>
              <w:suppressLineNumbers w:val="0"/>
              <w:tabs>
                <w:tab w:val="left" w:pos="885"/>
              </w:tabs>
              <w:kinsoku/>
              <w:overflowPunct/>
              <w:topLinePunct w:val="0"/>
              <w:bidi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分区防控及措施</w:t>
            </w:r>
          </w:p>
          <w:p w14:paraId="763D588E">
            <w:pPr>
              <w:keepNext w:val="0"/>
              <w:keepLines w:val="0"/>
              <w:pageBreakBefore w:val="0"/>
              <w:suppressLineNumbers w:val="0"/>
              <w:tabs>
                <w:tab w:val="left" w:pos="885"/>
              </w:tabs>
              <w:kinsoku/>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下水、土壤保护与污染防治按照“源头控制、分区防治、污染监控、应急响应”的原则。运行过程中要建立健全地下水、土壤保护与污染防治的措施与方法；必须采取必要监测制度，一旦发现土壤、地下水遭受污染，就应及时采取措施，防微杜渐；尽量减少污染物进入土壤及地下含水层的</w:t>
            </w:r>
            <w:r>
              <w:rPr>
                <w:rFonts w:hint="eastAsia" w:ascii="Times New Roman" w:hAnsi="Times New Roman" w:eastAsia="宋体" w:cs="Times New Roman"/>
                <w:color w:val="auto"/>
                <w:sz w:val="24"/>
                <w:szCs w:val="24"/>
                <w:highlight w:val="none"/>
                <w:lang w:val="en-US" w:eastAsia="zh-CN"/>
              </w:rPr>
              <w:t>机会</w:t>
            </w:r>
            <w:r>
              <w:rPr>
                <w:rFonts w:hint="default" w:ascii="Times New Roman" w:hAnsi="Times New Roman" w:eastAsia="宋体" w:cs="Times New Roman"/>
                <w:color w:val="auto"/>
                <w:sz w:val="24"/>
                <w:szCs w:val="24"/>
                <w:highlight w:val="none"/>
              </w:rPr>
              <w:t>和数量。主要采取以下措施：</w:t>
            </w:r>
          </w:p>
          <w:p w14:paraId="23105405">
            <w:pPr>
              <w:keepNext w:val="0"/>
              <w:keepLines w:val="0"/>
              <w:pageBreakBefore w:val="0"/>
              <w:suppressLineNumbers w:val="0"/>
              <w:tabs>
                <w:tab w:val="left" w:pos="885"/>
              </w:tabs>
              <w:kinsoku/>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（1）源头控制措施</w:t>
            </w:r>
          </w:p>
          <w:p w14:paraId="0D9D6550">
            <w:pPr>
              <w:keepNext w:val="0"/>
              <w:keepLines w:val="0"/>
              <w:pageBreakBefore w:val="0"/>
              <w:suppressLineNumbers w:val="0"/>
              <w:tabs>
                <w:tab w:val="left" w:pos="885"/>
              </w:tabs>
              <w:kinsoku/>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定期对</w:t>
            </w:r>
            <w:r>
              <w:rPr>
                <w:rFonts w:hint="default" w:ascii="Times New Roman" w:hAnsi="Times New Roman" w:eastAsia="宋体" w:cs="Times New Roman"/>
                <w:color w:val="auto"/>
                <w:sz w:val="24"/>
                <w:szCs w:val="24"/>
                <w:highlight w:val="none"/>
                <w:lang w:val="en-US" w:eastAsia="zh-CN"/>
              </w:rPr>
              <w:t>危废间、</w:t>
            </w:r>
            <w:r>
              <w:rPr>
                <w:rFonts w:hint="eastAsia" w:cs="Times New Roman"/>
                <w:color w:val="auto"/>
                <w:sz w:val="24"/>
                <w:szCs w:val="24"/>
                <w:highlight w:val="none"/>
                <w:lang w:val="en-US" w:eastAsia="zh-CN"/>
              </w:rPr>
              <w:t>原料库</w:t>
            </w:r>
            <w:r>
              <w:rPr>
                <w:rFonts w:hint="eastAsia" w:ascii="Times New Roman" w:hAnsi="Times New Roman" w:cs="Times New Roman"/>
                <w:color w:val="auto"/>
                <w:sz w:val="24"/>
                <w:szCs w:val="24"/>
                <w:highlight w:val="none"/>
                <w:lang w:val="en-US" w:eastAsia="zh-CN"/>
              </w:rPr>
              <w:t>、化粪池、污水处理站</w:t>
            </w:r>
            <w:r>
              <w:rPr>
                <w:rFonts w:hint="default" w:ascii="Times New Roman" w:hAnsi="Times New Roman" w:eastAsia="宋体" w:cs="Times New Roman"/>
                <w:color w:val="auto"/>
                <w:sz w:val="24"/>
                <w:szCs w:val="24"/>
                <w:highlight w:val="none"/>
              </w:rPr>
              <w:t>等</w:t>
            </w:r>
            <w:r>
              <w:rPr>
                <w:rFonts w:hint="default" w:ascii="Times New Roman" w:hAnsi="Times New Roman" w:eastAsia="宋体"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rPr>
              <w:t>的渗漏性进行检查，观察是否有污染物下渗地下水和土壤的情况。</w:t>
            </w:r>
          </w:p>
          <w:p w14:paraId="0947A7E9">
            <w:pPr>
              <w:keepNext w:val="0"/>
              <w:keepLines w:val="0"/>
              <w:pageBreakBefore w:val="0"/>
              <w:suppressLineNumbers w:val="0"/>
              <w:tabs>
                <w:tab w:val="left" w:pos="885"/>
              </w:tabs>
              <w:kinsoku/>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（2）分区防治措施</w:t>
            </w:r>
          </w:p>
          <w:p w14:paraId="1D7C7FF3">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 地下水环境》（HJ 610-2016），项目区可能泄漏至地面区域、污染物的性质和建筑物的构筑方式，结合所建项目总平面布置情况，将所建项目区分为重点防渗区、一般防渗区和简单防渗区。</w:t>
            </w:r>
          </w:p>
          <w:p w14:paraId="301178CC">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重点防渗区：</w:t>
            </w:r>
            <w:r>
              <w:rPr>
                <w:rFonts w:hint="default" w:ascii="Times New Roman" w:hAnsi="Times New Roman" w:eastAsia="宋体" w:cs="Times New Roman"/>
                <w:color w:val="auto"/>
                <w:sz w:val="24"/>
                <w:szCs w:val="24"/>
                <w:highlight w:val="none"/>
                <w:lang w:val="en-US" w:eastAsia="zh-CN"/>
              </w:rPr>
              <w:t>危废间</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污水处理站</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原料库</w:t>
            </w:r>
            <w:r>
              <w:rPr>
                <w:rFonts w:hint="default" w:ascii="Times New Roman" w:hAnsi="Times New Roman" w:eastAsia="宋体" w:cs="Times New Roman"/>
                <w:color w:val="auto"/>
                <w:sz w:val="24"/>
                <w:szCs w:val="24"/>
                <w:highlight w:val="none"/>
              </w:rPr>
              <w:t>；</w:t>
            </w:r>
          </w:p>
          <w:p w14:paraId="1C1C3A2B">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一般防渗区：</w:t>
            </w:r>
            <w:r>
              <w:rPr>
                <w:rFonts w:hint="eastAsia" w:cs="Times New Roman"/>
                <w:color w:val="auto"/>
                <w:sz w:val="24"/>
                <w:szCs w:val="24"/>
                <w:highlight w:val="none"/>
                <w:lang w:val="en-US" w:eastAsia="zh-CN"/>
              </w:rPr>
              <w:t>配料区、涂布区</w:t>
            </w:r>
            <w:r>
              <w:rPr>
                <w:rFonts w:hint="default" w:ascii="Times New Roman" w:hAnsi="Times New Roman" w:eastAsia="宋体" w:cs="Times New Roman"/>
                <w:color w:val="auto"/>
                <w:sz w:val="24"/>
                <w:szCs w:val="24"/>
                <w:highlight w:val="none"/>
              </w:rPr>
              <w:t>；</w:t>
            </w:r>
          </w:p>
          <w:p w14:paraId="7A7FED44">
            <w:pPr>
              <w:keepNext w:val="0"/>
              <w:keepLines w:val="0"/>
              <w:pageBreakBefore w:val="0"/>
              <w:suppressLineNumbers w:val="0"/>
              <w:kinsoku/>
              <w:overflowPunct/>
              <w:topLinePunct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简单防渗区：</w:t>
            </w:r>
            <w:r>
              <w:rPr>
                <w:rFonts w:hint="eastAsia" w:ascii="Times New Roman" w:hAnsi="Times New Roman" w:cs="Times New Roman"/>
                <w:color w:val="auto"/>
                <w:sz w:val="24"/>
                <w:szCs w:val="24"/>
                <w:highlight w:val="none"/>
                <w:lang w:val="en-US" w:eastAsia="zh-CN"/>
              </w:rPr>
              <w:t>其他区域</w:t>
            </w:r>
            <w:r>
              <w:rPr>
                <w:rFonts w:hint="default" w:ascii="Times New Roman" w:hAnsi="Times New Roman" w:eastAsia="宋体" w:cs="Times New Roman"/>
                <w:color w:val="auto"/>
                <w:sz w:val="24"/>
                <w:szCs w:val="24"/>
                <w:highlight w:val="none"/>
              </w:rPr>
              <w:t>。</w:t>
            </w:r>
          </w:p>
          <w:p w14:paraId="76B0A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表4-</w:t>
            </w:r>
            <w:r>
              <w:rPr>
                <w:rFonts w:hint="eastAsia" w:cs="Times New Roman"/>
                <w:b/>
                <w:bCs/>
                <w:color w:val="auto"/>
                <w:sz w:val="24"/>
                <w:szCs w:val="24"/>
                <w:highlight w:val="none"/>
                <w:lang w:val="en-US" w:eastAsia="zh-CN"/>
              </w:rPr>
              <w:t>19</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 xml:space="preserve"> 地下水和土壤污染防渗分区参照表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1199"/>
              <w:gridCol w:w="1042"/>
              <w:gridCol w:w="1375"/>
              <w:gridCol w:w="4312"/>
            </w:tblGrid>
            <w:tr w14:paraId="26C37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tcBorders>
                    <w:tl2br w:val="nil"/>
                    <w:tr2bl w:val="nil"/>
                  </w:tcBorders>
                  <w:noWrap w:val="0"/>
                  <w:vAlign w:val="center"/>
                </w:tcPr>
                <w:p w14:paraId="66D64CB7">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701" w:type="pct"/>
                  <w:tcBorders>
                    <w:tl2br w:val="nil"/>
                    <w:tr2bl w:val="nil"/>
                  </w:tcBorders>
                  <w:noWrap w:val="0"/>
                  <w:vAlign w:val="center"/>
                </w:tcPr>
                <w:p w14:paraId="4A49B57E">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主要环节</w:t>
                  </w:r>
                </w:p>
              </w:tc>
              <w:tc>
                <w:tcPr>
                  <w:tcW w:w="609" w:type="pct"/>
                  <w:tcBorders>
                    <w:tl2br w:val="nil"/>
                    <w:tr2bl w:val="nil"/>
                  </w:tcBorders>
                  <w:noWrap w:val="0"/>
                  <w:vAlign w:val="center"/>
                </w:tcPr>
                <w:p w14:paraId="7B3669A7">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分类</w:t>
                  </w:r>
                </w:p>
              </w:tc>
              <w:tc>
                <w:tcPr>
                  <w:tcW w:w="804" w:type="pct"/>
                  <w:tcBorders>
                    <w:tl2br w:val="nil"/>
                    <w:tr2bl w:val="nil"/>
                  </w:tcBorders>
                  <w:noWrap w:val="0"/>
                  <w:vAlign w:val="center"/>
                </w:tcPr>
                <w:p w14:paraId="4985A388">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污染途径</w:t>
                  </w:r>
                </w:p>
              </w:tc>
              <w:tc>
                <w:tcPr>
                  <w:tcW w:w="2521" w:type="pct"/>
                  <w:tcBorders>
                    <w:tl2br w:val="nil"/>
                    <w:tr2bl w:val="nil"/>
                  </w:tcBorders>
                  <w:noWrap w:val="0"/>
                  <w:vAlign w:val="center"/>
                </w:tcPr>
                <w:p w14:paraId="5B3440D7">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建议</w:t>
                  </w:r>
                  <w:r>
                    <w:rPr>
                      <w:rFonts w:hint="default" w:ascii="Times New Roman" w:hAnsi="Times New Roman" w:eastAsia="宋体" w:cs="Times New Roman"/>
                      <w:b/>
                      <w:bCs/>
                      <w:color w:val="auto"/>
                      <w:sz w:val="21"/>
                      <w:szCs w:val="21"/>
                      <w:highlight w:val="none"/>
                    </w:rPr>
                    <w:t>防渗措施</w:t>
                  </w:r>
                </w:p>
              </w:tc>
            </w:tr>
            <w:tr w14:paraId="2A5C8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tcBorders>
                    <w:tl2br w:val="nil"/>
                    <w:tr2bl w:val="nil"/>
                  </w:tcBorders>
                  <w:noWrap w:val="0"/>
                  <w:vAlign w:val="center"/>
                </w:tcPr>
                <w:p w14:paraId="7A426BC2">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01" w:type="pct"/>
                  <w:tcBorders>
                    <w:tl2br w:val="nil"/>
                    <w:tr2bl w:val="nil"/>
                  </w:tcBorders>
                  <w:noWrap w:val="0"/>
                  <w:vAlign w:val="center"/>
                </w:tcPr>
                <w:p w14:paraId="03F0C879">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危废间</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原料</w:t>
                  </w:r>
                  <w:r>
                    <w:rPr>
                      <w:rFonts w:hint="eastAsia" w:ascii="Times New Roman" w:hAnsi="Times New Roman" w:eastAsia="宋体" w:cs="Times New Roman"/>
                      <w:color w:val="auto"/>
                      <w:sz w:val="21"/>
                      <w:szCs w:val="21"/>
                      <w:highlight w:val="none"/>
                      <w:lang w:val="en-US" w:eastAsia="zh-CN"/>
                    </w:rPr>
                    <w:t>库</w:t>
                  </w:r>
                </w:p>
              </w:tc>
              <w:tc>
                <w:tcPr>
                  <w:tcW w:w="609" w:type="pct"/>
                  <w:tcBorders>
                    <w:tl2br w:val="nil"/>
                    <w:tr2bl w:val="nil"/>
                  </w:tcBorders>
                  <w:noWrap w:val="0"/>
                  <w:vAlign w:val="center"/>
                </w:tcPr>
                <w:p w14:paraId="03D9E152">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w:t>
                  </w:r>
                </w:p>
                <w:p w14:paraId="50A39D55">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防渗</w:t>
                  </w:r>
                </w:p>
              </w:tc>
              <w:tc>
                <w:tcPr>
                  <w:tcW w:w="804" w:type="pct"/>
                  <w:tcBorders>
                    <w:tl2br w:val="nil"/>
                    <w:tr2bl w:val="nil"/>
                  </w:tcBorders>
                  <w:noWrap w:val="0"/>
                  <w:vAlign w:val="center"/>
                </w:tcPr>
                <w:p w14:paraId="2A78D802">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危废泄漏</w:t>
                  </w:r>
                </w:p>
              </w:tc>
              <w:tc>
                <w:tcPr>
                  <w:tcW w:w="2521" w:type="pct"/>
                  <w:tcBorders>
                    <w:tl2br w:val="nil"/>
                    <w:tr2bl w:val="nil"/>
                  </w:tcBorders>
                  <w:noWrap w:val="0"/>
                  <w:vAlign w:val="center"/>
                </w:tcPr>
                <w:p w14:paraId="1158231F">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按照《危险废物贮存污染控制标准》（</w:t>
                  </w:r>
                  <w:r>
                    <w:rPr>
                      <w:rFonts w:hint="eastAsia" w:cs="Times New Roman"/>
                      <w:color w:val="auto"/>
                      <w:sz w:val="21"/>
                      <w:szCs w:val="21"/>
                      <w:highlight w:val="none"/>
                      <w:lang w:eastAsia="zh-CN"/>
                    </w:rPr>
                    <w:t>GB 18597-2023</w:t>
                  </w:r>
                  <w:r>
                    <w:rPr>
                      <w:rFonts w:hint="default" w:ascii="Times New Roman" w:hAnsi="Times New Roman" w:eastAsia="宋体" w:cs="Times New Roman"/>
                      <w:color w:val="auto"/>
                      <w:sz w:val="21"/>
                      <w:szCs w:val="21"/>
                      <w:highlight w:val="none"/>
                    </w:rPr>
                    <w:t>）及修改单要求进行防渗，基础必须防渗，防渗层为至少6m厚粘土层（渗透系数≤10</w:t>
                  </w:r>
                  <w:r>
                    <w:rPr>
                      <w:rFonts w:hint="eastAsia"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cm/s），或2mm厚高密度聚乙烯，或至少2毫米厚的其它人工材料，渗透系数≤10</w:t>
                  </w:r>
                  <w:r>
                    <w:rPr>
                      <w:rFonts w:hint="eastAsia"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w:t>
                  </w:r>
                </w:p>
              </w:tc>
            </w:tr>
            <w:tr w14:paraId="282A4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tcBorders>
                    <w:tl2br w:val="nil"/>
                    <w:tr2bl w:val="nil"/>
                  </w:tcBorders>
                  <w:noWrap w:val="0"/>
                  <w:vAlign w:val="center"/>
                </w:tcPr>
                <w:p w14:paraId="48A4A462">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701" w:type="pct"/>
                  <w:tcBorders>
                    <w:tl2br w:val="nil"/>
                    <w:tr2bl w:val="nil"/>
                  </w:tcBorders>
                  <w:noWrap w:val="0"/>
                  <w:vAlign w:val="center"/>
                </w:tcPr>
                <w:p w14:paraId="1019BC27">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污水处理站</w:t>
                  </w:r>
                </w:p>
              </w:tc>
              <w:tc>
                <w:tcPr>
                  <w:tcW w:w="609" w:type="pct"/>
                  <w:tcBorders>
                    <w:tl2br w:val="nil"/>
                    <w:tr2bl w:val="nil"/>
                  </w:tcBorders>
                  <w:noWrap w:val="0"/>
                  <w:vAlign w:val="center"/>
                </w:tcPr>
                <w:p w14:paraId="35C9765F">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w:t>
                  </w:r>
                </w:p>
                <w:p w14:paraId="05BC68EA">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防渗</w:t>
                  </w:r>
                </w:p>
              </w:tc>
              <w:tc>
                <w:tcPr>
                  <w:tcW w:w="804" w:type="pct"/>
                  <w:tcBorders>
                    <w:tl2br w:val="nil"/>
                    <w:tr2bl w:val="nil"/>
                  </w:tcBorders>
                  <w:noWrap w:val="0"/>
                  <w:vAlign w:val="center"/>
                </w:tcPr>
                <w:p w14:paraId="5B6E49D8">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高浓度废水</w:t>
                  </w:r>
                  <w:r>
                    <w:rPr>
                      <w:rFonts w:hint="eastAsia" w:cs="Times New Roman"/>
                      <w:color w:val="auto"/>
                      <w:sz w:val="21"/>
                      <w:szCs w:val="21"/>
                      <w:highlight w:val="none"/>
                      <w:lang w:val="en-US" w:eastAsia="zh-CN"/>
                    </w:rPr>
                    <w:t>泄漏</w:t>
                  </w:r>
                  <w:r>
                    <w:rPr>
                      <w:rFonts w:hint="eastAsia" w:ascii="Times New Roman" w:hAnsi="Times New Roman" w:cs="Times New Roman"/>
                      <w:color w:val="auto"/>
                      <w:sz w:val="21"/>
                      <w:szCs w:val="21"/>
                      <w:highlight w:val="none"/>
                      <w:lang w:val="en-US" w:eastAsia="zh-CN"/>
                    </w:rPr>
                    <w:t>、渗滤液</w:t>
                  </w:r>
                  <w:r>
                    <w:rPr>
                      <w:rFonts w:hint="eastAsia" w:cs="Times New Roman"/>
                      <w:color w:val="auto"/>
                      <w:sz w:val="21"/>
                      <w:szCs w:val="21"/>
                      <w:highlight w:val="none"/>
                      <w:lang w:val="en-US" w:eastAsia="zh-CN"/>
                    </w:rPr>
                    <w:t>泄漏</w:t>
                  </w:r>
                </w:p>
              </w:tc>
              <w:tc>
                <w:tcPr>
                  <w:tcW w:w="2521" w:type="pct"/>
                  <w:tcBorders>
                    <w:tl2br w:val="nil"/>
                    <w:tr2bl w:val="nil"/>
                  </w:tcBorders>
                  <w:noWrap w:val="0"/>
                  <w:vAlign w:val="center"/>
                </w:tcPr>
                <w:p w14:paraId="6DD51A1A">
                  <w:pPr>
                    <w:pStyle w:val="52"/>
                    <w:keepNext w:val="0"/>
                    <w:keepLines w:val="0"/>
                    <w:pageBreakBefore w:val="0"/>
                    <w:widowControl w:val="0"/>
                    <w:suppressLineNumbers w:val="0"/>
                    <w:tabs>
                      <w:tab w:val="left" w:pos="1617"/>
                    </w:tabs>
                    <w:kinsoku/>
                    <w:wordWrap w:val="0"/>
                    <w:overflowPunct/>
                    <w:topLinePunct w:val="0"/>
                    <w:bidi w:val="0"/>
                    <w:adjustRightInd/>
                    <w:snapToGrid/>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①抗渗混凝土</w:t>
                  </w:r>
                  <w:r>
                    <w:rPr>
                      <w:rFonts w:hint="default" w:ascii="Times New Roman" w:hAnsi="Times New Roman" w:eastAsia="宋体" w:cs="Times New Roman"/>
                      <w:color w:val="auto"/>
                      <w:sz w:val="21"/>
                      <w:szCs w:val="21"/>
                      <w:highlight w:val="none"/>
                      <w:lang w:val="sq-AL"/>
                    </w:rPr>
                    <w:t>的抗渗等级不宜小于P10，其厚度不宜小于150mm。</w:t>
                  </w:r>
                </w:p>
                <w:p w14:paraId="60D7AF75">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lang w:val="sq-AL"/>
                    </w:rPr>
                    <w:t>严格按照建筑防渗设计规范，采用严格的防渗措施，参照《石油化工工程防渗技术规范》（</w:t>
                  </w:r>
                  <w:r>
                    <w:rPr>
                      <w:rFonts w:hint="default" w:ascii="Times New Roman" w:hAnsi="Times New Roman" w:eastAsia="宋体" w:cs="Times New Roman"/>
                      <w:color w:val="auto"/>
                      <w:sz w:val="21"/>
                      <w:szCs w:val="21"/>
                      <w:highlight w:val="none"/>
                      <w:lang w:val="sq-AL" w:eastAsia="zh-CN"/>
                    </w:rPr>
                    <w:t>GB/T 50934-2013</w:t>
                  </w:r>
                  <w:r>
                    <w:rPr>
                      <w:rFonts w:hint="default" w:ascii="Times New Roman" w:hAnsi="Times New Roman" w:eastAsia="宋体" w:cs="Times New Roman"/>
                      <w:color w:val="auto"/>
                      <w:sz w:val="21"/>
                      <w:szCs w:val="21"/>
                      <w:highlight w:val="none"/>
                      <w:lang w:val="sq-AL"/>
                    </w:rPr>
                    <w:t>）属于重点污染防治区，防渗性能与6.0m厚粘土层</w:t>
                  </w:r>
                  <w:r>
                    <w:rPr>
                      <w:rFonts w:hint="eastAsia" w:cs="Times New Roman"/>
                      <w:color w:val="auto"/>
                      <w:sz w:val="21"/>
                      <w:szCs w:val="21"/>
                      <w:highlight w:val="none"/>
                      <w:lang w:val="sq-AL" w:eastAsia="zh-CN"/>
                    </w:rPr>
                    <w:t>（</w:t>
                  </w:r>
                  <w:r>
                    <w:rPr>
                      <w:rFonts w:hint="default" w:ascii="Times New Roman" w:hAnsi="Times New Roman" w:eastAsia="宋体" w:cs="Times New Roman"/>
                      <w:color w:val="auto"/>
                      <w:sz w:val="21"/>
                      <w:szCs w:val="21"/>
                      <w:highlight w:val="none"/>
                      <w:lang w:val="sq-AL"/>
                    </w:rPr>
                    <w:t>渗透系数1.0×</w:t>
                  </w:r>
                  <w:r>
                    <w:rPr>
                      <w:rFonts w:hint="default" w:ascii="Times New Roman" w:hAnsi="Times New Roman" w:eastAsia="宋体" w:cs="Times New Roman"/>
                      <w:color w:val="auto"/>
                      <w:sz w:val="21"/>
                      <w:szCs w:val="21"/>
                      <w:highlight w:val="none"/>
                    </w:rPr>
                    <w:t>10</w:t>
                  </w:r>
                  <w:r>
                    <w:rPr>
                      <w:rFonts w:hint="eastAsia"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lang w:val="sq-AL"/>
                    </w:rPr>
                    <w:t>cm/s</w:t>
                  </w:r>
                  <w:r>
                    <w:rPr>
                      <w:rFonts w:hint="eastAsia" w:cs="Times New Roman"/>
                      <w:color w:val="auto"/>
                      <w:sz w:val="21"/>
                      <w:szCs w:val="21"/>
                      <w:highlight w:val="none"/>
                      <w:lang w:val="sq-AL" w:eastAsia="zh-CN"/>
                    </w:rPr>
                    <w:t>）</w:t>
                  </w:r>
                  <w:r>
                    <w:rPr>
                      <w:rFonts w:hint="default" w:ascii="Times New Roman" w:hAnsi="Times New Roman" w:eastAsia="宋体" w:cs="Times New Roman"/>
                      <w:color w:val="auto"/>
                      <w:sz w:val="21"/>
                      <w:szCs w:val="21"/>
                      <w:highlight w:val="none"/>
                      <w:lang w:val="sq-AL"/>
                    </w:rPr>
                    <w:t>等效</w:t>
                  </w:r>
                </w:p>
              </w:tc>
            </w:tr>
            <w:tr w14:paraId="38EE5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tcBorders>
                    <w:tl2br w:val="nil"/>
                    <w:tr2bl w:val="nil"/>
                  </w:tcBorders>
                  <w:noWrap w:val="0"/>
                  <w:vAlign w:val="center"/>
                </w:tcPr>
                <w:p w14:paraId="1AB58BAA">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701" w:type="pct"/>
                  <w:tcBorders>
                    <w:tl2br w:val="nil"/>
                    <w:tr2bl w:val="nil"/>
                  </w:tcBorders>
                  <w:noWrap w:val="0"/>
                  <w:vAlign w:val="center"/>
                </w:tcPr>
                <w:p w14:paraId="2E3323FD">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配料区、涂布区</w:t>
                  </w:r>
                </w:p>
              </w:tc>
              <w:tc>
                <w:tcPr>
                  <w:tcW w:w="609" w:type="pct"/>
                  <w:tcBorders>
                    <w:tl2br w:val="nil"/>
                    <w:tr2bl w:val="nil"/>
                  </w:tcBorders>
                  <w:noWrap w:val="0"/>
                  <w:vAlign w:val="center"/>
                </w:tcPr>
                <w:p w14:paraId="1E0C844C">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一般防渗区</w:t>
                  </w:r>
                </w:p>
              </w:tc>
              <w:tc>
                <w:tcPr>
                  <w:tcW w:w="804" w:type="pct"/>
                  <w:tcBorders>
                    <w:tl2br w:val="nil"/>
                    <w:tr2bl w:val="nil"/>
                  </w:tcBorders>
                  <w:noWrap w:val="0"/>
                  <w:vAlign w:val="center"/>
                </w:tcPr>
                <w:p w14:paraId="3E762BC0">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w:t>
                  </w:r>
                </w:p>
              </w:tc>
              <w:tc>
                <w:tcPr>
                  <w:tcW w:w="2521" w:type="pct"/>
                  <w:tcBorders>
                    <w:tl2br w:val="nil"/>
                    <w:tr2bl w:val="nil"/>
                  </w:tcBorders>
                  <w:noWrap w:val="0"/>
                  <w:vAlign w:val="center"/>
                </w:tcPr>
                <w:p w14:paraId="611BCF89">
                  <w:pPr>
                    <w:pStyle w:val="52"/>
                    <w:keepNext w:val="0"/>
                    <w:keepLines w:val="0"/>
                    <w:pageBreakBefore w:val="0"/>
                    <w:widowControl w:val="0"/>
                    <w:suppressLineNumbers w:val="0"/>
                    <w:tabs>
                      <w:tab w:val="left" w:pos="1617"/>
                    </w:tabs>
                    <w:kinsoku/>
                    <w:wordWrap w:val="0"/>
                    <w:overflowPunct/>
                    <w:topLinePunct w:val="0"/>
                    <w:bidi w:val="0"/>
                    <w:adjustRightInd/>
                    <w:snapToGrid/>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①抗渗混凝土</w:t>
                  </w:r>
                  <w:r>
                    <w:rPr>
                      <w:rFonts w:hint="default" w:ascii="Times New Roman" w:hAnsi="Times New Roman" w:eastAsia="宋体" w:cs="Times New Roman"/>
                      <w:color w:val="auto"/>
                      <w:sz w:val="21"/>
                      <w:szCs w:val="21"/>
                      <w:highlight w:val="none"/>
                      <w:lang w:val="sq-AL"/>
                    </w:rPr>
                    <w:t>的抗渗等级不宜小于P</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sq-AL"/>
                    </w:rPr>
                    <w:t>，其厚度不宜小于1</w:t>
                  </w:r>
                  <w:r>
                    <w:rPr>
                      <w:rFonts w:hint="default" w:ascii="Times New Roman" w:hAnsi="Times New Roman" w:eastAsia="宋体"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sq-AL"/>
                    </w:rPr>
                    <w:t>mm。</w:t>
                  </w:r>
                </w:p>
                <w:p w14:paraId="7AED2A9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lang w:val="sq-AL"/>
                    </w:rPr>
                    <w:t>严格按照建筑防渗设计规范，采用严格的防渗措施，参照《石油化工工程防渗技术规范》（</w:t>
                  </w:r>
                  <w:r>
                    <w:rPr>
                      <w:rFonts w:hint="default" w:ascii="Times New Roman" w:hAnsi="Times New Roman" w:eastAsia="宋体" w:cs="Times New Roman"/>
                      <w:color w:val="auto"/>
                      <w:sz w:val="21"/>
                      <w:szCs w:val="21"/>
                      <w:highlight w:val="none"/>
                      <w:lang w:val="sq-AL" w:eastAsia="zh-CN"/>
                    </w:rPr>
                    <w:t>GB/T 50934-2013</w:t>
                  </w:r>
                  <w:r>
                    <w:rPr>
                      <w:rFonts w:hint="default" w:ascii="Times New Roman" w:hAnsi="Times New Roman" w:eastAsia="宋体" w:cs="Times New Roman"/>
                      <w:color w:val="auto"/>
                      <w:sz w:val="21"/>
                      <w:szCs w:val="21"/>
                      <w:highlight w:val="none"/>
                      <w:lang w:val="sq-AL"/>
                    </w:rPr>
                    <w:t>）属于</w:t>
                  </w:r>
                  <w:r>
                    <w:rPr>
                      <w:rFonts w:hint="default" w:ascii="Times New Roman" w:hAnsi="Times New Roman" w:eastAsia="宋体" w:cs="Times New Roman"/>
                      <w:color w:val="auto"/>
                      <w:sz w:val="21"/>
                      <w:szCs w:val="21"/>
                      <w:highlight w:val="none"/>
                      <w:lang w:val="en-US" w:eastAsia="zh-CN"/>
                    </w:rPr>
                    <w:t>一般</w:t>
                  </w:r>
                  <w:r>
                    <w:rPr>
                      <w:rFonts w:hint="default" w:ascii="Times New Roman" w:hAnsi="Times New Roman" w:eastAsia="宋体" w:cs="Times New Roman"/>
                      <w:color w:val="auto"/>
                      <w:sz w:val="21"/>
                      <w:szCs w:val="21"/>
                      <w:highlight w:val="none"/>
                      <w:lang w:val="sq-AL"/>
                    </w:rPr>
                    <w:t>污染防治区，防渗性能与</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sq-AL"/>
                    </w:rPr>
                    <w:t>m厚粘土层</w:t>
                  </w:r>
                  <w:r>
                    <w:rPr>
                      <w:rFonts w:hint="eastAsia" w:cs="Times New Roman"/>
                      <w:color w:val="auto"/>
                      <w:sz w:val="21"/>
                      <w:szCs w:val="21"/>
                      <w:highlight w:val="none"/>
                      <w:lang w:val="sq-AL" w:eastAsia="zh-CN"/>
                    </w:rPr>
                    <w:t>（</w:t>
                  </w:r>
                  <w:r>
                    <w:rPr>
                      <w:rFonts w:hint="default" w:ascii="Times New Roman" w:hAnsi="Times New Roman" w:eastAsia="宋体" w:cs="Times New Roman"/>
                      <w:color w:val="auto"/>
                      <w:sz w:val="21"/>
                      <w:szCs w:val="21"/>
                      <w:highlight w:val="none"/>
                      <w:lang w:val="sq-AL"/>
                    </w:rPr>
                    <w:t>渗透系数1.0×</w:t>
                  </w:r>
                  <w:r>
                    <w:rPr>
                      <w:rFonts w:hint="default" w:ascii="Times New Roman" w:hAnsi="Times New Roman" w:eastAsia="宋体" w:cs="Times New Roman"/>
                      <w:color w:val="auto"/>
                      <w:sz w:val="21"/>
                      <w:szCs w:val="21"/>
                      <w:highlight w:val="none"/>
                    </w:rPr>
                    <w:t>10</w:t>
                  </w:r>
                  <w:r>
                    <w:rPr>
                      <w:rFonts w:hint="eastAsia"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lang w:val="sq-AL"/>
                    </w:rPr>
                    <w:t>cm/s</w:t>
                  </w:r>
                  <w:r>
                    <w:rPr>
                      <w:rFonts w:hint="eastAsia" w:cs="Times New Roman"/>
                      <w:color w:val="auto"/>
                      <w:sz w:val="21"/>
                      <w:szCs w:val="21"/>
                      <w:highlight w:val="none"/>
                      <w:lang w:val="sq-AL" w:eastAsia="zh-CN"/>
                    </w:rPr>
                    <w:t>）</w:t>
                  </w:r>
                  <w:r>
                    <w:rPr>
                      <w:rFonts w:hint="default" w:ascii="Times New Roman" w:hAnsi="Times New Roman" w:eastAsia="宋体" w:cs="Times New Roman"/>
                      <w:color w:val="auto"/>
                      <w:sz w:val="21"/>
                      <w:szCs w:val="21"/>
                      <w:highlight w:val="none"/>
                      <w:lang w:val="sq-AL"/>
                    </w:rPr>
                    <w:t>等效</w:t>
                  </w:r>
                </w:p>
              </w:tc>
            </w:tr>
            <w:tr w14:paraId="530FF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tcBorders>
                    <w:tl2br w:val="nil"/>
                    <w:tr2bl w:val="nil"/>
                  </w:tcBorders>
                  <w:noWrap w:val="0"/>
                  <w:vAlign w:val="center"/>
                </w:tcPr>
                <w:p w14:paraId="0F26AC5F">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701" w:type="pct"/>
                  <w:tcBorders>
                    <w:tl2br w:val="nil"/>
                    <w:tr2bl w:val="nil"/>
                  </w:tcBorders>
                  <w:noWrap w:val="0"/>
                  <w:vAlign w:val="center"/>
                </w:tcPr>
                <w:p w14:paraId="09CE7E38">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其他区域</w:t>
                  </w:r>
                </w:p>
              </w:tc>
              <w:tc>
                <w:tcPr>
                  <w:tcW w:w="609" w:type="pct"/>
                  <w:tcBorders>
                    <w:tl2br w:val="nil"/>
                    <w:tr2bl w:val="nil"/>
                  </w:tcBorders>
                  <w:noWrap w:val="0"/>
                  <w:vAlign w:val="center"/>
                </w:tcPr>
                <w:p w14:paraId="5A1CFC58">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简单防渗区</w:t>
                  </w:r>
                </w:p>
              </w:tc>
              <w:tc>
                <w:tcPr>
                  <w:tcW w:w="804" w:type="pct"/>
                  <w:tcBorders>
                    <w:tl2br w:val="nil"/>
                    <w:tr2bl w:val="nil"/>
                  </w:tcBorders>
                  <w:noWrap w:val="0"/>
                  <w:vAlign w:val="center"/>
                </w:tcPr>
                <w:p w14:paraId="7E477795">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521" w:type="pct"/>
                  <w:tcBorders>
                    <w:tl2br w:val="nil"/>
                    <w:tr2bl w:val="nil"/>
                  </w:tcBorders>
                  <w:noWrap w:val="0"/>
                  <w:vAlign w:val="center"/>
                </w:tcPr>
                <w:p w14:paraId="09E2E8C7">
                  <w:pPr>
                    <w:keepNext w:val="0"/>
                    <w:keepLines w:val="0"/>
                    <w:pageBreakBefore w:val="0"/>
                    <w:widowControl w:val="0"/>
                    <w:suppressLineNumbers w:val="0"/>
                    <w:kinsoku/>
                    <w:wordWrap w:val="0"/>
                    <w:overflowPunct/>
                    <w:topLinePunct w:val="0"/>
                    <w:bidi w:val="0"/>
                    <w:adjustRightInd/>
                    <w:snapToGrid/>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一般地面硬化</w:t>
                  </w:r>
                </w:p>
              </w:tc>
            </w:tr>
          </w:tbl>
          <w:p w14:paraId="0C4D2F80">
            <w:pPr>
              <w:keepNext w:val="0"/>
              <w:keepLines w:val="0"/>
              <w:pageBreakBefore w:val="0"/>
              <w:widowControl w:val="0"/>
              <w:suppressLineNumbers w:val="0"/>
              <w:kinsoku/>
              <w:wordWrap/>
              <w:overflowPunct/>
              <w:topLinePunct w:val="0"/>
              <w:autoSpaceDE w:val="0"/>
              <w:autoSpaceDN w:val="0"/>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b w:val="0"/>
                <w:bCs w:val="0"/>
                <w:i w:val="0"/>
                <w:iCs w:val="0"/>
                <w:color w:val="000000"/>
                <w:kern w:val="0"/>
                <w:sz w:val="24"/>
                <w:szCs w:val="24"/>
                <w:highlight w:val="none"/>
                <w:lang w:val="en-US" w:eastAsia="zh-CN"/>
              </w:rPr>
            </w:pPr>
            <w:r>
              <w:rPr>
                <w:rFonts w:hint="default" w:ascii="Times New Roman" w:hAnsi="Times New Roman" w:eastAsia="宋体" w:cs="Times New Roman"/>
                <w:b w:val="0"/>
                <w:bCs w:val="0"/>
                <w:i w:val="0"/>
                <w:iCs w:val="0"/>
                <w:color w:val="auto"/>
                <w:kern w:val="0"/>
                <w:sz w:val="24"/>
                <w:szCs w:val="24"/>
                <w:highlight w:val="none"/>
                <w:lang w:val="en-US" w:eastAsia="zh-CN"/>
              </w:rPr>
              <w:t>（5）跟踪监测要求</w:t>
            </w:r>
          </w:p>
          <w:p w14:paraId="2F604943">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b w:val="0"/>
                <w:bCs w:val="0"/>
                <w:color w:val="000000"/>
                <w:sz w:val="24"/>
                <w:szCs w:val="24"/>
                <w:highlight w:val="none"/>
                <w:lang w:val="en-US" w:eastAsia="zh-CN"/>
              </w:rPr>
              <w:t>项目建设单位在严格落实上述地下水污染防治措施的前提下，运营期污染物对地下水的影响可得到有效控制</w:t>
            </w:r>
            <w:r>
              <w:rPr>
                <w:rFonts w:hint="eastAsia" w:ascii="Times New Roman" w:hAnsi="Times New Roman" w:eastAsia="宋体" w:cs="Times New Roman"/>
                <w:b w:val="0"/>
                <w:bCs w:val="0"/>
                <w:color w:val="000000"/>
                <w:sz w:val="24"/>
                <w:szCs w:val="24"/>
                <w:highlight w:val="none"/>
                <w:lang w:val="en-US" w:eastAsia="zh-CN"/>
              </w:rPr>
              <w:t>，</w:t>
            </w:r>
            <w:r>
              <w:rPr>
                <w:rFonts w:hint="default" w:ascii="Times New Roman" w:hAnsi="Times New Roman" w:eastAsia="宋体" w:cs="Times New Roman"/>
                <w:b w:val="0"/>
                <w:bCs w:val="0"/>
                <w:color w:val="000000"/>
                <w:sz w:val="24"/>
                <w:szCs w:val="24"/>
                <w:highlight w:val="none"/>
                <w:lang w:val="en-US" w:eastAsia="zh-CN"/>
              </w:rPr>
              <w:t>本次评价不再要求进行土壤和地下水跟踪监测。</w:t>
            </w:r>
          </w:p>
          <w:p w14:paraId="2B2480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8" w:firstLineChars="200"/>
              <w:jc w:val="left"/>
              <w:textAlignment w:val="auto"/>
              <w:rPr>
                <w:rFonts w:hint="eastAsia" w:ascii="Times New Roman" w:hAnsi="Times New Roman" w:cs="宋体"/>
                <w:b/>
                <w:bCs w:val="0"/>
                <w:color w:val="auto"/>
                <w:spacing w:val="-11"/>
                <w:sz w:val="24"/>
                <w:szCs w:val="24"/>
                <w:lang w:val="en-US" w:eastAsia="zh-CN"/>
              </w:rPr>
            </w:pPr>
            <w:r>
              <w:rPr>
                <w:rFonts w:hint="eastAsia" w:ascii="Times New Roman" w:hAnsi="Times New Roman" w:cs="宋体"/>
                <w:b/>
                <w:bCs w:val="0"/>
                <w:color w:val="auto"/>
                <w:spacing w:val="-11"/>
                <w:sz w:val="24"/>
                <w:szCs w:val="24"/>
                <w:lang w:val="en-US" w:eastAsia="zh-CN"/>
              </w:rPr>
              <w:t>6、生态</w:t>
            </w:r>
          </w:p>
          <w:p w14:paraId="4E90CE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宋体"/>
                <w:b/>
                <w:bCs w:val="0"/>
                <w:color w:val="auto"/>
                <w:spacing w:val="-11"/>
                <w:sz w:val="24"/>
                <w:szCs w:val="24"/>
                <w:highlight w:val="none"/>
                <w:lang w:val="en-US" w:eastAsia="zh-CN"/>
              </w:rPr>
            </w:pPr>
            <w:r>
              <w:rPr>
                <w:rFonts w:hint="eastAsia" w:ascii="Times New Roman" w:hAnsi="Times New Roman" w:cs="Times New Roman"/>
                <w:color w:val="auto"/>
                <w:sz w:val="24"/>
                <w:szCs w:val="24"/>
                <w:lang w:val="en-US" w:eastAsia="zh-CN"/>
              </w:rPr>
              <w:t>项目选址位于城市建成区，</w:t>
            </w:r>
            <w:r>
              <w:rPr>
                <w:rFonts w:hint="eastAsia" w:ascii="Times New Roman" w:hAnsi="Times New Roman" w:cs="Times New Roman"/>
                <w:color w:val="auto"/>
                <w:sz w:val="24"/>
                <w:szCs w:val="24"/>
              </w:rPr>
              <w:t>项目</w:t>
            </w:r>
            <w:r>
              <w:rPr>
                <w:rFonts w:hint="eastAsia" w:ascii="Times New Roman" w:hAnsi="Times New Roman" w:cs="Times New Roman"/>
                <w:color w:val="auto"/>
                <w:sz w:val="24"/>
                <w:szCs w:val="24"/>
                <w:lang w:val="en-US" w:eastAsia="zh-CN"/>
              </w:rPr>
              <w:t>占地</w:t>
            </w:r>
            <w:r>
              <w:rPr>
                <w:rFonts w:hint="eastAsia" w:ascii="Times New Roman" w:hAnsi="Times New Roman" w:cs="Times New Roman"/>
                <w:color w:val="auto"/>
                <w:sz w:val="24"/>
                <w:szCs w:val="24"/>
              </w:rPr>
              <w:t>范围内无生态环境保护目标。营运期产生污染</w:t>
            </w:r>
            <w:r>
              <w:rPr>
                <w:rFonts w:hint="eastAsia" w:ascii="Times New Roman" w:hAnsi="Times New Roman" w:cs="Times New Roman"/>
                <w:color w:val="auto"/>
                <w:sz w:val="24"/>
                <w:szCs w:val="24"/>
                <w:highlight w:val="none"/>
              </w:rPr>
              <w:t>物较少，在采取有效防护措施后</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rPr>
              <w:t>对生态环境造成的危害较小。</w:t>
            </w:r>
          </w:p>
          <w:p w14:paraId="069829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8" w:firstLineChars="200"/>
              <w:jc w:val="left"/>
              <w:textAlignment w:val="auto"/>
              <w:rPr>
                <w:rFonts w:hint="default" w:ascii="Times New Roman" w:hAnsi="Times New Roman" w:cs="宋体"/>
                <w:b/>
                <w:bCs w:val="0"/>
                <w:color w:val="auto"/>
                <w:spacing w:val="-11"/>
                <w:sz w:val="24"/>
                <w:szCs w:val="24"/>
                <w:highlight w:val="none"/>
                <w:lang w:val="en-US" w:eastAsia="zh-CN"/>
              </w:rPr>
            </w:pPr>
            <w:r>
              <w:rPr>
                <w:rFonts w:hint="eastAsia" w:ascii="Times New Roman" w:hAnsi="Times New Roman" w:cs="宋体"/>
                <w:b/>
                <w:bCs w:val="0"/>
                <w:color w:val="auto"/>
                <w:spacing w:val="-11"/>
                <w:sz w:val="24"/>
                <w:szCs w:val="24"/>
                <w:highlight w:val="none"/>
                <w:lang w:val="en-US" w:eastAsia="zh-CN"/>
              </w:rPr>
              <w:t>7、环境风险</w:t>
            </w:r>
          </w:p>
          <w:p w14:paraId="190CEA66">
            <w:pPr>
              <w:keepNext w:val="0"/>
              <w:keepLines w:val="0"/>
              <w:suppressLineNumbers w:val="0"/>
              <w:tabs>
                <w:tab w:val="left" w:pos="1030"/>
              </w:tabs>
              <w:spacing w:before="0" w:beforeAutospacing="0" w:after="0" w:afterAutospacing="0" w:line="360" w:lineRule="auto"/>
              <w:ind w:left="0" w:right="0" w:firstLine="438" w:firstLineChars="200"/>
              <w:textAlignment w:val="baseline"/>
              <w:rPr>
                <w:rFonts w:hint="default" w:ascii="Times New Roman" w:hAnsi="Times New Roman" w:eastAsia="宋体" w:cs="宋体"/>
                <w:b/>
                <w:bCs w:val="0"/>
                <w:color w:val="auto"/>
                <w:spacing w:val="-11"/>
                <w:sz w:val="24"/>
                <w:szCs w:val="24"/>
                <w:highlight w:val="none"/>
                <w:lang w:val="en-US" w:eastAsia="zh-CN"/>
              </w:rPr>
            </w:pPr>
            <w:r>
              <w:rPr>
                <w:rFonts w:hint="eastAsia" w:ascii="Times New Roman" w:hAnsi="Times New Roman" w:eastAsia="宋体" w:cs="宋体"/>
                <w:b/>
                <w:bCs w:val="0"/>
                <w:color w:val="auto"/>
                <w:spacing w:val="-11"/>
                <w:sz w:val="24"/>
                <w:szCs w:val="24"/>
                <w:highlight w:val="none"/>
                <w:lang w:val="en-US" w:eastAsia="zh-CN"/>
              </w:rPr>
              <w:t>7.1评价依据</w:t>
            </w:r>
          </w:p>
          <w:p w14:paraId="330D2F41">
            <w:pPr>
              <w:keepNext w:val="0"/>
              <w:keepLines w:val="0"/>
              <w:suppressLineNumbers w:val="0"/>
              <w:tabs>
                <w:tab w:val="left" w:pos="1030"/>
              </w:tabs>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1）风险调查</w:t>
            </w:r>
          </w:p>
          <w:p w14:paraId="0AD9DF88">
            <w:pPr>
              <w:keepNext w:val="0"/>
              <w:keepLines w:val="0"/>
              <w:suppressLineNumbers w:val="0"/>
              <w:tabs>
                <w:tab w:val="left" w:pos="1030"/>
              </w:tabs>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highlight w:val="none"/>
                <w:lang w:val="en-US" w:eastAsia="zh-CN"/>
              </w:rPr>
              <w:t>风险调查包括建设项目</w:t>
            </w:r>
            <w:r>
              <w:rPr>
                <w:rFonts w:hint="default" w:ascii="Times New Roman" w:hAnsi="Times New Roman" w:eastAsia="宋体" w:cs="Times New Roman"/>
                <w:color w:val="auto"/>
                <w:sz w:val="24"/>
                <w:lang w:val="en-US" w:eastAsia="zh-CN"/>
              </w:rPr>
              <w:t>危险物质数量和分布情况、工艺特点。</w:t>
            </w:r>
          </w:p>
          <w:p w14:paraId="1B3F13A3">
            <w:pPr>
              <w:keepNext w:val="0"/>
              <w:keepLines w:val="0"/>
              <w:suppressLineNumbers w:val="0"/>
              <w:tabs>
                <w:tab w:val="left" w:pos="1030"/>
              </w:tabs>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①</w:t>
            </w:r>
            <w:r>
              <w:rPr>
                <w:rFonts w:hint="eastAsia" w:ascii="Times New Roman" w:hAnsi="Times New Roman" w:eastAsia="宋体" w:cs="Times New Roman"/>
                <w:color w:val="auto"/>
                <w:sz w:val="24"/>
                <w:lang w:val="en-US" w:eastAsia="zh-CN"/>
              </w:rPr>
              <w:t>风险</w:t>
            </w:r>
            <w:r>
              <w:rPr>
                <w:rFonts w:hint="default" w:ascii="Times New Roman" w:hAnsi="Times New Roman" w:eastAsia="宋体" w:cs="Times New Roman"/>
                <w:color w:val="auto"/>
                <w:sz w:val="24"/>
                <w:lang w:val="en-US" w:eastAsia="zh-CN"/>
              </w:rPr>
              <w:t>物质调查</w:t>
            </w:r>
          </w:p>
          <w:p w14:paraId="3D95F52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color w:val="auto"/>
                <w:kern w:val="2"/>
                <w:sz w:val="24"/>
                <w:szCs w:val="24"/>
                <w:lang w:val="en-US" w:eastAsia="zh-CN"/>
              </w:rPr>
            </w:pPr>
            <w:r>
              <w:rPr>
                <w:rFonts w:hint="default" w:ascii="Times New Roman" w:hAnsi="Times New Roman" w:eastAsia="宋体" w:cs="Times New Roman"/>
                <w:color w:val="auto"/>
                <w:sz w:val="24"/>
                <w:lang w:val="en-US" w:eastAsia="zh-CN"/>
              </w:rPr>
              <w:t>本项目涉及的危险物质主要为</w:t>
            </w:r>
            <w:r>
              <w:rPr>
                <w:rFonts w:hint="eastAsia" w:cs="Times New Roman"/>
                <w:color w:val="auto"/>
                <w:sz w:val="24"/>
                <w:lang w:val="en-US" w:eastAsia="zh-CN"/>
              </w:rPr>
              <w:t>机油和废机油</w:t>
            </w:r>
            <w:r>
              <w:rPr>
                <w:rFonts w:hint="default" w:ascii="Times New Roman" w:hAnsi="Times New Roman" w:eastAsia="宋体" w:cs="Times New Roman"/>
                <w:b w:val="0"/>
                <w:bCs/>
                <w:color w:val="auto"/>
                <w:kern w:val="2"/>
                <w:sz w:val="24"/>
                <w:szCs w:val="24"/>
                <w:lang w:val="en-US" w:eastAsia="zh-CN"/>
              </w:rPr>
              <w:t>。</w:t>
            </w:r>
          </w:p>
          <w:p w14:paraId="7222B6A8">
            <w:pPr>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表</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w:t>
            </w:r>
            <w:r>
              <w:rPr>
                <w:rFonts w:hint="eastAsia" w:cs="Times New Roman"/>
                <w:b/>
                <w:color w:val="auto"/>
                <w:sz w:val="24"/>
                <w:szCs w:val="24"/>
                <w:lang w:val="en-US" w:eastAsia="zh-CN"/>
              </w:rPr>
              <w:t>20</w:t>
            </w:r>
            <w:r>
              <w:rPr>
                <w:rFonts w:hint="eastAsia" w:ascii="Times New Roman" w:hAnsi="Times New Roman" w:eastAsia="宋体" w:cs="Times New Roman"/>
                <w:b/>
                <w:color w:val="auto"/>
                <w:sz w:val="24"/>
                <w:szCs w:val="24"/>
                <w:lang w:val="en-US" w:eastAsia="zh-CN"/>
              </w:rPr>
              <w:t xml:space="preserve">  风险物质</w:t>
            </w:r>
            <w:r>
              <w:rPr>
                <w:rFonts w:hint="default" w:ascii="Times New Roman" w:hAnsi="Times New Roman" w:eastAsia="宋体" w:cs="Times New Roman"/>
                <w:b/>
                <w:color w:val="auto"/>
                <w:sz w:val="24"/>
                <w:szCs w:val="24"/>
                <w:lang w:val="en-US" w:eastAsia="zh-CN"/>
              </w:rPr>
              <w:t>分布情况表</w:t>
            </w:r>
          </w:p>
          <w:tbl>
            <w:tblPr>
              <w:tblStyle w:val="34"/>
              <w:tblW w:w="80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07"/>
              <w:gridCol w:w="1678"/>
              <w:gridCol w:w="1278"/>
              <w:gridCol w:w="1427"/>
              <w:gridCol w:w="1153"/>
              <w:gridCol w:w="1924"/>
            </w:tblGrid>
            <w:tr w14:paraId="0B310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7" w:type="dxa"/>
                  <w:tcBorders>
                    <w:tl2br w:val="nil"/>
                    <w:tr2bl w:val="nil"/>
                  </w:tcBorders>
                  <w:noWrap w:val="0"/>
                  <w:vAlign w:val="center"/>
                </w:tcPr>
                <w:p w14:paraId="6A70CC7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aps w:val="0"/>
                      <w:smallCaps w:val="0"/>
                      <w:color w:val="auto"/>
                      <w:spacing w:val="0"/>
                      <w:kern w:val="0"/>
                      <w:sz w:val="21"/>
                      <w:szCs w:val="21"/>
                      <w:highlight w:val="none"/>
                    </w:rPr>
                  </w:pPr>
                  <w:r>
                    <w:rPr>
                      <w:rFonts w:hint="default" w:ascii="Times New Roman" w:hAnsi="Times New Roman" w:eastAsia="宋体" w:cs="Times New Roman"/>
                      <w:b/>
                      <w:caps w:val="0"/>
                      <w:smallCaps w:val="0"/>
                      <w:color w:val="auto"/>
                      <w:spacing w:val="0"/>
                      <w:kern w:val="0"/>
                      <w:sz w:val="21"/>
                      <w:szCs w:val="21"/>
                      <w:highlight w:val="none"/>
                    </w:rPr>
                    <w:t>序号</w:t>
                  </w:r>
                </w:p>
              </w:tc>
              <w:tc>
                <w:tcPr>
                  <w:tcW w:w="1678" w:type="dxa"/>
                  <w:tcBorders>
                    <w:tl2br w:val="nil"/>
                    <w:tr2bl w:val="nil"/>
                  </w:tcBorders>
                  <w:noWrap w:val="0"/>
                  <w:vAlign w:val="center"/>
                </w:tcPr>
                <w:p w14:paraId="760661E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aps w:val="0"/>
                      <w:smallCaps w:val="0"/>
                      <w:color w:val="auto"/>
                      <w:spacing w:val="0"/>
                      <w:kern w:val="0"/>
                      <w:sz w:val="21"/>
                      <w:szCs w:val="21"/>
                      <w:highlight w:val="none"/>
                    </w:rPr>
                  </w:pPr>
                  <w:r>
                    <w:rPr>
                      <w:rFonts w:hint="default" w:ascii="Times New Roman" w:hAnsi="Times New Roman" w:eastAsia="宋体" w:cs="Times New Roman"/>
                      <w:b/>
                      <w:caps w:val="0"/>
                      <w:smallCaps w:val="0"/>
                      <w:color w:val="auto"/>
                      <w:spacing w:val="0"/>
                      <w:kern w:val="0"/>
                      <w:sz w:val="21"/>
                      <w:szCs w:val="21"/>
                      <w:highlight w:val="none"/>
                    </w:rPr>
                    <w:t>物质名称</w:t>
                  </w:r>
                </w:p>
              </w:tc>
              <w:tc>
                <w:tcPr>
                  <w:tcW w:w="1278" w:type="dxa"/>
                  <w:tcBorders>
                    <w:tl2br w:val="nil"/>
                    <w:tr2bl w:val="nil"/>
                  </w:tcBorders>
                  <w:noWrap w:val="0"/>
                  <w:vAlign w:val="center"/>
                </w:tcPr>
                <w:p w14:paraId="1EED19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aps w:val="0"/>
                      <w:smallCaps w:val="0"/>
                      <w:color w:val="auto"/>
                      <w:spacing w:val="0"/>
                      <w:kern w:val="0"/>
                      <w:sz w:val="21"/>
                      <w:szCs w:val="21"/>
                      <w:highlight w:val="none"/>
                    </w:rPr>
                  </w:pPr>
                  <w:r>
                    <w:rPr>
                      <w:rFonts w:hint="default" w:ascii="Times New Roman" w:hAnsi="Times New Roman" w:eastAsia="宋体" w:cs="Times New Roman"/>
                      <w:b/>
                      <w:caps w:val="0"/>
                      <w:smallCaps w:val="0"/>
                      <w:color w:val="auto"/>
                      <w:spacing w:val="0"/>
                      <w:kern w:val="0"/>
                      <w:sz w:val="21"/>
                      <w:szCs w:val="21"/>
                      <w:highlight w:val="none"/>
                    </w:rPr>
                    <w:t>CAS号</w:t>
                  </w:r>
                </w:p>
              </w:tc>
              <w:tc>
                <w:tcPr>
                  <w:tcW w:w="1427" w:type="dxa"/>
                  <w:tcBorders>
                    <w:tl2br w:val="nil"/>
                    <w:tr2bl w:val="nil"/>
                  </w:tcBorders>
                  <w:noWrap w:val="0"/>
                  <w:vAlign w:val="center"/>
                </w:tcPr>
                <w:p w14:paraId="7E795948">
                  <w:pPr>
                    <w:pStyle w:val="9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aps w:val="0"/>
                      <w:smallCaps w:val="0"/>
                      <w:color w:val="auto"/>
                      <w:spacing w:val="0"/>
                      <w:kern w:val="0"/>
                      <w:sz w:val="21"/>
                      <w:szCs w:val="21"/>
                      <w:highlight w:val="none"/>
                    </w:rPr>
                  </w:pPr>
                  <w:r>
                    <w:rPr>
                      <w:rFonts w:hint="default" w:ascii="Times New Roman" w:hAnsi="Times New Roman" w:cs="Times New Roman"/>
                      <w:b/>
                      <w:bCs/>
                      <w:color w:val="auto"/>
                      <w:sz w:val="21"/>
                      <w:szCs w:val="21"/>
                      <w:lang w:val="en-US" w:eastAsia="zh-CN"/>
                    </w:rPr>
                    <w:t>最大储存量（t）</w:t>
                  </w:r>
                </w:p>
              </w:tc>
              <w:tc>
                <w:tcPr>
                  <w:tcW w:w="1153" w:type="dxa"/>
                  <w:tcBorders>
                    <w:tl2br w:val="nil"/>
                    <w:tr2bl w:val="nil"/>
                  </w:tcBorders>
                  <w:noWrap w:val="0"/>
                  <w:vAlign w:val="center"/>
                </w:tcPr>
                <w:p w14:paraId="7155059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aps w:val="0"/>
                      <w:smallCaps w:val="0"/>
                      <w:color w:val="auto"/>
                      <w:spacing w:val="0"/>
                      <w:kern w:val="0"/>
                      <w:sz w:val="21"/>
                      <w:szCs w:val="21"/>
                      <w:highlight w:val="none"/>
                    </w:rPr>
                  </w:pPr>
                  <w:r>
                    <w:rPr>
                      <w:rFonts w:hint="default" w:ascii="Times New Roman" w:hAnsi="Times New Roman" w:eastAsia="宋体" w:cs="Times New Roman"/>
                      <w:b/>
                      <w:caps w:val="0"/>
                      <w:smallCaps w:val="0"/>
                      <w:color w:val="auto"/>
                      <w:spacing w:val="0"/>
                      <w:kern w:val="0"/>
                      <w:sz w:val="21"/>
                      <w:szCs w:val="21"/>
                      <w:highlight w:val="none"/>
                    </w:rPr>
                    <w:t>存储方式</w:t>
                  </w:r>
                </w:p>
              </w:tc>
              <w:tc>
                <w:tcPr>
                  <w:tcW w:w="1924" w:type="dxa"/>
                  <w:tcBorders>
                    <w:tl2br w:val="nil"/>
                    <w:tr2bl w:val="nil"/>
                  </w:tcBorders>
                  <w:noWrap w:val="0"/>
                  <w:vAlign w:val="center"/>
                </w:tcPr>
                <w:p w14:paraId="57C025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aps w:val="0"/>
                      <w:smallCaps w:val="0"/>
                      <w:color w:val="auto"/>
                      <w:spacing w:val="0"/>
                      <w:kern w:val="0"/>
                      <w:sz w:val="21"/>
                      <w:szCs w:val="21"/>
                      <w:highlight w:val="none"/>
                      <w:lang w:val="en-US" w:eastAsia="zh-CN"/>
                    </w:rPr>
                  </w:pPr>
                  <w:r>
                    <w:rPr>
                      <w:rFonts w:hint="eastAsia" w:ascii="Times New Roman" w:hAnsi="Times New Roman" w:eastAsia="宋体" w:cs="Times New Roman"/>
                      <w:b/>
                      <w:caps w:val="0"/>
                      <w:smallCaps w:val="0"/>
                      <w:color w:val="auto"/>
                      <w:spacing w:val="0"/>
                      <w:kern w:val="0"/>
                      <w:sz w:val="21"/>
                      <w:szCs w:val="21"/>
                      <w:highlight w:val="none"/>
                      <w:lang w:val="en-US" w:eastAsia="zh-CN"/>
                    </w:rPr>
                    <w:t>风险源分布</w:t>
                  </w:r>
                </w:p>
              </w:tc>
            </w:tr>
            <w:tr w14:paraId="03349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7" w:type="dxa"/>
                  <w:tcBorders>
                    <w:tl2br w:val="nil"/>
                    <w:tr2bl w:val="nil"/>
                  </w:tcBorders>
                  <w:noWrap w:val="0"/>
                  <w:vAlign w:val="center"/>
                </w:tcPr>
                <w:p w14:paraId="3C315D8C">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aps w:val="0"/>
                      <w:smallCaps w:val="0"/>
                      <w:color w:val="auto"/>
                      <w:spacing w:val="0"/>
                      <w:kern w:val="0"/>
                      <w:sz w:val="21"/>
                      <w:szCs w:val="21"/>
                      <w:highlight w:val="none"/>
                    </w:rPr>
                  </w:pPr>
                  <w:r>
                    <w:rPr>
                      <w:rFonts w:hint="default" w:ascii="Times New Roman" w:hAnsi="Times New Roman" w:eastAsia="宋体" w:cs="Times New Roman"/>
                      <w:caps w:val="0"/>
                      <w:smallCaps w:val="0"/>
                      <w:color w:val="auto"/>
                      <w:spacing w:val="0"/>
                      <w:kern w:val="0"/>
                      <w:sz w:val="21"/>
                      <w:szCs w:val="21"/>
                      <w:highlight w:val="none"/>
                    </w:rPr>
                    <w:t>1</w:t>
                  </w:r>
                </w:p>
              </w:tc>
              <w:tc>
                <w:tcPr>
                  <w:tcW w:w="1678" w:type="dxa"/>
                  <w:tcBorders>
                    <w:tl2br w:val="nil"/>
                    <w:tr2bl w:val="nil"/>
                  </w:tcBorders>
                  <w:noWrap w:val="0"/>
                  <w:vAlign w:val="top"/>
                </w:tcPr>
                <w:p w14:paraId="305878D3">
                  <w:pPr>
                    <w:keepNext w:val="0"/>
                    <w:keepLines w:val="0"/>
                    <w:suppressLineNumbers w:val="0"/>
                    <w:spacing w:before="61" w:beforeAutospacing="0" w:after="0" w:afterAutospacing="0" w:line="227" w:lineRule="auto"/>
                    <w:ind w:left="0" w:right="0"/>
                    <w:jc w:val="center"/>
                    <w:rPr>
                      <w:rFonts w:hint="eastAsia" w:ascii="Times New Roman" w:hAnsi="Times New Roman" w:eastAsia="宋体" w:cs="Times New Roman"/>
                      <w:caps w:val="0"/>
                      <w:smallCaps w:val="0"/>
                      <w:color w:val="auto"/>
                      <w:spacing w:val="0"/>
                      <w:kern w:val="0"/>
                      <w:sz w:val="21"/>
                      <w:szCs w:val="21"/>
                      <w:highlight w:val="none"/>
                      <w:lang w:eastAsia="zh-CN"/>
                    </w:rPr>
                  </w:pPr>
                  <w:r>
                    <w:rPr>
                      <w:rFonts w:hint="eastAsia" w:ascii="宋体" w:hAnsi="宋体" w:cs="宋体"/>
                      <w:sz w:val="21"/>
                      <w:szCs w:val="21"/>
                      <w:highlight w:val="none"/>
                      <w:lang w:val="en-US" w:eastAsia="zh-CN"/>
                    </w:rPr>
                    <w:t>机油</w:t>
                  </w:r>
                </w:p>
              </w:tc>
              <w:tc>
                <w:tcPr>
                  <w:tcW w:w="1278" w:type="dxa"/>
                  <w:tcBorders>
                    <w:tl2br w:val="nil"/>
                    <w:tr2bl w:val="nil"/>
                  </w:tcBorders>
                  <w:noWrap w:val="0"/>
                  <w:vAlign w:val="center"/>
                </w:tcPr>
                <w:p w14:paraId="708B1E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cs="Times New Roman"/>
                      <w:caps w:val="0"/>
                      <w:smallCaps w:val="0"/>
                      <w:color w:val="auto"/>
                      <w:spacing w:val="0"/>
                      <w:kern w:val="0"/>
                      <w:sz w:val="21"/>
                      <w:szCs w:val="21"/>
                      <w:highlight w:val="none"/>
                      <w:lang w:val="en-US" w:eastAsia="zh-CN"/>
                    </w:rPr>
                    <w:t>/</w:t>
                  </w:r>
                </w:p>
              </w:tc>
              <w:tc>
                <w:tcPr>
                  <w:tcW w:w="1427" w:type="dxa"/>
                  <w:tcBorders>
                    <w:tl2br w:val="nil"/>
                    <w:tr2bl w:val="nil"/>
                  </w:tcBorders>
                  <w:noWrap w:val="0"/>
                  <w:vAlign w:val="center"/>
                </w:tcPr>
                <w:p w14:paraId="6DBBC0A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cs="Times New Roman"/>
                      <w:caps w:val="0"/>
                      <w:smallCaps w:val="0"/>
                      <w:color w:val="auto"/>
                      <w:spacing w:val="0"/>
                      <w:kern w:val="0"/>
                      <w:sz w:val="21"/>
                      <w:szCs w:val="21"/>
                      <w:highlight w:val="none"/>
                      <w:lang w:val="en-US" w:eastAsia="zh-CN"/>
                    </w:rPr>
                    <w:t>0.15</w:t>
                  </w:r>
                </w:p>
              </w:tc>
              <w:tc>
                <w:tcPr>
                  <w:tcW w:w="1153" w:type="dxa"/>
                  <w:tcBorders>
                    <w:tl2br w:val="nil"/>
                    <w:tr2bl w:val="nil"/>
                  </w:tcBorders>
                  <w:noWrap w:val="0"/>
                  <w:vAlign w:val="center"/>
                </w:tcPr>
                <w:p w14:paraId="74BE588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cs="Times New Roman"/>
                      <w:caps w:val="0"/>
                      <w:smallCaps w:val="0"/>
                      <w:color w:val="auto"/>
                      <w:spacing w:val="0"/>
                      <w:kern w:val="0"/>
                      <w:sz w:val="21"/>
                      <w:szCs w:val="21"/>
                      <w:highlight w:val="none"/>
                      <w:lang w:val="en-US" w:eastAsia="zh-CN"/>
                    </w:rPr>
                    <w:t>桶装</w:t>
                  </w:r>
                </w:p>
              </w:tc>
              <w:tc>
                <w:tcPr>
                  <w:tcW w:w="1924" w:type="dxa"/>
                  <w:tcBorders>
                    <w:tl2br w:val="nil"/>
                    <w:tr2bl w:val="nil"/>
                  </w:tcBorders>
                  <w:noWrap w:val="0"/>
                  <w:vAlign w:val="center"/>
                </w:tcPr>
                <w:p w14:paraId="6D5EDFD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cs="Times New Roman"/>
                      <w:caps w:val="0"/>
                      <w:smallCaps w:val="0"/>
                      <w:color w:val="auto"/>
                      <w:spacing w:val="0"/>
                      <w:kern w:val="0"/>
                      <w:sz w:val="21"/>
                      <w:szCs w:val="21"/>
                      <w:highlight w:val="none"/>
                      <w:lang w:val="en-US" w:eastAsia="zh-CN"/>
                    </w:rPr>
                    <w:t>原料库</w:t>
                  </w:r>
                </w:p>
              </w:tc>
            </w:tr>
            <w:tr w14:paraId="3ACBE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7" w:type="dxa"/>
                  <w:tcBorders>
                    <w:tl2br w:val="nil"/>
                    <w:tr2bl w:val="nil"/>
                  </w:tcBorders>
                  <w:noWrap w:val="0"/>
                  <w:vAlign w:val="center"/>
                </w:tcPr>
                <w:p w14:paraId="63C82316">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aps w:val="0"/>
                      <w:smallCaps w:val="0"/>
                      <w:color w:val="auto"/>
                      <w:spacing w:val="0"/>
                      <w:kern w:val="0"/>
                      <w:sz w:val="21"/>
                      <w:szCs w:val="21"/>
                      <w:highlight w:val="none"/>
                    </w:rPr>
                  </w:pPr>
                </w:p>
              </w:tc>
              <w:tc>
                <w:tcPr>
                  <w:tcW w:w="1678" w:type="dxa"/>
                  <w:tcBorders>
                    <w:tl2br w:val="nil"/>
                    <w:tr2bl w:val="nil"/>
                  </w:tcBorders>
                  <w:noWrap w:val="0"/>
                  <w:vAlign w:val="top"/>
                </w:tcPr>
                <w:p w14:paraId="6CD0FA22">
                  <w:pPr>
                    <w:keepNext w:val="0"/>
                    <w:keepLines w:val="0"/>
                    <w:suppressLineNumbers w:val="0"/>
                    <w:spacing w:before="61" w:beforeAutospacing="0" w:after="0" w:afterAutospacing="0" w:line="227" w:lineRule="auto"/>
                    <w:ind w:left="0" w:right="0"/>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废机油</w:t>
                  </w:r>
                </w:p>
              </w:tc>
              <w:tc>
                <w:tcPr>
                  <w:tcW w:w="1278" w:type="dxa"/>
                  <w:tcBorders>
                    <w:tl2br w:val="nil"/>
                    <w:tr2bl w:val="nil"/>
                  </w:tcBorders>
                  <w:noWrap w:val="0"/>
                  <w:vAlign w:val="center"/>
                </w:tcPr>
                <w:p w14:paraId="746F9B6C">
                  <w:pPr>
                    <w:keepNext w:val="0"/>
                    <w:keepLines w:val="0"/>
                    <w:suppressLineNumbers w:val="0"/>
                    <w:spacing w:before="0" w:beforeAutospacing="0" w:after="0" w:afterAutospacing="0" w:line="240" w:lineRule="auto"/>
                    <w:ind w:left="0" w:right="0"/>
                    <w:jc w:val="center"/>
                    <w:rPr>
                      <w:rFonts w:hint="eastAsia" w:cs="Times New Roman"/>
                      <w:caps w:val="0"/>
                      <w:smallCaps w:val="0"/>
                      <w:color w:val="auto"/>
                      <w:spacing w:val="0"/>
                      <w:kern w:val="0"/>
                      <w:sz w:val="21"/>
                      <w:szCs w:val="21"/>
                      <w:highlight w:val="none"/>
                      <w:lang w:val="en-US" w:eastAsia="zh-CN"/>
                    </w:rPr>
                  </w:pPr>
                </w:p>
              </w:tc>
              <w:tc>
                <w:tcPr>
                  <w:tcW w:w="1427" w:type="dxa"/>
                  <w:tcBorders>
                    <w:tl2br w:val="nil"/>
                    <w:tr2bl w:val="nil"/>
                  </w:tcBorders>
                  <w:noWrap w:val="0"/>
                  <w:vAlign w:val="center"/>
                </w:tcPr>
                <w:p w14:paraId="2CCC61F3">
                  <w:pPr>
                    <w:keepNext w:val="0"/>
                    <w:keepLines w:val="0"/>
                    <w:suppressLineNumbers w:val="0"/>
                    <w:spacing w:before="0" w:beforeAutospacing="0" w:after="0" w:afterAutospacing="0" w:line="240" w:lineRule="auto"/>
                    <w:ind w:left="0" w:right="0"/>
                    <w:jc w:val="center"/>
                    <w:rPr>
                      <w:rFonts w:hint="default" w:cs="Times New Roman"/>
                      <w:caps w:val="0"/>
                      <w:smallCaps w:val="0"/>
                      <w:color w:val="auto"/>
                      <w:spacing w:val="0"/>
                      <w:kern w:val="0"/>
                      <w:sz w:val="21"/>
                      <w:szCs w:val="21"/>
                      <w:highlight w:val="none"/>
                      <w:lang w:val="en-US" w:eastAsia="zh-CN"/>
                    </w:rPr>
                  </w:pPr>
                  <w:r>
                    <w:rPr>
                      <w:rFonts w:hint="eastAsia" w:cs="Times New Roman"/>
                      <w:caps w:val="0"/>
                      <w:smallCaps w:val="0"/>
                      <w:color w:val="auto"/>
                      <w:spacing w:val="0"/>
                      <w:kern w:val="0"/>
                      <w:sz w:val="21"/>
                      <w:szCs w:val="21"/>
                      <w:highlight w:val="none"/>
                      <w:lang w:val="en-US" w:eastAsia="zh-CN"/>
                    </w:rPr>
                    <w:t>0.12</w:t>
                  </w:r>
                </w:p>
              </w:tc>
              <w:tc>
                <w:tcPr>
                  <w:tcW w:w="1153" w:type="dxa"/>
                  <w:tcBorders>
                    <w:tl2br w:val="nil"/>
                    <w:tr2bl w:val="nil"/>
                  </w:tcBorders>
                  <w:noWrap w:val="0"/>
                  <w:vAlign w:val="center"/>
                </w:tcPr>
                <w:p w14:paraId="040AC024">
                  <w:pPr>
                    <w:keepNext w:val="0"/>
                    <w:keepLines w:val="0"/>
                    <w:suppressLineNumbers w:val="0"/>
                    <w:spacing w:before="0" w:beforeAutospacing="0" w:after="0" w:afterAutospacing="0" w:line="240" w:lineRule="auto"/>
                    <w:ind w:left="0" w:right="0"/>
                    <w:jc w:val="center"/>
                    <w:rPr>
                      <w:rFonts w:hint="eastAsia" w:cs="Times New Roman"/>
                      <w:caps w:val="0"/>
                      <w:smallCaps w:val="0"/>
                      <w:color w:val="auto"/>
                      <w:spacing w:val="0"/>
                      <w:kern w:val="0"/>
                      <w:sz w:val="21"/>
                      <w:szCs w:val="21"/>
                      <w:highlight w:val="none"/>
                      <w:lang w:val="en-US" w:eastAsia="zh-CN"/>
                    </w:rPr>
                  </w:pPr>
                  <w:r>
                    <w:rPr>
                      <w:rFonts w:hint="eastAsia" w:cs="Times New Roman"/>
                      <w:caps w:val="0"/>
                      <w:smallCaps w:val="0"/>
                      <w:color w:val="auto"/>
                      <w:spacing w:val="0"/>
                      <w:kern w:val="0"/>
                      <w:sz w:val="21"/>
                      <w:szCs w:val="21"/>
                      <w:highlight w:val="none"/>
                      <w:lang w:val="en-US" w:eastAsia="zh-CN"/>
                    </w:rPr>
                    <w:t>桶装</w:t>
                  </w:r>
                </w:p>
              </w:tc>
              <w:tc>
                <w:tcPr>
                  <w:tcW w:w="1924" w:type="dxa"/>
                  <w:tcBorders>
                    <w:tl2br w:val="nil"/>
                    <w:tr2bl w:val="nil"/>
                  </w:tcBorders>
                  <w:noWrap w:val="0"/>
                  <w:vAlign w:val="center"/>
                </w:tcPr>
                <w:p w14:paraId="360780AA">
                  <w:pPr>
                    <w:keepNext w:val="0"/>
                    <w:keepLines w:val="0"/>
                    <w:suppressLineNumbers w:val="0"/>
                    <w:spacing w:before="0" w:beforeAutospacing="0" w:after="0" w:afterAutospacing="0" w:line="240" w:lineRule="auto"/>
                    <w:ind w:left="0" w:right="0"/>
                    <w:jc w:val="center"/>
                    <w:rPr>
                      <w:rFonts w:hint="default" w:cs="Times New Roman"/>
                      <w:caps w:val="0"/>
                      <w:smallCaps w:val="0"/>
                      <w:color w:val="auto"/>
                      <w:spacing w:val="0"/>
                      <w:kern w:val="0"/>
                      <w:sz w:val="21"/>
                      <w:szCs w:val="21"/>
                      <w:highlight w:val="none"/>
                      <w:lang w:val="en-US" w:eastAsia="zh-CN"/>
                    </w:rPr>
                  </w:pPr>
                  <w:r>
                    <w:rPr>
                      <w:rFonts w:hint="eastAsia" w:cs="Times New Roman"/>
                      <w:caps w:val="0"/>
                      <w:smallCaps w:val="0"/>
                      <w:color w:val="auto"/>
                      <w:spacing w:val="0"/>
                      <w:kern w:val="0"/>
                      <w:sz w:val="21"/>
                      <w:szCs w:val="21"/>
                      <w:highlight w:val="none"/>
                      <w:lang w:val="en-US" w:eastAsia="zh-CN"/>
                    </w:rPr>
                    <w:t>危废库</w:t>
                  </w:r>
                </w:p>
              </w:tc>
            </w:tr>
          </w:tbl>
          <w:p w14:paraId="604B789E">
            <w:pPr>
              <w:keepNext w:val="0"/>
              <w:keepLines w:val="0"/>
              <w:pageBreakBefore w:val="0"/>
              <w:widowControl w:val="0"/>
              <w:suppressLineNumbers w:val="0"/>
              <w:tabs>
                <w:tab w:val="left" w:pos="1030"/>
              </w:tabs>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②生产工艺调查</w:t>
            </w:r>
          </w:p>
          <w:p w14:paraId="035159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宋体"/>
                <w:bCs/>
                <w:color w:val="auto"/>
                <w:spacing w:val="-11"/>
                <w:sz w:val="24"/>
                <w:szCs w:val="24"/>
                <w:highlight w:val="none"/>
                <w:lang w:val="en-US" w:eastAsia="zh-CN"/>
              </w:rPr>
            </w:pPr>
            <w:r>
              <w:rPr>
                <w:rFonts w:hint="default" w:ascii="Times New Roman" w:hAnsi="Times New Roman" w:eastAsia="宋体" w:cs="Times New Roman"/>
                <w:color w:val="auto"/>
                <w:sz w:val="24"/>
                <w:lang w:val="en-US" w:eastAsia="zh-CN"/>
              </w:rPr>
              <w:t>本项目不涉及危险工艺。</w:t>
            </w:r>
          </w:p>
          <w:p w14:paraId="09E8E375">
            <w:pPr>
              <w:keepNext w:val="0"/>
              <w:keepLines w:val="0"/>
              <w:suppressLineNumbers w:val="0"/>
              <w:tabs>
                <w:tab w:val="left" w:pos="1030"/>
              </w:tabs>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2）风险潜势初判</w:t>
            </w:r>
          </w:p>
          <w:p w14:paraId="700040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pacing w:val="0"/>
                <w:sz w:val="24"/>
                <w:szCs w:val="24"/>
                <w:highlight w:val="none"/>
                <w:lang w:eastAsia="zh-CN"/>
              </w:rPr>
            </w:pPr>
            <w:r>
              <w:rPr>
                <w:rFonts w:hint="default" w:ascii="Times New Roman" w:hAnsi="Times New Roman" w:eastAsia="宋体" w:cs="Times New Roman"/>
                <w:b w:val="0"/>
                <w:bCs w:val="0"/>
                <w:color w:val="auto"/>
                <w:spacing w:val="0"/>
                <w:sz w:val="24"/>
                <w:szCs w:val="24"/>
                <w:highlight w:val="none"/>
                <w:lang w:eastAsia="zh-CN"/>
              </w:rPr>
              <w:t>根据《建设项目环境风险评价技术导则》（HJ169-2018）附录C，计算所涉及的每种危险物质在厂界内的最大存在总量与其在附录 B 中对应临界量的比值Q。在不同厂区的同一种物质，按其在厂界内的最大存在总量计算。</w:t>
            </w:r>
          </w:p>
          <w:p w14:paraId="61D965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pacing w:val="0"/>
                <w:sz w:val="24"/>
                <w:szCs w:val="24"/>
                <w:highlight w:val="none"/>
                <w:lang w:eastAsia="zh-CN"/>
              </w:rPr>
            </w:pPr>
            <w:r>
              <w:rPr>
                <w:rFonts w:hint="default" w:ascii="Times New Roman" w:hAnsi="Times New Roman" w:eastAsia="宋体" w:cs="Times New Roman"/>
                <w:b w:val="0"/>
                <w:bCs w:val="0"/>
                <w:color w:val="auto"/>
                <w:spacing w:val="0"/>
                <w:sz w:val="24"/>
                <w:szCs w:val="24"/>
                <w:highlight w:val="none"/>
                <w:lang w:eastAsia="zh-CN"/>
              </w:rPr>
              <w:t>当只涉及一种危险物质时，计算该物质的总量与其临界量比值，即为 Q；</w:t>
            </w:r>
          </w:p>
          <w:p w14:paraId="7CF462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pacing w:val="0"/>
                <w:sz w:val="24"/>
                <w:szCs w:val="24"/>
                <w:highlight w:val="none"/>
                <w:lang w:eastAsia="zh-CN"/>
              </w:rPr>
            </w:pPr>
            <w:r>
              <w:rPr>
                <w:rFonts w:hint="default" w:ascii="Times New Roman" w:hAnsi="Times New Roman" w:eastAsia="宋体" w:cs="Times New Roman"/>
                <w:b w:val="0"/>
                <w:bCs w:val="0"/>
                <w:color w:val="auto"/>
                <w:spacing w:val="0"/>
                <w:sz w:val="24"/>
                <w:szCs w:val="24"/>
                <w:highlight w:val="none"/>
                <w:lang w:eastAsia="zh-CN"/>
              </w:rPr>
              <w:t>当存在多种危险物质时，则按式（C.1）计算物质总量与其临界量比值（Q）：</w:t>
            </w:r>
          </w:p>
          <w:p w14:paraId="08C1F4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drawing>
                <wp:inline distT="0" distB="0" distL="114300" distR="114300">
                  <wp:extent cx="1600200" cy="466725"/>
                  <wp:effectExtent l="0" t="0" r="0" b="9525"/>
                  <wp:docPr id="14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24"/>
                          <pic:cNvPicPr>
                            <a:picLocks noChangeAspect="1"/>
                          </pic:cNvPicPr>
                        </pic:nvPicPr>
                        <pic:blipFill>
                          <a:blip r:embed="rId31"/>
                          <a:stretch>
                            <a:fillRect/>
                          </a:stretch>
                        </pic:blipFill>
                        <pic:spPr>
                          <a:xfrm>
                            <a:off x="0" y="0"/>
                            <a:ext cx="1600200" cy="466725"/>
                          </a:xfrm>
                          <a:prstGeom prst="rect">
                            <a:avLst/>
                          </a:prstGeom>
                          <a:noFill/>
                          <a:ln>
                            <a:noFill/>
                          </a:ln>
                        </pic:spPr>
                      </pic:pic>
                    </a:graphicData>
                  </a:graphic>
                </wp:inline>
              </w:drawing>
            </w:r>
          </w:p>
          <w:p w14:paraId="0400DA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式中：q</w:t>
            </w:r>
            <w:r>
              <w:rPr>
                <w:rFonts w:hint="default" w:ascii="Times New Roman" w:hAnsi="Times New Roman" w:eastAsia="宋体" w:cs="Times New Roman"/>
                <w:color w:val="auto"/>
                <w:spacing w:val="0"/>
                <w:sz w:val="24"/>
                <w:szCs w:val="24"/>
                <w:vertAlign w:val="subscript"/>
              </w:rPr>
              <w:t>1</w:t>
            </w:r>
            <w:r>
              <w:rPr>
                <w:rFonts w:hint="default" w:ascii="Times New Roman" w:hAnsi="Times New Roman" w:eastAsia="宋体" w:cs="Times New Roman"/>
                <w:color w:val="auto"/>
                <w:spacing w:val="0"/>
                <w:sz w:val="24"/>
                <w:szCs w:val="24"/>
              </w:rPr>
              <w:t>，q</w:t>
            </w:r>
            <w:r>
              <w:rPr>
                <w:rFonts w:hint="eastAsia" w:ascii="Times New Roman" w:hAnsi="Times New Roman" w:eastAsia="宋体" w:cs="Times New Roman"/>
                <w:color w:val="auto"/>
                <w:spacing w:val="0"/>
                <w:sz w:val="24"/>
                <w:szCs w:val="24"/>
                <w:vertAlign w:val="subscript"/>
                <w:lang w:val="en-US" w:eastAsia="zh-CN"/>
              </w:rPr>
              <w:t>2</w:t>
            </w:r>
            <w:r>
              <w:rPr>
                <w:rFonts w:hint="default" w:ascii="Times New Roman" w:hAnsi="Times New Roman" w:eastAsia="宋体" w:cs="Times New Roman"/>
                <w:color w:val="auto"/>
                <w:spacing w:val="0"/>
                <w:sz w:val="24"/>
                <w:szCs w:val="24"/>
              </w:rPr>
              <w:t>，…q</w:t>
            </w:r>
            <w:r>
              <w:rPr>
                <w:rFonts w:hint="default" w:ascii="Times New Roman" w:hAnsi="Times New Roman" w:eastAsia="宋体" w:cs="Times New Roman"/>
                <w:color w:val="auto"/>
                <w:spacing w:val="0"/>
                <w:sz w:val="24"/>
                <w:szCs w:val="24"/>
                <w:vertAlign w:val="subscript"/>
              </w:rPr>
              <w:t>n</w:t>
            </w:r>
            <w:r>
              <w:rPr>
                <w:rFonts w:hint="default" w:ascii="Times New Roman" w:hAnsi="Times New Roman" w:eastAsia="宋体" w:cs="Times New Roman"/>
                <w:color w:val="auto"/>
                <w:spacing w:val="0"/>
                <w:sz w:val="24"/>
                <w:szCs w:val="24"/>
              </w:rPr>
              <w:t>——每种危险物质的最大存在总量，t；</w:t>
            </w:r>
          </w:p>
          <w:p w14:paraId="780E92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Q</w:t>
            </w:r>
            <w:r>
              <w:rPr>
                <w:rFonts w:hint="default" w:ascii="Times New Roman" w:hAnsi="Times New Roman" w:eastAsia="宋体" w:cs="Times New Roman"/>
                <w:color w:val="auto"/>
                <w:spacing w:val="0"/>
                <w:sz w:val="24"/>
                <w:szCs w:val="24"/>
                <w:vertAlign w:val="subscript"/>
              </w:rPr>
              <w:t>1</w:t>
            </w:r>
            <w:r>
              <w:rPr>
                <w:rFonts w:hint="default" w:ascii="Times New Roman" w:hAnsi="Times New Roman" w:eastAsia="宋体" w:cs="Times New Roman"/>
                <w:color w:val="auto"/>
                <w:spacing w:val="0"/>
                <w:sz w:val="24"/>
                <w:szCs w:val="24"/>
              </w:rPr>
              <w:t>，Q</w:t>
            </w:r>
            <w:r>
              <w:rPr>
                <w:rFonts w:hint="default" w:ascii="Times New Roman" w:hAnsi="Times New Roman" w:eastAsia="宋体" w:cs="Times New Roman"/>
                <w:color w:val="auto"/>
                <w:spacing w:val="0"/>
                <w:sz w:val="24"/>
                <w:szCs w:val="24"/>
                <w:vertAlign w:val="subscript"/>
              </w:rPr>
              <w:t>2</w:t>
            </w:r>
            <w:r>
              <w:rPr>
                <w:rFonts w:hint="default" w:ascii="Times New Roman" w:hAnsi="Times New Roman" w:eastAsia="宋体" w:cs="Times New Roman"/>
                <w:color w:val="auto"/>
                <w:spacing w:val="0"/>
                <w:sz w:val="24"/>
                <w:szCs w:val="24"/>
              </w:rPr>
              <w:t>，…Q</w:t>
            </w:r>
            <w:r>
              <w:rPr>
                <w:rFonts w:hint="default" w:ascii="Times New Roman" w:hAnsi="Times New Roman" w:eastAsia="宋体" w:cs="Times New Roman"/>
                <w:color w:val="auto"/>
                <w:spacing w:val="0"/>
                <w:sz w:val="24"/>
                <w:szCs w:val="24"/>
                <w:vertAlign w:val="subscript"/>
              </w:rPr>
              <w:t>n</w:t>
            </w:r>
            <w:r>
              <w:rPr>
                <w:rFonts w:hint="default" w:ascii="Times New Roman" w:hAnsi="Times New Roman" w:eastAsia="宋体" w:cs="Times New Roman"/>
                <w:color w:val="auto"/>
                <w:spacing w:val="0"/>
                <w:sz w:val="24"/>
                <w:szCs w:val="24"/>
              </w:rPr>
              <w:t>——每种危险物质的临界量，t。</w:t>
            </w:r>
          </w:p>
          <w:p w14:paraId="1AF1B2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当Q＜1时，该项目环境风险潜势为Ⅰ。</w:t>
            </w:r>
          </w:p>
          <w:p w14:paraId="19423B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pacing w:val="0"/>
                <w:sz w:val="24"/>
                <w:szCs w:val="24"/>
                <w:highlight w:val="none"/>
                <w:lang w:eastAsia="zh-CN"/>
              </w:rPr>
            </w:pPr>
            <w:r>
              <w:rPr>
                <w:rFonts w:hint="default" w:ascii="Times New Roman" w:hAnsi="Times New Roman" w:eastAsia="宋体" w:cs="Times New Roman"/>
                <w:color w:val="auto"/>
                <w:spacing w:val="0"/>
                <w:sz w:val="24"/>
                <w:szCs w:val="24"/>
              </w:rPr>
              <w:t>当Q</w:t>
            </w:r>
            <w:r>
              <w:rPr>
                <w:rFonts w:hint="eastAsia" w:ascii="Times New Roman" w:hAnsi="Times New Roman" w:eastAsia="宋体" w:cs="Times New Roman"/>
                <w:color w:val="auto"/>
                <w:spacing w:val="0"/>
                <w:sz w:val="24"/>
                <w:szCs w:val="24"/>
                <w:lang w:val="en-US" w:eastAsia="zh-CN"/>
              </w:rPr>
              <w:t>≥</w:t>
            </w:r>
            <w:r>
              <w:rPr>
                <w:rFonts w:hint="default" w:ascii="Times New Roman" w:hAnsi="Times New Roman" w:eastAsia="宋体" w:cs="Times New Roman"/>
                <w:color w:val="auto"/>
                <w:spacing w:val="0"/>
                <w:sz w:val="24"/>
                <w:szCs w:val="24"/>
              </w:rPr>
              <w:t>1时，将Q值划分为：</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1</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1≤</w:t>
            </w:r>
            <w:r>
              <w:rPr>
                <w:rFonts w:hint="default" w:ascii="Times New Roman" w:hAnsi="Times New Roman" w:eastAsia="宋体" w:cs="Times New Roman"/>
                <w:color w:val="auto"/>
                <w:spacing w:val="0"/>
                <w:sz w:val="24"/>
                <w:szCs w:val="24"/>
                <w:highlight w:val="none"/>
              </w:rPr>
              <w:t>Q＜10；</w:t>
            </w:r>
            <w:r>
              <w:rPr>
                <w:rFonts w:hint="eastAsia"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2</w:t>
            </w:r>
            <w:r>
              <w:rPr>
                <w:rFonts w:hint="eastAsia"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10≤Q＜100；</w:t>
            </w:r>
            <w:r>
              <w:rPr>
                <w:rFonts w:hint="eastAsia"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3</w:t>
            </w:r>
            <w:r>
              <w:rPr>
                <w:rFonts w:hint="eastAsia"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Q≥100。</w:t>
            </w:r>
          </w:p>
          <w:p w14:paraId="07786C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本项目危险物质情况见下表</w:t>
            </w:r>
            <w:r>
              <w:rPr>
                <w:rFonts w:hint="eastAsia" w:ascii="Times New Roman" w:hAnsi="Times New Roman" w:eastAsia="宋体" w:cs="Times New Roman"/>
                <w:color w:val="auto"/>
                <w:spacing w:val="0"/>
                <w:sz w:val="24"/>
                <w:szCs w:val="24"/>
                <w:highlight w:val="none"/>
                <w:lang w:val="en-US" w:eastAsia="zh-CN"/>
              </w:rPr>
              <w:t>，项目Q值</w:t>
            </w:r>
            <w:r>
              <w:rPr>
                <w:rFonts w:hint="default" w:ascii="Times New Roman" w:hAnsi="Times New Roman" w:eastAsia="宋体" w:cs="Times New Roman"/>
                <w:color w:val="auto"/>
                <w:spacing w:val="0"/>
                <w:sz w:val="24"/>
                <w:szCs w:val="24"/>
              </w:rPr>
              <w:t>＜1</w:t>
            </w:r>
            <w:r>
              <w:rPr>
                <w:rFonts w:hint="eastAsia" w:ascii="Times New Roman" w:hAnsi="Times New Roman" w:eastAsia="宋体" w:cs="Times New Roman"/>
                <w:color w:val="auto"/>
                <w:spacing w:val="0"/>
                <w:sz w:val="24"/>
                <w:szCs w:val="24"/>
                <w:highlight w:val="none"/>
                <w:lang w:val="en-US" w:eastAsia="zh-CN"/>
              </w:rPr>
              <w:t>，则该项目环境风险潜势为I。</w:t>
            </w:r>
          </w:p>
          <w:p w14:paraId="08EA7B81">
            <w:pPr>
              <w:keepNext w:val="0"/>
              <w:keepLines w:val="0"/>
              <w:suppressLineNumbers w:val="0"/>
              <w:autoSpaceDE w:val="0"/>
              <w:autoSpaceDN w:val="0"/>
              <w:spacing w:before="0" w:beforeAutospacing="0" w:after="0" w:afterAutospacing="0" w:line="240" w:lineRule="auto"/>
              <w:ind w:left="0" w:right="0" w:firstLine="482" w:firstLineChars="200"/>
              <w:jc w:val="center"/>
              <w:rPr>
                <w:rFonts w:hint="eastAsia" w:ascii="Times New Roman" w:hAnsi="Times New Roman" w:cs="Times New Roman"/>
                <w:b/>
                <w:bCs/>
                <w:color w:val="auto"/>
                <w:sz w:val="24"/>
                <w:szCs w:val="22"/>
                <w:highlight w:val="none"/>
                <w:lang w:eastAsia="zh-CN"/>
              </w:rPr>
            </w:pPr>
            <w:r>
              <w:rPr>
                <w:rFonts w:hint="eastAsia" w:ascii="Times New Roman" w:hAnsi="Times New Roman" w:cs="Times New Roman"/>
                <w:b/>
                <w:bCs/>
                <w:color w:val="auto"/>
                <w:sz w:val="24"/>
                <w:szCs w:val="22"/>
                <w:highlight w:val="none"/>
                <w:lang w:eastAsia="zh-CN"/>
              </w:rPr>
              <w:t>表</w:t>
            </w:r>
            <w:r>
              <w:rPr>
                <w:rFonts w:hint="eastAsia" w:ascii="Times New Roman" w:hAnsi="Times New Roman" w:cs="Times New Roman"/>
                <w:b/>
                <w:bCs/>
                <w:color w:val="auto"/>
                <w:sz w:val="24"/>
                <w:szCs w:val="22"/>
                <w:highlight w:val="none"/>
                <w:lang w:val="en-US" w:eastAsia="zh-CN"/>
              </w:rPr>
              <w:t>4-</w:t>
            </w:r>
            <w:r>
              <w:rPr>
                <w:rFonts w:hint="eastAsia" w:cs="Times New Roman"/>
                <w:b/>
                <w:bCs/>
                <w:color w:val="auto"/>
                <w:sz w:val="24"/>
                <w:szCs w:val="22"/>
                <w:highlight w:val="none"/>
                <w:lang w:val="en-US" w:eastAsia="zh-CN"/>
              </w:rPr>
              <w:t>21</w:t>
            </w:r>
            <w:r>
              <w:rPr>
                <w:rFonts w:hint="eastAsia" w:ascii="Times New Roman" w:hAnsi="Times New Roman" w:cs="Times New Roman"/>
                <w:b/>
                <w:bCs/>
                <w:color w:val="auto"/>
                <w:sz w:val="24"/>
                <w:szCs w:val="22"/>
                <w:highlight w:val="none"/>
                <w:lang w:val="en-US" w:eastAsia="zh-CN"/>
              </w:rPr>
              <w:t xml:space="preserve"> </w:t>
            </w:r>
            <w:r>
              <w:rPr>
                <w:rFonts w:hint="eastAsia" w:ascii="Times New Roman" w:hAnsi="Times New Roman" w:cs="Times New Roman"/>
                <w:b/>
                <w:bCs/>
                <w:color w:val="auto"/>
                <w:sz w:val="24"/>
                <w:szCs w:val="22"/>
                <w:highlight w:val="none"/>
                <w:lang w:eastAsia="zh-CN"/>
              </w:rPr>
              <w:t xml:space="preserve"> 本项目Q值计算一览表</w:t>
            </w:r>
          </w:p>
          <w:tbl>
            <w:tblPr>
              <w:tblStyle w:val="34"/>
              <w:tblW w:w="84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11"/>
              <w:gridCol w:w="2676"/>
              <w:gridCol w:w="2162"/>
              <w:gridCol w:w="1413"/>
              <w:gridCol w:w="1415"/>
            </w:tblGrid>
            <w:tr w14:paraId="32C4B4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1" w:type="dxa"/>
                  <w:tcBorders>
                    <w:tl2br w:val="nil"/>
                    <w:tr2bl w:val="nil"/>
                  </w:tcBorders>
                  <w:noWrap w:val="0"/>
                  <w:vAlign w:val="center"/>
                </w:tcPr>
                <w:p w14:paraId="03870F6A">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676" w:type="dxa"/>
                  <w:tcBorders>
                    <w:tl2br w:val="nil"/>
                    <w:tr2bl w:val="nil"/>
                  </w:tcBorders>
                  <w:noWrap w:val="0"/>
                  <w:vAlign w:val="center"/>
                </w:tcPr>
                <w:p w14:paraId="1DDB5086">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危险物质名称</w:t>
                  </w:r>
                </w:p>
              </w:tc>
              <w:tc>
                <w:tcPr>
                  <w:tcW w:w="2162" w:type="dxa"/>
                  <w:tcBorders>
                    <w:tl2br w:val="nil"/>
                    <w:tr2bl w:val="nil"/>
                  </w:tcBorders>
                  <w:noWrap w:val="0"/>
                  <w:vAlign w:val="center"/>
                </w:tcPr>
                <w:p w14:paraId="42C4B908">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最大存在总量</w:t>
                  </w:r>
                  <w:r>
                    <w:rPr>
                      <w:rFonts w:hint="default" w:ascii="Times New Roman" w:hAnsi="Times New Roman" w:eastAsia="Times New Roman" w:cs="Times New Roman"/>
                      <w:b/>
                      <w:bCs/>
                      <w:color w:val="auto"/>
                      <w:sz w:val="21"/>
                      <w:szCs w:val="21"/>
                      <w:highlight w:val="none"/>
                    </w:rPr>
                    <w:t>qn/t</w:t>
                  </w:r>
                </w:p>
              </w:tc>
              <w:tc>
                <w:tcPr>
                  <w:tcW w:w="1413" w:type="dxa"/>
                  <w:tcBorders>
                    <w:tl2br w:val="nil"/>
                    <w:tr2bl w:val="nil"/>
                  </w:tcBorders>
                  <w:noWrap w:val="0"/>
                  <w:vAlign w:val="center"/>
                </w:tcPr>
                <w:p w14:paraId="6E7C2B04">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临界量</w:t>
                  </w:r>
                  <w:r>
                    <w:rPr>
                      <w:rFonts w:hint="default" w:ascii="Times New Roman" w:hAnsi="Times New Roman" w:eastAsia="Times New Roman" w:cs="Times New Roman"/>
                      <w:b/>
                      <w:bCs/>
                      <w:color w:val="auto"/>
                      <w:sz w:val="21"/>
                      <w:szCs w:val="21"/>
                      <w:highlight w:val="none"/>
                    </w:rPr>
                    <w:t>Qn/t</w:t>
                  </w:r>
                </w:p>
              </w:tc>
              <w:tc>
                <w:tcPr>
                  <w:tcW w:w="1415" w:type="dxa"/>
                  <w:tcBorders>
                    <w:tl2br w:val="nil"/>
                    <w:tr2bl w:val="nil"/>
                  </w:tcBorders>
                  <w:noWrap w:val="0"/>
                  <w:vAlign w:val="center"/>
                </w:tcPr>
                <w:p w14:paraId="16456EE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Times New Roman" w:cs="Times New Roman"/>
                      <w:b/>
                      <w:bCs/>
                      <w:color w:val="auto"/>
                      <w:sz w:val="21"/>
                      <w:szCs w:val="21"/>
                      <w:highlight w:val="none"/>
                    </w:rPr>
                    <w:t>Q</w:t>
                  </w:r>
                  <w:r>
                    <w:rPr>
                      <w:rFonts w:hint="default" w:ascii="Times New Roman" w:hAnsi="Times New Roman" w:cs="Times New Roman"/>
                      <w:b/>
                      <w:bCs/>
                      <w:color w:val="auto"/>
                      <w:sz w:val="21"/>
                      <w:szCs w:val="21"/>
                      <w:highlight w:val="none"/>
                    </w:rPr>
                    <w:t>值</w:t>
                  </w:r>
                </w:p>
              </w:tc>
            </w:tr>
            <w:tr w14:paraId="7B2373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1" w:type="dxa"/>
                  <w:tcBorders>
                    <w:tl2br w:val="nil"/>
                    <w:tr2bl w:val="nil"/>
                  </w:tcBorders>
                  <w:noWrap w:val="0"/>
                  <w:vAlign w:val="center"/>
                </w:tcPr>
                <w:p w14:paraId="701CCB5A">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w w:val="100"/>
                      <w:kern w:val="2"/>
                      <w:sz w:val="21"/>
                      <w:szCs w:val="21"/>
                      <w:highlight w:val="none"/>
                      <w:lang w:val="en-US" w:eastAsia="zh-CN" w:bidi="ar-SA"/>
                    </w:rPr>
                  </w:pPr>
                  <w:r>
                    <w:rPr>
                      <w:rFonts w:hint="eastAsia" w:ascii="Times New Roman" w:hAnsi="Times New Roman" w:cs="Times New Roman"/>
                      <w:b w:val="0"/>
                      <w:bCs w:val="0"/>
                      <w:color w:val="auto"/>
                      <w:w w:val="100"/>
                      <w:sz w:val="21"/>
                      <w:szCs w:val="21"/>
                      <w:highlight w:val="none"/>
                      <w:lang w:val="en-US" w:eastAsia="zh-CN"/>
                    </w:rPr>
                    <w:t>1</w:t>
                  </w:r>
                </w:p>
              </w:tc>
              <w:tc>
                <w:tcPr>
                  <w:tcW w:w="2676" w:type="dxa"/>
                  <w:tcBorders>
                    <w:tl2br w:val="nil"/>
                    <w:tr2bl w:val="nil"/>
                  </w:tcBorders>
                  <w:noWrap w:val="0"/>
                  <w:vAlign w:val="top"/>
                </w:tcPr>
                <w:p w14:paraId="35FBDB18">
                  <w:pPr>
                    <w:keepNext w:val="0"/>
                    <w:keepLines w:val="0"/>
                    <w:suppressLineNumbers w:val="0"/>
                    <w:spacing w:before="61" w:beforeAutospacing="0" w:after="0" w:afterAutospacing="0" w:line="227" w:lineRule="auto"/>
                    <w:ind w:left="0" w:leftChars="0" w:right="0" w:rightChars="0"/>
                    <w:jc w:val="center"/>
                    <w:rPr>
                      <w:rFonts w:hint="eastAsia" w:ascii="Times New Roman" w:hAnsi="Times New Roman" w:eastAsia="宋体" w:cs="Times New Roman"/>
                      <w:b w:val="0"/>
                      <w:bCs w:val="0"/>
                      <w:color w:val="auto"/>
                      <w:sz w:val="21"/>
                      <w:szCs w:val="21"/>
                      <w:highlight w:val="none"/>
                      <w:lang w:val="en-US" w:eastAsia="zh-CN"/>
                    </w:rPr>
                  </w:pPr>
                  <w:r>
                    <w:rPr>
                      <w:rFonts w:hint="eastAsia" w:ascii="宋体" w:hAnsi="宋体" w:cs="宋体"/>
                      <w:sz w:val="21"/>
                      <w:szCs w:val="21"/>
                      <w:highlight w:val="none"/>
                      <w:lang w:val="en-US" w:eastAsia="zh-CN"/>
                    </w:rPr>
                    <w:t>机油</w:t>
                  </w:r>
                </w:p>
              </w:tc>
              <w:tc>
                <w:tcPr>
                  <w:tcW w:w="2162" w:type="dxa"/>
                  <w:tcBorders>
                    <w:tl2br w:val="nil"/>
                    <w:tr2bl w:val="nil"/>
                  </w:tcBorders>
                  <w:noWrap w:val="0"/>
                  <w:vAlign w:val="center"/>
                </w:tcPr>
                <w:p w14:paraId="071183B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aps w:val="0"/>
                      <w:smallCaps w:val="0"/>
                      <w:color w:val="auto"/>
                      <w:spacing w:val="0"/>
                      <w:kern w:val="0"/>
                      <w:sz w:val="21"/>
                      <w:szCs w:val="21"/>
                      <w:highlight w:val="none"/>
                      <w:lang w:val="en-US" w:eastAsia="zh-CN"/>
                    </w:rPr>
                    <w:t>0.15</w:t>
                  </w:r>
                </w:p>
              </w:tc>
              <w:tc>
                <w:tcPr>
                  <w:tcW w:w="1413" w:type="dxa"/>
                  <w:tcBorders>
                    <w:tl2br w:val="nil"/>
                    <w:tr2bl w:val="nil"/>
                  </w:tcBorders>
                  <w:noWrap w:val="0"/>
                  <w:vAlign w:val="center"/>
                </w:tcPr>
                <w:p w14:paraId="7AC5AD9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spacing w:val="-8"/>
                      <w:sz w:val="20"/>
                      <w:szCs w:val="20"/>
                      <w:highlight w:val="none"/>
                      <w:lang w:val="en-US" w:eastAsia="zh-CN"/>
                    </w:rPr>
                    <w:t>2</w:t>
                  </w:r>
                  <w:r>
                    <w:rPr>
                      <w:rFonts w:hint="eastAsia" w:ascii="Times New Roman" w:hAnsi="Times New Roman" w:eastAsia="宋体" w:cs="Times New Roman"/>
                      <w:spacing w:val="-8"/>
                      <w:sz w:val="20"/>
                      <w:szCs w:val="20"/>
                      <w:highlight w:val="none"/>
                      <w:lang w:val="en-US" w:eastAsia="zh-CN"/>
                    </w:rPr>
                    <w:t>500</w:t>
                  </w:r>
                </w:p>
              </w:tc>
              <w:tc>
                <w:tcPr>
                  <w:tcW w:w="1415" w:type="dxa"/>
                  <w:tcBorders>
                    <w:tl2br w:val="nil"/>
                    <w:tr2bl w:val="nil"/>
                  </w:tcBorders>
                  <w:noWrap w:val="0"/>
                  <w:vAlign w:val="center"/>
                </w:tcPr>
                <w:p w14:paraId="0D78F2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195"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spacing w:val="4"/>
                      <w:sz w:val="20"/>
                      <w:szCs w:val="20"/>
                      <w:highlight w:val="none"/>
                      <w:lang w:val="en-US" w:eastAsia="zh-CN"/>
                    </w:rPr>
                    <w:t>0.0000</w:t>
                  </w:r>
                  <w:r>
                    <w:rPr>
                      <w:rFonts w:hint="eastAsia" w:cs="Times New Roman"/>
                      <w:spacing w:val="4"/>
                      <w:sz w:val="20"/>
                      <w:szCs w:val="20"/>
                      <w:highlight w:val="none"/>
                      <w:lang w:val="en-US" w:eastAsia="zh-CN"/>
                    </w:rPr>
                    <w:t>6</w:t>
                  </w:r>
                </w:p>
              </w:tc>
            </w:tr>
            <w:tr w14:paraId="32DFD2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1" w:type="dxa"/>
                  <w:tcBorders>
                    <w:tl2br w:val="nil"/>
                    <w:tr2bl w:val="nil"/>
                  </w:tcBorders>
                  <w:noWrap w:val="0"/>
                  <w:vAlign w:val="center"/>
                </w:tcPr>
                <w:p w14:paraId="58AE86EB">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w w:val="100"/>
                      <w:sz w:val="21"/>
                      <w:szCs w:val="21"/>
                      <w:highlight w:val="none"/>
                      <w:lang w:val="en-US" w:eastAsia="zh-CN"/>
                    </w:rPr>
                  </w:pPr>
                  <w:r>
                    <w:rPr>
                      <w:rFonts w:hint="eastAsia" w:cs="Times New Roman"/>
                      <w:b w:val="0"/>
                      <w:bCs w:val="0"/>
                      <w:color w:val="auto"/>
                      <w:w w:val="100"/>
                      <w:sz w:val="21"/>
                      <w:szCs w:val="21"/>
                      <w:highlight w:val="none"/>
                      <w:lang w:val="en-US" w:eastAsia="zh-CN"/>
                    </w:rPr>
                    <w:t>2</w:t>
                  </w:r>
                </w:p>
              </w:tc>
              <w:tc>
                <w:tcPr>
                  <w:tcW w:w="2676" w:type="dxa"/>
                  <w:tcBorders>
                    <w:tl2br w:val="nil"/>
                    <w:tr2bl w:val="nil"/>
                  </w:tcBorders>
                  <w:noWrap w:val="0"/>
                  <w:vAlign w:val="top"/>
                </w:tcPr>
                <w:p w14:paraId="0435C02D">
                  <w:pPr>
                    <w:keepNext w:val="0"/>
                    <w:keepLines w:val="0"/>
                    <w:suppressLineNumbers w:val="0"/>
                    <w:spacing w:before="61" w:beforeAutospacing="0" w:after="0" w:afterAutospacing="0" w:line="227" w:lineRule="auto"/>
                    <w:ind w:left="0" w:leftChars="0" w:right="0" w:rightChars="0"/>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废机油</w:t>
                  </w:r>
                </w:p>
              </w:tc>
              <w:tc>
                <w:tcPr>
                  <w:tcW w:w="2162" w:type="dxa"/>
                  <w:tcBorders>
                    <w:tl2br w:val="nil"/>
                    <w:tr2bl w:val="nil"/>
                  </w:tcBorders>
                  <w:noWrap w:val="0"/>
                  <w:vAlign w:val="center"/>
                </w:tcPr>
                <w:p w14:paraId="1419B963">
                  <w:pPr>
                    <w:keepNext w:val="0"/>
                    <w:keepLines w:val="0"/>
                    <w:suppressLineNumbers w:val="0"/>
                    <w:spacing w:before="0" w:beforeAutospacing="0" w:after="0" w:afterAutospacing="0" w:line="240" w:lineRule="auto"/>
                    <w:ind w:left="0" w:leftChars="0" w:right="0" w:rightChars="0"/>
                    <w:jc w:val="center"/>
                    <w:rPr>
                      <w:rFonts w:hint="eastAsia" w:cs="Times New Roman"/>
                      <w:caps w:val="0"/>
                      <w:smallCaps w:val="0"/>
                      <w:color w:val="auto"/>
                      <w:spacing w:val="0"/>
                      <w:kern w:val="0"/>
                      <w:sz w:val="21"/>
                      <w:szCs w:val="21"/>
                      <w:highlight w:val="none"/>
                      <w:lang w:val="en-US" w:eastAsia="zh-CN"/>
                    </w:rPr>
                  </w:pPr>
                  <w:r>
                    <w:rPr>
                      <w:rFonts w:hint="eastAsia" w:cs="Times New Roman"/>
                      <w:caps w:val="0"/>
                      <w:smallCaps w:val="0"/>
                      <w:color w:val="auto"/>
                      <w:spacing w:val="0"/>
                      <w:kern w:val="0"/>
                      <w:sz w:val="21"/>
                      <w:szCs w:val="21"/>
                      <w:highlight w:val="none"/>
                      <w:lang w:val="en-US" w:eastAsia="zh-CN"/>
                    </w:rPr>
                    <w:t>0.12</w:t>
                  </w:r>
                </w:p>
              </w:tc>
              <w:tc>
                <w:tcPr>
                  <w:tcW w:w="1413" w:type="dxa"/>
                  <w:tcBorders>
                    <w:tl2br w:val="nil"/>
                    <w:tr2bl w:val="nil"/>
                  </w:tcBorders>
                  <w:noWrap w:val="0"/>
                  <w:vAlign w:val="center"/>
                </w:tcPr>
                <w:p w14:paraId="50E3F3D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cs="Times New Roman"/>
                      <w:spacing w:val="-8"/>
                      <w:sz w:val="20"/>
                      <w:szCs w:val="20"/>
                      <w:highlight w:val="none"/>
                      <w:lang w:val="en-US" w:eastAsia="zh-CN"/>
                    </w:rPr>
                  </w:pPr>
                  <w:r>
                    <w:rPr>
                      <w:rFonts w:hint="eastAsia" w:cs="Times New Roman"/>
                      <w:spacing w:val="-8"/>
                      <w:sz w:val="20"/>
                      <w:szCs w:val="20"/>
                      <w:highlight w:val="none"/>
                      <w:lang w:val="en-US" w:eastAsia="zh-CN"/>
                    </w:rPr>
                    <w:t>2</w:t>
                  </w:r>
                  <w:r>
                    <w:rPr>
                      <w:rFonts w:hint="eastAsia" w:ascii="Times New Roman" w:hAnsi="Times New Roman" w:eastAsia="宋体" w:cs="Times New Roman"/>
                      <w:spacing w:val="-8"/>
                      <w:sz w:val="20"/>
                      <w:szCs w:val="20"/>
                      <w:highlight w:val="none"/>
                      <w:lang w:val="en-US" w:eastAsia="zh-CN"/>
                    </w:rPr>
                    <w:t>500</w:t>
                  </w:r>
                </w:p>
              </w:tc>
              <w:tc>
                <w:tcPr>
                  <w:tcW w:w="1415" w:type="dxa"/>
                  <w:tcBorders>
                    <w:tl2br w:val="nil"/>
                    <w:tr2bl w:val="nil"/>
                  </w:tcBorders>
                  <w:noWrap w:val="0"/>
                  <w:vAlign w:val="center"/>
                </w:tcPr>
                <w:p w14:paraId="673F9C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195" w:lineRule="auto"/>
                    <w:ind w:left="0" w:leftChars="0" w:right="0" w:rightChars="0"/>
                    <w:jc w:val="center"/>
                    <w:textAlignment w:val="auto"/>
                    <w:rPr>
                      <w:rFonts w:hint="eastAsia" w:eastAsia="宋体" w:cs="Times New Roman"/>
                      <w:spacing w:val="4"/>
                      <w:sz w:val="20"/>
                      <w:szCs w:val="20"/>
                      <w:highlight w:val="none"/>
                      <w:lang w:val="en-US" w:eastAsia="zh-CN"/>
                    </w:rPr>
                  </w:pPr>
                  <w:r>
                    <w:rPr>
                      <w:rFonts w:hint="eastAsia" w:eastAsia="宋体" w:cs="Times New Roman"/>
                      <w:spacing w:val="4"/>
                      <w:sz w:val="20"/>
                      <w:szCs w:val="20"/>
                      <w:highlight w:val="none"/>
                      <w:lang w:val="en-US" w:eastAsia="zh-CN"/>
                    </w:rPr>
                    <w:t>0.000048</w:t>
                  </w:r>
                </w:p>
              </w:tc>
            </w:tr>
            <w:tr w14:paraId="44188F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62" w:type="dxa"/>
                  <w:gridSpan w:val="4"/>
                  <w:tcBorders>
                    <w:tl2br w:val="nil"/>
                    <w:tr2bl w:val="nil"/>
                  </w:tcBorders>
                  <w:noWrap w:val="0"/>
                  <w:vAlign w:val="center"/>
                </w:tcPr>
                <w:p w14:paraId="2B0096E0">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项目</w:t>
                  </w:r>
                  <w:r>
                    <w:rPr>
                      <w:rFonts w:hint="default" w:ascii="Times New Roman" w:hAnsi="Times New Roman" w:eastAsia="Times New Roman" w:cs="Times New Roman"/>
                      <w:color w:val="auto"/>
                      <w:sz w:val="21"/>
                      <w:szCs w:val="21"/>
                      <w:highlight w:val="none"/>
                    </w:rPr>
                    <w:t xml:space="preserve">Q </w:t>
                  </w:r>
                  <w:r>
                    <w:rPr>
                      <w:rFonts w:hint="default" w:ascii="Times New Roman" w:hAnsi="Times New Roman" w:cs="Times New Roman"/>
                      <w:color w:val="auto"/>
                      <w:sz w:val="21"/>
                      <w:szCs w:val="21"/>
                      <w:highlight w:val="none"/>
                    </w:rPr>
                    <w:t>值</w:t>
                  </w:r>
                  <w:r>
                    <w:rPr>
                      <w:rFonts w:hint="default" w:ascii="Times New Roman" w:hAnsi="Times New Roman" w:eastAsia="Times New Roman"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0.000108</w:t>
                  </w:r>
                </w:p>
              </w:tc>
              <w:tc>
                <w:tcPr>
                  <w:tcW w:w="1415" w:type="dxa"/>
                  <w:tcBorders>
                    <w:tl2br w:val="nil"/>
                    <w:tr2bl w:val="nil"/>
                  </w:tcBorders>
                  <w:noWrap w:val="0"/>
                  <w:vAlign w:val="center"/>
                </w:tcPr>
                <w:p w14:paraId="67B20652">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0"/>
                      <w:sz w:val="21"/>
                      <w:szCs w:val="21"/>
                      <w:highlight w:val="none"/>
                      <w:lang w:eastAsia="zh-CN"/>
                    </w:rPr>
                    <w:t>&lt;</w:t>
                  </w:r>
                  <w:r>
                    <w:rPr>
                      <w:rFonts w:hint="default" w:ascii="Times New Roman" w:hAnsi="Times New Roman" w:eastAsia="宋体" w:cs="Times New Roman"/>
                      <w:color w:val="auto"/>
                      <w:spacing w:val="0"/>
                      <w:sz w:val="21"/>
                      <w:szCs w:val="21"/>
                      <w:highlight w:val="none"/>
                    </w:rPr>
                    <w:t>1</w:t>
                  </w:r>
                </w:p>
              </w:tc>
            </w:tr>
          </w:tbl>
          <w:p w14:paraId="65B0BA5F">
            <w:pPr>
              <w:keepNext w:val="0"/>
              <w:keepLines w:val="0"/>
              <w:suppressLineNumbers w:val="0"/>
              <w:tabs>
                <w:tab w:val="left" w:pos="1030"/>
              </w:tabs>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3）评价等级确定</w:t>
            </w:r>
          </w:p>
          <w:p w14:paraId="1FA82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依据项目环境风险潜势，按照</w:t>
            </w:r>
            <w:r>
              <w:rPr>
                <w:rFonts w:hint="eastAsia" w:ascii="Times New Roman" w:hAnsi="Times New Roman" w:eastAsia="宋体" w:cs="Times New Roman"/>
                <w:color w:val="auto"/>
                <w:sz w:val="24"/>
                <w:lang w:val="en-US" w:eastAsia="zh-CN"/>
              </w:rPr>
              <w:t>下表</w:t>
            </w:r>
            <w:r>
              <w:rPr>
                <w:rFonts w:hint="default" w:ascii="Times New Roman" w:hAnsi="Times New Roman" w:eastAsia="宋体" w:cs="Times New Roman"/>
                <w:color w:val="auto"/>
                <w:sz w:val="24"/>
                <w:lang w:val="en-US" w:eastAsia="zh-CN"/>
              </w:rPr>
              <w:t>确定项目环境风险评价工作等级。</w:t>
            </w:r>
          </w:p>
          <w:p w14:paraId="6B8077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auto"/>
                <w:kern w:val="0"/>
                <w:sz w:val="24"/>
              </w:rPr>
            </w:pPr>
            <w:r>
              <w:rPr>
                <w:rFonts w:hint="default" w:ascii="Times New Roman" w:hAnsi="Times New Roman" w:eastAsia="宋体" w:cs="Times New Roman"/>
                <w:b/>
                <w:bCs/>
                <w:snapToGrid w:val="0"/>
                <w:color w:val="auto"/>
                <w:kern w:val="0"/>
                <w:sz w:val="24"/>
              </w:rPr>
              <w:t>表</w:t>
            </w:r>
            <w:r>
              <w:rPr>
                <w:rFonts w:hint="eastAsia" w:ascii="Times New Roman" w:hAnsi="Times New Roman" w:eastAsia="宋体" w:cs="Times New Roman"/>
                <w:b/>
                <w:bCs/>
                <w:snapToGrid w:val="0"/>
                <w:color w:val="auto"/>
                <w:kern w:val="0"/>
                <w:sz w:val="24"/>
                <w:lang w:val="en-US" w:eastAsia="zh-CN"/>
              </w:rPr>
              <w:t>4-2</w:t>
            </w:r>
            <w:r>
              <w:rPr>
                <w:rFonts w:hint="eastAsia" w:cs="Times New Roman"/>
                <w:b/>
                <w:bCs/>
                <w:snapToGrid w:val="0"/>
                <w:color w:val="auto"/>
                <w:kern w:val="0"/>
                <w:sz w:val="24"/>
                <w:lang w:val="en-US" w:eastAsia="zh-CN"/>
              </w:rPr>
              <w:t>2</w:t>
            </w:r>
            <w:r>
              <w:rPr>
                <w:rFonts w:hint="eastAsia" w:ascii="Times New Roman" w:hAnsi="Times New Roman" w:eastAsia="宋体" w:cs="Times New Roman"/>
                <w:b/>
                <w:bCs/>
                <w:snapToGrid w:val="0"/>
                <w:color w:val="auto"/>
                <w:kern w:val="0"/>
                <w:sz w:val="24"/>
                <w:lang w:val="en-US" w:eastAsia="zh-CN"/>
              </w:rPr>
              <w:t xml:space="preserve">  </w:t>
            </w:r>
            <w:r>
              <w:rPr>
                <w:rFonts w:hint="default" w:ascii="Times New Roman" w:hAnsi="Times New Roman" w:eastAsia="宋体" w:cs="Times New Roman"/>
                <w:b/>
                <w:bCs/>
                <w:snapToGrid w:val="0"/>
                <w:color w:val="auto"/>
                <w:kern w:val="0"/>
                <w:sz w:val="24"/>
              </w:rPr>
              <w:t>评价工作等级划分</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1688"/>
              <w:gridCol w:w="1903"/>
              <w:gridCol w:w="1472"/>
              <w:gridCol w:w="1469"/>
            </w:tblGrid>
            <w:tr w14:paraId="7F4D7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2" w:type="dxa"/>
                  <w:tcBorders>
                    <w:tl2br w:val="nil"/>
                    <w:tr2bl w:val="nil"/>
                  </w:tcBorders>
                  <w:noWrap w:val="0"/>
                  <w:vAlign w:val="center"/>
                </w:tcPr>
                <w:p w14:paraId="3905ACD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napToGrid w:val="0"/>
                      <w:color w:val="auto"/>
                      <w:kern w:val="0"/>
                      <w:szCs w:val="21"/>
                      <w:lang w:eastAsia="zh-CN"/>
                    </w:rPr>
                  </w:pPr>
                  <w:r>
                    <w:rPr>
                      <w:rFonts w:hint="default" w:ascii="Times New Roman" w:hAnsi="Times New Roman" w:eastAsia="宋体" w:cs="Times New Roman"/>
                      <w:b/>
                      <w:bCs/>
                      <w:snapToGrid w:val="0"/>
                      <w:color w:val="auto"/>
                      <w:kern w:val="0"/>
                      <w:szCs w:val="21"/>
                      <w:lang w:eastAsia="zh-CN"/>
                    </w:rPr>
                    <w:t>环境风险潜势</w:t>
                  </w:r>
                </w:p>
              </w:tc>
              <w:tc>
                <w:tcPr>
                  <w:tcW w:w="1688" w:type="dxa"/>
                  <w:tcBorders>
                    <w:tl2br w:val="nil"/>
                    <w:tr2bl w:val="nil"/>
                  </w:tcBorders>
                  <w:noWrap w:val="0"/>
                  <w:vAlign w:val="center"/>
                </w:tcPr>
                <w:p w14:paraId="1D2E137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napToGrid w:val="0"/>
                      <w:color w:val="auto"/>
                      <w:kern w:val="0"/>
                      <w:szCs w:val="21"/>
                      <w:lang w:val="en-US" w:eastAsia="zh-CN"/>
                    </w:rPr>
                  </w:pPr>
                  <w:r>
                    <w:rPr>
                      <w:rFonts w:hint="default" w:ascii="Times New Roman" w:hAnsi="Times New Roman" w:eastAsia="宋体" w:cs="Times New Roman"/>
                      <w:b/>
                      <w:bCs/>
                      <w:snapToGrid w:val="0"/>
                      <w:color w:val="auto"/>
                      <w:kern w:val="0"/>
                      <w:szCs w:val="21"/>
                      <w:lang w:val="en-US" w:eastAsia="zh-CN"/>
                    </w:rPr>
                    <w:t>Ⅳ、Ⅳ</w:t>
                  </w:r>
                  <w:r>
                    <w:rPr>
                      <w:rFonts w:hint="default" w:ascii="Times New Roman" w:hAnsi="Times New Roman" w:eastAsia="宋体" w:cs="Times New Roman"/>
                      <w:b/>
                      <w:bCs/>
                      <w:snapToGrid w:val="0"/>
                      <w:color w:val="auto"/>
                      <w:kern w:val="0"/>
                      <w:szCs w:val="21"/>
                      <w:vertAlign w:val="superscript"/>
                      <w:lang w:val="en-US" w:eastAsia="zh-CN"/>
                    </w:rPr>
                    <w:t>+</w:t>
                  </w:r>
                </w:p>
              </w:tc>
              <w:tc>
                <w:tcPr>
                  <w:tcW w:w="1903" w:type="dxa"/>
                  <w:tcBorders>
                    <w:tl2br w:val="nil"/>
                    <w:tr2bl w:val="nil"/>
                  </w:tcBorders>
                  <w:noWrap w:val="0"/>
                  <w:vAlign w:val="center"/>
                </w:tcPr>
                <w:p w14:paraId="53F09F7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napToGrid w:val="0"/>
                      <w:color w:val="auto"/>
                      <w:kern w:val="0"/>
                      <w:szCs w:val="21"/>
                      <w:lang w:val="en-US" w:eastAsia="zh-CN"/>
                    </w:rPr>
                  </w:pPr>
                  <w:r>
                    <w:rPr>
                      <w:rFonts w:hint="default" w:ascii="Times New Roman" w:hAnsi="Times New Roman" w:eastAsia="宋体" w:cs="Times New Roman"/>
                      <w:b/>
                      <w:bCs/>
                      <w:snapToGrid w:val="0"/>
                      <w:color w:val="auto"/>
                      <w:kern w:val="0"/>
                      <w:szCs w:val="21"/>
                      <w:lang w:val="en-US" w:eastAsia="zh-CN"/>
                    </w:rPr>
                    <w:t>Ⅲ</w:t>
                  </w:r>
                </w:p>
              </w:tc>
              <w:tc>
                <w:tcPr>
                  <w:tcW w:w="1472" w:type="dxa"/>
                  <w:tcBorders>
                    <w:tl2br w:val="nil"/>
                    <w:tr2bl w:val="nil"/>
                  </w:tcBorders>
                  <w:noWrap w:val="0"/>
                  <w:vAlign w:val="center"/>
                </w:tcPr>
                <w:p w14:paraId="6ADF212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napToGrid w:val="0"/>
                      <w:color w:val="auto"/>
                      <w:kern w:val="0"/>
                      <w:szCs w:val="21"/>
                      <w:lang w:val="en-US" w:eastAsia="zh-CN"/>
                    </w:rPr>
                  </w:pPr>
                  <w:r>
                    <w:rPr>
                      <w:rFonts w:hint="default" w:ascii="Times New Roman" w:hAnsi="Times New Roman" w:eastAsia="宋体" w:cs="Times New Roman"/>
                      <w:b/>
                      <w:bCs/>
                      <w:snapToGrid w:val="0"/>
                      <w:color w:val="auto"/>
                      <w:kern w:val="0"/>
                      <w:szCs w:val="21"/>
                      <w:lang w:val="en-US" w:eastAsia="zh-CN"/>
                    </w:rPr>
                    <w:t>Ⅱ</w:t>
                  </w:r>
                </w:p>
              </w:tc>
              <w:tc>
                <w:tcPr>
                  <w:tcW w:w="1469" w:type="dxa"/>
                  <w:tcBorders>
                    <w:tl2br w:val="nil"/>
                    <w:tr2bl w:val="nil"/>
                  </w:tcBorders>
                  <w:noWrap w:val="0"/>
                  <w:vAlign w:val="center"/>
                </w:tcPr>
                <w:p w14:paraId="2955FB4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napToGrid w:val="0"/>
                      <w:color w:val="auto"/>
                      <w:kern w:val="0"/>
                      <w:szCs w:val="21"/>
                      <w:lang w:val="en-US" w:eastAsia="zh-CN"/>
                    </w:rPr>
                  </w:pPr>
                  <w:r>
                    <w:rPr>
                      <w:rFonts w:hint="default" w:ascii="Times New Roman" w:hAnsi="Times New Roman" w:eastAsia="宋体" w:cs="Times New Roman"/>
                      <w:b/>
                      <w:bCs/>
                      <w:snapToGrid w:val="0"/>
                      <w:color w:val="auto"/>
                      <w:kern w:val="0"/>
                      <w:szCs w:val="21"/>
                      <w:lang w:val="en-US" w:eastAsia="zh-CN"/>
                    </w:rPr>
                    <w:t>Ⅰ</w:t>
                  </w:r>
                </w:p>
              </w:tc>
            </w:tr>
            <w:tr w14:paraId="32268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2" w:type="dxa"/>
                  <w:tcBorders>
                    <w:tl2br w:val="nil"/>
                    <w:tr2bl w:val="nil"/>
                  </w:tcBorders>
                  <w:shd w:val="clear" w:color="auto" w:fill="auto"/>
                  <w:noWrap w:val="0"/>
                  <w:vAlign w:val="center"/>
                </w:tcPr>
                <w:p w14:paraId="7574054B">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b/>
                      <w:bCs/>
                      <w:snapToGrid w:val="0"/>
                      <w:color w:val="auto"/>
                      <w:kern w:val="0"/>
                      <w:szCs w:val="21"/>
                      <w:lang w:val="en-US" w:eastAsia="zh-CN"/>
                    </w:rPr>
                    <w:t>评价工作等级</w:t>
                  </w:r>
                </w:p>
              </w:tc>
              <w:tc>
                <w:tcPr>
                  <w:tcW w:w="1688" w:type="dxa"/>
                  <w:tcBorders>
                    <w:tl2br w:val="nil"/>
                    <w:tr2bl w:val="nil"/>
                  </w:tcBorders>
                  <w:shd w:val="clear" w:color="auto" w:fill="auto"/>
                  <w:noWrap w:val="0"/>
                  <w:vAlign w:val="center"/>
                </w:tcPr>
                <w:p w14:paraId="4E5C246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vertAlign w:val="superscript"/>
                      <w:lang w:val="en-US" w:eastAsia="zh-CN"/>
                    </w:rPr>
                  </w:pPr>
                  <w:r>
                    <w:rPr>
                      <w:rFonts w:hint="default" w:ascii="Times New Roman" w:hAnsi="Times New Roman" w:eastAsia="宋体" w:cs="Times New Roman"/>
                      <w:snapToGrid w:val="0"/>
                      <w:color w:val="auto"/>
                      <w:kern w:val="0"/>
                      <w:szCs w:val="21"/>
                      <w:vertAlign w:val="baseline"/>
                      <w:lang w:val="en-US" w:eastAsia="zh-CN"/>
                    </w:rPr>
                    <w:t>一</w:t>
                  </w:r>
                </w:p>
              </w:tc>
              <w:tc>
                <w:tcPr>
                  <w:tcW w:w="1903" w:type="dxa"/>
                  <w:tcBorders>
                    <w:tl2br w:val="nil"/>
                    <w:tr2bl w:val="nil"/>
                  </w:tcBorders>
                  <w:shd w:val="clear" w:color="auto" w:fill="auto"/>
                  <w:noWrap w:val="0"/>
                  <w:vAlign w:val="center"/>
                </w:tcPr>
                <w:p w14:paraId="03DB9D2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二</w:t>
                  </w:r>
                </w:p>
              </w:tc>
              <w:tc>
                <w:tcPr>
                  <w:tcW w:w="1472" w:type="dxa"/>
                  <w:tcBorders>
                    <w:tl2br w:val="nil"/>
                    <w:tr2bl w:val="nil"/>
                  </w:tcBorders>
                  <w:shd w:val="clear" w:color="auto" w:fill="auto"/>
                  <w:noWrap w:val="0"/>
                  <w:vAlign w:val="center"/>
                </w:tcPr>
                <w:p w14:paraId="71D2276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三</w:t>
                  </w:r>
                </w:p>
              </w:tc>
              <w:tc>
                <w:tcPr>
                  <w:tcW w:w="1469" w:type="dxa"/>
                  <w:tcBorders>
                    <w:tl2br w:val="nil"/>
                    <w:tr2bl w:val="nil"/>
                  </w:tcBorders>
                  <w:shd w:val="clear" w:color="auto" w:fill="FFFF00"/>
                  <w:noWrap w:val="0"/>
                  <w:vAlign w:val="center"/>
                </w:tcPr>
                <w:p w14:paraId="6D6D046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简单分析</w:t>
                  </w:r>
                </w:p>
              </w:tc>
            </w:tr>
          </w:tbl>
          <w:p w14:paraId="61F940A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rFonts w:hint="eastAsia" w:ascii="Times New Roman" w:hAnsi="Times New Roman" w:eastAsia="宋体" w:cs="宋体"/>
                <w:b/>
                <w:bCs w:val="0"/>
                <w:color w:val="auto"/>
                <w:spacing w:val="-11"/>
                <w:sz w:val="24"/>
                <w:szCs w:val="24"/>
                <w:lang w:val="en-US" w:eastAsia="zh-CN"/>
              </w:rPr>
            </w:pPr>
            <w:r>
              <w:rPr>
                <w:rFonts w:hint="default" w:ascii="Times New Roman" w:hAnsi="Times New Roman" w:eastAsia="宋体" w:cs="Times New Roman"/>
                <w:color w:val="auto"/>
                <w:sz w:val="24"/>
                <w:szCs w:val="24"/>
              </w:rPr>
              <w:t>根据《建设项目环境风险评价技术导则》（HJ169-2018）中评价工作等级划分可知，本项目环境风险潜势为I，仅进行简单分析。</w:t>
            </w:r>
          </w:p>
          <w:p w14:paraId="6436348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38" w:firstLineChars="200"/>
              <w:jc w:val="left"/>
              <w:textAlignment w:val="auto"/>
              <w:rPr>
                <w:rFonts w:hint="eastAsia" w:ascii="Times New Roman" w:hAnsi="Times New Roman" w:cs="宋体"/>
                <w:bCs/>
                <w:color w:val="auto"/>
                <w:spacing w:val="-11"/>
                <w:sz w:val="24"/>
                <w:szCs w:val="24"/>
                <w:highlight w:val="none"/>
                <w:lang w:val="en-US" w:eastAsia="zh-CN"/>
              </w:rPr>
            </w:pPr>
            <w:r>
              <w:rPr>
                <w:rFonts w:hint="eastAsia" w:ascii="Times New Roman" w:hAnsi="Times New Roman" w:eastAsia="宋体" w:cs="宋体"/>
                <w:b/>
                <w:bCs w:val="0"/>
                <w:color w:val="auto"/>
                <w:spacing w:val="-11"/>
                <w:sz w:val="24"/>
                <w:szCs w:val="24"/>
                <w:lang w:val="en-US" w:eastAsia="zh-CN"/>
              </w:rPr>
              <w:t>7.2环境敏感目标概况</w:t>
            </w:r>
          </w:p>
          <w:p w14:paraId="57EBA6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6" w:firstLineChars="200"/>
              <w:jc w:val="left"/>
              <w:textAlignment w:val="auto"/>
              <w:rPr>
                <w:rFonts w:hint="eastAsia" w:ascii="Times New Roman" w:hAnsi="Times New Roman" w:cs="宋体"/>
                <w:bCs/>
                <w:color w:val="auto"/>
                <w:spacing w:val="-11"/>
                <w:sz w:val="24"/>
                <w:szCs w:val="24"/>
                <w:highlight w:val="none"/>
                <w:lang w:val="en-US" w:eastAsia="zh-CN"/>
              </w:rPr>
            </w:pPr>
            <w:r>
              <w:rPr>
                <w:rFonts w:hint="eastAsia" w:ascii="Times New Roman" w:hAnsi="Times New Roman" w:cs="宋体"/>
                <w:bCs/>
                <w:color w:val="auto"/>
                <w:spacing w:val="-11"/>
                <w:sz w:val="24"/>
                <w:szCs w:val="24"/>
                <w:highlight w:val="none"/>
                <w:lang w:val="en-US" w:eastAsia="zh-CN"/>
              </w:rPr>
              <w:t>敏感目标见表3-2。</w:t>
            </w:r>
          </w:p>
          <w:p w14:paraId="5082E6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8" w:firstLineChars="200"/>
              <w:jc w:val="left"/>
              <w:textAlignment w:val="auto"/>
              <w:rPr>
                <w:rFonts w:hint="eastAsia" w:ascii="Times New Roman" w:hAnsi="Times New Roman" w:cs="宋体"/>
                <w:bCs/>
                <w:color w:val="auto"/>
                <w:spacing w:val="-11"/>
                <w:sz w:val="24"/>
                <w:szCs w:val="24"/>
                <w:highlight w:val="none"/>
                <w:lang w:val="en-US" w:eastAsia="zh-CN"/>
              </w:rPr>
            </w:pPr>
            <w:r>
              <w:rPr>
                <w:rFonts w:hint="eastAsia" w:ascii="Times New Roman" w:hAnsi="Times New Roman" w:eastAsia="宋体" w:cs="宋体"/>
                <w:b/>
                <w:bCs w:val="0"/>
                <w:color w:val="auto"/>
                <w:spacing w:val="-11"/>
                <w:sz w:val="24"/>
                <w:szCs w:val="24"/>
                <w:highlight w:val="none"/>
                <w:lang w:val="en-US" w:eastAsia="zh-CN"/>
              </w:rPr>
              <w:t>7.3环境风险识别</w:t>
            </w:r>
          </w:p>
          <w:p w14:paraId="72B7A35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w:t>
            </w:r>
            <w:r>
              <w:rPr>
                <w:rFonts w:hint="eastAsia" w:ascii="Times New Roman" w:hAnsi="Times New Roman" w:eastAsia="宋体" w:cs="Times New Roman"/>
                <w:color w:val="auto"/>
                <w:sz w:val="24"/>
                <w:lang w:val="en-US" w:eastAsia="zh-CN"/>
              </w:rPr>
              <w:t>风险类型</w:t>
            </w:r>
          </w:p>
          <w:p w14:paraId="635171A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项目事故的风险通常划分为火灾、爆炸、毒物泄漏三种类型，事故风险都可能引起环境灾害。根据危险物质及危险装置的识别结果，可以分析出风险的发生事故以及环境事故、风险物质进入环境的途径。</w:t>
            </w:r>
          </w:p>
          <w:p w14:paraId="6B3E76C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lang w:val="en-US" w:eastAsia="zh-CN"/>
              </w:rPr>
              <w:t>本项目风险类型主要为：</w:t>
            </w:r>
            <w:r>
              <w:rPr>
                <w:rFonts w:hint="eastAsia" w:ascii="Times New Roman" w:hAnsi="Times New Roman" w:cs="Times New Roman"/>
                <w:color w:val="auto"/>
                <w:sz w:val="24"/>
                <w:highlight w:val="none"/>
                <w:lang w:val="en-US" w:eastAsia="zh-CN"/>
              </w:rPr>
              <w:t>易燃物品使用操作不当条件下引发的火灾风险；废气处理设施非正常工况导致废气超标排放；有毒有害</w:t>
            </w:r>
            <w:r>
              <w:rPr>
                <w:rFonts w:hint="eastAsia" w:cs="Times New Roman"/>
                <w:color w:val="auto"/>
                <w:sz w:val="24"/>
                <w:highlight w:val="none"/>
                <w:lang w:val="en-US" w:eastAsia="zh-CN"/>
              </w:rPr>
              <w:t>原料</w:t>
            </w:r>
            <w:r>
              <w:rPr>
                <w:rFonts w:hint="eastAsia" w:ascii="Times New Roman" w:hAnsi="Times New Roman" w:cs="Times New Roman"/>
                <w:color w:val="auto"/>
                <w:sz w:val="24"/>
                <w:highlight w:val="none"/>
                <w:lang w:val="en-US" w:eastAsia="zh-CN"/>
              </w:rPr>
              <w:t>和危险废物储存过程防渗措施失效造成的泄漏。</w:t>
            </w:r>
          </w:p>
          <w:p w14:paraId="40537E5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FF"/>
                <w:sz w:val="24"/>
                <w:lang w:val="en-US" w:eastAsia="zh-CN"/>
              </w:rPr>
            </w:pPr>
            <w:r>
              <w:rPr>
                <w:rFonts w:hint="eastAsia" w:cs="Times New Roman"/>
                <w:color w:val="auto"/>
                <w:sz w:val="24"/>
                <w:lang w:val="en-US" w:eastAsia="zh-CN"/>
              </w:rPr>
              <w:t>（2）</w:t>
            </w:r>
            <w:r>
              <w:rPr>
                <w:rFonts w:hint="eastAsia" w:ascii="Times New Roman" w:hAnsi="Times New Roman" w:eastAsia="宋体" w:cs="Times New Roman"/>
                <w:color w:val="auto"/>
                <w:sz w:val="24"/>
                <w:lang w:val="en-US" w:eastAsia="zh-CN"/>
              </w:rPr>
              <w:t>环境影响途径</w:t>
            </w:r>
          </w:p>
          <w:p w14:paraId="46FC64A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w:t>
            </w:r>
            <w:r>
              <w:rPr>
                <w:rFonts w:hint="eastAsia" w:ascii="Times New Roman" w:hAnsi="Times New Roman" w:cs="Times New Roman"/>
                <w:sz w:val="24"/>
                <w:lang w:val="en-US" w:eastAsia="zh-CN"/>
              </w:rPr>
              <w:t>涉及</w:t>
            </w:r>
            <w:r>
              <w:rPr>
                <w:rFonts w:hint="default" w:ascii="Times New Roman" w:hAnsi="Times New Roman" w:cs="Times New Roman"/>
                <w:sz w:val="24"/>
              </w:rPr>
              <w:t>的环境危险物质在发生泄漏事</w:t>
            </w:r>
            <w:r>
              <w:rPr>
                <w:rFonts w:hint="eastAsia" w:cs="Times New Roman"/>
                <w:sz w:val="24"/>
                <w:lang w:eastAsia="zh-CN"/>
              </w:rPr>
              <w:t>故时</w:t>
            </w:r>
            <w:r>
              <w:rPr>
                <w:rFonts w:hint="default" w:ascii="Times New Roman" w:hAnsi="Times New Roman" w:cs="Times New Roman"/>
                <w:sz w:val="24"/>
              </w:rPr>
              <w:t>，危险物质会挥发出有毒有害气体，随大气向下风向扩散，</w:t>
            </w:r>
            <w:r>
              <w:rPr>
                <w:rFonts w:hint="eastAsia" w:ascii="Times New Roman" w:hAnsi="Times New Roman" w:cs="Times New Roman"/>
                <w:sz w:val="24"/>
                <w:lang w:val="en-US" w:eastAsia="zh-CN"/>
              </w:rPr>
              <w:t>亦有通过垂直入渗影响土壤和地下水环境的风险。</w:t>
            </w:r>
            <w:r>
              <w:rPr>
                <w:rFonts w:hint="default" w:ascii="Times New Roman" w:hAnsi="Times New Roman" w:cs="Times New Roman"/>
                <w:sz w:val="24"/>
              </w:rPr>
              <w:t>在发生火灾爆炸事</w:t>
            </w:r>
            <w:r>
              <w:rPr>
                <w:rFonts w:hint="eastAsia" w:cs="Times New Roman"/>
                <w:sz w:val="24"/>
                <w:lang w:eastAsia="zh-CN"/>
              </w:rPr>
              <w:t>故时</w:t>
            </w:r>
            <w:r>
              <w:rPr>
                <w:rFonts w:hint="default" w:ascii="Times New Roman" w:hAnsi="Times New Roman" w:cs="Times New Roman"/>
                <w:sz w:val="24"/>
              </w:rPr>
              <w:t>，危险物质挥发产生有毒有害气体的同时，燃烧或不完全燃烧产生的有毒有害气体会随大气向下风向扩散。</w:t>
            </w:r>
          </w:p>
          <w:p w14:paraId="7F8CEB7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根据以上风险识别，本项目环境风险识别结果如下表所示：</w:t>
            </w:r>
          </w:p>
          <w:p w14:paraId="081FB59E">
            <w:pPr>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ind w:left="0" w:right="0" w:firstLine="0" w:firstLineChars="0"/>
              <w:jc w:val="center"/>
              <w:textAlignment w:val="auto"/>
              <w:rPr>
                <w:rFonts w:hint="eastAsia"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表</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w:t>
            </w:r>
            <w:r>
              <w:rPr>
                <w:rFonts w:hint="eastAsia" w:ascii="Times New Roman" w:hAnsi="Times New Roman" w:eastAsia="宋体" w:cs="Times New Roman"/>
                <w:b/>
                <w:color w:val="auto"/>
                <w:sz w:val="24"/>
                <w:szCs w:val="24"/>
                <w:lang w:val="en-US" w:eastAsia="zh-CN"/>
              </w:rPr>
              <w:t>2</w:t>
            </w:r>
            <w:r>
              <w:rPr>
                <w:rFonts w:hint="eastAsia" w:cs="Times New Roman"/>
                <w:b/>
                <w:color w:val="auto"/>
                <w:sz w:val="24"/>
                <w:szCs w:val="24"/>
                <w:lang w:val="en-US" w:eastAsia="zh-CN"/>
              </w:rPr>
              <w:t>3</w:t>
            </w:r>
            <w:r>
              <w:rPr>
                <w:rFonts w:hint="eastAsia" w:ascii="Times New Roman" w:hAnsi="Times New Roman" w:eastAsia="宋体" w:cs="Times New Roman"/>
                <w:b/>
                <w:color w:val="auto"/>
                <w:sz w:val="24"/>
                <w:szCs w:val="24"/>
                <w:lang w:val="en-US" w:eastAsia="zh-CN"/>
              </w:rPr>
              <w:t xml:space="preserve">  风险识别表</w:t>
            </w:r>
          </w:p>
          <w:tbl>
            <w:tblPr>
              <w:tblStyle w:val="34"/>
              <w:tblW w:w="85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337"/>
              <w:gridCol w:w="1341"/>
              <w:gridCol w:w="831"/>
              <w:gridCol w:w="2643"/>
              <w:gridCol w:w="1041"/>
              <w:gridCol w:w="1094"/>
              <w:gridCol w:w="1266"/>
            </w:tblGrid>
            <w:tr w14:paraId="451CD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337" w:type="dxa"/>
                  <w:tcBorders>
                    <w:tl2br w:val="nil"/>
                    <w:tr2bl w:val="nil"/>
                  </w:tcBorders>
                  <w:noWrap w:val="0"/>
                  <w:vAlign w:val="center"/>
                </w:tcPr>
                <w:p w14:paraId="1C0E4934">
                  <w:pPr>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0"/>
                      <w:w w:val="100"/>
                      <w:position w:val="0"/>
                      <w:sz w:val="21"/>
                      <w:szCs w:val="21"/>
                      <w:shd w:val="clear" w:color="auto" w:fill="auto"/>
                    </w:rPr>
                    <w:t>序号</w:t>
                  </w:r>
                </w:p>
              </w:tc>
              <w:tc>
                <w:tcPr>
                  <w:tcW w:w="1341" w:type="dxa"/>
                  <w:tcBorders>
                    <w:tl2br w:val="nil"/>
                    <w:tr2bl w:val="nil"/>
                  </w:tcBorders>
                  <w:noWrap w:val="0"/>
                  <w:vAlign w:val="center"/>
                </w:tcPr>
                <w:p w14:paraId="359ADCF5">
                  <w:pPr>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0"/>
                      <w:w w:val="100"/>
                      <w:position w:val="0"/>
                      <w:sz w:val="21"/>
                      <w:szCs w:val="21"/>
                      <w:shd w:val="clear" w:color="auto" w:fill="auto"/>
                    </w:rPr>
                    <w:t>危险单元</w:t>
                  </w:r>
                </w:p>
              </w:tc>
              <w:tc>
                <w:tcPr>
                  <w:tcW w:w="831" w:type="dxa"/>
                  <w:tcBorders>
                    <w:tl2br w:val="nil"/>
                    <w:tr2bl w:val="nil"/>
                  </w:tcBorders>
                  <w:noWrap w:val="0"/>
                  <w:vAlign w:val="center"/>
                </w:tcPr>
                <w:p w14:paraId="12FD8157">
                  <w:pPr>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0"/>
                      <w:w w:val="100"/>
                      <w:position w:val="0"/>
                      <w:sz w:val="21"/>
                      <w:szCs w:val="21"/>
                      <w:shd w:val="clear" w:color="auto" w:fill="auto"/>
                    </w:rPr>
                    <w:t>风险源</w:t>
                  </w:r>
                </w:p>
              </w:tc>
              <w:tc>
                <w:tcPr>
                  <w:tcW w:w="2643" w:type="dxa"/>
                  <w:tcBorders>
                    <w:tl2br w:val="nil"/>
                    <w:tr2bl w:val="nil"/>
                  </w:tcBorders>
                  <w:noWrap w:val="0"/>
                  <w:vAlign w:val="center"/>
                </w:tcPr>
                <w:p w14:paraId="0C7CB14A">
                  <w:pPr>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0"/>
                      <w:w w:val="100"/>
                      <w:position w:val="0"/>
                      <w:sz w:val="21"/>
                      <w:szCs w:val="21"/>
                      <w:shd w:val="clear" w:color="auto" w:fill="auto"/>
                    </w:rPr>
                    <w:t>主要危险物质</w:t>
                  </w:r>
                </w:p>
              </w:tc>
              <w:tc>
                <w:tcPr>
                  <w:tcW w:w="1041" w:type="dxa"/>
                  <w:tcBorders>
                    <w:tl2br w:val="nil"/>
                    <w:tr2bl w:val="nil"/>
                  </w:tcBorders>
                  <w:noWrap w:val="0"/>
                  <w:vAlign w:val="center"/>
                </w:tcPr>
                <w:p w14:paraId="1D315233">
                  <w:pPr>
                    <w:keepNext w:val="0"/>
                    <w:keepLines w:val="0"/>
                    <w:widowControl w:val="0"/>
                    <w:suppressLineNumbers w:val="0"/>
                    <w:shd w:val="clear" w:color="auto" w:fill="auto"/>
                    <w:bidi w:val="0"/>
                    <w:spacing w:before="0" w:beforeAutospacing="0" w:after="0" w:afterAutospacing="0" w:line="278" w:lineRule="exact"/>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0"/>
                      <w:w w:val="100"/>
                      <w:position w:val="0"/>
                      <w:sz w:val="21"/>
                      <w:szCs w:val="21"/>
                      <w:shd w:val="clear" w:color="auto" w:fill="auto"/>
                    </w:rPr>
                    <w:t>环境风险类型</w:t>
                  </w:r>
                </w:p>
              </w:tc>
              <w:tc>
                <w:tcPr>
                  <w:tcW w:w="1094" w:type="dxa"/>
                  <w:tcBorders>
                    <w:tl2br w:val="nil"/>
                    <w:tr2bl w:val="nil"/>
                  </w:tcBorders>
                  <w:noWrap w:val="0"/>
                  <w:vAlign w:val="center"/>
                </w:tcPr>
                <w:p w14:paraId="76FAA48A">
                  <w:pPr>
                    <w:keepNext w:val="0"/>
                    <w:keepLines w:val="0"/>
                    <w:widowControl w:val="0"/>
                    <w:suppressLineNumbers w:val="0"/>
                    <w:shd w:val="clear" w:color="auto" w:fill="auto"/>
                    <w:bidi w:val="0"/>
                    <w:spacing w:before="0" w:beforeAutospacing="0" w:after="0" w:afterAutospacing="0" w:line="278" w:lineRule="exact"/>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0"/>
                      <w:w w:val="100"/>
                      <w:position w:val="0"/>
                      <w:sz w:val="21"/>
                      <w:szCs w:val="21"/>
                      <w:shd w:val="clear" w:color="auto" w:fill="auto"/>
                    </w:rPr>
                    <w:t>环境影响途径</w:t>
                  </w:r>
                </w:p>
              </w:tc>
              <w:tc>
                <w:tcPr>
                  <w:tcW w:w="1266" w:type="dxa"/>
                  <w:tcBorders>
                    <w:tl2br w:val="nil"/>
                    <w:tr2bl w:val="nil"/>
                  </w:tcBorders>
                  <w:noWrap w:val="0"/>
                  <w:vAlign w:val="center"/>
                </w:tcPr>
                <w:p w14:paraId="529C9813">
                  <w:pPr>
                    <w:keepNext w:val="0"/>
                    <w:keepLines w:val="0"/>
                    <w:widowControl w:val="0"/>
                    <w:suppressLineNumbers w:val="0"/>
                    <w:shd w:val="clear" w:color="auto" w:fill="auto"/>
                    <w:bidi w:val="0"/>
                    <w:spacing w:before="0" w:beforeAutospacing="0" w:after="0" w:afterAutospacing="0" w:line="278" w:lineRule="exact"/>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0"/>
                      <w:w w:val="100"/>
                      <w:position w:val="0"/>
                      <w:sz w:val="21"/>
                      <w:szCs w:val="21"/>
                      <w:shd w:val="clear" w:color="auto" w:fill="auto"/>
                    </w:rPr>
                    <w:t>可能受影响的敏感目标</w:t>
                  </w:r>
                </w:p>
              </w:tc>
            </w:tr>
            <w:tr w14:paraId="3B3CD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20" w:hRule="atLeast"/>
                <w:jc w:val="center"/>
              </w:trPr>
              <w:tc>
                <w:tcPr>
                  <w:tcW w:w="337" w:type="dxa"/>
                  <w:tcBorders>
                    <w:tl2br w:val="nil"/>
                    <w:tr2bl w:val="nil"/>
                  </w:tcBorders>
                  <w:noWrap w:val="0"/>
                  <w:vAlign w:val="center"/>
                </w:tcPr>
                <w:p w14:paraId="4F179C09">
                  <w:pPr>
                    <w:keepNext w:val="0"/>
                    <w:keepLines w:val="0"/>
                    <w:widowControl w:val="0"/>
                    <w:suppressLineNumbers w:val="0"/>
                    <w:shd w:val="clear" w:color="auto" w:fill="auto"/>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w w:val="100"/>
                      <w:position w:val="0"/>
                      <w:sz w:val="21"/>
                      <w:szCs w:val="21"/>
                      <w:highlight w:val="none"/>
                      <w:shd w:val="clear" w:color="auto" w:fill="auto"/>
                    </w:rPr>
                    <w:t>1</w:t>
                  </w:r>
                </w:p>
              </w:tc>
              <w:tc>
                <w:tcPr>
                  <w:tcW w:w="1341" w:type="dxa"/>
                  <w:tcBorders>
                    <w:tl2br w:val="nil"/>
                    <w:tr2bl w:val="nil"/>
                  </w:tcBorders>
                  <w:noWrap w:val="0"/>
                  <w:vAlign w:val="center"/>
                </w:tcPr>
                <w:p w14:paraId="1D8ADE62">
                  <w:pPr>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0"/>
                      <w:w w:val="100"/>
                      <w:position w:val="0"/>
                      <w:sz w:val="21"/>
                      <w:szCs w:val="21"/>
                      <w:highlight w:val="none"/>
                      <w:shd w:val="clear" w:color="auto" w:fill="auto"/>
                      <w:lang w:val="en-US" w:eastAsia="zh-CN"/>
                    </w:rPr>
                    <w:t>1#厂房</w:t>
                  </w:r>
                </w:p>
              </w:tc>
              <w:tc>
                <w:tcPr>
                  <w:tcW w:w="831" w:type="dxa"/>
                  <w:tcBorders>
                    <w:tl2br w:val="nil"/>
                    <w:tr2bl w:val="nil"/>
                  </w:tcBorders>
                  <w:noWrap w:val="0"/>
                  <w:vAlign w:val="center"/>
                </w:tcPr>
                <w:p w14:paraId="1501AAED">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0"/>
                      <w:w w:val="100"/>
                      <w:position w:val="0"/>
                      <w:sz w:val="21"/>
                      <w:szCs w:val="21"/>
                      <w:highlight w:val="none"/>
                      <w:shd w:val="clear" w:color="auto" w:fill="auto"/>
                      <w:lang w:val="en-US" w:eastAsia="zh-CN"/>
                    </w:rPr>
                    <w:t>原料库</w:t>
                  </w:r>
                </w:p>
              </w:tc>
              <w:tc>
                <w:tcPr>
                  <w:tcW w:w="2643" w:type="dxa"/>
                  <w:tcBorders>
                    <w:tl2br w:val="nil"/>
                    <w:tr2bl w:val="nil"/>
                  </w:tcBorders>
                  <w:noWrap w:val="0"/>
                  <w:vAlign w:val="center"/>
                </w:tcPr>
                <w:p w14:paraId="33A720F2">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shd w:val="clear" w:color="auto" w:fill="auto"/>
                      <w:lang w:val="en-US" w:eastAsia="zh-CN"/>
                    </w:rPr>
                    <w:t>机油</w:t>
                  </w:r>
                </w:p>
              </w:tc>
              <w:tc>
                <w:tcPr>
                  <w:tcW w:w="1041" w:type="dxa"/>
                  <w:tcBorders>
                    <w:tl2br w:val="nil"/>
                    <w:tr2bl w:val="nil"/>
                  </w:tcBorders>
                  <w:noWrap w:val="0"/>
                  <w:vAlign w:val="center"/>
                </w:tcPr>
                <w:p w14:paraId="6DB41DB3">
                  <w:pPr>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0"/>
                      <w:w w:val="100"/>
                      <w:position w:val="0"/>
                      <w:sz w:val="21"/>
                      <w:szCs w:val="21"/>
                      <w:highlight w:val="none"/>
                      <w:shd w:val="clear" w:color="auto" w:fill="auto"/>
                      <w:lang w:eastAsia="zh-CN"/>
                    </w:rPr>
                    <w:t>火灾、</w:t>
                  </w:r>
                  <w:r>
                    <w:rPr>
                      <w:rFonts w:hint="eastAsia" w:cs="Times New Roman"/>
                      <w:color w:val="auto"/>
                      <w:spacing w:val="0"/>
                      <w:w w:val="100"/>
                      <w:position w:val="0"/>
                      <w:sz w:val="21"/>
                      <w:szCs w:val="21"/>
                      <w:highlight w:val="none"/>
                      <w:shd w:val="clear" w:color="auto" w:fill="auto"/>
                      <w:lang w:val="en-US" w:eastAsia="zh-CN"/>
                    </w:rPr>
                    <w:t>泄漏</w:t>
                  </w:r>
                </w:p>
              </w:tc>
              <w:tc>
                <w:tcPr>
                  <w:tcW w:w="1094" w:type="dxa"/>
                  <w:tcBorders>
                    <w:tl2br w:val="nil"/>
                    <w:tr2bl w:val="nil"/>
                  </w:tcBorders>
                  <w:noWrap w:val="0"/>
                  <w:vAlign w:val="center"/>
                </w:tcPr>
                <w:p w14:paraId="4080D60B">
                  <w:pPr>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大气扩散、</w:t>
                  </w:r>
                  <w:r>
                    <w:rPr>
                      <w:rFonts w:hint="default" w:ascii="Times New Roman" w:hAnsi="Times New Roman" w:eastAsia="宋体" w:cs="Times New Roman"/>
                      <w:color w:val="auto"/>
                      <w:szCs w:val="21"/>
                      <w:highlight w:val="none"/>
                      <w:lang w:val="en-US" w:eastAsia="zh-CN"/>
                    </w:rPr>
                    <w:t>垂直入渗</w:t>
                  </w:r>
                  <w:r>
                    <w:rPr>
                      <w:rFonts w:hint="default" w:ascii="Times New Roman" w:hAnsi="Times New Roman" w:eastAsia="宋体" w:cs="Times New Roman"/>
                      <w:color w:val="auto"/>
                      <w:szCs w:val="21"/>
                      <w:highlight w:val="none"/>
                    </w:rPr>
                    <w:t>、地表漫流</w:t>
                  </w:r>
                </w:p>
              </w:tc>
              <w:tc>
                <w:tcPr>
                  <w:tcW w:w="1266" w:type="dxa"/>
                  <w:tcBorders>
                    <w:tl2br w:val="nil"/>
                    <w:tr2bl w:val="nil"/>
                  </w:tcBorders>
                  <w:noWrap w:val="0"/>
                  <w:vAlign w:val="center"/>
                </w:tcPr>
                <w:p w14:paraId="49F7DD84">
                  <w:pPr>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周围居民区、土壤、附近地表水、浅层地下水</w:t>
                  </w:r>
                </w:p>
              </w:tc>
            </w:tr>
            <w:tr w14:paraId="4AE62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20" w:hRule="atLeast"/>
                <w:jc w:val="center"/>
              </w:trPr>
              <w:tc>
                <w:tcPr>
                  <w:tcW w:w="337" w:type="dxa"/>
                  <w:tcBorders>
                    <w:tl2br w:val="nil"/>
                    <w:tr2bl w:val="nil"/>
                  </w:tcBorders>
                  <w:noWrap w:val="0"/>
                  <w:vAlign w:val="center"/>
                </w:tcPr>
                <w:p w14:paraId="6218F934">
                  <w:pPr>
                    <w:keepNext w:val="0"/>
                    <w:keepLines w:val="0"/>
                    <w:widowControl w:val="0"/>
                    <w:suppressLineNumbers w:val="0"/>
                    <w:shd w:val="clear" w:color="auto" w:fill="auto"/>
                    <w:bidi w:val="0"/>
                    <w:spacing w:before="0" w:beforeAutospacing="0" w:after="0" w:afterAutospacing="0" w:line="240" w:lineRule="auto"/>
                    <w:ind w:left="0" w:right="0"/>
                    <w:jc w:val="center"/>
                    <w:rPr>
                      <w:rFonts w:hint="eastAsia" w:ascii="Times New Roman" w:hAnsi="Times New Roman" w:eastAsia="宋体" w:cs="Times New Roman"/>
                      <w:color w:val="auto"/>
                      <w:spacing w:val="0"/>
                      <w:w w:val="100"/>
                      <w:position w:val="0"/>
                      <w:sz w:val="21"/>
                      <w:szCs w:val="21"/>
                      <w:highlight w:val="none"/>
                      <w:shd w:val="clear" w:color="auto" w:fill="auto"/>
                      <w:lang w:val="en-US" w:eastAsia="zh-CN"/>
                    </w:rPr>
                  </w:pPr>
                  <w:r>
                    <w:rPr>
                      <w:rFonts w:hint="eastAsia" w:cs="Times New Roman"/>
                      <w:color w:val="auto"/>
                      <w:spacing w:val="0"/>
                      <w:w w:val="100"/>
                      <w:position w:val="0"/>
                      <w:sz w:val="21"/>
                      <w:szCs w:val="21"/>
                      <w:highlight w:val="none"/>
                      <w:shd w:val="clear" w:color="auto" w:fill="auto"/>
                      <w:lang w:val="en-US" w:eastAsia="zh-CN"/>
                    </w:rPr>
                    <w:t>2</w:t>
                  </w:r>
                </w:p>
              </w:tc>
              <w:tc>
                <w:tcPr>
                  <w:tcW w:w="1341" w:type="dxa"/>
                  <w:tcBorders>
                    <w:tl2br w:val="nil"/>
                    <w:tr2bl w:val="nil"/>
                  </w:tcBorders>
                  <w:noWrap w:val="0"/>
                  <w:vAlign w:val="center"/>
                </w:tcPr>
                <w:p w14:paraId="07D1AACD">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cs="Times New Roman"/>
                      <w:color w:val="auto"/>
                      <w:spacing w:val="0"/>
                      <w:w w:val="100"/>
                      <w:position w:val="0"/>
                      <w:sz w:val="21"/>
                      <w:szCs w:val="21"/>
                      <w:highlight w:val="none"/>
                      <w:shd w:val="clear" w:color="auto" w:fill="auto"/>
                      <w:lang w:val="en-US" w:eastAsia="zh-CN"/>
                    </w:rPr>
                  </w:pPr>
                  <w:r>
                    <w:rPr>
                      <w:rFonts w:hint="eastAsia" w:cs="Times New Roman"/>
                      <w:color w:val="auto"/>
                      <w:spacing w:val="0"/>
                      <w:w w:val="100"/>
                      <w:position w:val="0"/>
                      <w:sz w:val="21"/>
                      <w:szCs w:val="21"/>
                      <w:highlight w:val="none"/>
                      <w:shd w:val="clear" w:color="auto" w:fill="auto"/>
                      <w:lang w:val="en-US" w:eastAsia="zh-CN"/>
                    </w:rPr>
                    <w:t>1#厂房</w:t>
                  </w:r>
                </w:p>
              </w:tc>
              <w:tc>
                <w:tcPr>
                  <w:tcW w:w="831" w:type="dxa"/>
                  <w:tcBorders>
                    <w:tl2br w:val="nil"/>
                    <w:tr2bl w:val="nil"/>
                  </w:tcBorders>
                  <w:noWrap w:val="0"/>
                  <w:vAlign w:val="center"/>
                </w:tcPr>
                <w:p w14:paraId="637DD804">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w w:val="100"/>
                      <w:position w:val="0"/>
                      <w:sz w:val="21"/>
                      <w:szCs w:val="21"/>
                      <w:highlight w:val="none"/>
                      <w:shd w:val="clear" w:color="auto" w:fill="auto"/>
                      <w:lang w:val="en-US" w:eastAsia="zh-CN"/>
                    </w:rPr>
                  </w:pPr>
                  <w:r>
                    <w:rPr>
                      <w:rFonts w:hint="default" w:ascii="Times New Roman" w:hAnsi="Times New Roman" w:eastAsia="宋体" w:cs="Times New Roman"/>
                      <w:color w:val="auto"/>
                      <w:spacing w:val="0"/>
                      <w:w w:val="100"/>
                      <w:position w:val="0"/>
                      <w:sz w:val="21"/>
                      <w:szCs w:val="21"/>
                      <w:highlight w:val="none"/>
                      <w:shd w:val="clear" w:color="auto" w:fill="auto"/>
                      <w:lang w:val="en-US" w:eastAsia="zh-CN"/>
                    </w:rPr>
                    <w:t>危废间</w:t>
                  </w:r>
                </w:p>
              </w:tc>
              <w:tc>
                <w:tcPr>
                  <w:tcW w:w="2643" w:type="dxa"/>
                  <w:tcBorders>
                    <w:tl2br w:val="nil"/>
                    <w:tr2bl w:val="nil"/>
                  </w:tcBorders>
                  <w:noWrap w:val="0"/>
                  <w:vAlign w:val="center"/>
                </w:tcPr>
                <w:p w14:paraId="05D4398E">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pacing w:val="0"/>
                      <w:w w:val="100"/>
                      <w:position w:val="0"/>
                      <w:sz w:val="21"/>
                      <w:szCs w:val="21"/>
                      <w:highlight w:val="none"/>
                      <w:shd w:val="clear" w:color="auto" w:fill="auto"/>
                      <w:lang w:val="en-US" w:eastAsia="zh-CN"/>
                    </w:rPr>
                  </w:pPr>
                  <w:r>
                    <w:rPr>
                      <w:rFonts w:hint="eastAsia" w:ascii="Times New Roman" w:hAnsi="Times New Roman" w:eastAsia="宋体" w:cs="Times New Roman"/>
                      <w:color w:val="auto"/>
                      <w:spacing w:val="0"/>
                      <w:w w:val="100"/>
                      <w:position w:val="0"/>
                      <w:sz w:val="21"/>
                      <w:szCs w:val="21"/>
                      <w:highlight w:val="none"/>
                      <w:shd w:val="clear" w:color="auto" w:fill="auto"/>
                      <w:lang w:val="en-US" w:eastAsia="zh-CN"/>
                    </w:rPr>
                    <w:t>废机油</w:t>
                  </w:r>
                </w:p>
              </w:tc>
              <w:tc>
                <w:tcPr>
                  <w:tcW w:w="1041" w:type="dxa"/>
                  <w:tcBorders>
                    <w:tl2br w:val="nil"/>
                    <w:tr2bl w:val="nil"/>
                  </w:tcBorders>
                  <w:noWrap w:val="0"/>
                  <w:vAlign w:val="center"/>
                </w:tcPr>
                <w:p w14:paraId="60C4F492">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w w:val="100"/>
                      <w:position w:val="0"/>
                      <w:sz w:val="21"/>
                      <w:szCs w:val="21"/>
                      <w:highlight w:val="none"/>
                      <w:shd w:val="clear" w:color="auto" w:fill="auto"/>
                      <w:lang w:eastAsia="zh-CN"/>
                    </w:rPr>
                  </w:pPr>
                  <w:r>
                    <w:rPr>
                      <w:rFonts w:hint="default" w:ascii="Times New Roman" w:hAnsi="Times New Roman" w:eastAsia="宋体" w:cs="Times New Roman"/>
                      <w:color w:val="auto"/>
                      <w:spacing w:val="0"/>
                      <w:w w:val="100"/>
                      <w:position w:val="0"/>
                      <w:sz w:val="21"/>
                      <w:szCs w:val="21"/>
                      <w:highlight w:val="none"/>
                      <w:shd w:val="clear" w:color="auto" w:fill="auto"/>
                      <w:lang w:eastAsia="zh-CN"/>
                    </w:rPr>
                    <w:t>火灾、</w:t>
                  </w:r>
                  <w:r>
                    <w:rPr>
                      <w:rFonts w:hint="eastAsia" w:cs="Times New Roman"/>
                      <w:color w:val="auto"/>
                      <w:spacing w:val="0"/>
                      <w:w w:val="100"/>
                      <w:position w:val="0"/>
                      <w:sz w:val="21"/>
                      <w:szCs w:val="21"/>
                      <w:highlight w:val="none"/>
                      <w:shd w:val="clear" w:color="auto" w:fill="auto"/>
                      <w:lang w:val="en-US" w:eastAsia="zh-CN"/>
                    </w:rPr>
                    <w:t>泄漏</w:t>
                  </w:r>
                </w:p>
              </w:tc>
              <w:tc>
                <w:tcPr>
                  <w:tcW w:w="1094" w:type="dxa"/>
                  <w:tcBorders>
                    <w:tl2br w:val="nil"/>
                    <w:tr2bl w:val="nil"/>
                  </w:tcBorders>
                  <w:noWrap w:val="0"/>
                  <w:vAlign w:val="center"/>
                </w:tcPr>
                <w:p w14:paraId="76C3D79E">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大气扩散、</w:t>
                  </w:r>
                  <w:r>
                    <w:rPr>
                      <w:rFonts w:hint="default" w:ascii="Times New Roman" w:hAnsi="Times New Roman" w:eastAsia="宋体" w:cs="Times New Roman"/>
                      <w:color w:val="auto"/>
                      <w:szCs w:val="21"/>
                      <w:highlight w:val="none"/>
                      <w:lang w:val="en-US" w:eastAsia="zh-CN"/>
                    </w:rPr>
                    <w:t>垂直入渗</w:t>
                  </w:r>
                  <w:r>
                    <w:rPr>
                      <w:rFonts w:hint="default" w:ascii="Times New Roman" w:hAnsi="Times New Roman" w:eastAsia="宋体" w:cs="Times New Roman"/>
                      <w:color w:val="auto"/>
                      <w:szCs w:val="21"/>
                      <w:highlight w:val="none"/>
                    </w:rPr>
                    <w:t>、地表漫流</w:t>
                  </w:r>
                </w:p>
              </w:tc>
              <w:tc>
                <w:tcPr>
                  <w:tcW w:w="1266" w:type="dxa"/>
                  <w:tcBorders>
                    <w:tl2br w:val="nil"/>
                    <w:tr2bl w:val="nil"/>
                  </w:tcBorders>
                  <w:noWrap w:val="0"/>
                  <w:vAlign w:val="center"/>
                </w:tcPr>
                <w:p w14:paraId="71424328">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周围居民区、土壤、附近地表水、浅层地下水</w:t>
                  </w:r>
                </w:p>
              </w:tc>
            </w:tr>
          </w:tbl>
          <w:p w14:paraId="091FD7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38" w:firstLineChars="200"/>
              <w:jc w:val="left"/>
              <w:textAlignment w:val="auto"/>
              <w:rPr>
                <w:rFonts w:hint="eastAsia" w:ascii="Times New Roman" w:hAnsi="Times New Roman" w:cs="宋体"/>
                <w:bCs/>
                <w:color w:val="auto"/>
                <w:spacing w:val="-11"/>
                <w:sz w:val="24"/>
                <w:szCs w:val="24"/>
                <w:highlight w:val="none"/>
                <w:lang w:val="en-US" w:eastAsia="zh-CN"/>
              </w:rPr>
            </w:pPr>
            <w:r>
              <w:rPr>
                <w:rFonts w:hint="eastAsia" w:ascii="Times New Roman" w:hAnsi="Times New Roman" w:eastAsia="宋体" w:cs="宋体"/>
                <w:b/>
                <w:bCs w:val="0"/>
                <w:color w:val="auto"/>
                <w:spacing w:val="-11"/>
                <w:sz w:val="24"/>
                <w:szCs w:val="24"/>
                <w:highlight w:val="none"/>
                <w:lang w:val="en-US" w:eastAsia="zh-CN"/>
              </w:rPr>
              <w:t>7.4环境风险防范措施及应急要求</w:t>
            </w:r>
          </w:p>
          <w:p w14:paraId="6D73011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为保障安全，减少事故的发生，并降低事故对环境的影响，建设单位根据有关法规及管理要求，建立了系统完善的事故风险防范与应急措施的计划和实施。在项目建设过程中采取的事故防范与应急措施具体如下：</w:t>
            </w:r>
          </w:p>
          <w:p w14:paraId="00D348DB">
            <w:pPr>
              <w:keepNext w:val="0"/>
              <w:keepLines w:val="0"/>
              <w:numPr>
                <w:ilvl w:val="0"/>
                <w:numId w:val="6"/>
              </w:numPr>
              <w:suppressLineNumbers w:val="0"/>
              <w:spacing w:before="0" w:beforeAutospacing="0" w:after="0" w:afterAutospacing="0" w:line="360" w:lineRule="auto"/>
              <w:ind w:right="0"/>
              <w:rPr>
                <w:rFonts w:hint="default" w:ascii="Times New Roman" w:hAnsi="Times New Roman" w:cs="Times New Roman"/>
                <w:bCs/>
                <w:color w:val="auto"/>
                <w:sz w:val="24"/>
                <w:szCs w:val="24"/>
                <w:highlight w:val="none"/>
              </w:rPr>
            </w:pPr>
            <w:r>
              <w:rPr>
                <w:rFonts w:hint="eastAsia" w:cs="Times New Roman"/>
                <w:bCs/>
                <w:color w:val="auto"/>
                <w:sz w:val="24"/>
                <w:szCs w:val="24"/>
                <w:highlight w:val="none"/>
                <w:lang w:val="en-US" w:eastAsia="zh-CN"/>
              </w:rPr>
              <w:t>机构设置</w:t>
            </w:r>
          </w:p>
          <w:p w14:paraId="3A40BB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设置专职人员，负责公司日常安全和环保管理工作，对公司安全、环保设施、应急措施进行管理，负责组织应急预案编制、演练工作。</w:t>
            </w:r>
          </w:p>
          <w:p w14:paraId="60997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制定公司的各项安全生产管理制度、严格的生产操作规程和完善事故应急计划及相应的应急处理手段和措施，同时加强安全教育，以提高职工的安全意识和安全防范能力。</w:t>
            </w:r>
          </w:p>
          <w:p w14:paraId="1644A438">
            <w:pPr>
              <w:keepNext w:val="0"/>
              <w:keepLines w:val="0"/>
              <w:numPr>
                <w:ilvl w:val="0"/>
                <w:numId w:val="6"/>
              </w:numPr>
              <w:suppressLineNumbers w:val="0"/>
              <w:spacing w:before="0" w:beforeAutospacing="0" w:after="0" w:afterAutospacing="0" w:line="360" w:lineRule="auto"/>
              <w:ind w:right="0"/>
              <w:rPr>
                <w:rFonts w:hint="default" w:ascii="Times New Roman" w:hAnsi="Times New Roman" w:cs="Times New Roman"/>
                <w:bCs/>
                <w:color w:val="auto"/>
                <w:sz w:val="24"/>
                <w:szCs w:val="24"/>
                <w:highlight w:val="none"/>
              </w:rPr>
            </w:pPr>
            <w:r>
              <w:rPr>
                <w:rFonts w:hint="eastAsia" w:cs="Times New Roman"/>
                <w:bCs/>
                <w:color w:val="auto"/>
                <w:sz w:val="24"/>
                <w:szCs w:val="24"/>
                <w:highlight w:val="none"/>
                <w:lang w:val="en-US" w:eastAsia="zh-CN"/>
              </w:rPr>
              <w:t>工艺设计风险防范措施</w:t>
            </w:r>
          </w:p>
          <w:p w14:paraId="29667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优化电气设计，结合整个生产要求，全面考虑到各种安全风险，优化电气线路设计，尽量减少电气设备之间的线路交叉，有针对性地采取有效措施，防止出现短路故障或者火灾爆炸事故</w:t>
            </w:r>
            <w:r>
              <w:rPr>
                <w:rFonts w:hint="eastAsia" w:ascii="Times New Roman" w:hAnsi="Times New Roman" w:cs="Times New Roman"/>
                <w:color w:val="auto"/>
                <w:sz w:val="24"/>
                <w:szCs w:val="24"/>
                <w:highlight w:val="none"/>
                <w:lang w:val="en-US" w:eastAsia="zh-CN"/>
              </w:rPr>
              <w:t>。</w:t>
            </w:r>
          </w:p>
          <w:p w14:paraId="7CA3D2B3">
            <w:pPr>
              <w:keepNext w:val="0"/>
              <w:keepLines w:val="0"/>
              <w:numPr>
                <w:ilvl w:val="0"/>
                <w:numId w:val="6"/>
              </w:numPr>
              <w:suppressLineNumbers w:val="0"/>
              <w:spacing w:before="0" w:beforeAutospacing="0" w:after="0" w:afterAutospacing="0" w:line="360" w:lineRule="auto"/>
              <w:ind w:right="0"/>
              <w:rPr>
                <w:rFonts w:hint="eastAsia"/>
                <w:color w:val="auto"/>
                <w:highlight w:val="none"/>
                <w:lang w:val="en-US" w:eastAsia="zh-CN"/>
              </w:rPr>
            </w:pPr>
            <w:r>
              <w:rPr>
                <w:rFonts w:hint="eastAsia" w:cs="Times New Roman"/>
                <w:bCs/>
                <w:color w:val="auto"/>
                <w:sz w:val="24"/>
                <w:szCs w:val="24"/>
                <w:highlight w:val="none"/>
                <w:lang w:val="en-US" w:eastAsia="zh-CN"/>
              </w:rPr>
              <w:t>仓储设施风险防范措施</w:t>
            </w:r>
          </w:p>
          <w:p w14:paraId="3419BB9E">
            <w:pPr>
              <w:keepNext w:val="0"/>
              <w:keepLines w:val="0"/>
              <w:suppressLineNumbers w:val="0"/>
              <w:spacing w:before="0" w:beforeAutospacing="0" w:after="0" w:afterAutospacing="0" w:line="360" w:lineRule="auto"/>
              <w:ind w:left="0" w:right="0" w:firstLine="480" w:firstLineChars="200"/>
              <w:rPr>
                <w:rFonts w:hint="eastAsia"/>
                <w:color w:val="auto"/>
                <w:highlight w:val="none"/>
                <w:lang w:eastAsia="zh-CN"/>
              </w:rPr>
            </w:pPr>
            <w:r>
              <w:rPr>
                <w:rFonts w:hint="default" w:ascii="Times New Roman" w:hAnsi="Times New Roman" w:eastAsia="宋体" w:cs="Times New Roman"/>
                <w:color w:val="auto"/>
                <w:sz w:val="24"/>
                <w:szCs w:val="24"/>
                <w:highlight w:val="none"/>
              </w:rPr>
              <w:t>项目所有原辅料，能按照相关的安全要求分区、分类、隔离、隔开、分离储存</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确保通风、温度、湿度、防日晒等仓储条件良好</w:t>
            </w:r>
            <w:r>
              <w:rPr>
                <w:rFonts w:hint="eastAsia" w:ascii="Times New Roman" w:hAnsi="Times New Roman" w:cs="Times New Roman"/>
                <w:color w:val="auto"/>
                <w:sz w:val="24"/>
                <w:szCs w:val="24"/>
                <w:highlight w:val="none"/>
                <w:lang w:eastAsia="zh-CN"/>
              </w:rPr>
              <w:t>。</w:t>
            </w:r>
          </w:p>
          <w:p w14:paraId="15C7ABD6">
            <w:pPr>
              <w:keepNext w:val="0"/>
              <w:keepLines w:val="0"/>
              <w:numPr>
                <w:ilvl w:val="0"/>
                <w:numId w:val="6"/>
              </w:numPr>
              <w:suppressLineNumbers w:val="0"/>
              <w:spacing w:before="0" w:beforeAutospacing="0" w:after="0" w:afterAutospacing="0" w:line="360" w:lineRule="auto"/>
              <w:ind w:right="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固废贮存</w:t>
            </w:r>
            <w:r>
              <w:rPr>
                <w:rFonts w:hint="default" w:ascii="Times New Roman" w:hAnsi="Times New Roman" w:eastAsia="宋体" w:cs="Times New Roman"/>
                <w:color w:val="auto"/>
                <w:sz w:val="24"/>
                <w:szCs w:val="24"/>
                <w:highlight w:val="none"/>
              </w:rPr>
              <w:t>风险防范措施</w:t>
            </w:r>
          </w:p>
          <w:p w14:paraId="3F547A1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一般固废堆场风险防范措施</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不同种类性质的固体废物分区贮存，并设置固废识别标志。暂存场地配备灭火器及其他应急物资，有效预防突发环境污染事故。</w:t>
            </w:r>
          </w:p>
          <w:p w14:paraId="60351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危险固废暂存间风险防范措施</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w:t>
            </w:r>
            <w:r>
              <w:rPr>
                <w:rFonts w:hint="eastAsia" w:cs="Times New Roman"/>
                <w:color w:val="auto"/>
                <w:sz w:val="24"/>
                <w:szCs w:val="24"/>
                <w:highlight w:val="none"/>
                <w:lang w:val="en-US" w:eastAsia="zh-CN"/>
              </w:rPr>
              <w:t>贮存间</w:t>
            </w:r>
            <w:r>
              <w:rPr>
                <w:rFonts w:hint="default" w:ascii="Times New Roman" w:hAnsi="Times New Roman" w:eastAsia="宋体" w:cs="Times New Roman"/>
                <w:color w:val="auto"/>
                <w:sz w:val="24"/>
                <w:szCs w:val="24"/>
                <w:highlight w:val="none"/>
              </w:rPr>
              <w:t>按照要求规范化建设，满足防风防雨防扬散等要求，地面硬</w:t>
            </w:r>
            <w:r>
              <w:rPr>
                <w:rFonts w:hint="eastAsia" w:ascii="Times New Roman" w:hAnsi="Times New Roman" w:cs="Times New Roman"/>
                <w:color w:val="auto"/>
                <w:sz w:val="24"/>
                <w:szCs w:val="24"/>
                <w:highlight w:val="none"/>
                <w:lang w:eastAsia="zh-CN"/>
              </w:rPr>
              <w:t>化，满足防腐防渗要求。</w:t>
            </w:r>
          </w:p>
          <w:p w14:paraId="1E93FC4D">
            <w:pPr>
              <w:keepNext w:val="0"/>
              <w:keepLines w:val="0"/>
              <w:numPr>
                <w:ilvl w:val="0"/>
                <w:numId w:val="6"/>
              </w:numPr>
              <w:suppressLineNumbers w:val="0"/>
              <w:spacing w:before="0" w:beforeAutospacing="0" w:after="0" w:afterAutospacing="0" w:line="360" w:lineRule="auto"/>
              <w:ind w:right="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消防及火灾报警风险防范措施</w:t>
            </w:r>
            <w:r>
              <w:rPr>
                <w:rFonts w:hint="eastAsia" w:cs="Times New Roman"/>
                <w:color w:val="auto"/>
                <w:sz w:val="24"/>
                <w:szCs w:val="24"/>
                <w:highlight w:val="none"/>
                <w:lang w:val="en-US" w:eastAsia="zh-CN"/>
              </w:rPr>
              <w:t xml:space="preserve"> </w:t>
            </w:r>
          </w:p>
          <w:p w14:paraId="4495364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企业设置灭火器、消防栓等消防设施，安排专人定期巡检，及时消除火灾安全隐患。</w:t>
            </w:r>
          </w:p>
          <w:p w14:paraId="457100D8">
            <w:pPr>
              <w:keepNext w:val="0"/>
              <w:keepLines w:val="0"/>
              <w:numPr>
                <w:ilvl w:val="0"/>
                <w:numId w:val="6"/>
              </w:numPr>
              <w:suppressLineNumbers w:val="0"/>
              <w:spacing w:before="0" w:beforeAutospacing="0" w:after="0" w:afterAutospacing="0" w:line="360" w:lineRule="auto"/>
              <w:ind w:right="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泄漏事故防范应急措施</w:t>
            </w:r>
          </w:p>
          <w:p w14:paraId="1FA4480E">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①对涉及环境风险物质的生产设备、容器，</w:t>
            </w:r>
            <w:r>
              <w:rPr>
                <w:rFonts w:hint="default" w:ascii="Times New Roman" w:hAnsi="Times New Roman" w:eastAsia="宋体" w:cs="Times New Roman"/>
                <w:color w:val="auto"/>
                <w:sz w:val="24"/>
                <w:szCs w:val="24"/>
                <w:highlight w:val="none"/>
                <w:shd w:val="clear" w:color="auto" w:fill="FFFFFF"/>
              </w:rPr>
              <w:t>按照设备管理要求，定期对设备进行维修保养和</w:t>
            </w:r>
            <w:r>
              <w:rPr>
                <w:rFonts w:hint="default" w:ascii="Times New Roman" w:hAnsi="Times New Roman" w:eastAsia="宋体" w:cs="Times New Roman"/>
                <w:color w:val="auto"/>
                <w:kern w:val="0"/>
                <w:sz w:val="24"/>
                <w:szCs w:val="24"/>
                <w:highlight w:val="none"/>
              </w:rPr>
              <w:t>检测，易损部件根据设计要求及时更换；</w:t>
            </w:r>
            <w:r>
              <w:rPr>
                <w:rFonts w:hint="default" w:ascii="Times New Roman" w:hAnsi="Times New Roman" w:eastAsia="宋体" w:cs="Times New Roman"/>
                <w:color w:val="auto"/>
                <w:sz w:val="24"/>
                <w:szCs w:val="24"/>
                <w:highlight w:val="none"/>
              </w:rPr>
              <w:t>确保其状态良好，降低泄漏的概率；</w:t>
            </w:r>
          </w:p>
          <w:p w14:paraId="2AC96FF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rPr>
              <w:t>②编制突发环境风险事件应急预案，制定针对的泄漏事件的现场处置方案，并定期组织培训和演练；配备相应的应急设施和物资，以便于环境风险事件发生时能够有效组织力量进行环境风险应急</w:t>
            </w:r>
            <w:r>
              <w:rPr>
                <w:rFonts w:hint="eastAsia" w:cs="Times New Roman"/>
                <w:color w:val="auto"/>
                <w:sz w:val="24"/>
                <w:szCs w:val="24"/>
                <w:highlight w:val="none"/>
                <w:lang w:eastAsia="zh-CN"/>
              </w:rPr>
              <w:t>。</w:t>
            </w:r>
          </w:p>
          <w:p w14:paraId="1848B3AC">
            <w:pPr>
              <w:keepNext w:val="0"/>
              <w:keepLines w:val="0"/>
              <w:suppressLineNumbers w:val="0"/>
              <w:spacing w:before="0" w:beforeAutospacing="0" w:after="0" w:afterAutospacing="0" w:line="360" w:lineRule="auto"/>
              <w:ind w:left="0" w:right="0" w:firstLine="438" w:firstLineChars="200"/>
              <w:rPr>
                <w:rFonts w:hint="default" w:ascii="Times New Roman" w:hAnsi="Times New Roman" w:cs="Times New Roman"/>
                <w:b/>
                <w:bCs w:val="0"/>
                <w:color w:val="auto"/>
                <w:sz w:val="24"/>
                <w:szCs w:val="24"/>
              </w:rPr>
            </w:pPr>
            <w:r>
              <w:rPr>
                <w:rFonts w:hint="eastAsia" w:ascii="Times New Roman" w:hAnsi="Times New Roman" w:eastAsia="宋体" w:cs="宋体"/>
                <w:b/>
                <w:bCs w:val="0"/>
                <w:color w:val="auto"/>
                <w:spacing w:val="-11"/>
                <w:sz w:val="24"/>
                <w:szCs w:val="24"/>
                <w:lang w:val="en-US" w:eastAsia="zh-CN"/>
              </w:rPr>
              <w:t>7.5应急预案</w:t>
            </w:r>
          </w:p>
          <w:p w14:paraId="7A688C4F">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1）应急计划区</w:t>
            </w:r>
          </w:p>
          <w:p w14:paraId="5C654414">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应急计划区主要针对危险目标。控制目的在于控制事故不蔓延，将事故尽量限制在厂内，并尽快消除。环境保护目标区则应尽快脱离污染区，做好人员的疏散和安置。</w:t>
            </w:r>
          </w:p>
          <w:p w14:paraId="459D34FD">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2）应急组织机构人员</w:t>
            </w:r>
          </w:p>
          <w:p w14:paraId="4F142145">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单位</w:t>
            </w:r>
            <w:r>
              <w:rPr>
                <w:rFonts w:hint="default" w:ascii="Times New Roman" w:hAnsi="Times New Roman" w:eastAsia="宋体" w:cs="Times New Roman"/>
                <w:color w:val="auto"/>
                <w:sz w:val="24"/>
              </w:rPr>
              <w:t>成立应急机构，由</w:t>
            </w:r>
            <w:r>
              <w:rPr>
                <w:rFonts w:hint="eastAsia" w:ascii="Times New Roman" w:hAnsi="Times New Roman" w:eastAsia="宋体" w:cs="Times New Roman"/>
                <w:color w:val="auto"/>
                <w:sz w:val="24"/>
                <w:lang w:val="en-US" w:eastAsia="zh-CN"/>
              </w:rPr>
              <w:t>主管领导</w:t>
            </w:r>
            <w:r>
              <w:rPr>
                <w:rFonts w:hint="default" w:ascii="Times New Roman" w:hAnsi="Times New Roman" w:eastAsia="宋体" w:cs="Times New Roman"/>
                <w:color w:val="auto"/>
                <w:sz w:val="24"/>
              </w:rPr>
              <w:t>担任组长，负责指挥应急救援队伍和应急救援队伍，向上级报告和向友邻单位通报情况，以及负责事故报警、报告和事故处理工作的指挥，组织实施事故应急救援训练和演习，督促检查做好救援准备工作。</w:t>
            </w:r>
          </w:p>
          <w:p w14:paraId="794C7E77">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3）应急救援保障</w:t>
            </w:r>
          </w:p>
          <w:p w14:paraId="1489D0E6">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通讯设备：电话、手机、对讲机等；</w:t>
            </w:r>
          </w:p>
          <w:p w14:paraId="4431DAB3">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交通工具：以汽车为主；</w:t>
            </w:r>
          </w:p>
          <w:p w14:paraId="22B13841">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防护装置：救援人员需配备个人用防护装备和防护服。</w:t>
            </w:r>
          </w:p>
          <w:p w14:paraId="2A434FBE">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医疗急救：与有关医院或急救中心签订协议，设立专业救援队伍，制定救治方案，配备急救器械、急救药品。</w:t>
            </w:r>
          </w:p>
          <w:p w14:paraId="12EE0D04">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消防设备：泡沫灭火系统等。</w:t>
            </w:r>
          </w:p>
          <w:p w14:paraId="60B1988D">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4）事故抢救方案</w:t>
            </w:r>
          </w:p>
          <w:p w14:paraId="3A9F71AD">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①发生事故时，及时拨打119电话向消防队报警，并向总调度室报告，报警和报告的内容为：事故发生的地点、时间、事故类型</w:t>
            </w:r>
            <w:r>
              <w:rPr>
                <w:rFonts w:hint="eastAsia" w:cs="Times New Roman"/>
                <w:color w:val="auto"/>
                <w:sz w:val="24"/>
                <w:lang w:eastAsia="zh-CN"/>
              </w:rPr>
              <w:t>（</w:t>
            </w:r>
            <w:r>
              <w:rPr>
                <w:rFonts w:hint="default" w:ascii="Times New Roman" w:hAnsi="Times New Roman" w:eastAsia="宋体" w:cs="Times New Roman"/>
                <w:color w:val="auto"/>
                <w:sz w:val="24"/>
              </w:rPr>
              <w:t>火灾</w:t>
            </w:r>
            <w:r>
              <w:rPr>
                <w:rFonts w:hint="eastAsia" w:cs="Times New Roman"/>
                <w:color w:val="auto"/>
                <w:sz w:val="24"/>
                <w:lang w:eastAsia="zh-CN"/>
              </w:rPr>
              <w:t>）</w:t>
            </w:r>
            <w:r>
              <w:rPr>
                <w:rFonts w:hint="default" w:ascii="Times New Roman" w:hAnsi="Times New Roman" w:eastAsia="宋体" w:cs="Times New Roman"/>
                <w:color w:val="auto"/>
                <w:sz w:val="24"/>
              </w:rPr>
              <w:t>、周边情况，是否发生人员伤亡等情况。</w:t>
            </w:r>
          </w:p>
          <w:p w14:paraId="71D32D6D">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②事故得到控制后，做好以下几点工作：</w:t>
            </w:r>
          </w:p>
          <w:p w14:paraId="71A4D509">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a.安全技术员要及时对现场应急响应情况进行监控与记录，事故处理后，应及时组织召开事故分析会，分析原因制订纠正预防措施。</w:t>
            </w:r>
          </w:p>
          <w:p w14:paraId="64581D44">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b.组织维修人员进行抢修作业，尽早恢复正常</w:t>
            </w:r>
            <w:r>
              <w:rPr>
                <w:rFonts w:hint="eastAsia" w:ascii="Times New Roman" w:hAnsi="Times New Roman" w:eastAsia="宋体" w:cs="Times New Roman"/>
                <w:color w:val="auto"/>
                <w:sz w:val="24"/>
                <w:lang w:val="en-US" w:eastAsia="zh-CN"/>
              </w:rPr>
              <w:t>运行</w:t>
            </w:r>
            <w:r>
              <w:rPr>
                <w:rFonts w:hint="default" w:ascii="Times New Roman" w:hAnsi="Times New Roman" w:eastAsia="宋体" w:cs="Times New Roman"/>
                <w:color w:val="auto"/>
                <w:sz w:val="24"/>
              </w:rPr>
              <w:t>。</w:t>
            </w:r>
          </w:p>
          <w:p w14:paraId="14696C85">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5）应急状态终止和善后措施</w:t>
            </w:r>
          </w:p>
          <w:p w14:paraId="1F41FD21">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单位</w:t>
            </w:r>
            <w:r>
              <w:rPr>
                <w:rFonts w:hint="default" w:ascii="Times New Roman" w:hAnsi="Times New Roman" w:eastAsia="宋体" w:cs="Times New Roman"/>
                <w:color w:val="auto"/>
                <w:sz w:val="24"/>
              </w:rPr>
              <w:t>应急状态的终止由</w:t>
            </w:r>
            <w:r>
              <w:rPr>
                <w:rFonts w:hint="eastAsia" w:ascii="Times New Roman" w:hAnsi="Times New Roman" w:eastAsia="宋体" w:cs="Times New Roman"/>
                <w:color w:val="auto"/>
                <w:sz w:val="24"/>
                <w:lang w:val="en-US" w:eastAsia="zh-CN"/>
              </w:rPr>
              <w:t>单位</w:t>
            </w:r>
            <w:r>
              <w:rPr>
                <w:rFonts w:hint="default" w:ascii="Times New Roman" w:hAnsi="Times New Roman" w:eastAsia="宋体" w:cs="Times New Roman"/>
                <w:color w:val="auto"/>
                <w:sz w:val="24"/>
              </w:rPr>
              <w:t>应急中心根据现场指挥部和事故应急专家委员会意见决定，并发布。</w:t>
            </w:r>
          </w:p>
          <w:p w14:paraId="6EB4CACC">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事故现场及受影响区域，根据实际情况采取有效善后措施。善后计划措施包括确认事故状态彻底解除、清理现场、清除污染、恢复</w:t>
            </w:r>
            <w:r>
              <w:rPr>
                <w:rFonts w:hint="eastAsia" w:ascii="Times New Roman" w:hAnsi="Times New Roman" w:eastAsia="宋体" w:cs="Times New Roman"/>
                <w:color w:val="auto"/>
                <w:sz w:val="24"/>
                <w:lang w:val="en-US" w:eastAsia="zh-CN"/>
              </w:rPr>
              <w:t>运行</w:t>
            </w:r>
            <w:r>
              <w:rPr>
                <w:rFonts w:hint="default" w:ascii="Times New Roman" w:hAnsi="Times New Roman" w:eastAsia="宋体" w:cs="Times New Roman"/>
                <w:color w:val="auto"/>
                <w:sz w:val="24"/>
              </w:rPr>
              <w:t>等现场工作；对事故中受伤人员的医治；事故损失的估算；事故原因分析和防止事故再发生的防范措施等，总结教训，写出事故报告，报有关主管部门等。</w:t>
            </w:r>
          </w:p>
          <w:p w14:paraId="170B9AAC">
            <w:pPr>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rPr>
              <w:t>本项目的应急方案概要见</w:t>
            </w:r>
            <w:r>
              <w:rPr>
                <w:rFonts w:hint="eastAsia"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lang w:val="en-US" w:eastAsia="zh-CN"/>
              </w:rPr>
              <w:t xml:space="preserve"> </w:t>
            </w:r>
          </w:p>
          <w:p w14:paraId="4F99BBD9">
            <w:pPr>
              <w:pStyle w:val="30"/>
              <w:keepNext/>
              <w:keepLines w:val="0"/>
              <w:suppressLineNumbers w:val="0"/>
              <w:spacing w:before="0" w:beforeAutospacing="0" w:after="0" w:afterAutospacing="0" w:line="240" w:lineRule="auto"/>
              <w:ind w:left="0" w:right="0" w:firstLine="20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4-2</w:t>
            </w:r>
            <w:r>
              <w:rPr>
                <w:rFonts w:hint="eastAsia" w:ascii="Times New Roman" w:hAnsi="Times New Roman"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突发事故应急方案概要</w:t>
            </w:r>
          </w:p>
          <w:tbl>
            <w:tblPr>
              <w:tblStyle w:val="34"/>
              <w:tblW w:w="84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61"/>
              <w:gridCol w:w="2049"/>
              <w:gridCol w:w="5702"/>
            </w:tblGrid>
            <w:tr w14:paraId="25417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05186EB3">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2049" w:type="dxa"/>
                  <w:tcBorders>
                    <w:tl2br w:val="nil"/>
                    <w:tr2bl w:val="nil"/>
                  </w:tcBorders>
                  <w:noWrap w:val="0"/>
                  <w:vAlign w:val="center"/>
                </w:tcPr>
                <w:p w14:paraId="38237B71">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w:t>
                  </w:r>
                </w:p>
              </w:tc>
              <w:tc>
                <w:tcPr>
                  <w:tcW w:w="5702" w:type="dxa"/>
                  <w:tcBorders>
                    <w:tl2br w:val="nil"/>
                    <w:tr2bl w:val="nil"/>
                  </w:tcBorders>
                  <w:noWrap w:val="0"/>
                  <w:vAlign w:val="center"/>
                </w:tcPr>
                <w:p w14:paraId="2E1D2005">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内容及要求</w:t>
                  </w:r>
                </w:p>
              </w:tc>
            </w:tr>
            <w:tr w14:paraId="56ED7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6CEE2EB2">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049" w:type="dxa"/>
                  <w:tcBorders>
                    <w:tl2br w:val="nil"/>
                    <w:tr2bl w:val="nil"/>
                  </w:tcBorders>
                  <w:noWrap w:val="0"/>
                  <w:vAlign w:val="center"/>
                </w:tcPr>
                <w:p w14:paraId="3D2172DD">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危险源概况</w:t>
                  </w:r>
                </w:p>
              </w:tc>
              <w:tc>
                <w:tcPr>
                  <w:tcW w:w="5702" w:type="dxa"/>
                  <w:tcBorders>
                    <w:tl2br w:val="nil"/>
                    <w:tr2bl w:val="nil"/>
                  </w:tcBorders>
                  <w:noWrap w:val="0"/>
                  <w:vAlign w:val="center"/>
                </w:tcPr>
                <w:p w14:paraId="5D9C4612">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详述危险源类型、数量及其分布</w:t>
                  </w:r>
                </w:p>
              </w:tc>
            </w:tr>
            <w:tr w14:paraId="57615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45290744">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2049" w:type="dxa"/>
                  <w:tcBorders>
                    <w:tl2br w:val="nil"/>
                    <w:tr2bl w:val="nil"/>
                  </w:tcBorders>
                  <w:noWrap w:val="0"/>
                  <w:vAlign w:val="center"/>
                </w:tcPr>
                <w:p w14:paraId="30331E12">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应急计划区</w:t>
                  </w:r>
                </w:p>
              </w:tc>
              <w:tc>
                <w:tcPr>
                  <w:tcW w:w="5702" w:type="dxa"/>
                  <w:tcBorders>
                    <w:tl2br w:val="nil"/>
                    <w:tr2bl w:val="nil"/>
                  </w:tcBorders>
                  <w:noWrap w:val="0"/>
                  <w:vAlign w:val="center"/>
                </w:tcPr>
                <w:p w14:paraId="1883880C">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单位涉及区域</w:t>
                  </w:r>
                </w:p>
              </w:tc>
            </w:tr>
            <w:tr w14:paraId="0534A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19242463">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2049" w:type="dxa"/>
                  <w:tcBorders>
                    <w:tl2br w:val="nil"/>
                    <w:tr2bl w:val="nil"/>
                  </w:tcBorders>
                  <w:noWrap w:val="0"/>
                  <w:vAlign w:val="center"/>
                </w:tcPr>
                <w:p w14:paraId="294FE679">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应急组织</w:t>
                  </w:r>
                </w:p>
              </w:tc>
              <w:tc>
                <w:tcPr>
                  <w:tcW w:w="5702" w:type="dxa"/>
                  <w:tcBorders>
                    <w:tl2br w:val="nil"/>
                    <w:tr2bl w:val="nil"/>
                  </w:tcBorders>
                  <w:noWrap w:val="0"/>
                  <w:vAlign w:val="center"/>
                </w:tcPr>
                <w:p w14:paraId="562436CD">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工厂：指挥部负责现场全面指挥；专业救援队伍负责事故控制、救援、善后处理</w:t>
                  </w:r>
                </w:p>
                <w:p w14:paraId="6B0A7DA9">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地区：地区指挥部负责</w:t>
                  </w:r>
                  <w:r>
                    <w:rPr>
                      <w:rFonts w:hint="eastAsia" w:ascii="Times New Roman" w:hAnsi="Times New Roman" w:eastAsia="宋体" w:cs="Times New Roman"/>
                      <w:color w:val="auto"/>
                      <w:szCs w:val="21"/>
                      <w:lang w:val="en-US" w:eastAsia="zh-CN"/>
                    </w:rPr>
                    <w:t>单位</w:t>
                  </w:r>
                  <w:r>
                    <w:rPr>
                      <w:rFonts w:hint="default" w:ascii="Times New Roman" w:hAnsi="Times New Roman" w:eastAsia="宋体" w:cs="Times New Roman"/>
                      <w:color w:val="auto"/>
                      <w:szCs w:val="21"/>
                    </w:rPr>
                    <w:t>附近地区全面指挥、救援、管制、疏散；专业救援队伍负责对厂专业救援队伍的支援</w:t>
                  </w:r>
                </w:p>
              </w:tc>
            </w:tr>
            <w:tr w14:paraId="782A0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649FB371">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2049" w:type="dxa"/>
                  <w:tcBorders>
                    <w:tl2br w:val="nil"/>
                    <w:tr2bl w:val="nil"/>
                  </w:tcBorders>
                  <w:noWrap w:val="0"/>
                  <w:vAlign w:val="center"/>
                </w:tcPr>
                <w:p w14:paraId="331F71CE">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应急状态分类及应急响应程序</w:t>
                  </w:r>
                </w:p>
              </w:tc>
              <w:tc>
                <w:tcPr>
                  <w:tcW w:w="5702" w:type="dxa"/>
                  <w:tcBorders>
                    <w:tl2br w:val="nil"/>
                    <w:tr2bl w:val="nil"/>
                  </w:tcBorders>
                  <w:noWrap w:val="0"/>
                  <w:vAlign w:val="center"/>
                </w:tcPr>
                <w:p w14:paraId="03A5A9F3">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规定事故的级别及相应的应急分类响应程序</w:t>
                  </w:r>
                </w:p>
              </w:tc>
            </w:tr>
            <w:tr w14:paraId="3DF2D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6F6D1FFF">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2049" w:type="dxa"/>
                  <w:tcBorders>
                    <w:tl2br w:val="nil"/>
                    <w:tr2bl w:val="nil"/>
                  </w:tcBorders>
                  <w:noWrap w:val="0"/>
                  <w:vAlign w:val="center"/>
                </w:tcPr>
                <w:p w14:paraId="5F5E0E25">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应急设施、设备与材料</w:t>
                  </w:r>
                </w:p>
              </w:tc>
              <w:tc>
                <w:tcPr>
                  <w:tcW w:w="5702" w:type="dxa"/>
                  <w:tcBorders>
                    <w:tl2br w:val="nil"/>
                    <w:tr2bl w:val="nil"/>
                  </w:tcBorders>
                  <w:noWrap w:val="0"/>
                  <w:vAlign w:val="center"/>
                </w:tcPr>
                <w:p w14:paraId="04744B13">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实验楼</w:t>
                  </w:r>
                  <w:r>
                    <w:rPr>
                      <w:rFonts w:hint="default" w:ascii="Times New Roman" w:hAnsi="Times New Roman" w:eastAsia="宋体" w:cs="Times New Roman"/>
                      <w:color w:val="auto"/>
                      <w:szCs w:val="21"/>
                      <w:highlight w:val="none"/>
                    </w:rPr>
                    <w:t>：防火灾事故应</w:t>
                  </w:r>
                  <w:r>
                    <w:rPr>
                      <w:rFonts w:hint="eastAsia" w:ascii="Times New Roman" w:hAnsi="Times New Roman" w:eastAsia="宋体" w:cs="Times New Roman"/>
                      <w:color w:val="auto"/>
                      <w:szCs w:val="21"/>
                      <w:highlight w:val="none"/>
                      <w:lang w:val="en-US" w:eastAsia="zh-CN"/>
                    </w:rPr>
                    <w:t>SH</w:t>
                  </w:r>
                  <w:r>
                    <w:rPr>
                      <w:rFonts w:hint="default" w:ascii="Times New Roman" w:hAnsi="Times New Roman" w:eastAsia="宋体" w:cs="Times New Roman"/>
                      <w:color w:val="auto"/>
                      <w:szCs w:val="21"/>
                      <w:highlight w:val="none"/>
                    </w:rPr>
                    <w:t>急设施、设备及材料，主要为消防器材；</w:t>
                  </w:r>
                </w:p>
              </w:tc>
            </w:tr>
            <w:tr w14:paraId="68008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248FDC3F">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2049" w:type="dxa"/>
                  <w:tcBorders>
                    <w:tl2br w:val="nil"/>
                    <w:tr2bl w:val="nil"/>
                  </w:tcBorders>
                  <w:noWrap w:val="0"/>
                  <w:vAlign w:val="center"/>
                </w:tcPr>
                <w:p w14:paraId="634783AB">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应急通讯、通知和交通</w:t>
                  </w:r>
                </w:p>
              </w:tc>
              <w:tc>
                <w:tcPr>
                  <w:tcW w:w="5702" w:type="dxa"/>
                  <w:tcBorders>
                    <w:tl2br w:val="nil"/>
                    <w:tr2bl w:val="nil"/>
                  </w:tcBorders>
                  <w:noWrap w:val="0"/>
                  <w:vAlign w:val="center"/>
                </w:tcPr>
                <w:p w14:paraId="50FDB710">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应急状态下的通讯方式、通知方式和交通保障、管制</w:t>
                  </w:r>
                </w:p>
              </w:tc>
            </w:tr>
            <w:tr w14:paraId="16FBA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1E5E6726">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2049" w:type="dxa"/>
                  <w:tcBorders>
                    <w:tl2br w:val="nil"/>
                    <w:tr2bl w:val="nil"/>
                  </w:tcBorders>
                  <w:noWrap w:val="0"/>
                  <w:vAlign w:val="center"/>
                </w:tcPr>
                <w:p w14:paraId="312FE030">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应急环境监测及事故后评估</w:t>
                  </w:r>
                </w:p>
              </w:tc>
              <w:tc>
                <w:tcPr>
                  <w:tcW w:w="5702" w:type="dxa"/>
                  <w:tcBorders>
                    <w:tl2br w:val="nil"/>
                    <w:tr2bl w:val="nil"/>
                  </w:tcBorders>
                  <w:noWrap w:val="0"/>
                  <w:vAlign w:val="center"/>
                </w:tcPr>
                <w:p w14:paraId="3C2AB664">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由专业队伍负责对事故现场进行侦察监测，对事故性质、参数与后果进行评估，为指挥部门提供决策依据</w:t>
                  </w:r>
                </w:p>
              </w:tc>
            </w:tr>
            <w:tr w14:paraId="676E4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6B2EC8FF">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2049" w:type="dxa"/>
                  <w:tcBorders>
                    <w:tl2br w:val="nil"/>
                    <w:tr2bl w:val="nil"/>
                  </w:tcBorders>
                  <w:noWrap w:val="0"/>
                  <w:vAlign w:val="center"/>
                </w:tcPr>
                <w:p w14:paraId="58421C4A">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应急防范措施、清除泄漏措施方法和器材</w:t>
                  </w:r>
                </w:p>
              </w:tc>
              <w:tc>
                <w:tcPr>
                  <w:tcW w:w="5702" w:type="dxa"/>
                  <w:tcBorders>
                    <w:tl2br w:val="nil"/>
                    <w:tr2bl w:val="nil"/>
                  </w:tcBorders>
                  <w:noWrap w:val="0"/>
                  <w:vAlign w:val="center"/>
                </w:tcPr>
                <w:p w14:paraId="30F9F819">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事故现场：控制事故、防止扩大、蔓延及</w:t>
                  </w:r>
                  <w:r>
                    <w:rPr>
                      <w:rFonts w:hint="eastAsia" w:ascii="Times New Roman" w:hAnsi="Times New Roman" w:eastAsia="宋体" w:cs="Times New Roman"/>
                      <w:color w:val="auto"/>
                      <w:szCs w:val="21"/>
                      <w:lang w:eastAsia="zh-CN"/>
                    </w:rPr>
                    <w:t>连锁反应</w:t>
                  </w:r>
                  <w:r>
                    <w:rPr>
                      <w:rFonts w:hint="default" w:ascii="Times New Roman" w:hAnsi="Times New Roman" w:eastAsia="宋体" w:cs="Times New Roman"/>
                      <w:color w:val="auto"/>
                      <w:szCs w:val="21"/>
                    </w:rPr>
                    <w:t>；清除现场泄漏物，降低危害，相应的设施器材配备</w:t>
                  </w:r>
                </w:p>
                <w:p w14:paraId="4FE26B76">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邻近区域：控制和清除污染措施及相应设备配备</w:t>
                  </w:r>
                </w:p>
              </w:tc>
            </w:tr>
            <w:tr w14:paraId="2E187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251330E0">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w:t>
                  </w:r>
                </w:p>
              </w:tc>
              <w:tc>
                <w:tcPr>
                  <w:tcW w:w="2049" w:type="dxa"/>
                  <w:tcBorders>
                    <w:tl2br w:val="nil"/>
                    <w:tr2bl w:val="nil"/>
                  </w:tcBorders>
                  <w:noWrap w:val="0"/>
                  <w:vAlign w:val="center"/>
                </w:tcPr>
                <w:p w14:paraId="5EA0F060">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应急状态终止与恢复措施</w:t>
                  </w:r>
                </w:p>
              </w:tc>
              <w:tc>
                <w:tcPr>
                  <w:tcW w:w="5702" w:type="dxa"/>
                  <w:tcBorders>
                    <w:tl2br w:val="nil"/>
                    <w:tr2bl w:val="nil"/>
                  </w:tcBorders>
                  <w:noWrap w:val="0"/>
                  <w:vAlign w:val="center"/>
                </w:tcPr>
                <w:p w14:paraId="75A895AF">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规定应急状态终止程序；事故现场善后处理，恢复措施；临近区域解除事故警戒及善后恢复措施</w:t>
                  </w:r>
                </w:p>
              </w:tc>
            </w:tr>
            <w:tr w14:paraId="5704D5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030797D8">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2049" w:type="dxa"/>
                  <w:tcBorders>
                    <w:tl2br w:val="nil"/>
                    <w:tr2bl w:val="nil"/>
                  </w:tcBorders>
                  <w:noWrap w:val="0"/>
                  <w:vAlign w:val="center"/>
                </w:tcPr>
                <w:p w14:paraId="303AA580">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人员培训与演练</w:t>
                  </w:r>
                </w:p>
              </w:tc>
              <w:tc>
                <w:tcPr>
                  <w:tcW w:w="5702" w:type="dxa"/>
                  <w:tcBorders>
                    <w:tl2br w:val="nil"/>
                    <w:tr2bl w:val="nil"/>
                  </w:tcBorders>
                  <w:noWrap w:val="0"/>
                  <w:vAlign w:val="center"/>
                </w:tcPr>
                <w:p w14:paraId="43E066C7">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应急计划制定后，平时安排人员培训与演练</w:t>
                  </w:r>
                </w:p>
              </w:tc>
            </w:tr>
            <w:tr w14:paraId="54323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40BB2ABD">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w:t>
                  </w:r>
                </w:p>
              </w:tc>
              <w:tc>
                <w:tcPr>
                  <w:tcW w:w="2049" w:type="dxa"/>
                  <w:tcBorders>
                    <w:tl2br w:val="nil"/>
                    <w:tr2bl w:val="nil"/>
                  </w:tcBorders>
                  <w:noWrap w:val="0"/>
                  <w:vAlign w:val="center"/>
                </w:tcPr>
                <w:p w14:paraId="2DD69EF7">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公众教育和信息</w:t>
                  </w:r>
                </w:p>
              </w:tc>
              <w:tc>
                <w:tcPr>
                  <w:tcW w:w="5702" w:type="dxa"/>
                  <w:tcBorders>
                    <w:tl2br w:val="nil"/>
                    <w:tr2bl w:val="nil"/>
                  </w:tcBorders>
                  <w:noWrap w:val="0"/>
                  <w:vAlign w:val="center"/>
                </w:tcPr>
                <w:p w14:paraId="0CC8CDF5">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对</w:t>
                  </w:r>
                  <w:r>
                    <w:rPr>
                      <w:rFonts w:hint="eastAsia" w:ascii="Times New Roman" w:hAnsi="Times New Roman" w:eastAsia="宋体" w:cs="Times New Roman"/>
                      <w:color w:val="auto"/>
                      <w:szCs w:val="21"/>
                      <w:lang w:val="en-US" w:eastAsia="zh-CN"/>
                    </w:rPr>
                    <w:t>单位</w:t>
                  </w:r>
                  <w:r>
                    <w:rPr>
                      <w:rFonts w:hint="default" w:ascii="Times New Roman" w:hAnsi="Times New Roman" w:eastAsia="宋体" w:cs="Times New Roman"/>
                      <w:color w:val="auto"/>
                      <w:szCs w:val="21"/>
                    </w:rPr>
                    <w:t>邻近地区开展公众教育、培训和发布有关信息</w:t>
                  </w:r>
                </w:p>
              </w:tc>
            </w:tr>
            <w:tr w14:paraId="072EC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2A629300">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w:t>
                  </w:r>
                </w:p>
              </w:tc>
              <w:tc>
                <w:tcPr>
                  <w:tcW w:w="2049" w:type="dxa"/>
                  <w:tcBorders>
                    <w:tl2br w:val="nil"/>
                    <w:tr2bl w:val="nil"/>
                  </w:tcBorders>
                  <w:noWrap w:val="0"/>
                  <w:vAlign w:val="center"/>
                </w:tcPr>
                <w:p w14:paraId="79E7913B">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记录和报告</w:t>
                  </w:r>
                </w:p>
              </w:tc>
              <w:tc>
                <w:tcPr>
                  <w:tcW w:w="5702" w:type="dxa"/>
                  <w:tcBorders>
                    <w:tl2br w:val="nil"/>
                    <w:tr2bl w:val="nil"/>
                  </w:tcBorders>
                  <w:noWrap w:val="0"/>
                  <w:vAlign w:val="center"/>
                </w:tcPr>
                <w:p w14:paraId="10B904EC">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设置应急事故专门记录，建档案和专门报告制度，设专门部门和负责管理</w:t>
                  </w:r>
                </w:p>
              </w:tc>
            </w:tr>
            <w:tr w14:paraId="79E51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 w:type="dxa"/>
                  <w:tcBorders>
                    <w:tl2br w:val="nil"/>
                    <w:tr2bl w:val="nil"/>
                  </w:tcBorders>
                  <w:noWrap w:val="0"/>
                  <w:vAlign w:val="center"/>
                </w:tcPr>
                <w:p w14:paraId="3AA369C6">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w:t>
                  </w:r>
                </w:p>
              </w:tc>
              <w:tc>
                <w:tcPr>
                  <w:tcW w:w="2049" w:type="dxa"/>
                  <w:tcBorders>
                    <w:tl2br w:val="nil"/>
                    <w:tr2bl w:val="nil"/>
                  </w:tcBorders>
                  <w:noWrap w:val="0"/>
                  <w:vAlign w:val="center"/>
                </w:tcPr>
                <w:p w14:paraId="43EFC09E">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附件</w:t>
                  </w:r>
                </w:p>
              </w:tc>
              <w:tc>
                <w:tcPr>
                  <w:tcW w:w="5702" w:type="dxa"/>
                  <w:tcBorders>
                    <w:tl2br w:val="nil"/>
                    <w:tr2bl w:val="nil"/>
                  </w:tcBorders>
                  <w:noWrap w:val="0"/>
                  <w:vAlign w:val="center"/>
                </w:tcPr>
                <w:p w14:paraId="468F9CA6">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与应急事故有关的多种附件材料的准备和形成</w:t>
                  </w:r>
                </w:p>
              </w:tc>
            </w:tr>
          </w:tbl>
          <w:p w14:paraId="62B8CC6E">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7.6</w:t>
            </w:r>
            <w:r>
              <w:rPr>
                <w:rFonts w:hint="default" w:ascii="Times New Roman" w:hAnsi="Times New Roman" w:eastAsia="宋体" w:cs="Times New Roman"/>
                <w:b/>
                <w:bCs/>
                <w:color w:val="auto"/>
                <w:sz w:val="24"/>
              </w:rPr>
              <w:t>环境风险评价结论</w:t>
            </w:r>
          </w:p>
          <w:p w14:paraId="637FA899">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虽然会存在一些环境事故危险因素，但总体的环境风险不大，只要建设单位能严格执行国家有关劳动、安全、卫生和环保等方面的规定，采取了各项安全、环境风险防范对策和措施，并严格落实到位，建立了完善的安全管理机构和管理制度，在</w:t>
            </w:r>
            <w:r>
              <w:rPr>
                <w:rFonts w:hint="eastAsia" w:ascii="Times New Roman" w:hAnsi="Times New Roman" w:eastAsia="宋体" w:cs="Times New Roman"/>
                <w:color w:val="auto"/>
                <w:sz w:val="24"/>
                <w:szCs w:val="24"/>
                <w:highlight w:val="none"/>
                <w:lang w:val="en-US" w:eastAsia="zh-CN"/>
              </w:rPr>
              <w:t>运行</w:t>
            </w:r>
            <w:r>
              <w:rPr>
                <w:rFonts w:hint="default" w:ascii="Times New Roman" w:hAnsi="Times New Roman" w:eastAsia="宋体" w:cs="Times New Roman"/>
                <w:color w:val="auto"/>
                <w:sz w:val="24"/>
                <w:szCs w:val="24"/>
                <w:highlight w:val="none"/>
              </w:rPr>
              <w:t>过程中严格管理，确保安全、环保设施正常运行，项目环境风险是可以接受的。</w:t>
            </w:r>
          </w:p>
          <w:p w14:paraId="10D56A89">
            <w:pPr>
              <w:keepNext w:val="0"/>
              <w:keepLines w:val="0"/>
              <w:suppressLineNumbers w:val="0"/>
              <w:spacing w:before="0" w:beforeAutospacing="0" w:after="0" w:afterAutospacing="0" w:line="360" w:lineRule="auto"/>
              <w:ind w:left="0" w:right="0" w:firstLine="482" w:firstLineChars="200"/>
              <w:rPr>
                <w:rFonts w:hint="eastAsia" w:ascii="Times New Roman" w:hAnsi="Times New Roman" w:cs="Times New Roman"/>
                <w:b/>
                <w:bCs/>
                <w:color w:val="auto"/>
                <w:sz w:val="24"/>
                <w:szCs w:val="22"/>
              </w:rPr>
            </w:pPr>
            <w:r>
              <w:rPr>
                <w:rFonts w:hint="eastAsia" w:ascii="Times New Roman" w:hAnsi="Times New Roman" w:cs="Times New Roman"/>
                <w:b/>
                <w:bCs/>
                <w:color w:val="auto"/>
                <w:sz w:val="24"/>
                <w:szCs w:val="22"/>
                <w:lang w:val="en-US" w:eastAsia="zh-CN"/>
              </w:rPr>
              <w:t>8</w:t>
            </w:r>
            <w:r>
              <w:rPr>
                <w:rFonts w:hint="eastAsia" w:ascii="Times New Roman" w:hAnsi="Times New Roman" w:cs="Times New Roman"/>
                <w:b/>
                <w:bCs/>
                <w:color w:val="auto"/>
                <w:sz w:val="24"/>
                <w:szCs w:val="22"/>
              </w:rPr>
              <w:t>、环保投资</w:t>
            </w:r>
          </w:p>
          <w:p w14:paraId="2158443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szCs w:val="22"/>
              </w:rPr>
              <w:t>本项目总投资</w:t>
            </w:r>
            <w:r>
              <w:rPr>
                <w:rFonts w:hint="eastAsia" w:cs="Times New Roman"/>
                <w:bCs/>
                <w:color w:val="auto"/>
                <w:sz w:val="24"/>
                <w:szCs w:val="22"/>
                <w:lang w:val="en-US" w:eastAsia="zh-CN"/>
              </w:rPr>
              <w:t>12000</w:t>
            </w:r>
            <w:r>
              <w:rPr>
                <w:rFonts w:hint="default" w:ascii="Times New Roman" w:hAnsi="Times New Roman" w:cs="Times New Roman"/>
                <w:bCs/>
                <w:color w:val="auto"/>
                <w:sz w:val="24"/>
                <w:szCs w:val="22"/>
              </w:rPr>
              <w:t>万元，其中环保投资</w:t>
            </w:r>
            <w:r>
              <w:rPr>
                <w:rFonts w:hint="eastAsia" w:cs="Times New Roman"/>
                <w:bCs/>
                <w:color w:val="auto"/>
                <w:sz w:val="24"/>
                <w:szCs w:val="22"/>
                <w:lang w:val="en-US" w:eastAsia="zh-CN"/>
              </w:rPr>
              <w:t>69.4</w:t>
            </w:r>
            <w:r>
              <w:rPr>
                <w:rFonts w:hint="default" w:ascii="Times New Roman" w:hAnsi="Times New Roman" w:cs="Times New Roman"/>
                <w:bCs/>
                <w:color w:val="auto"/>
                <w:sz w:val="24"/>
                <w:szCs w:val="22"/>
              </w:rPr>
              <w:t>万元，占总投资的</w:t>
            </w:r>
            <w:r>
              <w:rPr>
                <w:rFonts w:hint="eastAsia" w:cs="Times New Roman"/>
                <w:bCs/>
                <w:color w:val="auto"/>
                <w:sz w:val="24"/>
                <w:szCs w:val="22"/>
                <w:lang w:val="en-US" w:eastAsia="zh-CN"/>
              </w:rPr>
              <w:t>0.58</w:t>
            </w:r>
            <w:r>
              <w:rPr>
                <w:rFonts w:hint="default" w:ascii="Times New Roman" w:hAnsi="Times New Roman" w:cs="Times New Roman"/>
                <w:bCs/>
                <w:color w:val="auto"/>
                <w:sz w:val="24"/>
                <w:szCs w:val="22"/>
              </w:rPr>
              <w:t>%，主要用于废气、废水、噪声、固废的治理等。项目具体环保投资见表4-</w:t>
            </w:r>
            <w:r>
              <w:rPr>
                <w:rFonts w:hint="eastAsia" w:ascii="Times New Roman" w:hAnsi="Times New Roman" w:cs="Times New Roman"/>
                <w:bCs/>
                <w:color w:val="auto"/>
                <w:sz w:val="24"/>
                <w:szCs w:val="22"/>
                <w:lang w:val="en-US" w:eastAsia="zh-CN"/>
              </w:rPr>
              <w:t>2</w:t>
            </w:r>
            <w:r>
              <w:rPr>
                <w:rFonts w:hint="eastAsia" w:cs="Times New Roman"/>
                <w:bCs/>
                <w:color w:val="auto"/>
                <w:sz w:val="24"/>
                <w:szCs w:val="22"/>
                <w:lang w:val="en-US" w:eastAsia="zh-CN"/>
              </w:rPr>
              <w:t>5</w:t>
            </w:r>
            <w:r>
              <w:rPr>
                <w:rFonts w:hint="default" w:ascii="Times New Roman" w:hAnsi="Times New Roman" w:cs="Times New Roman"/>
                <w:bCs/>
                <w:color w:val="auto"/>
                <w:sz w:val="24"/>
                <w:szCs w:val="22"/>
              </w:rPr>
              <w:t>。</w:t>
            </w:r>
          </w:p>
          <w:p w14:paraId="2D79CE45">
            <w:pPr>
              <w:keepNext w:val="0"/>
              <w:keepLines w:val="0"/>
              <w:suppressLineNumbers w:val="0"/>
              <w:tabs>
                <w:tab w:val="left" w:pos="4000"/>
              </w:tabs>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w:t>
            </w:r>
            <w:r>
              <w:rPr>
                <w:rFonts w:hint="eastAsia" w:ascii="Times New Roman" w:hAnsi="Times New Roman" w:cs="Times New Roman"/>
                <w:b/>
                <w:bCs/>
                <w:color w:val="auto"/>
                <w:sz w:val="24"/>
                <w:lang w:val="en-US" w:eastAsia="zh-CN"/>
              </w:rPr>
              <w:t>2</w:t>
            </w:r>
            <w:r>
              <w:rPr>
                <w:rFonts w:hint="eastAsia" w:cs="Times New Roman"/>
                <w:b/>
                <w:bCs/>
                <w:color w:val="auto"/>
                <w:sz w:val="24"/>
                <w:lang w:val="en-US" w:eastAsia="zh-CN"/>
              </w:rPr>
              <w:t>5</w:t>
            </w:r>
            <w:r>
              <w:rPr>
                <w:rFonts w:hint="default" w:ascii="Times New Roman" w:hAnsi="Times New Roman" w:cs="Times New Roman"/>
                <w:b/>
                <w:bCs/>
                <w:color w:val="auto"/>
                <w:sz w:val="24"/>
              </w:rPr>
              <w:t xml:space="preserve"> </w:t>
            </w:r>
            <w:r>
              <w:rPr>
                <w:rFonts w:hint="eastAsia"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项目环保投资一览表</w:t>
            </w:r>
          </w:p>
          <w:tbl>
            <w:tblPr>
              <w:tblStyle w:val="97"/>
              <w:tblW w:w="854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43"/>
              <w:gridCol w:w="539"/>
              <w:gridCol w:w="1104"/>
              <w:gridCol w:w="4420"/>
              <w:gridCol w:w="1937"/>
            </w:tblGrid>
            <w:tr w14:paraId="1439E0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543" w:type="dxa"/>
                  <w:tcBorders>
                    <w:tl2br w:val="nil"/>
                    <w:tr2bl w:val="nil"/>
                  </w:tcBorders>
                  <w:noWrap w:val="0"/>
                  <w:vAlign w:val="center"/>
                </w:tcPr>
                <w:p w14:paraId="1C3633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643" w:type="dxa"/>
                  <w:gridSpan w:val="2"/>
                  <w:tcBorders>
                    <w:tl2br w:val="nil"/>
                    <w:tr2bl w:val="nil"/>
                  </w:tcBorders>
                  <w:noWrap w:val="0"/>
                  <w:vAlign w:val="center"/>
                </w:tcPr>
                <w:p w14:paraId="657B04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9"/>
                      <w:sz w:val="21"/>
                      <w:szCs w:val="21"/>
                    </w:rPr>
                    <w:t>工</w:t>
                  </w:r>
                  <w:r>
                    <w:rPr>
                      <w:rFonts w:hint="default" w:ascii="Times New Roman" w:hAnsi="Times New Roman" w:cs="Times New Roman" w:eastAsiaTheme="minorEastAsia"/>
                      <w:spacing w:val="6"/>
                      <w:sz w:val="21"/>
                      <w:szCs w:val="21"/>
                    </w:rPr>
                    <w:t>程类型</w:t>
                  </w:r>
                </w:p>
              </w:tc>
              <w:tc>
                <w:tcPr>
                  <w:tcW w:w="4420" w:type="dxa"/>
                  <w:tcBorders>
                    <w:tl2br w:val="nil"/>
                    <w:tr2bl w:val="nil"/>
                  </w:tcBorders>
                  <w:noWrap w:val="0"/>
                  <w:vAlign w:val="center"/>
                </w:tcPr>
                <w:p w14:paraId="2511F8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8"/>
                      <w:sz w:val="21"/>
                      <w:szCs w:val="21"/>
                    </w:rPr>
                    <w:t>环</w:t>
                  </w:r>
                  <w:r>
                    <w:rPr>
                      <w:rFonts w:hint="default" w:ascii="Times New Roman" w:hAnsi="Times New Roman" w:cs="Times New Roman" w:eastAsiaTheme="minorEastAsia"/>
                      <w:spacing w:val="7"/>
                      <w:sz w:val="21"/>
                      <w:szCs w:val="21"/>
                    </w:rPr>
                    <w:t>保措施</w:t>
                  </w:r>
                </w:p>
              </w:tc>
              <w:tc>
                <w:tcPr>
                  <w:tcW w:w="1937" w:type="dxa"/>
                  <w:tcBorders>
                    <w:tl2br w:val="nil"/>
                    <w:tr2bl w:val="nil"/>
                  </w:tcBorders>
                  <w:noWrap w:val="0"/>
                  <w:vAlign w:val="center"/>
                </w:tcPr>
                <w:p w14:paraId="35909E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9"/>
                      <w:sz w:val="21"/>
                      <w:szCs w:val="21"/>
                    </w:rPr>
                    <w:t>投</w:t>
                  </w:r>
                  <w:r>
                    <w:rPr>
                      <w:rFonts w:hint="default" w:ascii="Times New Roman" w:hAnsi="Times New Roman" w:cs="Times New Roman" w:eastAsiaTheme="minorEastAsia"/>
                      <w:spacing w:val="6"/>
                      <w:sz w:val="21"/>
                      <w:szCs w:val="21"/>
                    </w:rPr>
                    <w:t>资费用</w:t>
                  </w: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pacing w:val="27"/>
                      <w:sz w:val="21"/>
                      <w:szCs w:val="21"/>
                    </w:rPr>
                    <w:t>万元</w:t>
                  </w:r>
                  <w:r>
                    <w:rPr>
                      <w:rFonts w:hint="default" w:ascii="Times New Roman" w:hAnsi="Times New Roman" w:cs="Times New Roman" w:eastAsiaTheme="minorEastAsia"/>
                      <w:spacing w:val="27"/>
                      <w:sz w:val="21"/>
                      <w:szCs w:val="21"/>
                      <w:lang w:eastAsia="zh-CN"/>
                    </w:rPr>
                    <w:t>）</w:t>
                  </w:r>
                </w:p>
              </w:tc>
            </w:tr>
            <w:tr w14:paraId="6893E4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543" w:type="dxa"/>
                  <w:tcBorders>
                    <w:tl2br w:val="nil"/>
                    <w:tr2bl w:val="nil"/>
                  </w:tcBorders>
                  <w:noWrap w:val="0"/>
                  <w:vAlign w:val="center"/>
                </w:tcPr>
                <w:p w14:paraId="70F059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643" w:type="dxa"/>
                  <w:gridSpan w:val="2"/>
                  <w:tcBorders>
                    <w:tl2br w:val="nil"/>
                    <w:tr2bl w:val="nil"/>
                  </w:tcBorders>
                  <w:noWrap w:val="0"/>
                  <w:vAlign w:val="center"/>
                </w:tcPr>
                <w:p w14:paraId="7E49C8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7"/>
                      <w:sz w:val="21"/>
                      <w:szCs w:val="21"/>
                    </w:rPr>
                    <w:t>污水处</w:t>
                  </w:r>
                  <w:r>
                    <w:rPr>
                      <w:rFonts w:hint="default" w:ascii="Times New Roman" w:hAnsi="Times New Roman" w:cs="Times New Roman" w:eastAsiaTheme="minorEastAsia"/>
                      <w:spacing w:val="6"/>
                      <w:sz w:val="21"/>
                      <w:szCs w:val="21"/>
                    </w:rPr>
                    <w:t>理</w:t>
                  </w:r>
                </w:p>
              </w:tc>
              <w:tc>
                <w:tcPr>
                  <w:tcW w:w="4420" w:type="dxa"/>
                  <w:tcBorders>
                    <w:tl2br w:val="nil"/>
                    <w:tr2bl w:val="nil"/>
                  </w:tcBorders>
                  <w:noWrap w:val="0"/>
                  <w:vAlign w:val="center"/>
                </w:tcPr>
                <w:p w14:paraId="3C786F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5"/>
                      <w:sz w:val="21"/>
                      <w:szCs w:val="21"/>
                    </w:rPr>
                    <w:t>自建污水处理站及相应管</w:t>
                  </w:r>
                  <w:r>
                    <w:rPr>
                      <w:rFonts w:hint="default" w:ascii="Times New Roman" w:hAnsi="Times New Roman" w:cs="Times New Roman" w:eastAsiaTheme="minorEastAsia"/>
                      <w:spacing w:val="1"/>
                      <w:sz w:val="21"/>
                      <w:szCs w:val="21"/>
                    </w:rPr>
                    <w:t>道</w:t>
                  </w:r>
                </w:p>
              </w:tc>
              <w:tc>
                <w:tcPr>
                  <w:tcW w:w="1937" w:type="dxa"/>
                  <w:tcBorders>
                    <w:tl2br w:val="nil"/>
                    <w:tr2bl w:val="nil"/>
                  </w:tcBorders>
                  <w:noWrap w:val="0"/>
                  <w:vAlign w:val="center"/>
                </w:tcPr>
                <w:p w14:paraId="28915E18">
                  <w:pPr>
                    <w:spacing w:beforeLines="0" w:afterLine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000000"/>
                      <w:sz w:val="21"/>
                      <w:szCs w:val="21"/>
                      <w:lang w:val="en-US" w:eastAsia="zh-CN"/>
                    </w:rPr>
                    <w:t>12</w:t>
                  </w:r>
                </w:p>
              </w:tc>
            </w:tr>
            <w:tr w14:paraId="4EC82D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543" w:type="dxa"/>
                  <w:vMerge w:val="restart"/>
                  <w:tcBorders>
                    <w:tl2br w:val="nil"/>
                    <w:tr2bl w:val="nil"/>
                  </w:tcBorders>
                  <w:noWrap w:val="0"/>
                  <w:vAlign w:val="center"/>
                </w:tcPr>
                <w:p w14:paraId="6FAE14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539" w:type="dxa"/>
                  <w:vMerge w:val="restart"/>
                  <w:tcBorders>
                    <w:tl2br w:val="nil"/>
                    <w:tr2bl w:val="nil"/>
                  </w:tcBorders>
                  <w:noWrap w:val="0"/>
                  <w:vAlign w:val="center"/>
                </w:tcPr>
                <w:p w14:paraId="1F2BA1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6"/>
                      <w:sz w:val="21"/>
                      <w:szCs w:val="21"/>
                    </w:rPr>
                    <w:t>废气</w:t>
                  </w:r>
                </w:p>
              </w:tc>
              <w:tc>
                <w:tcPr>
                  <w:tcW w:w="1104" w:type="dxa"/>
                  <w:tcBorders>
                    <w:tl2br w:val="nil"/>
                    <w:tr2bl w:val="nil"/>
                  </w:tcBorders>
                  <w:noWrap w:val="0"/>
                  <w:vAlign w:val="center"/>
                </w:tcPr>
                <w:p w14:paraId="6086C5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6"/>
                      <w:sz w:val="21"/>
                      <w:szCs w:val="21"/>
                      <w:lang w:val="en-US" w:eastAsia="zh-CN"/>
                    </w:rPr>
                    <w:t>投料粉尘</w:t>
                  </w:r>
                </w:p>
              </w:tc>
              <w:tc>
                <w:tcPr>
                  <w:tcW w:w="4420" w:type="dxa"/>
                  <w:tcBorders>
                    <w:tl2br w:val="nil"/>
                    <w:tr2bl w:val="nil"/>
                  </w:tcBorders>
                  <w:noWrap w:val="0"/>
                  <w:vAlign w:val="center"/>
                </w:tcPr>
                <w:p w14:paraId="26CF09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pacing w:val="15"/>
                      <w:sz w:val="21"/>
                      <w:szCs w:val="21"/>
                      <w:lang w:val="en-US" w:eastAsia="zh-CN"/>
                    </w:rPr>
                    <w:t>布袋除尘器</w:t>
                  </w:r>
                </w:p>
              </w:tc>
              <w:tc>
                <w:tcPr>
                  <w:tcW w:w="1937" w:type="dxa"/>
                  <w:tcBorders>
                    <w:tl2br w:val="nil"/>
                    <w:tr2bl w:val="nil"/>
                  </w:tcBorders>
                  <w:noWrap w:val="0"/>
                  <w:vAlign w:val="center"/>
                </w:tcPr>
                <w:p w14:paraId="5CC0101A">
                  <w:pPr>
                    <w:spacing w:beforeLines="0" w:afterLine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000000"/>
                      <w:sz w:val="21"/>
                      <w:szCs w:val="21"/>
                      <w:lang w:val="en-US" w:eastAsia="zh-CN"/>
                    </w:rPr>
                    <w:t>15</w:t>
                  </w:r>
                </w:p>
              </w:tc>
            </w:tr>
            <w:tr w14:paraId="1EB359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543" w:type="dxa"/>
                  <w:vMerge w:val="continue"/>
                  <w:tcBorders>
                    <w:tl2br w:val="nil"/>
                    <w:tr2bl w:val="nil"/>
                  </w:tcBorders>
                  <w:noWrap w:val="0"/>
                  <w:vAlign w:val="center"/>
                </w:tcPr>
                <w:p w14:paraId="11B8C1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p>
              </w:tc>
              <w:tc>
                <w:tcPr>
                  <w:tcW w:w="539" w:type="dxa"/>
                  <w:vMerge w:val="continue"/>
                  <w:tcBorders>
                    <w:tl2br w:val="nil"/>
                    <w:tr2bl w:val="nil"/>
                  </w:tcBorders>
                  <w:noWrap w:val="0"/>
                  <w:textDirection w:val="tbRlV"/>
                  <w:vAlign w:val="center"/>
                </w:tcPr>
                <w:p w14:paraId="2A0F0A3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p>
              </w:tc>
              <w:tc>
                <w:tcPr>
                  <w:tcW w:w="1104" w:type="dxa"/>
                  <w:tcBorders>
                    <w:tl2br w:val="nil"/>
                    <w:tr2bl w:val="nil"/>
                  </w:tcBorders>
                  <w:noWrap w:val="0"/>
                  <w:vAlign w:val="center"/>
                </w:tcPr>
                <w:p w14:paraId="6E65E6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烘干</w:t>
                  </w:r>
                  <w:r>
                    <w:rPr>
                      <w:rFonts w:hint="default" w:ascii="Times New Roman" w:hAnsi="Times New Roman" w:cs="Times New Roman" w:eastAsiaTheme="minorEastAsia"/>
                      <w:sz w:val="21"/>
                      <w:szCs w:val="21"/>
                      <w:lang w:val="en-US" w:eastAsia="zh-CN"/>
                    </w:rPr>
                    <w:t>废气</w:t>
                  </w:r>
                </w:p>
              </w:tc>
              <w:tc>
                <w:tcPr>
                  <w:tcW w:w="4420" w:type="dxa"/>
                  <w:tcBorders>
                    <w:tl2br w:val="nil"/>
                    <w:tr2bl w:val="nil"/>
                  </w:tcBorders>
                  <w:noWrap w:val="0"/>
                  <w:vAlign w:val="center"/>
                </w:tcPr>
                <w:p w14:paraId="0DD3B5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pacing w:val="8"/>
                      <w:sz w:val="21"/>
                      <w:szCs w:val="21"/>
                      <w:lang w:val="en-US" w:eastAsia="zh-CN"/>
                    </w:rPr>
                    <w:t>活性炭吸附装置</w:t>
                  </w:r>
                </w:p>
              </w:tc>
              <w:tc>
                <w:tcPr>
                  <w:tcW w:w="1937" w:type="dxa"/>
                  <w:tcBorders>
                    <w:tl2br w:val="nil"/>
                    <w:tr2bl w:val="nil"/>
                  </w:tcBorders>
                  <w:noWrap w:val="0"/>
                  <w:vAlign w:val="center"/>
                </w:tcPr>
                <w:p w14:paraId="761D7FFA">
                  <w:pPr>
                    <w:spacing w:beforeLines="0" w:afterLine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000000"/>
                      <w:sz w:val="21"/>
                      <w:szCs w:val="21"/>
                      <w:lang w:val="en-US" w:eastAsia="zh-CN"/>
                    </w:rPr>
                    <w:t>12</w:t>
                  </w:r>
                </w:p>
              </w:tc>
            </w:tr>
            <w:tr w14:paraId="0512E0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543" w:type="dxa"/>
                  <w:vMerge w:val="continue"/>
                  <w:tcBorders>
                    <w:tl2br w:val="nil"/>
                    <w:tr2bl w:val="nil"/>
                  </w:tcBorders>
                  <w:noWrap w:val="0"/>
                  <w:vAlign w:val="center"/>
                </w:tcPr>
                <w:p w14:paraId="574AD3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p>
              </w:tc>
              <w:tc>
                <w:tcPr>
                  <w:tcW w:w="539" w:type="dxa"/>
                  <w:vMerge w:val="continue"/>
                  <w:tcBorders>
                    <w:tl2br w:val="nil"/>
                    <w:tr2bl w:val="nil"/>
                  </w:tcBorders>
                  <w:noWrap w:val="0"/>
                  <w:textDirection w:val="tbRlV"/>
                  <w:vAlign w:val="center"/>
                </w:tcPr>
                <w:p w14:paraId="6A1705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p>
              </w:tc>
              <w:tc>
                <w:tcPr>
                  <w:tcW w:w="1104" w:type="dxa"/>
                  <w:tcBorders>
                    <w:tl2br w:val="nil"/>
                    <w:tr2bl w:val="nil"/>
                  </w:tcBorders>
                  <w:noWrap w:val="0"/>
                  <w:vAlign w:val="center"/>
                </w:tcPr>
                <w:p w14:paraId="4D83FE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印刷胶钉</w:t>
                  </w:r>
                </w:p>
              </w:tc>
              <w:tc>
                <w:tcPr>
                  <w:tcW w:w="4420" w:type="dxa"/>
                  <w:tcBorders>
                    <w:tl2br w:val="nil"/>
                    <w:tr2bl w:val="nil"/>
                  </w:tcBorders>
                  <w:noWrap w:val="0"/>
                  <w:vAlign w:val="center"/>
                </w:tcPr>
                <w:p w14:paraId="47C64D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pacing w:val="8"/>
                      <w:sz w:val="21"/>
                      <w:szCs w:val="21"/>
                      <w:lang w:val="en-US" w:eastAsia="zh-CN"/>
                    </w:rPr>
                  </w:pPr>
                  <w:r>
                    <w:rPr>
                      <w:rFonts w:hint="default" w:ascii="Times New Roman" w:hAnsi="Times New Roman" w:cs="Times New Roman" w:eastAsiaTheme="minorEastAsia"/>
                      <w:spacing w:val="8"/>
                      <w:sz w:val="21"/>
                      <w:szCs w:val="21"/>
                      <w:lang w:val="en-US" w:eastAsia="zh-CN"/>
                    </w:rPr>
                    <w:t>活性炭吸附装置</w:t>
                  </w:r>
                </w:p>
              </w:tc>
              <w:tc>
                <w:tcPr>
                  <w:tcW w:w="1937" w:type="dxa"/>
                  <w:tcBorders>
                    <w:tl2br w:val="nil"/>
                    <w:tr2bl w:val="nil"/>
                  </w:tcBorders>
                  <w:noWrap w:val="0"/>
                  <w:vAlign w:val="center"/>
                </w:tcPr>
                <w:p w14:paraId="4392F01C">
                  <w:pPr>
                    <w:spacing w:beforeLines="0" w:afterLine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12</w:t>
                  </w:r>
                </w:p>
              </w:tc>
            </w:tr>
            <w:tr w14:paraId="181FF6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543" w:type="dxa"/>
                  <w:vMerge w:val="continue"/>
                  <w:tcBorders>
                    <w:tl2br w:val="nil"/>
                    <w:tr2bl w:val="nil"/>
                  </w:tcBorders>
                  <w:noWrap w:val="0"/>
                  <w:vAlign w:val="center"/>
                </w:tcPr>
                <w:p w14:paraId="7976C2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p>
              </w:tc>
              <w:tc>
                <w:tcPr>
                  <w:tcW w:w="539" w:type="dxa"/>
                  <w:vMerge w:val="continue"/>
                  <w:tcBorders>
                    <w:tl2br w:val="nil"/>
                    <w:tr2bl w:val="nil"/>
                  </w:tcBorders>
                  <w:noWrap w:val="0"/>
                  <w:textDirection w:val="tbRlV"/>
                  <w:vAlign w:val="center"/>
                </w:tcPr>
                <w:p w14:paraId="644DEC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p>
              </w:tc>
              <w:tc>
                <w:tcPr>
                  <w:tcW w:w="1104" w:type="dxa"/>
                  <w:tcBorders>
                    <w:tl2br w:val="nil"/>
                    <w:tr2bl w:val="nil"/>
                  </w:tcBorders>
                  <w:noWrap w:val="0"/>
                  <w:vAlign w:val="center"/>
                </w:tcPr>
                <w:p w14:paraId="093A0D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7"/>
                      <w:sz w:val="21"/>
                      <w:szCs w:val="21"/>
                    </w:rPr>
                    <w:t>污水处</w:t>
                  </w:r>
                  <w:r>
                    <w:rPr>
                      <w:rFonts w:hint="default" w:ascii="Times New Roman" w:hAnsi="Times New Roman" w:cs="Times New Roman" w:eastAsiaTheme="minorEastAsia"/>
                      <w:spacing w:val="6"/>
                      <w:sz w:val="21"/>
                      <w:szCs w:val="21"/>
                    </w:rPr>
                    <w:t>理</w:t>
                  </w:r>
                  <w:r>
                    <w:rPr>
                      <w:rFonts w:hint="default" w:ascii="Times New Roman" w:hAnsi="Times New Roman" w:cs="Times New Roman" w:eastAsiaTheme="minorEastAsia"/>
                      <w:spacing w:val="7"/>
                      <w:sz w:val="21"/>
                      <w:szCs w:val="21"/>
                    </w:rPr>
                    <w:t>站</w:t>
                  </w:r>
                  <w:r>
                    <w:rPr>
                      <w:rFonts w:hint="default" w:ascii="Times New Roman" w:hAnsi="Times New Roman" w:cs="Times New Roman" w:eastAsiaTheme="minorEastAsia"/>
                      <w:spacing w:val="6"/>
                      <w:sz w:val="21"/>
                      <w:szCs w:val="21"/>
                    </w:rPr>
                    <w:t>臭气</w:t>
                  </w:r>
                </w:p>
              </w:tc>
              <w:tc>
                <w:tcPr>
                  <w:tcW w:w="4420" w:type="dxa"/>
                  <w:tcBorders>
                    <w:tl2br w:val="nil"/>
                    <w:tr2bl w:val="nil"/>
                  </w:tcBorders>
                  <w:noWrap w:val="0"/>
                  <w:vAlign w:val="center"/>
                </w:tcPr>
                <w:p w14:paraId="4435E5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pacing w:val="9"/>
                      <w:sz w:val="21"/>
                      <w:szCs w:val="21"/>
                    </w:rPr>
                    <w:t>喷</w:t>
                  </w:r>
                  <w:r>
                    <w:rPr>
                      <w:rFonts w:hint="default" w:ascii="Times New Roman" w:hAnsi="Times New Roman" w:cs="Times New Roman" w:eastAsiaTheme="minorEastAsia"/>
                      <w:spacing w:val="8"/>
                      <w:sz w:val="21"/>
                      <w:szCs w:val="21"/>
                    </w:rPr>
                    <w:t>洒除臭剂</w:t>
                  </w:r>
                </w:p>
              </w:tc>
              <w:tc>
                <w:tcPr>
                  <w:tcW w:w="1937" w:type="dxa"/>
                  <w:tcBorders>
                    <w:tl2br w:val="nil"/>
                    <w:tr2bl w:val="nil"/>
                  </w:tcBorders>
                  <w:noWrap w:val="0"/>
                  <w:vAlign w:val="center"/>
                </w:tcPr>
                <w:p w14:paraId="0B233240">
                  <w:pPr>
                    <w:spacing w:beforeLines="0" w:afterLine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000000"/>
                      <w:sz w:val="21"/>
                      <w:szCs w:val="21"/>
                      <w:lang w:val="en-US" w:eastAsia="zh-CN"/>
                    </w:rPr>
                    <w:t>0.5</w:t>
                  </w:r>
                </w:p>
              </w:tc>
            </w:tr>
            <w:tr w14:paraId="652E3B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543" w:type="dxa"/>
                  <w:tcBorders>
                    <w:tl2br w:val="nil"/>
                    <w:tr2bl w:val="nil"/>
                  </w:tcBorders>
                  <w:noWrap w:val="0"/>
                  <w:vAlign w:val="center"/>
                </w:tcPr>
                <w:p w14:paraId="71545E9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643" w:type="dxa"/>
                  <w:gridSpan w:val="2"/>
                  <w:tcBorders>
                    <w:tl2br w:val="nil"/>
                    <w:tr2bl w:val="nil"/>
                  </w:tcBorders>
                  <w:noWrap w:val="0"/>
                  <w:vAlign w:val="center"/>
                </w:tcPr>
                <w:p w14:paraId="04FB8F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1"/>
                      <w:sz w:val="21"/>
                      <w:szCs w:val="21"/>
                    </w:rPr>
                    <w:t>噪</w:t>
                  </w:r>
                  <w:r>
                    <w:rPr>
                      <w:rFonts w:hint="default" w:ascii="Times New Roman" w:hAnsi="Times New Roman" w:cs="Times New Roman" w:eastAsiaTheme="minorEastAsia"/>
                      <w:sz w:val="21"/>
                      <w:szCs w:val="21"/>
                    </w:rPr>
                    <w:t>声</w:t>
                  </w:r>
                </w:p>
              </w:tc>
              <w:tc>
                <w:tcPr>
                  <w:tcW w:w="4420" w:type="dxa"/>
                  <w:tcBorders>
                    <w:tl2br w:val="nil"/>
                    <w:tr2bl w:val="nil"/>
                  </w:tcBorders>
                  <w:noWrap w:val="0"/>
                  <w:vAlign w:val="center"/>
                </w:tcPr>
                <w:p w14:paraId="6DC43B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17"/>
                      <w:sz w:val="21"/>
                      <w:szCs w:val="21"/>
                    </w:rPr>
                    <w:t>选</w:t>
                  </w:r>
                  <w:r>
                    <w:rPr>
                      <w:rFonts w:hint="default" w:ascii="Times New Roman" w:hAnsi="Times New Roman" w:cs="Times New Roman" w:eastAsiaTheme="minorEastAsia"/>
                      <w:spacing w:val="9"/>
                      <w:sz w:val="21"/>
                      <w:szCs w:val="21"/>
                    </w:rPr>
                    <w:t>用低噪声设备隔声、消声、减震处理</w:t>
                  </w:r>
                </w:p>
              </w:tc>
              <w:tc>
                <w:tcPr>
                  <w:tcW w:w="1937" w:type="dxa"/>
                  <w:tcBorders>
                    <w:tl2br w:val="nil"/>
                    <w:tr2bl w:val="nil"/>
                  </w:tcBorders>
                  <w:noWrap w:val="0"/>
                  <w:vAlign w:val="center"/>
                </w:tcPr>
                <w:p w14:paraId="500C6776">
                  <w:pPr>
                    <w:spacing w:beforeLines="0" w:afterLine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000000"/>
                      <w:sz w:val="21"/>
                      <w:szCs w:val="21"/>
                      <w:lang w:val="en-US" w:eastAsia="zh-CN"/>
                    </w:rPr>
                    <w:t>6.5</w:t>
                  </w:r>
                </w:p>
              </w:tc>
            </w:tr>
            <w:tr w14:paraId="5E71A3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543" w:type="dxa"/>
                  <w:tcBorders>
                    <w:tl2br w:val="nil"/>
                    <w:tr2bl w:val="nil"/>
                  </w:tcBorders>
                  <w:noWrap w:val="0"/>
                  <w:vAlign w:val="center"/>
                </w:tcPr>
                <w:p w14:paraId="22D7C4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eastAsiaTheme="minorEastAsia"/>
                      <w:spacing w:val="1"/>
                      <w:sz w:val="21"/>
                      <w:szCs w:val="21"/>
                    </w:rPr>
                  </w:pPr>
                  <w:r>
                    <w:rPr>
                      <w:rFonts w:hint="default" w:ascii="Times New Roman" w:hAnsi="Times New Roman" w:cs="Times New Roman" w:eastAsiaTheme="minorEastAsia"/>
                      <w:spacing w:val="1"/>
                      <w:sz w:val="21"/>
                      <w:szCs w:val="21"/>
                    </w:rPr>
                    <w:t>4</w:t>
                  </w:r>
                </w:p>
              </w:tc>
              <w:tc>
                <w:tcPr>
                  <w:tcW w:w="1643" w:type="dxa"/>
                  <w:gridSpan w:val="2"/>
                  <w:tcBorders>
                    <w:tl2br w:val="nil"/>
                    <w:tr2bl w:val="nil"/>
                  </w:tcBorders>
                  <w:noWrap w:val="0"/>
                  <w:vAlign w:val="center"/>
                </w:tcPr>
                <w:p w14:paraId="1B61B5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eastAsiaTheme="minorEastAsia"/>
                      <w:spacing w:val="3"/>
                      <w:sz w:val="21"/>
                      <w:szCs w:val="21"/>
                    </w:rPr>
                  </w:pPr>
                  <w:r>
                    <w:rPr>
                      <w:rFonts w:hint="default" w:ascii="Times New Roman" w:hAnsi="Times New Roman" w:cs="Times New Roman" w:eastAsiaTheme="minorEastAsia"/>
                      <w:spacing w:val="3"/>
                      <w:sz w:val="21"/>
                      <w:szCs w:val="21"/>
                    </w:rPr>
                    <w:t>固体废</w:t>
                  </w:r>
                  <w:r>
                    <w:rPr>
                      <w:rFonts w:hint="default" w:ascii="Times New Roman" w:hAnsi="Times New Roman" w:cs="Times New Roman" w:eastAsiaTheme="minorEastAsia"/>
                      <w:spacing w:val="2"/>
                      <w:sz w:val="21"/>
                      <w:szCs w:val="21"/>
                    </w:rPr>
                    <w:t>物</w:t>
                  </w:r>
                </w:p>
              </w:tc>
              <w:tc>
                <w:tcPr>
                  <w:tcW w:w="4420" w:type="dxa"/>
                  <w:tcBorders>
                    <w:tl2br w:val="nil"/>
                    <w:tr2bl w:val="nil"/>
                  </w:tcBorders>
                  <w:noWrap w:val="0"/>
                  <w:vAlign w:val="center"/>
                </w:tcPr>
                <w:p w14:paraId="56E26D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eastAsiaTheme="minorEastAsia"/>
                      <w:spacing w:val="8"/>
                      <w:sz w:val="21"/>
                      <w:szCs w:val="21"/>
                    </w:rPr>
                  </w:pPr>
                  <w:r>
                    <w:rPr>
                      <w:rFonts w:hint="default" w:ascii="Times New Roman" w:hAnsi="Times New Roman" w:cs="Times New Roman" w:eastAsiaTheme="minorEastAsia"/>
                      <w:spacing w:val="8"/>
                      <w:sz w:val="21"/>
                      <w:szCs w:val="21"/>
                    </w:rPr>
                    <w:t>危险废物暂存间</w:t>
                  </w:r>
                </w:p>
              </w:tc>
              <w:tc>
                <w:tcPr>
                  <w:tcW w:w="1937" w:type="dxa"/>
                  <w:tcBorders>
                    <w:tl2br w:val="nil"/>
                    <w:tr2bl w:val="nil"/>
                  </w:tcBorders>
                  <w:noWrap w:val="0"/>
                  <w:vAlign w:val="center"/>
                </w:tcPr>
                <w:p w14:paraId="2BB4C04C">
                  <w:pPr>
                    <w:spacing w:beforeLines="0" w:afterLine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2.8</w:t>
                  </w:r>
                </w:p>
              </w:tc>
            </w:tr>
            <w:tr w14:paraId="227F35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543" w:type="dxa"/>
                  <w:tcBorders>
                    <w:tl2br w:val="nil"/>
                    <w:tr2bl w:val="nil"/>
                  </w:tcBorders>
                  <w:noWrap w:val="0"/>
                  <w:vAlign w:val="center"/>
                </w:tcPr>
                <w:p w14:paraId="7708C6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pacing w:val="1"/>
                      <w:sz w:val="21"/>
                      <w:szCs w:val="21"/>
                      <w:lang w:val="en-US" w:eastAsia="zh-CN"/>
                    </w:rPr>
                    <w:t>5</w:t>
                  </w:r>
                </w:p>
              </w:tc>
              <w:tc>
                <w:tcPr>
                  <w:tcW w:w="1643" w:type="dxa"/>
                  <w:gridSpan w:val="2"/>
                  <w:tcBorders>
                    <w:tl2br w:val="nil"/>
                    <w:tr2bl w:val="nil"/>
                  </w:tcBorders>
                  <w:noWrap w:val="0"/>
                  <w:vAlign w:val="center"/>
                </w:tcPr>
                <w:p w14:paraId="52EC71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pacing w:val="3"/>
                      <w:sz w:val="21"/>
                      <w:szCs w:val="21"/>
                      <w:lang w:val="en-US" w:eastAsia="zh-CN"/>
                    </w:rPr>
                    <w:t>土壤、地下水</w:t>
                  </w:r>
                </w:p>
              </w:tc>
              <w:tc>
                <w:tcPr>
                  <w:tcW w:w="4420" w:type="dxa"/>
                  <w:tcBorders>
                    <w:tl2br w:val="nil"/>
                    <w:tr2bl w:val="nil"/>
                  </w:tcBorders>
                  <w:noWrap w:val="0"/>
                  <w:vAlign w:val="center"/>
                </w:tcPr>
                <w:p w14:paraId="7A8074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pacing w:val="8"/>
                      <w:sz w:val="21"/>
                      <w:szCs w:val="21"/>
                      <w:lang w:val="en-US" w:eastAsia="zh-CN"/>
                    </w:rPr>
                    <w:t>防渗</w:t>
                  </w:r>
                </w:p>
              </w:tc>
              <w:tc>
                <w:tcPr>
                  <w:tcW w:w="1937" w:type="dxa"/>
                  <w:tcBorders>
                    <w:tl2br w:val="nil"/>
                    <w:tr2bl w:val="nil"/>
                  </w:tcBorders>
                  <w:noWrap w:val="0"/>
                  <w:vAlign w:val="center"/>
                </w:tcPr>
                <w:p w14:paraId="3F204FDC">
                  <w:pPr>
                    <w:spacing w:beforeLines="0" w:afterLine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000000"/>
                      <w:sz w:val="21"/>
                      <w:szCs w:val="21"/>
                      <w:lang w:val="en-US" w:eastAsia="zh-CN"/>
                    </w:rPr>
                    <w:t>8.6</w:t>
                  </w:r>
                </w:p>
              </w:tc>
            </w:tr>
            <w:tr w14:paraId="49628B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6606" w:type="dxa"/>
                  <w:gridSpan w:val="4"/>
                  <w:tcBorders>
                    <w:tl2br w:val="nil"/>
                    <w:tr2bl w:val="nil"/>
                  </w:tcBorders>
                  <w:noWrap w:val="0"/>
                  <w:vAlign w:val="center"/>
                </w:tcPr>
                <w:p w14:paraId="5775AE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8"/>
                      <w:sz w:val="21"/>
                      <w:szCs w:val="21"/>
                    </w:rPr>
                    <w:t>环保总投资</w:t>
                  </w:r>
                </w:p>
              </w:tc>
              <w:tc>
                <w:tcPr>
                  <w:tcW w:w="1937" w:type="dxa"/>
                  <w:tcBorders>
                    <w:tl2br w:val="nil"/>
                    <w:tr2bl w:val="nil"/>
                  </w:tcBorders>
                  <w:noWrap w:val="0"/>
                  <w:vAlign w:val="center"/>
                </w:tcPr>
                <w:p w14:paraId="3D756B9E">
                  <w:pPr>
                    <w:spacing w:beforeLines="0" w:afterLine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000000"/>
                      <w:sz w:val="21"/>
                      <w:szCs w:val="21"/>
                      <w:lang w:val="en-US" w:eastAsia="zh-CN"/>
                    </w:rPr>
                    <w:t>69.4</w:t>
                  </w:r>
                </w:p>
              </w:tc>
            </w:tr>
          </w:tbl>
          <w:p w14:paraId="7DCE50F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sz w:val="32"/>
                <w:szCs w:val="32"/>
                <w:lang w:val="en-US" w:eastAsia="zh-CN"/>
              </w:rPr>
            </w:pPr>
          </w:p>
          <w:p w14:paraId="4907E6E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sz w:val="32"/>
                <w:szCs w:val="32"/>
                <w:lang w:val="en-US" w:eastAsia="zh-CN"/>
              </w:rPr>
            </w:pPr>
          </w:p>
          <w:p w14:paraId="5F664DD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sz w:val="32"/>
                <w:szCs w:val="32"/>
                <w:lang w:val="en-US" w:eastAsia="zh-CN"/>
              </w:rPr>
            </w:pPr>
          </w:p>
          <w:p w14:paraId="6E9E327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sz w:val="32"/>
                <w:szCs w:val="32"/>
                <w:lang w:val="en-US" w:eastAsia="zh-CN"/>
              </w:rPr>
            </w:pPr>
          </w:p>
          <w:p w14:paraId="37B0AE8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sz w:val="32"/>
                <w:szCs w:val="32"/>
                <w:lang w:val="en-US" w:eastAsia="zh-CN"/>
              </w:rPr>
            </w:pPr>
          </w:p>
          <w:p w14:paraId="6CFB055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sz w:val="32"/>
                <w:szCs w:val="32"/>
                <w:lang w:val="en-US" w:eastAsia="zh-CN"/>
              </w:rPr>
            </w:pPr>
          </w:p>
          <w:p w14:paraId="2A76EBF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sz w:val="32"/>
                <w:szCs w:val="32"/>
                <w:lang w:val="en-US" w:eastAsia="zh-CN"/>
              </w:rPr>
            </w:pPr>
          </w:p>
          <w:p w14:paraId="26A90AD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sz w:val="32"/>
                <w:szCs w:val="32"/>
                <w:lang w:val="en-US" w:eastAsia="zh-CN"/>
              </w:rPr>
            </w:pPr>
            <w:r>
              <w:rPr>
                <w:rFonts w:hint="eastAsia"/>
                <w:color w:val="auto"/>
                <w:sz w:val="32"/>
                <w:szCs w:val="32"/>
                <w:lang w:val="en-US" w:eastAsia="zh-CN"/>
              </w:rPr>
              <w:t xml:space="preserve"> </w:t>
            </w:r>
          </w:p>
          <w:p w14:paraId="415742A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sz w:val="32"/>
                <w:szCs w:val="32"/>
                <w:lang w:val="en-US" w:eastAsia="zh-CN"/>
              </w:rPr>
            </w:pPr>
          </w:p>
          <w:p w14:paraId="2760322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sz w:val="32"/>
                <w:szCs w:val="32"/>
                <w:lang w:val="en-US" w:eastAsia="zh-CN"/>
              </w:rPr>
            </w:pPr>
          </w:p>
          <w:p w14:paraId="69BCE0E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sz w:val="32"/>
                <w:szCs w:val="32"/>
                <w:lang w:val="en-US" w:eastAsia="zh-CN"/>
              </w:rPr>
            </w:pPr>
          </w:p>
          <w:p w14:paraId="18B8FEA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lang w:val="en-US" w:eastAsia="zh-CN"/>
              </w:rPr>
            </w:pPr>
            <w:r>
              <w:rPr>
                <w:rFonts w:hint="eastAsia"/>
                <w:color w:val="auto"/>
                <w:sz w:val="32"/>
                <w:szCs w:val="32"/>
                <w:lang w:val="en-US" w:eastAsia="zh-CN"/>
              </w:rPr>
              <w:t xml:space="preserve"> </w:t>
            </w:r>
          </w:p>
        </w:tc>
      </w:tr>
    </w:tbl>
    <w:p w14:paraId="4EB1D29B">
      <w:pPr>
        <w:pStyle w:val="30"/>
        <w:jc w:val="center"/>
        <w:outlineLvl w:val="0"/>
        <w:rPr>
          <w:rFonts w:hint="eastAsia" w:ascii="黑体" w:hAnsi="黑体" w:eastAsia="黑体"/>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07D373D">
      <w:pPr>
        <w:pStyle w:val="3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9" w:name="_Hlk54167917"/>
      <w:r>
        <w:rPr>
          <w:rFonts w:hint="eastAsia" w:ascii="黑体" w:hAnsi="黑体" w:eastAsia="黑体"/>
          <w:snapToGrid w:val="0"/>
          <w:color w:val="auto"/>
          <w:sz w:val="30"/>
          <w:szCs w:val="30"/>
        </w:rPr>
        <w:t>环境保护措施监督检查清单</w:t>
      </w:r>
      <w:bookmarkEnd w:id="9"/>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601"/>
        <w:gridCol w:w="1911"/>
      </w:tblGrid>
      <w:tr w14:paraId="718E67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14:paraId="41C64AE4">
            <w:pPr>
              <w:keepNext w:val="0"/>
              <w:keepLines w:val="0"/>
              <w:suppressLineNumbers w:val="0"/>
              <w:adjustRightInd w:val="0"/>
              <w:snapToGrid w:val="0"/>
              <w:spacing w:before="0" w:beforeAutospacing="0" w:after="0" w:afterAutospacing="0"/>
              <w:ind w:left="0" w:right="0" w:firstLine="840"/>
              <w:rPr>
                <w:rFonts w:hint="eastAsia" w:ascii="宋体" w:hAnsi="宋体" w:cs="宋体"/>
                <w:color w:val="auto"/>
                <w:sz w:val="21"/>
                <w:szCs w:val="21"/>
              </w:rPr>
            </w:pPr>
            <w:r>
              <w:rPr>
                <w:rFonts w:hint="eastAsia" w:ascii="宋体" w:hAnsi="宋体" w:cs="宋体"/>
                <w:color w:val="auto"/>
                <w:sz w:val="21"/>
                <w:szCs w:val="21"/>
              </w:rPr>
              <w:t>内容</w:t>
            </w:r>
          </w:p>
          <w:p w14:paraId="0D7E9934">
            <w:pPr>
              <w:keepNext w:val="0"/>
              <w:keepLines w:val="0"/>
              <w:suppressLineNumbers w:val="0"/>
              <w:adjustRightInd w:val="0"/>
              <w:snapToGrid w:val="0"/>
              <w:spacing w:before="0" w:beforeAutospacing="0" w:after="0" w:afterAutospacing="0"/>
              <w:ind w:left="0" w:right="0"/>
              <w:rPr>
                <w:rFonts w:hint="eastAsia" w:ascii="宋体" w:hAnsi="宋体" w:cs="宋体"/>
                <w:color w:val="auto"/>
                <w:sz w:val="21"/>
                <w:szCs w:val="21"/>
              </w:rPr>
            </w:pPr>
            <w:r>
              <w:rPr>
                <w:rFonts w:hint="eastAsia" w:ascii="宋体" w:hAnsi="宋体" w:cs="宋体"/>
                <w:color w:val="auto"/>
                <w:sz w:val="21"/>
                <w:szCs w:val="21"/>
              </w:rPr>
              <w:t>要素</w:t>
            </w:r>
          </w:p>
        </w:tc>
        <w:tc>
          <w:tcPr>
            <w:tcW w:w="1755" w:type="dxa"/>
            <w:noWrap w:val="0"/>
            <w:vAlign w:val="center"/>
          </w:tcPr>
          <w:p w14:paraId="4DB21996">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r>
              <w:rPr>
                <w:rFonts w:hint="eastAsia" w:ascii="宋体" w:hAnsi="宋体" w:cs="宋体"/>
                <w:color w:val="auto"/>
                <w:sz w:val="21"/>
                <w:szCs w:val="21"/>
              </w:rPr>
              <w:t>排放口</w:t>
            </w:r>
            <w:r>
              <w:rPr>
                <w:rFonts w:hint="eastAsia" w:ascii="宋体" w:hAnsi="宋体" w:cs="宋体"/>
                <w:color w:val="auto"/>
                <w:sz w:val="21"/>
                <w:szCs w:val="21"/>
                <w:lang w:eastAsia="zh-CN"/>
              </w:rPr>
              <w:t>（</w:t>
            </w:r>
            <w:r>
              <w:rPr>
                <w:rFonts w:hint="eastAsia" w:ascii="宋体" w:hAnsi="宋体" w:cs="宋体"/>
                <w:color w:val="auto"/>
                <w:sz w:val="21"/>
                <w:szCs w:val="21"/>
              </w:rPr>
              <w:t>编号、</w:t>
            </w:r>
          </w:p>
          <w:p w14:paraId="6290FA30">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r>
              <w:rPr>
                <w:rFonts w:hint="eastAsia" w:ascii="宋体" w:hAnsi="宋体" w:cs="宋体"/>
                <w:color w:val="auto"/>
                <w:sz w:val="21"/>
                <w:szCs w:val="21"/>
              </w:rPr>
              <w:t>名称</w:t>
            </w:r>
            <w:r>
              <w:rPr>
                <w:rFonts w:hint="eastAsia" w:ascii="宋体" w:hAnsi="宋体" w:cs="宋体"/>
                <w:color w:val="auto"/>
                <w:sz w:val="21"/>
                <w:szCs w:val="21"/>
                <w:lang w:eastAsia="zh-CN"/>
              </w:rPr>
              <w:t>）</w:t>
            </w:r>
            <w:r>
              <w:rPr>
                <w:rFonts w:hint="eastAsia" w:ascii="宋体" w:hAnsi="宋体" w:cs="宋体"/>
                <w:color w:val="auto"/>
                <w:sz w:val="21"/>
                <w:szCs w:val="21"/>
              </w:rPr>
              <w:t>/污染源</w:t>
            </w:r>
          </w:p>
        </w:tc>
        <w:tc>
          <w:tcPr>
            <w:tcW w:w="1755" w:type="dxa"/>
            <w:noWrap w:val="0"/>
            <w:vAlign w:val="center"/>
          </w:tcPr>
          <w:p w14:paraId="37530B97">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r>
              <w:rPr>
                <w:rFonts w:hint="eastAsia" w:ascii="宋体" w:hAnsi="宋体" w:cs="宋体"/>
                <w:color w:val="auto"/>
                <w:sz w:val="21"/>
                <w:szCs w:val="21"/>
              </w:rPr>
              <w:t>污染物项目</w:t>
            </w:r>
          </w:p>
        </w:tc>
        <w:tc>
          <w:tcPr>
            <w:tcW w:w="1601" w:type="dxa"/>
            <w:noWrap w:val="0"/>
            <w:vAlign w:val="center"/>
          </w:tcPr>
          <w:p w14:paraId="2D226B85">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r>
              <w:rPr>
                <w:rFonts w:hint="eastAsia" w:ascii="宋体" w:hAnsi="宋体" w:cs="宋体"/>
                <w:color w:val="auto"/>
                <w:sz w:val="21"/>
                <w:szCs w:val="21"/>
              </w:rPr>
              <w:t>环境保护措施</w:t>
            </w:r>
          </w:p>
        </w:tc>
        <w:tc>
          <w:tcPr>
            <w:tcW w:w="1911" w:type="dxa"/>
            <w:noWrap w:val="0"/>
            <w:vAlign w:val="center"/>
          </w:tcPr>
          <w:p w14:paraId="46FDE273">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r>
              <w:rPr>
                <w:rFonts w:hint="eastAsia" w:ascii="宋体" w:hAnsi="宋体" w:cs="宋体"/>
                <w:color w:val="auto"/>
                <w:sz w:val="21"/>
                <w:szCs w:val="21"/>
              </w:rPr>
              <w:t>执行标准</w:t>
            </w:r>
          </w:p>
        </w:tc>
      </w:tr>
      <w:tr w14:paraId="47FBA7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restart"/>
            <w:noWrap w:val="0"/>
            <w:vAlign w:val="center"/>
          </w:tcPr>
          <w:p w14:paraId="7C5CCC52">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r>
              <w:rPr>
                <w:rFonts w:hint="eastAsia" w:ascii="宋体" w:hAnsi="宋体" w:cs="宋体"/>
                <w:color w:val="auto"/>
                <w:sz w:val="21"/>
                <w:szCs w:val="21"/>
              </w:rPr>
              <w:t>大气环境</w:t>
            </w:r>
          </w:p>
        </w:tc>
        <w:tc>
          <w:tcPr>
            <w:tcW w:w="1755" w:type="dxa"/>
            <w:noWrap w:val="0"/>
            <w:vAlign w:val="center"/>
          </w:tcPr>
          <w:p w14:paraId="100A3F23">
            <w:pPr>
              <w:keepNext w:val="0"/>
              <w:keepLines w:val="0"/>
              <w:suppressLineNumbers w:val="0"/>
              <w:adjustRightInd w:val="0"/>
              <w:snapToGrid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DA001</w:t>
            </w:r>
          </w:p>
        </w:tc>
        <w:tc>
          <w:tcPr>
            <w:tcW w:w="1755" w:type="dxa"/>
            <w:noWrap w:val="0"/>
            <w:vAlign w:val="center"/>
          </w:tcPr>
          <w:p w14:paraId="78BFEE83">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颗粒物</w:t>
            </w:r>
          </w:p>
        </w:tc>
        <w:tc>
          <w:tcPr>
            <w:tcW w:w="1601" w:type="dxa"/>
            <w:noWrap w:val="0"/>
            <w:vAlign w:val="center"/>
          </w:tcPr>
          <w:p w14:paraId="0A1273BC">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sz w:val="21"/>
                <w:szCs w:val="21"/>
                <w:highlight w:val="none"/>
                <w:lang w:val="en-US" w:eastAsia="zh-CN"/>
              </w:rPr>
            </w:pPr>
            <w:r>
              <w:rPr>
                <w:rFonts w:hint="eastAsia" w:cs="Times New Roman"/>
                <w:i w:val="0"/>
                <w:color w:val="auto"/>
                <w:kern w:val="0"/>
                <w:sz w:val="21"/>
                <w:szCs w:val="21"/>
                <w:highlight w:val="none"/>
                <w:u w:val="none"/>
                <w:lang w:val="en-US" w:eastAsia="zh-CN" w:bidi="ar"/>
              </w:rPr>
              <w:t>布袋除尘器</w:t>
            </w:r>
          </w:p>
        </w:tc>
        <w:tc>
          <w:tcPr>
            <w:tcW w:w="1911" w:type="dxa"/>
            <w:noWrap w:val="0"/>
            <w:vAlign w:val="center"/>
          </w:tcPr>
          <w:p w14:paraId="238FF8A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bCs/>
                <w:color w:val="000000"/>
                <w:sz w:val="21"/>
                <w:szCs w:val="21"/>
              </w:rPr>
              <w:t>《区域性大气污染物综合排放标准》（DB37/2376-2019）表1</w:t>
            </w:r>
            <w:r>
              <w:rPr>
                <w:rFonts w:hint="eastAsia" w:ascii="Times New Roman" w:hAnsi="Times New Roman" w:cs="Times New Roman"/>
                <w:bCs/>
                <w:color w:val="000000"/>
                <w:sz w:val="21"/>
                <w:szCs w:val="21"/>
                <w:lang w:val="en-US" w:eastAsia="zh-CN"/>
              </w:rPr>
              <w:t>一般</w:t>
            </w:r>
            <w:r>
              <w:rPr>
                <w:rFonts w:hint="default" w:ascii="Times New Roman" w:hAnsi="Times New Roman" w:cs="Times New Roman"/>
                <w:bCs/>
                <w:color w:val="000000"/>
                <w:sz w:val="21"/>
                <w:szCs w:val="21"/>
              </w:rPr>
              <w:t>控制区大气污染物排放浓度限值以及《大气污染物综合排放标准》（GB16297-1996）表2标准</w:t>
            </w:r>
          </w:p>
        </w:tc>
      </w:tr>
      <w:tr w14:paraId="05AB0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14:paraId="39DA0B37">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p>
        </w:tc>
        <w:tc>
          <w:tcPr>
            <w:tcW w:w="1755" w:type="dxa"/>
            <w:noWrap w:val="0"/>
            <w:vAlign w:val="center"/>
          </w:tcPr>
          <w:p w14:paraId="12E55F7E">
            <w:pPr>
              <w:keepNext w:val="0"/>
              <w:keepLines w:val="0"/>
              <w:suppressLineNumbers w:val="0"/>
              <w:adjustRightInd w:val="0"/>
              <w:snapToGrid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DA002</w:t>
            </w:r>
          </w:p>
        </w:tc>
        <w:tc>
          <w:tcPr>
            <w:tcW w:w="1755" w:type="dxa"/>
            <w:noWrap w:val="0"/>
            <w:vAlign w:val="center"/>
          </w:tcPr>
          <w:p w14:paraId="738B3129">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VOCs</w:t>
            </w:r>
          </w:p>
        </w:tc>
        <w:tc>
          <w:tcPr>
            <w:tcW w:w="1601" w:type="dxa"/>
            <w:noWrap w:val="0"/>
            <w:vAlign w:val="center"/>
          </w:tcPr>
          <w:p w14:paraId="20A45438">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sz w:val="21"/>
                <w:szCs w:val="21"/>
                <w:highlight w:val="none"/>
                <w:lang w:val="en-US" w:eastAsia="zh-CN"/>
              </w:rPr>
            </w:pPr>
            <w:r>
              <w:rPr>
                <w:rFonts w:hint="eastAsia" w:cs="Times New Roman"/>
                <w:i w:val="0"/>
                <w:color w:val="auto"/>
                <w:kern w:val="0"/>
                <w:sz w:val="21"/>
                <w:szCs w:val="21"/>
                <w:highlight w:val="none"/>
                <w:u w:val="none"/>
                <w:lang w:val="en-US" w:eastAsia="zh-CN" w:bidi="ar"/>
              </w:rPr>
              <w:t>二级活性炭吸附</w:t>
            </w:r>
          </w:p>
        </w:tc>
        <w:tc>
          <w:tcPr>
            <w:tcW w:w="1911" w:type="dxa"/>
            <w:noWrap w:val="0"/>
            <w:vAlign w:val="center"/>
          </w:tcPr>
          <w:p w14:paraId="3B43EA1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eastAsia"/>
                <w:sz w:val="21"/>
                <w:szCs w:val="21"/>
                <w:lang w:eastAsia="zh-CN"/>
              </w:rPr>
              <w:t>《挥发性有机物排放标准 第4部分：印刷业》（DB37/2801.</w:t>
            </w:r>
            <w:r>
              <w:rPr>
                <w:rFonts w:hint="eastAsia"/>
                <w:sz w:val="21"/>
                <w:szCs w:val="21"/>
                <w:lang w:val="en-US" w:eastAsia="zh-CN"/>
              </w:rPr>
              <w:t>4</w:t>
            </w:r>
            <w:r>
              <w:rPr>
                <w:rFonts w:hint="eastAsia"/>
                <w:sz w:val="21"/>
                <w:szCs w:val="21"/>
                <w:lang w:eastAsia="zh-CN"/>
              </w:rPr>
              <w:t>-201</w:t>
            </w:r>
            <w:r>
              <w:rPr>
                <w:rFonts w:hint="eastAsia"/>
                <w:sz w:val="21"/>
                <w:szCs w:val="21"/>
                <w:lang w:val="en-US" w:eastAsia="zh-CN"/>
              </w:rPr>
              <w:t>7</w:t>
            </w:r>
            <w:r>
              <w:rPr>
                <w:rFonts w:hint="eastAsia"/>
                <w:sz w:val="21"/>
                <w:szCs w:val="21"/>
                <w:lang w:eastAsia="zh-CN"/>
              </w:rPr>
              <w:t>）</w:t>
            </w:r>
            <w:r>
              <w:rPr>
                <w:rFonts w:hint="default" w:ascii="Times New Roman" w:hAnsi="Times New Roman" w:cs="Times New Roman"/>
                <w:color w:val="auto"/>
                <w:sz w:val="21"/>
                <w:szCs w:val="21"/>
              </w:rPr>
              <w:t>表</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标准</w:t>
            </w:r>
          </w:p>
        </w:tc>
      </w:tr>
      <w:tr w14:paraId="69526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14:paraId="551258EC">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p>
        </w:tc>
        <w:tc>
          <w:tcPr>
            <w:tcW w:w="1755" w:type="dxa"/>
            <w:vMerge w:val="restart"/>
            <w:noWrap w:val="0"/>
            <w:vAlign w:val="center"/>
          </w:tcPr>
          <w:p w14:paraId="52C1B2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kern w:val="2"/>
                <w:sz w:val="21"/>
                <w:szCs w:val="21"/>
                <w:lang w:val="en-US" w:eastAsia="zh-CN" w:bidi="ar-SA"/>
              </w:rPr>
            </w:pPr>
            <w:r>
              <w:rPr>
                <w:rFonts w:hint="eastAsia" w:cs="Times New Roman"/>
                <w:sz w:val="21"/>
                <w:szCs w:val="21"/>
                <w:lang w:val="en-US" w:eastAsia="zh-CN"/>
              </w:rPr>
              <w:t>面源M1</w:t>
            </w:r>
          </w:p>
        </w:tc>
        <w:tc>
          <w:tcPr>
            <w:tcW w:w="1755" w:type="dxa"/>
            <w:noWrap w:val="0"/>
            <w:vAlign w:val="center"/>
          </w:tcPr>
          <w:p w14:paraId="12B21FE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宋体"/>
                <w:color w:val="auto"/>
                <w:kern w:val="2"/>
                <w:sz w:val="21"/>
                <w:szCs w:val="21"/>
                <w:lang w:val="en-US" w:eastAsia="zh-CN" w:bidi="ar-SA"/>
              </w:rPr>
            </w:pPr>
            <w:r>
              <w:rPr>
                <w:rFonts w:hint="eastAsia" w:cs="Times New Roman"/>
                <w:i w:val="0"/>
                <w:color w:val="auto"/>
                <w:kern w:val="0"/>
                <w:sz w:val="18"/>
                <w:szCs w:val="18"/>
                <w:highlight w:val="none"/>
                <w:u w:val="none"/>
                <w:lang w:val="en-US" w:eastAsia="zh-CN" w:bidi="ar"/>
              </w:rPr>
              <w:t>颗粒物</w:t>
            </w:r>
          </w:p>
        </w:tc>
        <w:tc>
          <w:tcPr>
            <w:tcW w:w="1601" w:type="dxa"/>
            <w:vMerge w:val="restart"/>
            <w:noWrap w:val="0"/>
            <w:vAlign w:val="center"/>
          </w:tcPr>
          <w:p w14:paraId="79A320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kern w:val="2"/>
                <w:sz w:val="21"/>
                <w:szCs w:val="21"/>
                <w:lang w:val="en-US" w:eastAsia="zh-CN" w:bidi="ar-SA"/>
              </w:rPr>
            </w:pPr>
            <w:r>
              <w:rPr>
                <w:rFonts w:hint="eastAsia" w:cs="Times New Roman"/>
                <w:color w:val="auto"/>
                <w:sz w:val="21"/>
                <w:szCs w:val="21"/>
                <w:highlight w:val="none"/>
                <w:lang w:val="en-US" w:eastAsia="zh-CN"/>
              </w:rPr>
              <w:t>车间密闭</w:t>
            </w:r>
          </w:p>
        </w:tc>
        <w:tc>
          <w:tcPr>
            <w:tcW w:w="1911" w:type="dxa"/>
            <w:noWrap w:val="0"/>
            <w:vAlign w:val="center"/>
          </w:tcPr>
          <w:p w14:paraId="6450307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宋体"/>
                <w:color w:val="auto"/>
                <w:kern w:val="2"/>
                <w:sz w:val="21"/>
                <w:szCs w:val="21"/>
                <w:lang w:val="en-US" w:eastAsia="zh-CN" w:bidi="ar-SA"/>
              </w:rPr>
            </w:pPr>
            <w:r>
              <w:rPr>
                <w:rFonts w:hint="default" w:ascii="Times New Roman" w:hAnsi="Times New Roman" w:eastAsia="宋体" w:cs="Times New Roman"/>
                <w:color w:val="auto"/>
                <w:sz w:val="21"/>
                <w:szCs w:val="21"/>
              </w:rPr>
              <w:t>《大气污染物综合排放标准》（GB16297-1996）中表2无组织排放监控浓度限值</w:t>
            </w:r>
          </w:p>
        </w:tc>
      </w:tr>
      <w:tr w14:paraId="73120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14:paraId="372C66F7">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p>
        </w:tc>
        <w:tc>
          <w:tcPr>
            <w:tcW w:w="1755" w:type="dxa"/>
            <w:vMerge w:val="continue"/>
            <w:noWrap w:val="0"/>
            <w:vAlign w:val="center"/>
          </w:tcPr>
          <w:p w14:paraId="5173FD4C">
            <w:pPr>
              <w:keepNext w:val="0"/>
              <w:keepLines w:val="0"/>
              <w:suppressLineNumbers w:val="0"/>
              <w:adjustRightInd w:val="0"/>
              <w:snapToGrid w:val="0"/>
              <w:spacing w:before="0" w:beforeAutospacing="0" w:after="0" w:afterAutospacing="0"/>
              <w:ind w:left="0" w:right="0"/>
              <w:jc w:val="center"/>
              <w:rPr>
                <w:rFonts w:hint="eastAsia" w:cs="Times New Roman"/>
                <w:sz w:val="21"/>
                <w:szCs w:val="21"/>
                <w:lang w:val="en-US" w:eastAsia="zh-CN"/>
              </w:rPr>
            </w:pPr>
          </w:p>
        </w:tc>
        <w:tc>
          <w:tcPr>
            <w:tcW w:w="1755" w:type="dxa"/>
            <w:noWrap w:val="0"/>
            <w:vAlign w:val="center"/>
          </w:tcPr>
          <w:p w14:paraId="7E383D2F">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color w:val="auto"/>
                <w:kern w:val="0"/>
                <w:sz w:val="21"/>
                <w:szCs w:val="21"/>
                <w:highlight w:val="none"/>
                <w:u w:val="none"/>
                <w:lang w:val="en-US" w:eastAsia="zh-CN" w:bidi="ar"/>
              </w:rPr>
            </w:pPr>
            <w:r>
              <w:rPr>
                <w:rFonts w:hint="eastAsia" w:cs="Times New Roman"/>
                <w:i w:val="0"/>
                <w:color w:val="auto"/>
                <w:kern w:val="0"/>
                <w:sz w:val="18"/>
                <w:szCs w:val="18"/>
                <w:highlight w:val="none"/>
                <w:u w:val="none"/>
                <w:lang w:val="en-US" w:eastAsia="zh-CN" w:bidi="ar"/>
              </w:rPr>
              <w:t>VOCs</w:t>
            </w:r>
          </w:p>
        </w:tc>
        <w:tc>
          <w:tcPr>
            <w:tcW w:w="1601" w:type="dxa"/>
            <w:vMerge w:val="continue"/>
            <w:noWrap w:val="0"/>
            <w:vAlign w:val="center"/>
          </w:tcPr>
          <w:p w14:paraId="1E95FCB9">
            <w:pPr>
              <w:keepNext w:val="0"/>
              <w:keepLines w:val="0"/>
              <w:suppressLineNumbers w:val="0"/>
              <w:adjustRightInd w:val="0"/>
              <w:snapToGrid w:val="0"/>
              <w:spacing w:before="0" w:beforeAutospacing="0" w:after="0" w:afterAutospacing="0"/>
              <w:ind w:left="0" w:right="0"/>
              <w:jc w:val="center"/>
              <w:rPr>
                <w:rFonts w:hint="eastAsia" w:cs="Times New Roman"/>
                <w:color w:val="auto"/>
                <w:sz w:val="21"/>
                <w:szCs w:val="21"/>
                <w:highlight w:val="none"/>
                <w:lang w:val="en-US" w:eastAsia="zh-CN"/>
              </w:rPr>
            </w:pPr>
          </w:p>
        </w:tc>
        <w:tc>
          <w:tcPr>
            <w:tcW w:w="1911" w:type="dxa"/>
            <w:noWrap w:val="0"/>
            <w:vAlign w:val="center"/>
          </w:tcPr>
          <w:p w14:paraId="6E383DE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《挥发性有机物排放标准 第4部分：印刷业》（DB37/2801.4-2017）表3标准限值</w:t>
            </w:r>
          </w:p>
        </w:tc>
      </w:tr>
      <w:tr w14:paraId="422D4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14:paraId="1C3DEBC0">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p>
        </w:tc>
        <w:tc>
          <w:tcPr>
            <w:tcW w:w="1755" w:type="dxa"/>
            <w:vMerge w:val="continue"/>
            <w:noWrap w:val="0"/>
            <w:vAlign w:val="center"/>
          </w:tcPr>
          <w:p w14:paraId="2696971C">
            <w:pPr>
              <w:keepNext w:val="0"/>
              <w:keepLines w:val="0"/>
              <w:suppressLineNumbers w:val="0"/>
              <w:adjustRightInd w:val="0"/>
              <w:snapToGrid w:val="0"/>
              <w:spacing w:before="0" w:beforeAutospacing="0" w:after="0" w:afterAutospacing="0"/>
              <w:ind w:left="0" w:right="0"/>
              <w:jc w:val="center"/>
              <w:rPr>
                <w:rFonts w:hint="eastAsia" w:cs="Times New Roman"/>
                <w:sz w:val="21"/>
                <w:szCs w:val="21"/>
                <w:lang w:val="en-US" w:eastAsia="zh-CN"/>
              </w:rPr>
            </w:pPr>
          </w:p>
        </w:tc>
        <w:tc>
          <w:tcPr>
            <w:tcW w:w="1755" w:type="dxa"/>
            <w:noWrap w:val="0"/>
            <w:vAlign w:val="center"/>
          </w:tcPr>
          <w:p w14:paraId="6CFCA9BE">
            <w:pPr>
              <w:pStyle w:val="1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p>
        </w:tc>
        <w:tc>
          <w:tcPr>
            <w:tcW w:w="1601" w:type="dxa"/>
            <w:vMerge w:val="restart"/>
            <w:noWrap w:val="0"/>
            <w:vAlign w:val="center"/>
          </w:tcPr>
          <w:p w14:paraId="78F8AB8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2"/>
                <w:sz w:val="21"/>
                <w:szCs w:val="21"/>
                <w:lang w:val="en-US" w:eastAsia="zh-CN" w:bidi="ar-SA"/>
              </w:rPr>
            </w:pPr>
            <w:r>
              <w:rPr>
                <w:rFonts w:hint="eastAsia" w:cs="Times New Roman"/>
                <w:color w:val="auto"/>
                <w:sz w:val="21"/>
                <w:szCs w:val="21"/>
                <w:highlight w:val="none"/>
                <w:lang w:val="en-US" w:eastAsia="zh-CN"/>
              </w:rPr>
              <w:t>车间密闭、喷洒除味剂</w:t>
            </w:r>
          </w:p>
        </w:tc>
        <w:tc>
          <w:tcPr>
            <w:tcW w:w="1911" w:type="dxa"/>
            <w:vMerge w:val="restart"/>
            <w:noWrap w:val="0"/>
            <w:vAlign w:val="center"/>
          </w:tcPr>
          <w:p w14:paraId="1912160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 14554-1993）中表1标准</w:t>
            </w:r>
          </w:p>
        </w:tc>
      </w:tr>
      <w:tr w14:paraId="0825D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14:paraId="25820791">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p>
        </w:tc>
        <w:tc>
          <w:tcPr>
            <w:tcW w:w="1755" w:type="dxa"/>
            <w:vMerge w:val="continue"/>
            <w:noWrap w:val="0"/>
            <w:vAlign w:val="center"/>
          </w:tcPr>
          <w:p w14:paraId="0BC99A3E">
            <w:pPr>
              <w:keepNext w:val="0"/>
              <w:keepLines w:val="0"/>
              <w:suppressLineNumbers w:val="0"/>
              <w:adjustRightInd w:val="0"/>
              <w:snapToGrid w:val="0"/>
              <w:spacing w:before="0" w:beforeAutospacing="0" w:after="0" w:afterAutospacing="0"/>
              <w:ind w:left="0" w:right="0"/>
              <w:jc w:val="center"/>
              <w:rPr>
                <w:rFonts w:hint="eastAsia" w:cs="Times New Roman"/>
                <w:sz w:val="21"/>
                <w:szCs w:val="21"/>
                <w:lang w:val="en-US" w:eastAsia="zh-CN"/>
              </w:rPr>
            </w:pPr>
          </w:p>
        </w:tc>
        <w:tc>
          <w:tcPr>
            <w:tcW w:w="1755" w:type="dxa"/>
            <w:noWrap w:val="0"/>
            <w:vAlign w:val="center"/>
          </w:tcPr>
          <w:p w14:paraId="5AFF7BDF">
            <w:pPr>
              <w:pStyle w:val="1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S</w:t>
            </w:r>
          </w:p>
        </w:tc>
        <w:tc>
          <w:tcPr>
            <w:tcW w:w="1601" w:type="dxa"/>
            <w:vMerge w:val="continue"/>
            <w:noWrap w:val="0"/>
            <w:vAlign w:val="center"/>
          </w:tcPr>
          <w:p w14:paraId="5549182A">
            <w:pPr>
              <w:keepNext w:val="0"/>
              <w:keepLines w:val="0"/>
              <w:suppressLineNumbers w:val="0"/>
              <w:adjustRightInd w:val="0"/>
              <w:snapToGrid w:val="0"/>
              <w:spacing w:before="0" w:beforeAutospacing="0" w:after="0" w:afterAutospacing="0"/>
              <w:ind w:left="0" w:right="0"/>
              <w:jc w:val="center"/>
              <w:rPr>
                <w:rFonts w:hint="eastAsia" w:cs="Times New Roman"/>
                <w:color w:val="auto"/>
                <w:sz w:val="21"/>
                <w:szCs w:val="21"/>
                <w:highlight w:val="none"/>
                <w:lang w:val="en-US" w:eastAsia="zh-CN"/>
              </w:rPr>
            </w:pPr>
          </w:p>
        </w:tc>
        <w:tc>
          <w:tcPr>
            <w:tcW w:w="1911" w:type="dxa"/>
            <w:vMerge w:val="continue"/>
            <w:noWrap w:val="0"/>
            <w:vAlign w:val="center"/>
          </w:tcPr>
          <w:p w14:paraId="3964EAE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r>
      <w:tr w14:paraId="064AF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14:paraId="2309502C">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p>
        </w:tc>
        <w:tc>
          <w:tcPr>
            <w:tcW w:w="1755" w:type="dxa"/>
            <w:vMerge w:val="continue"/>
            <w:noWrap w:val="0"/>
            <w:vAlign w:val="center"/>
          </w:tcPr>
          <w:p w14:paraId="7E9E64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755" w:type="dxa"/>
            <w:noWrap w:val="0"/>
            <w:vAlign w:val="center"/>
          </w:tcPr>
          <w:p w14:paraId="3021FDE5">
            <w:pPr>
              <w:pStyle w:val="1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u w:val="none" w:color="000000"/>
                <w:lang w:val="en-US" w:eastAsia="zh-CN" w:bidi="ar-SA"/>
              </w:rPr>
              <w:t>臭气浓度</w:t>
            </w:r>
          </w:p>
        </w:tc>
        <w:tc>
          <w:tcPr>
            <w:tcW w:w="1601" w:type="dxa"/>
            <w:vMerge w:val="continue"/>
            <w:noWrap w:val="0"/>
            <w:vAlign w:val="center"/>
          </w:tcPr>
          <w:p w14:paraId="1580080B">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kern w:val="2"/>
                <w:sz w:val="21"/>
                <w:szCs w:val="21"/>
                <w:lang w:val="en-US" w:eastAsia="zh-CN" w:bidi="ar-SA"/>
              </w:rPr>
            </w:pPr>
          </w:p>
        </w:tc>
        <w:tc>
          <w:tcPr>
            <w:tcW w:w="1911" w:type="dxa"/>
            <w:noWrap w:val="0"/>
            <w:vAlign w:val="center"/>
          </w:tcPr>
          <w:p w14:paraId="256AB25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《挥发性有机物排放标准第7部分：其他行业（DB37/2801.7-2019）》表2标准</w:t>
            </w:r>
          </w:p>
        </w:tc>
      </w:tr>
      <w:tr w14:paraId="7B45C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14:paraId="5774FB0C">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p>
        </w:tc>
        <w:tc>
          <w:tcPr>
            <w:tcW w:w="1755" w:type="dxa"/>
            <w:noWrap w:val="0"/>
            <w:vAlign w:val="center"/>
          </w:tcPr>
          <w:p w14:paraId="5C25BF0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面源M</w:t>
            </w:r>
            <w:r>
              <w:rPr>
                <w:rFonts w:hint="eastAsia" w:cs="Times New Roman"/>
                <w:color w:val="auto"/>
                <w:sz w:val="21"/>
                <w:szCs w:val="21"/>
                <w:lang w:val="en-US" w:eastAsia="zh-CN"/>
              </w:rPr>
              <w:t>2</w:t>
            </w:r>
          </w:p>
        </w:tc>
        <w:tc>
          <w:tcPr>
            <w:tcW w:w="1755" w:type="dxa"/>
            <w:noWrap w:val="0"/>
            <w:vAlign w:val="center"/>
          </w:tcPr>
          <w:p w14:paraId="1E8AB79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18"/>
                <w:szCs w:val="18"/>
                <w:highlight w:val="none"/>
                <w:u w:val="none"/>
                <w:lang w:val="en-US" w:eastAsia="zh-CN" w:bidi="ar"/>
              </w:rPr>
              <w:t>VOCs</w:t>
            </w:r>
          </w:p>
        </w:tc>
        <w:tc>
          <w:tcPr>
            <w:tcW w:w="1601" w:type="dxa"/>
            <w:noWrap w:val="0"/>
            <w:vAlign w:val="center"/>
          </w:tcPr>
          <w:p w14:paraId="7D96ED9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宋体"/>
                <w:color w:val="auto"/>
                <w:sz w:val="21"/>
                <w:szCs w:val="21"/>
                <w:lang w:val="en-US" w:eastAsia="zh-CN"/>
              </w:rPr>
            </w:pPr>
            <w:r>
              <w:rPr>
                <w:rFonts w:hint="eastAsia" w:cs="Times New Roman"/>
                <w:color w:val="auto"/>
                <w:sz w:val="21"/>
                <w:szCs w:val="21"/>
                <w:highlight w:val="none"/>
                <w:lang w:val="en-US" w:eastAsia="zh-CN"/>
              </w:rPr>
              <w:t>车间密闭</w:t>
            </w:r>
          </w:p>
        </w:tc>
        <w:tc>
          <w:tcPr>
            <w:tcW w:w="1911" w:type="dxa"/>
            <w:noWrap w:val="0"/>
            <w:vAlign w:val="center"/>
          </w:tcPr>
          <w:p w14:paraId="67F5666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rPr>
            </w:pPr>
            <w:r>
              <w:rPr>
                <w:rFonts w:hint="default" w:ascii="Times New Roman" w:hAnsi="Times New Roman" w:eastAsia="宋体" w:cs="Times New Roman"/>
                <w:color w:val="auto"/>
                <w:sz w:val="21"/>
                <w:szCs w:val="21"/>
              </w:rPr>
              <w:t>《挥发性有机物排放标准 第4部分：印刷业》（DB37/2801.4-2017）表3标准限值</w:t>
            </w:r>
          </w:p>
        </w:tc>
      </w:tr>
      <w:tr w14:paraId="27B19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778" w:type="dxa"/>
            <w:vMerge w:val="restart"/>
            <w:noWrap w:val="0"/>
            <w:vAlign w:val="center"/>
          </w:tcPr>
          <w:p w14:paraId="793FC041">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r>
              <w:rPr>
                <w:rFonts w:hint="eastAsia" w:ascii="宋体" w:hAnsi="宋体" w:cs="宋体"/>
                <w:color w:val="auto"/>
                <w:sz w:val="21"/>
                <w:szCs w:val="21"/>
              </w:rPr>
              <w:t>地表水环境</w:t>
            </w:r>
          </w:p>
        </w:tc>
        <w:tc>
          <w:tcPr>
            <w:tcW w:w="1755" w:type="dxa"/>
            <w:noWrap w:val="0"/>
            <w:vAlign w:val="center"/>
          </w:tcPr>
          <w:p w14:paraId="3E6EF2E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color w:val="auto"/>
                <w:sz w:val="21"/>
                <w:szCs w:val="21"/>
                <w:lang w:val="en-US" w:eastAsia="zh-CN"/>
              </w:rPr>
            </w:pPr>
            <w:r>
              <w:rPr>
                <w:rFonts w:hint="eastAsia" w:ascii="Times New Roman" w:hAnsi="Times New Roman" w:cs="Times New Roman"/>
                <w:snapToGrid w:val="0"/>
                <w:color w:val="auto"/>
                <w:kern w:val="0"/>
                <w:sz w:val="21"/>
                <w:szCs w:val="21"/>
                <w:lang w:val="en-US" w:eastAsia="zh-CN" w:bidi="ar-SA"/>
              </w:rPr>
              <w:t>员工生活污水</w:t>
            </w:r>
          </w:p>
        </w:tc>
        <w:tc>
          <w:tcPr>
            <w:tcW w:w="1755" w:type="dxa"/>
            <w:noWrap w:val="0"/>
            <w:vAlign w:val="center"/>
          </w:tcPr>
          <w:p w14:paraId="484804A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color w:val="auto"/>
                <w:sz w:val="21"/>
                <w:szCs w:val="21"/>
                <w:lang w:val="en-US" w:eastAsia="zh-CN"/>
              </w:rPr>
            </w:pPr>
            <w:r>
              <w:rPr>
                <w:rFonts w:hint="eastAsia" w:ascii="Times New Roman" w:hAnsi="Times New Roman" w:cs="Times New Roman"/>
                <w:snapToGrid w:val="0"/>
                <w:color w:val="auto"/>
                <w:kern w:val="0"/>
                <w:szCs w:val="21"/>
                <w:lang w:val="en-US" w:eastAsia="zh-CN"/>
              </w:rPr>
              <w:t>COD</w:t>
            </w:r>
            <w:r>
              <w:rPr>
                <w:rFonts w:hint="eastAsia" w:ascii="Times New Roman" w:hAnsi="Times New Roman" w:cs="Times New Roman"/>
                <w:color w:val="auto"/>
                <w:lang w:val="en-US" w:eastAsia="zh-CN"/>
              </w:rPr>
              <w:t>cr</w:t>
            </w:r>
            <w:r>
              <w:rPr>
                <w:rFonts w:hint="eastAsia" w:ascii="Times New Roman" w:hAnsi="Times New Roman" w:cs="Times New Roman"/>
                <w:snapToGrid w:val="0"/>
                <w:color w:val="auto"/>
                <w:kern w:val="0"/>
                <w:szCs w:val="21"/>
                <w:lang w:val="en-US" w:eastAsia="zh-CN"/>
              </w:rPr>
              <w:t>、BOD</w:t>
            </w:r>
            <w:r>
              <w:rPr>
                <w:rFonts w:hint="eastAsia" w:ascii="Times New Roman" w:hAnsi="Times New Roman" w:cs="Times New Roman"/>
                <w:snapToGrid w:val="0"/>
                <w:color w:val="auto"/>
                <w:kern w:val="0"/>
                <w:szCs w:val="21"/>
                <w:vertAlign w:val="subscript"/>
                <w:lang w:val="en-US" w:eastAsia="zh-CN"/>
              </w:rPr>
              <w:t>5</w:t>
            </w:r>
            <w:r>
              <w:rPr>
                <w:rFonts w:hint="eastAsia" w:ascii="Times New Roman" w:hAnsi="Times New Roman" w:cs="Times New Roman"/>
                <w:snapToGrid w:val="0"/>
                <w:color w:val="auto"/>
                <w:kern w:val="0"/>
                <w:szCs w:val="21"/>
                <w:lang w:val="en-US" w:eastAsia="zh-CN"/>
              </w:rPr>
              <w:t>、NH</w:t>
            </w:r>
            <w:r>
              <w:rPr>
                <w:rFonts w:hint="eastAsia" w:ascii="Times New Roman" w:hAnsi="Times New Roman" w:cs="Times New Roman"/>
                <w:snapToGrid w:val="0"/>
                <w:color w:val="auto"/>
                <w:kern w:val="0"/>
                <w:szCs w:val="21"/>
                <w:vertAlign w:val="subscript"/>
                <w:lang w:val="en-US" w:eastAsia="zh-CN"/>
              </w:rPr>
              <w:t>3</w:t>
            </w:r>
            <w:r>
              <w:rPr>
                <w:rFonts w:hint="eastAsia" w:ascii="Times New Roman" w:hAnsi="Times New Roman" w:cs="Times New Roman"/>
                <w:snapToGrid w:val="0"/>
                <w:color w:val="auto"/>
                <w:kern w:val="0"/>
                <w:szCs w:val="21"/>
                <w:lang w:val="en-US" w:eastAsia="zh-CN"/>
              </w:rPr>
              <w:t>-N、SS</w:t>
            </w:r>
          </w:p>
        </w:tc>
        <w:tc>
          <w:tcPr>
            <w:tcW w:w="1601" w:type="dxa"/>
            <w:vMerge w:val="restart"/>
            <w:noWrap w:val="0"/>
            <w:vAlign w:val="center"/>
          </w:tcPr>
          <w:p w14:paraId="3325FAF2">
            <w:pPr>
              <w:keepNext w:val="0"/>
              <w:keepLines w:val="0"/>
              <w:suppressLineNumbers w:val="0"/>
              <w:autoSpaceDE w:val="0"/>
              <w:autoSpaceDN w:val="0"/>
              <w:adjustRightInd w:val="0"/>
              <w:spacing w:before="0" w:beforeAutospacing="0" w:after="0" w:afterAutospacing="0"/>
              <w:ind w:left="0" w:leftChars="0" w:right="0" w:rightChars="0"/>
              <w:jc w:val="left"/>
              <w:rPr>
                <w:rFonts w:hint="default" w:ascii="宋体" w:hAnsi="宋体" w:eastAsia="宋体" w:cs="宋体"/>
                <w:spacing w:val="9"/>
                <w:sz w:val="21"/>
                <w:szCs w:val="21"/>
              </w:rPr>
            </w:pPr>
            <w:r>
              <w:rPr>
                <w:rFonts w:hint="default" w:ascii="宋体" w:hAnsi="宋体" w:eastAsia="宋体" w:cs="宋体"/>
                <w:spacing w:val="9"/>
                <w:sz w:val="21"/>
                <w:szCs w:val="21"/>
              </w:rPr>
              <w:t>清洗废水经自建污水处理站处理后与经化粪池收集的生活污水一同通过市政污水管网进入泗水国祯水务有限公司深度处理。</w:t>
            </w:r>
          </w:p>
        </w:tc>
        <w:tc>
          <w:tcPr>
            <w:tcW w:w="1911" w:type="dxa"/>
            <w:vMerge w:val="restart"/>
            <w:noWrap w:val="0"/>
            <w:vAlign w:val="center"/>
          </w:tcPr>
          <w:p w14:paraId="346D3B9F">
            <w:pPr>
              <w:keepNext w:val="0"/>
              <w:keepLines w:val="0"/>
              <w:suppressLineNumbers w:val="0"/>
              <w:adjustRightInd w:val="0"/>
              <w:snapToGrid w:val="0"/>
              <w:spacing w:before="0" w:beforeAutospacing="0" w:after="0" w:afterAutospacing="0"/>
              <w:ind w:left="0" w:leftChars="0" w:right="0" w:rightChars="0"/>
              <w:jc w:val="left"/>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《污水综合排放标准》（GB8978-1996）及修改单表4中三级标准</w:t>
            </w:r>
            <w:r>
              <w:rPr>
                <w:rFonts w:hint="eastAsia" w:ascii="Times New Roman" w:hAnsi="Times New Roman" w:eastAsia="宋体" w:cs="Times New Roman"/>
                <w:color w:val="auto"/>
                <w:sz w:val="21"/>
                <w:szCs w:val="21"/>
                <w:lang w:val="en-US" w:eastAsia="zh-CN"/>
              </w:rPr>
              <w:t>，同时满足</w:t>
            </w:r>
            <w:r>
              <w:rPr>
                <w:rFonts w:hint="eastAsia" w:cs="Times New Roman"/>
                <w:color w:val="auto"/>
                <w:sz w:val="21"/>
                <w:szCs w:val="21"/>
                <w:lang w:val="en-US" w:eastAsia="zh-CN"/>
              </w:rPr>
              <w:t>泗水国祯水务有限公司</w:t>
            </w:r>
            <w:r>
              <w:rPr>
                <w:rFonts w:hint="eastAsia" w:ascii="Times New Roman" w:hAnsi="Times New Roman" w:eastAsia="宋体" w:cs="Times New Roman"/>
                <w:color w:val="auto"/>
                <w:sz w:val="21"/>
                <w:szCs w:val="21"/>
                <w:lang w:val="en-US" w:eastAsia="zh-CN"/>
              </w:rPr>
              <w:t>处理进水水质要求</w:t>
            </w:r>
          </w:p>
        </w:tc>
      </w:tr>
      <w:tr w14:paraId="45BDA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778" w:type="dxa"/>
            <w:vMerge w:val="continue"/>
            <w:noWrap w:val="0"/>
            <w:vAlign w:val="center"/>
          </w:tcPr>
          <w:p w14:paraId="2E4F1B53">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p>
        </w:tc>
        <w:tc>
          <w:tcPr>
            <w:tcW w:w="1755" w:type="dxa"/>
            <w:noWrap w:val="0"/>
            <w:vAlign w:val="center"/>
          </w:tcPr>
          <w:p w14:paraId="43AE50D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snapToGrid w:val="0"/>
                <w:color w:val="auto"/>
                <w:kern w:val="0"/>
                <w:sz w:val="21"/>
                <w:szCs w:val="21"/>
                <w:lang w:val="en-US" w:eastAsia="zh-CN" w:bidi="ar-SA"/>
              </w:rPr>
            </w:pPr>
            <w:r>
              <w:rPr>
                <w:rFonts w:hint="eastAsia" w:cs="Times New Roman"/>
                <w:snapToGrid w:val="0"/>
                <w:color w:val="auto"/>
                <w:kern w:val="0"/>
                <w:szCs w:val="21"/>
                <w:lang w:val="en-US" w:eastAsia="zh-CN"/>
              </w:rPr>
              <w:t>设备清洗废水</w:t>
            </w:r>
          </w:p>
        </w:tc>
        <w:tc>
          <w:tcPr>
            <w:tcW w:w="1755" w:type="dxa"/>
            <w:noWrap w:val="0"/>
            <w:vAlign w:val="center"/>
          </w:tcPr>
          <w:p w14:paraId="0033A7C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snapToGrid w:val="0"/>
                <w:color w:val="auto"/>
                <w:kern w:val="0"/>
                <w:szCs w:val="21"/>
                <w:lang w:val="en-US" w:eastAsia="zh-CN"/>
              </w:rPr>
            </w:pPr>
            <w:r>
              <w:rPr>
                <w:rFonts w:hint="eastAsia" w:ascii="Times New Roman" w:hAnsi="Times New Roman" w:cs="Times New Roman"/>
                <w:snapToGrid w:val="0"/>
                <w:color w:val="auto"/>
                <w:kern w:val="0"/>
                <w:szCs w:val="21"/>
                <w:lang w:val="en-US" w:eastAsia="zh-CN"/>
              </w:rPr>
              <w:t>COD</w:t>
            </w:r>
            <w:r>
              <w:rPr>
                <w:rFonts w:hint="eastAsia" w:ascii="Times New Roman" w:hAnsi="Times New Roman" w:cs="Times New Roman"/>
                <w:color w:val="auto"/>
                <w:lang w:val="en-US" w:eastAsia="zh-CN"/>
              </w:rPr>
              <w:t>cr</w:t>
            </w:r>
            <w:r>
              <w:rPr>
                <w:rFonts w:hint="eastAsia" w:ascii="Times New Roman" w:hAnsi="Times New Roman" w:cs="Times New Roman"/>
                <w:snapToGrid w:val="0"/>
                <w:color w:val="auto"/>
                <w:kern w:val="0"/>
                <w:szCs w:val="21"/>
                <w:lang w:val="en-US" w:eastAsia="zh-CN"/>
              </w:rPr>
              <w:t>、NH</w:t>
            </w:r>
            <w:r>
              <w:rPr>
                <w:rFonts w:hint="eastAsia" w:ascii="Times New Roman" w:hAnsi="Times New Roman" w:cs="Times New Roman"/>
                <w:snapToGrid w:val="0"/>
                <w:color w:val="auto"/>
                <w:kern w:val="0"/>
                <w:szCs w:val="21"/>
                <w:vertAlign w:val="subscript"/>
                <w:lang w:val="en-US" w:eastAsia="zh-CN"/>
              </w:rPr>
              <w:t>3</w:t>
            </w:r>
            <w:r>
              <w:rPr>
                <w:rFonts w:hint="eastAsia" w:ascii="Times New Roman" w:hAnsi="Times New Roman" w:cs="Times New Roman"/>
                <w:snapToGrid w:val="0"/>
                <w:color w:val="auto"/>
                <w:kern w:val="0"/>
                <w:szCs w:val="21"/>
                <w:lang w:val="en-US" w:eastAsia="zh-CN"/>
              </w:rPr>
              <w:t>-N、SS、BOD</w:t>
            </w:r>
            <w:r>
              <w:rPr>
                <w:rFonts w:hint="eastAsia" w:ascii="Times New Roman" w:hAnsi="Times New Roman" w:cs="Times New Roman"/>
                <w:snapToGrid w:val="0"/>
                <w:color w:val="auto"/>
                <w:kern w:val="0"/>
                <w:szCs w:val="21"/>
                <w:vertAlign w:val="subscript"/>
                <w:lang w:val="en-US" w:eastAsia="zh-CN"/>
              </w:rPr>
              <w:t>5</w:t>
            </w:r>
            <w:r>
              <w:rPr>
                <w:rFonts w:hint="eastAsia" w:ascii="Times New Roman" w:hAnsi="Times New Roman" w:cs="Times New Roman"/>
                <w:snapToGrid w:val="0"/>
                <w:color w:val="auto"/>
                <w:kern w:val="0"/>
                <w:szCs w:val="21"/>
                <w:lang w:val="en-US" w:eastAsia="zh-CN"/>
              </w:rPr>
              <w:t>、</w:t>
            </w:r>
            <w:r>
              <w:rPr>
                <w:rFonts w:hint="eastAsia" w:cs="Times New Roman"/>
                <w:snapToGrid w:val="0"/>
                <w:color w:val="auto"/>
                <w:kern w:val="0"/>
                <w:szCs w:val="21"/>
                <w:lang w:val="en-US" w:eastAsia="zh-CN"/>
              </w:rPr>
              <w:t>石油类</w:t>
            </w:r>
          </w:p>
        </w:tc>
        <w:tc>
          <w:tcPr>
            <w:tcW w:w="1601" w:type="dxa"/>
            <w:vMerge w:val="continue"/>
            <w:noWrap w:val="0"/>
            <w:vAlign w:val="center"/>
          </w:tcPr>
          <w:p w14:paraId="15A852C8">
            <w:pPr>
              <w:keepNext w:val="0"/>
              <w:keepLines w:val="0"/>
              <w:suppressLineNumbers w:val="0"/>
              <w:autoSpaceDE w:val="0"/>
              <w:autoSpaceDN w:val="0"/>
              <w:adjustRightInd w:val="0"/>
              <w:spacing w:before="0" w:beforeAutospacing="0" w:after="0" w:afterAutospacing="0"/>
              <w:ind w:left="0" w:leftChars="0" w:right="0" w:rightChars="0"/>
              <w:jc w:val="left"/>
              <w:rPr>
                <w:rFonts w:hint="eastAsia" w:ascii="宋体" w:hAnsi="宋体" w:cs="宋体"/>
                <w:spacing w:val="9"/>
                <w:sz w:val="21"/>
                <w:szCs w:val="21"/>
                <w:lang w:eastAsia="zh-CN"/>
              </w:rPr>
            </w:pPr>
          </w:p>
        </w:tc>
        <w:tc>
          <w:tcPr>
            <w:tcW w:w="1911" w:type="dxa"/>
            <w:vMerge w:val="continue"/>
            <w:noWrap w:val="0"/>
            <w:vAlign w:val="center"/>
          </w:tcPr>
          <w:p w14:paraId="2915071B">
            <w:pPr>
              <w:keepNext w:val="0"/>
              <w:keepLines w:val="0"/>
              <w:suppressLineNumbers w:val="0"/>
              <w:adjustRightInd w:val="0"/>
              <w:snapToGrid w:val="0"/>
              <w:spacing w:before="0" w:beforeAutospacing="0" w:after="0" w:afterAutospacing="0"/>
              <w:ind w:left="0" w:leftChars="0" w:right="0" w:rightChars="0"/>
              <w:jc w:val="left"/>
              <w:rPr>
                <w:rFonts w:hint="eastAsia" w:cs="Times New Roman"/>
                <w:color w:val="auto"/>
                <w:sz w:val="21"/>
                <w:szCs w:val="21"/>
                <w:lang w:val="en-US" w:eastAsia="zh-CN"/>
              </w:rPr>
            </w:pPr>
          </w:p>
        </w:tc>
      </w:tr>
      <w:tr w14:paraId="0CD92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00651E82">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r>
              <w:rPr>
                <w:rFonts w:hint="eastAsia" w:ascii="宋体" w:hAnsi="宋体" w:cs="宋体"/>
                <w:color w:val="auto"/>
                <w:sz w:val="21"/>
                <w:szCs w:val="21"/>
              </w:rPr>
              <w:t>声环境</w:t>
            </w:r>
          </w:p>
        </w:tc>
        <w:tc>
          <w:tcPr>
            <w:tcW w:w="1755" w:type="dxa"/>
            <w:noWrap w:val="0"/>
            <w:vAlign w:val="center"/>
          </w:tcPr>
          <w:p w14:paraId="0FC1BAEF">
            <w:pPr>
              <w:pStyle w:val="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cs="Times New Roman"/>
                <w:color w:val="auto"/>
              </w:rPr>
              <w:t>涂布机、风机和污水处理站水泵</w:t>
            </w:r>
            <w:r>
              <w:rPr>
                <w:rFonts w:hint="eastAsia" w:cs="Times New Roman"/>
                <w:color w:val="auto"/>
                <w:lang w:val="en-US" w:eastAsia="zh-CN"/>
              </w:rPr>
              <w:t>等</w:t>
            </w:r>
          </w:p>
        </w:tc>
        <w:tc>
          <w:tcPr>
            <w:tcW w:w="1755" w:type="dxa"/>
            <w:noWrap w:val="0"/>
            <w:vAlign w:val="center"/>
          </w:tcPr>
          <w:p w14:paraId="1E83FBDF">
            <w:pPr>
              <w:pStyle w:val="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z w:val="21"/>
                <w:szCs w:val="21"/>
              </w:rPr>
              <w:t>等效A声级</w:t>
            </w:r>
          </w:p>
        </w:tc>
        <w:tc>
          <w:tcPr>
            <w:tcW w:w="1601" w:type="dxa"/>
            <w:noWrap w:val="0"/>
            <w:vAlign w:val="center"/>
          </w:tcPr>
          <w:p w14:paraId="50BE2DCC">
            <w:pPr>
              <w:pStyle w:val="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pacing w:val="-1"/>
                <w:sz w:val="21"/>
                <w:szCs w:val="21"/>
              </w:rPr>
              <w:t>选用高效低噪声设备、安装减振</w:t>
            </w:r>
            <w:r>
              <w:rPr>
                <w:rFonts w:hint="eastAsia" w:ascii="Times New Roman" w:hAnsi="Times New Roman" w:eastAsia="宋体" w:cs="宋体"/>
                <w:color w:val="auto"/>
                <w:sz w:val="21"/>
                <w:szCs w:val="21"/>
              </w:rPr>
              <w:t>底座等</w:t>
            </w:r>
            <w:r>
              <w:rPr>
                <w:rFonts w:hint="eastAsia" w:ascii="Times New Roman" w:hAnsi="Times New Roman" w:eastAsia="宋体" w:cs="宋体"/>
                <w:color w:val="auto"/>
                <w:sz w:val="21"/>
                <w:szCs w:val="21"/>
                <w:lang w:eastAsia="zh-CN"/>
              </w:rPr>
              <w:t>。</w:t>
            </w:r>
          </w:p>
        </w:tc>
        <w:tc>
          <w:tcPr>
            <w:tcW w:w="1911" w:type="dxa"/>
            <w:noWrap w:val="0"/>
            <w:vAlign w:val="center"/>
          </w:tcPr>
          <w:p w14:paraId="5FDA9983">
            <w:pPr>
              <w:pStyle w:val="6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spacing w:val="-2"/>
                <w:sz w:val="21"/>
                <w:szCs w:val="21"/>
              </w:rPr>
              <w:t>《工业企业厂界环境噪声排放标准》</w:t>
            </w:r>
            <w:r>
              <w:rPr>
                <w:rFonts w:hint="eastAsia" w:ascii="Times New Roman" w:hAnsi="Times New Roman" w:eastAsia="宋体" w:cs="宋体"/>
                <w:color w:val="auto"/>
                <w:spacing w:val="-1"/>
                <w:sz w:val="21"/>
                <w:szCs w:val="21"/>
              </w:rPr>
              <w:t>（GB12348-2008）</w:t>
            </w:r>
            <w:r>
              <w:rPr>
                <w:rFonts w:hint="eastAsia" w:ascii="Times New Roman" w:hAnsi="Times New Roman" w:eastAsia="宋体" w:cs="宋体"/>
                <w:color w:val="auto"/>
                <w:sz w:val="21"/>
                <w:szCs w:val="21"/>
              </w:rPr>
              <w:t>中的</w:t>
            </w:r>
            <w:r>
              <w:rPr>
                <w:rFonts w:hint="eastAsia" w:cs="宋体"/>
                <w:color w:val="auto"/>
                <w:sz w:val="21"/>
                <w:szCs w:val="21"/>
                <w:lang w:val="en-US" w:eastAsia="zh-CN"/>
              </w:rPr>
              <w:t>3</w:t>
            </w:r>
            <w:r>
              <w:rPr>
                <w:rFonts w:hint="eastAsia" w:ascii="Times New Roman" w:hAnsi="Times New Roman" w:eastAsia="宋体" w:cs="宋体"/>
                <w:color w:val="auto"/>
                <w:spacing w:val="-1"/>
                <w:sz w:val="21"/>
                <w:szCs w:val="21"/>
              </w:rPr>
              <w:t>类标准</w:t>
            </w:r>
          </w:p>
        </w:tc>
      </w:tr>
      <w:tr w14:paraId="147E4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778" w:type="dxa"/>
            <w:noWrap w:val="0"/>
            <w:vAlign w:val="center"/>
          </w:tcPr>
          <w:p w14:paraId="24CECD34">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r>
              <w:rPr>
                <w:rFonts w:hint="eastAsia" w:ascii="宋体" w:hAnsi="宋体" w:cs="宋体"/>
                <w:color w:val="auto"/>
                <w:sz w:val="21"/>
                <w:szCs w:val="21"/>
              </w:rPr>
              <w:t>电磁辐射</w:t>
            </w:r>
          </w:p>
        </w:tc>
        <w:tc>
          <w:tcPr>
            <w:tcW w:w="1755" w:type="dxa"/>
            <w:noWrap w:val="0"/>
            <w:vAlign w:val="center"/>
          </w:tcPr>
          <w:p w14:paraId="05CC2F6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w:t>
            </w:r>
          </w:p>
        </w:tc>
        <w:tc>
          <w:tcPr>
            <w:tcW w:w="1755" w:type="dxa"/>
            <w:noWrap w:val="0"/>
            <w:vAlign w:val="center"/>
          </w:tcPr>
          <w:p w14:paraId="3D83F9E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w:t>
            </w:r>
          </w:p>
        </w:tc>
        <w:tc>
          <w:tcPr>
            <w:tcW w:w="1601" w:type="dxa"/>
            <w:noWrap w:val="0"/>
            <w:vAlign w:val="center"/>
          </w:tcPr>
          <w:p w14:paraId="01397C3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w:t>
            </w:r>
          </w:p>
        </w:tc>
        <w:tc>
          <w:tcPr>
            <w:tcW w:w="1911" w:type="dxa"/>
            <w:noWrap w:val="0"/>
            <w:vAlign w:val="center"/>
          </w:tcPr>
          <w:p w14:paraId="4F44E44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w:t>
            </w:r>
          </w:p>
        </w:tc>
      </w:tr>
      <w:tr w14:paraId="42CBA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778" w:type="dxa"/>
            <w:noWrap w:val="0"/>
            <w:vAlign w:val="center"/>
          </w:tcPr>
          <w:p w14:paraId="3973DA99">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r>
              <w:rPr>
                <w:rFonts w:hint="eastAsia" w:ascii="宋体" w:hAnsi="宋体" w:cs="宋体"/>
                <w:color w:val="auto"/>
                <w:sz w:val="21"/>
                <w:szCs w:val="21"/>
              </w:rPr>
              <w:t>固体废物</w:t>
            </w:r>
          </w:p>
        </w:tc>
        <w:tc>
          <w:tcPr>
            <w:tcW w:w="7022" w:type="dxa"/>
            <w:gridSpan w:val="4"/>
            <w:noWrap w:val="0"/>
            <w:vAlign w:val="center"/>
          </w:tcPr>
          <w:p w14:paraId="1B689629">
            <w:pPr>
              <w:keepNext w:val="0"/>
              <w:keepLines w:val="0"/>
              <w:suppressLineNumbers w:val="0"/>
              <w:adjustRightInd w:val="0"/>
              <w:snapToGrid w:val="0"/>
              <w:spacing w:before="0" w:beforeAutospacing="0" w:after="0" w:afterAutospacing="0"/>
              <w:ind w:left="0" w:right="0" w:firstLine="420" w:firstLineChars="200"/>
              <w:jc w:val="left"/>
              <w:rPr>
                <w:rFonts w:hint="default" w:ascii="宋体" w:hAnsi="宋体" w:eastAsia="宋体" w:cs="宋体"/>
                <w:color w:val="auto"/>
                <w:sz w:val="21"/>
                <w:szCs w:val="21"/>
                <w:lang w:val="en-US" w:eastAsia="zh-CN"/>
              </w:rPr>
            </w:pPr>
            <w:r>
              <w:rPr>
                <w:rFonts w:hint="eastAsia" w:ascii="Times New Roman" w:hAnsi="Times New Roman" w:eastAsia="宋体" w:cs="Times New Roman"/>
                <w:color w:val="auto"/>
                <w:highlight w:val="none"/>
                <w:lang w:val="en-US" w:eastAsia="zh-CN"/>
              </w:rPr>
              <w:t>生活垃圾</w:t>
            </w:r>
            <w:r>
              <w:rPr>
                <w:rFonts w:hint="eastAsia" w:cs="Times New Roman"/>
                <w:color w:val="auto"/>
                <w:highlight w:val="none"/>
                <w:lang w:val="en-US" w:eastAsia="zh-CN"/>
              </w:rPr>
              <w:t>和污水处理站污泥由</w:t>
            </w:r>
            <w:r>
              <w:rPr>
                <w:rFonts w:hint="eastAsia" w:ascii="Times New Roman" w:hAnsi="Times New Roman" w:eastAsia="宋体" w:cs="Times New Roman"/>
                <w:color w:val="auto"/>
                <w:highlight w:val="none"/>
                <w:lang w:val="en-US" w:eastAsia="zh-CN"/>
              </w:rPr>
              <w:t>环卫部门清运；废包装</w:t>
            </w:r>
            <w:r>
              <w:rPr>
                <w:rFonts w:hint="eastAsia" w:cs="Times New Roman"/>
                <w:color w:val="auto"/>
                <w:highlight w:val="none"/>
                <w:lang w:val="en-US" w:eastAsia="zh-CN"/>
              </w:rPr>
              <w:t>材料和下脚料</w:t>
            </w:r>
            <w:r>
              <w:rPr>
                <w:rFonts w:hint="eastAsia" w:ascii="Times New Roman" w:hAnsi="Times New Roman" w:eastAsia="宋体" w:cs="Times New Roman"/>
                <w:color w:val="auto"/>
                <w:highlight w:val="none"/>
                <w:lang w:val="en-US" w:eastAsia="zh-CN"/>
              </w:rPr>
              <w:t>收集后外售；</w:t>
            </w:r>
            <w:r>
              <w:rPr>
                <w:rFonts w:hint="eastAsia" w:cs="Times New Roman"/>
                <w:color w:val="auto"/>
                <w:highlight w:val="none"/>
                <w:lang w:val="en-US" w:eastAsia="zh-CN"/>
              </w:rPr>
              <w:t>废墨水桶、废机油、废油桶和废活性炭</w:t>
            </w:r>
            <w:r>
              <w:rPr>
                <w:rFonts w:hint="eastAsia" w:ascii="Times New Roman" w:hAnsi="Times New Roman" w:eastAsia="宋体" w:cs="Times New Roman"/>
                <w:color w:val="auto"/>
                <w:highlight w:val="none"/>
                <w:lang w:val="en-US" w:eastAsia="zh-CN"/>
              </w:rPr>
              <w:t>委托资质单位处理。</w:t>
            </w:r>
          </w:p>
        </w:tc>
      </w:tr>
      <w:tr w14:paraId="10C85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778" w:type="dxa"/>
            <w:noWrap w:val="0"/>
            <w:vAlign w:val="center"/>
          </w:tcPr>
          <w:p w14:paraId="655AE14E">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r>
              <w:rPr>
                <w:rFonts w:hint="eastAsia" w:ascii="宋体" w:hAnsi="宋体" w:cs="宋体"/>
                <w:color w:val="auto"/>
                <w:sz w:val="21"/>
                <w:szCs w:val="21"/>
              </w:rPr>
              <w:t>土壤及地下水</w:t>
            </w:r>
          </w:p>
          <w:p w14:paraId="6BFC9C9C">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r>
              <w:rPr>
                <w:rFonts w:hint="eastAsia" w:ascii="宋体" w:hAnsi="宋体" w:cs="宋体"/>
                <w:color w:val="auto"/>
                <w:sz w:val="21"/>
                <w:szCs w:val="21"/>
              </w:rPr>
              <w:t>污染防治措施</w:t>
            </w:r>
          </w:p>
        </w:tc>
        <w:tc>
          <w:tcPr>
            <w:tcW w:w="7022" w:type="dxa"/>
            <w:gridSpan w:val="4"/>
            <w:noWrap w:val="0"/>
            <w:vAlign w:val="center"/>
          </w:tcPr>
          <w:p w14:paraId="687D9951">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both"/>
              <w:textAlignment w:val="auto"/>
              <w:rPr>
                <w:rFonts w:hint="eastAsia" w:ascii="仿宋" w:hAnsi="仿宋" w:eastAsia="仿宋" w:cs="仿宋"/>
                <w:color w:val="auto"/>
                <w:kern w:val="2"/>
                <w:sz w:val="21"/>
                <w:szCs w:val="21"/>
                <w:highlight w:val="none"/>
                <w:lang w:val="en-US" w:eastAsia="zh-CN" w:bidi="ar-SA"/>
              </w:rPr>
            </w:pPr>
            <w:r>
              <w:rPr>
                <w:rFonts w:hint="eastAsia" w:ascii="Times New Roman" w:hAnsi="Times New Roman" w:eastAsia="宋体" w:cs="仿宋"/>
                <w:color w:val="auto"/>
                <w:kern w:val="2"/>
                <w:sz w:val="21"/>
                <w:szCs w:val="21"/>
                <w:highlight w:val="none"/>
                <w:lang w:val="en-US" w:eastAsia="zh-CN" w:bidi="ar-SA"/>
              </w:rPr>
              <w:t>采取分区防渗措施。危废间、污水处理站、原料库重点防渗</w:t>
            </w:r>
            <w:r>
              <w:rPr>
                <w:rFonts w:hint="eastAsia" w:cs="仿宋"/>
                <w:color w:val="auto"/>
                <w:kern w:val="2"/>
                <w:sz w:val="21"/>
                <w:szCs w:val="21"/>
                <w:highlight w:val="none"/>
                <w:lang w:val="en-US" w:eastAsia="zh-CN" w:bidi="ar-SA"/>
              </w:rPr>
              <w:t>，</w:t>
            </w:r>
            <w:r>
              <w:rPr>
                <w:rFonts w:hint="eastAsia" w:ascii="Times New Roman" w:hAnsi="Times New Roman" w:eastAsia="宋体" w:cs="仿宋"/>
                <w:color w:val="auto"/>
                <w:kern w:val="2"/>
                <w:sz w:val="21"/>
                <w:szCs w:val="21"/>
                <w:highlight w:val="none"/>
                <w:lang w:val="en-US" w:eastAsia="zh-CN" w:bidi="ar-SA"/>
              </w:rPr>
              <w:t>配料区</w:t>
            </w:r>
            <w:r>
              <w:rPr>
                <w:rFonts w:hint="eastAsia" w:cs="仿宋"/>
                <w:color w:val="auto"/>
                <w:kern w:val="2"/>
                <w:sz w:val="21"/>
                <w:szCs w:val="21"/>
                <w:highlight w:val="none"/>
                <w:lang w:val="en-US" w:eastAsia="zh-CN" w:bidi="ar-SA"/>
              </w:rPr>
              <w:t>、涂布区</w:t>
            </w:r>
            <w:r>
              <w:rPr>
                <w:rFonts w:hint="eastAsia" w:ascii="Times New Roman" w:hAnsi="Times New Roman" w:eastAsia="宋体" w:cs="仿宋"/>
                <w:color w:val="auto"/>
                <w:kern w:val="2"/>
                <w:sz w:val="21"/>
                <w:szCs w:val="21"/>
                <w:highlight w:val="none"/>
                <w:lang w:val="en-US" w:eastAsia="zh-CN" w:bidi="ar-SA"/>
              </w:rPr>
              <w:t>采取一般防渗；其他区域采取简单防渗措施。</w:t>
            </w:r>
          </w:p>
        </w:tc>
      </w:tr>
      <w:tr w14:paraId="61BC7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78" w:type="dxa"/>
            <w:noWrap w:val="0"/>
            <w:vAlign w:val="center"/>
          </w:tcPr>
          <w:p w14:paraId="42070DD6">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z w:val="21"/>
                <w:szCs w:val="21"/>
              </w:rPr>
            </w:pPr>
            <w:r>
              <w:rPr>
                <w:rFonts w:hint="eastAsia" w:ascii="宋体" w:hAnsi="宋体" w:cs="宋体"/>
                <w:color w:val="auto"/>
                <w:sz w:val="21"/>
                <w:szCs w:val="21"/>
              </w:rPr>
              <w:t>生态保护措施</w:t>
            </w:r>
          </w:p>
        </w:tc>
        <w:tc>
          <w:tcPr>
            <w:tcW w:w="7022" w:type="dxa"/>
            <w:gridSpan w:val="4"/>
            <w:noWrap w:val="0"/>
            <w:vAlign w:val="center"/>
          </w:tcPr>
          <w:p w14:paraId="1397B329">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加强周边绿化，降低对周围生态环境的影响。</w:t>
            </w:r>
          </w:p>
        </w:tc>
      </w:tr>
      <w:tr w14:paraId="0A3BD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778" w:type="dxa"/>
            <w:noWrap w:val="0"/>
            <w:vAlign w:val="center"/>
          </w:tcPr>
          <w:p w14:paraId="4E6B776E">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pacing w:val="-8"/>
                <w:sz w:val="21"/>
                <w:szCs w:val="21"/>
              </w:rPr>
            </w:pPr>
            <w:r>
              <w:rPr>
                <w:rFonts w:hint="eastAsia" w:ascii="宋体" w:hAnsi="宋体" w:cs="宋体"/>
                <w:color w:val="auto"/>
                <w:spacing w:val="-8"/>
                <w:sz w:val="21"/>
                <w:szCs w:val="21"/>
              </w:rPr>
              <w:t>环境风险</w:t>
            </w:r>
          </w:p>
          <w:p w14:paraId="40ACF0F6">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pacing w:val="-8"/>
                <w:sz w:val="21"/>
                <w:szCs w:val="21"/>
              </w:rPr>
            </w:pPr>
            <w:r>
              <w:rPr>
                <w:rFonts w:hint="eastAsia" w:ascii="宋体" w:hAnsi="宋体" w:cs="宋体"/>
                <w:color w:val="auto"/>
                <w:spacing w:val="-8"/>
                <w:sz w:val="21"/>
                <w:szCs w:val="21"/>
              </w:rPr>
              <w:t>防范措施</w:t>
            </w:r>
          </w:p>
        </w:tc>
        <w:tc>
          <w:tcPr>
            <w:tcW w:w="7022" w:type="dxa"/>
            <w:gridSpan w:val="4"/>
            <w:noWrap w:val="0"/>
            <w:vAlign w:val="center"/>
          </w:tcPr>
          <w:p w14:paraId="15000958">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Times New Roman" w:hAnsi="Times New Roman" w:eastAsia="宋体" w:cs="仿宋"/>
                <w:color w:val="auto"/>
                <w:kern w:val="2"/>
                <w:sz w:val="21"/>
                <w:szCs w:val="21"/>
                <w:lang w:val="en-US" w:eastAsia="zh-CN" w:bidi="ar-SA"/>
              </w:rPr>
              <w:t>应制定详细的事故应急计划，严格落实报告表提出的各项环境风险防范措施，配备必要的应急设备并对员工进行消防培训，将事故风险环境影响降到最低。</w:t>
            </w:r>
          </w:p>
        </w:tc>
      </w:tr>
      <w:tr w14:paraId="10E37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4" w:hRule="atLeast"/>
          <w:jc w:val="center"/>
        </w:trPr>
        <w:tc>
          <w:tcPr>
            <w:tcW w:w="1778" w:type="dxa"/>
            <w:noWrap w:val="0"/>
            <w:vAlign w:val="center"/>
          </w:tcPr>
          <w:p w14:paraId="2175D3A9">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pacing w:val="-8"/>
                <w:sz w:val="21"/>
                <w:szCs w:val="21"/>
              </w:rPr>
            </w:pPr>
            <w:r>
              <w:rPr>
                <w:rFonts w:hint="eastAsia" w:ascii="宋体" w:hAnsi="宋体" w:cs="宋体"/>
                <w:color w:val="auto"/>
                <w:spacing w:val="-8"/>
                <w:sz w:val="21"/>
                <w:szCs w:val="21"/>
              </w:rPr>
              <w:t>其他环境</w:t>
            </w:r>
          </w:p>
          <w:p w14:paraId="24C5F410">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spacing w:val="-8"/>
                <w:sz w:val="21"/>
                <w:szCs w:val="21"/>
              </w:rPr>
            </w:pPr>
            <w:r>
              <w:rPr>
                <w:rFonts w:hint="eastAsia" w:ascii="宋体" w:hAnsi="宋体" w:cs="宋体"/>
                <w:color w:val="auto"/>
                <w:spacing w:val="-8"/>
                <w:sz w:val="21"/>
                <w:szCs w:val="21"/>
              </w:rPr>
              <w:t>管理要求</w:t>
            </w:r>
          </w:p>
        </w:tc>
        <w:tc>
          <w:tcPr>
            <w:tcW w:w="7022" w:type="dxa"/>
            <w:gridSpan w:val="4"/>
            <w:noWrap w:val="0"/>
            <w:vAlign w:val="center"/>
          </w:tcPr>
          <w:p w14:paraId="557C6278">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（1）建立完善的环境管理制度，设立专门环境管理机构，建立完善的环境监测制度。</w:t>
            </w:r>
          </w:p>
          <w:p w14:paraId="1865B63C">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（2）根据《固定污染源排污许可分类管理名录（2019版）》，本项目属于“</w:t>
            </w:r>
            <w:r>
              <w:rPr>
                <w:rFonts w:hint="eastAsia" w:cs="宋体"/>
                <w:color w:val="auto"/>
                <w:kern w:val="2"/>
                <w:sz w:val="21"/>
                <w:szCs w:val="21"/>
                <w:lang w:val="en-US" w:eastAsia="zh-CN" w:bidi="ar-SA"/>
              </w:rPr>
              <w:t>十七</w:t>
            </w:r>
            <w:r>
              <w:rPr>
                <w:rFonts w:hint="eastAsia" w:ascii="Times New Roman" w:hAnsi="Times New Roman" w:eastAsia="宋体" w:cs="宋体"/>
                <w:color w:val="auto"/>
                <w:kern w:val="2"/>
                <w:sz w:val="21"/>
                <w:szCs w:val="21"/>
                <w:lang w:val="en-US" w:eastAsia="zh-CN" w:bidi="ar-SA"/>
              </w:rPr>
              <w:t>、</w:t>
            </w:r>
            <w:r>
              <w:rPr>
                <w:rFonts w:hint="eastAsia" w:cs="宋体"/>
                <w:color w:val="auto"/>
                <w:kern w:val="2"/>
                <w:sz w:val="21"/>
                <w:szCs w:val="21"/>
                <w:lang w:val="en-US" w:eastAsia="zh-CN" w:bidi="ar-SA"/>
              </w:rPr>
              <w:t>造纸和纸制品业22</w:t>
            </w:r>
            <w:r>
              <w:rPr>
                <w:rFonts w:hint="eastAsia" w:ascii="Times New Roman" w:hAnsi="Times New Roman" w:eastAsia="宋体" w:cs="宋体"/>
                <w:color w:val="auto"/>
                <w:kern w:val="2"/>
                <w:sz w:val="21"/>
                <w:szCs w:val="21"/>
                <w:lang w:val="en-US" w:eastAsia="zh-CN" w:bidi="ar-SA"/>
              </w:rPr>
              <w:t>-</w:t>
            </w:r>
            <w:r>
              <w:rPr>
                <w:rFonts w:hint="eastAsia" w:cs="宋体"/>
                <w:color w:val="auto"/>
                <w:kern w:val="2"/>
                <w:sz w:val="21"/>
                <w:szCs w:val="21"/>
                <w:lang w:val="en-US" w:eastAsia="zh-CN" w:bidi="ar-SA"/>
              </w:rPr>
              <w:t>38</w:t>
            </w:r>
            <w:r>
              <w:rPr>
                <w:rFonts w:hint="eastAsia" w:ascii="Times New Roman" w:hAnsi="Times New Roman" w:eastAsia="宋体" w:cs="宋体"/>
                <w:color w:val="auto"/>
                <w:kern w:val="2"/>
                <w:sz w:val="21"/>
                <w:szCs w:val="21"/>
                <w:lang w:val="en-US" w:eastAsia="zh-CN" w:bidi="ar-SA"/>
              </w:rPr>
              <w:t>.</w:t>
            </w:r>
            <w:r>
              <w:rPr>
                <w:rFonts w:hint="eastAsia" w:cs="宋体"/>
                <w:color w:val="auto"/>
                <w:kern w:val="2"/>
                <w:sz w:val="21"/>
                <w:szCs w:val="21"/>
                <w:lang w:val="en-US" w:eastAsia="zh-CN" w:bidi="ar-SA"/>
              </w:rPr>
              <w:t>纸制品制造223－有工业废水或者废气排放的</w:t>
            </w:r>
            <w:r>
              <w:rPr>
                <w:rFonts w:hint="eastAsia" w:ascii="Times New Roman" w:hAnsi="Times New Roman" w:eastAsia="宋体" w:cs="宋体"/>
                <w:color w:val="auto"/>
                <w:kern w:val="2"/>
                <w:sz w:val="21"/>
                <w:szCs w:val="21"/>
                <w:lang w:val="en-US" w:eastAsia="zh-CN" w:bidi="ar-SA"/>
              </w:rPr>
              <w:t>”，属于实施“</w:t>
            </w:r>
            <w:r>
              <w:rPr>
                <w:rFonts w:hint="eastAsia" w:cs="宋体"/>
                <w:color w:val="auto"/>
                <w:kern w:val="2"/>
                <w:sz w:val="21"/>
                <w:szCs w:val="21"/>
                <w:lang w:val="en-US" w:eastAsia="zh-CN" w:bidi="ar-SA"/>
              </w:rPr>
              <w:t>简化</w:t>
            </w:r>
            <w:r>
              <w:rPr>
                <w:rFonts w:hint="eastAsia" w:ascii="Times New Roman" w:hAnsi="Times New Roman" w:eastAsia="宋体" w:cs="宋体"/>
                <w:color w:val="auto"/>
                <w:kern w:val="2"/>
                <w:sz w:val="21"/>
                <w:szCs w:val="21"/>
                <w:lang w:val="en-US" w:eastAsia="zh-CN" w:bidi="ar-SA"/>
              </w:rPr>
              <w:t>管理”的行业，建设单位应在取得环评批复后、建成投产之前，完成排污许可证的填报工作，合法排污。</w:t>
            </w:r>
          </w:p>
          <w:p w14:paraId="0E4B5032">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（3）根据《排污单位自行监测技术指南 总则</w:t>
            </w:r>
            <w:r>
              <w:rPr>
                <w:rFonts w:hint="eastAsia" w:cs="宋体"/>
                <w:color w:val="auto"/>
                <w:kern w:val="2"/>
                <w:sz w:val="21"/>
                <w:szCs w:val="21"/>
                <w:lang w:val="en-US" w:eastAsia="zh-CN" w:bidi="ar-SA"/>
              </w:rPr>
              <w:t>》</w:t>
            </w:r>
            <w:r>
              <w:rPr>
                <w:rFonts w:hint="eastAsia" w:ascii="Times New Roman" w:hAnsi="Times New Roman" w:eastAsia="宋体" w:cs="宋体"/>
                <w:color w:val="auto"/>
                <w:kern w:val="2"/>
                <w:sz w:val="21"/>
                <w:szCs w:val="21"/>
                <w:lang w:val="en-US" w:eastAsia="zh-CN" w:bidi="ar-SA"/>
              </w:rPr>
              <w:t>相关监测要求，制定自行监测计划、定期监测，并跟踪分析监测结果，保证环保设施稳定运行、达标排放。</w:t>
            </w:r>
          </w:p>
          <w:p w14:paraId="1A39746E">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（4）环保设施执行“三同时”制度，项目竣工正式投入运行前，对建设项目进行环境保护验收。</w:t>
            </w:r>
          </w:p>
          <w:p w14:paraId="7B26FCAD">
            <w:pPr>
              <w:pStyle w:val="65"/>
              <w:keepNext w:val="0"/>
              <w:keepLines w:val="0"/>
              <w:suppressLineNumbers w:val="0"/>
              <w:spacing w:before="0" w:beforeAutospacing="0" w:after="0" w:afterAutospacing="0" w:line="240" w:lineRule="auto"/>
              <w:ind w:left="2" w:leftChars="0" w:right="0" w:rightChars="0" w:firstLine="420" w:firstLineChars="200"/>
              <w:jc w:val="both"/>
              <w:rPr>
                <w:rFonts w:hint="default" w:ascii="宋体" w:hAnsi="宋体"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（5）企业应及时记录实验、排污、管理等信息台账；企业应制定严格的管理制度，加强员工环保意识。</w:t>
            </w:r>
          </w:p>
        </w:tc>
      </w:tr>
    </w:tbl>
    <w:p w14:paraId="092CE5C1">
      <w:pPr>
        <w:pStyle w:val="30"/>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DFEB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77" w:hRule="atLeast"/>
          <w:jc w:val="center"/>
        </w:trPr>
        <w:tc>
          <w:tcPr>
            <w:tcW w:w="8865" w:type="dxa"/>
            <w:noWrap w:val="0"/>
            <w:vAlign w:val="top"/>
          </w:tcPr>
          <w:p w14:paraId="4279E9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Times New Roman" w:cs="宋体"/>
                <w:color w:val="auto"/>
                <w:sz w:val="24"/>
                <w:szCs w:val="24"/>
              </w:rPr>
            </w:pPr>
            <w:r>
              <w:rPr>
                <w:rFonts w:hint="default" w:ascii="Times New Roman" w:hAnsi="Times New Roman" w:cs="宋体"/>
                <w:color w:val="auto"/>
                <w:sz w:val="24"/>
                <w:szCs w:val="24"/>
              </w:rPr>
              <w:t>本项目在</w:t>
            </w:r>
            <w:r>
              <w:rPr>
                <w:rFonts w:hint="eastAsia" w:ascii="Times New Roman" w:hAnsi="Times New Roman" w:cs="宋体"/>
                <w:color w:val="auto"/>
                <w:sz w:val="24"/>
                <w:szCs w:val="24"/>
                <w:lang w:val="en-US" w:eastAsia="zh-CN"/>
              </w:rPr>
              <w:t>建设运行</w:t>
            </w:r>
            <w:r>
              <w:rPr>
                <w:rFonts w:hint="default" w:ascii="Times New Roman" w:hAnsi="Times New Roman" w:cs="宋体"/>
                <w:color w:val="auto"/>
                <w:sz w:val="24"/>
                <w:szCs w:val="24"/>
              </w:rPr>
              <w:t>过程中会产生废气、废水、噪声、固体废物等，在全面落实本报告表提出的各项环境保护措施的基础上，切实做到“三同时”，并在营运期内持之以恒加强环境管理的前提下，从环境保护角度，本项目环境影响可行。</w:t>
            </w:r>
          </w:p>
        </w:tc>
      </w:tr>
    </w:tbl>
    <w:p w14:paraId="191AAA17">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97D4950">
      <w:pPr>
        <w:pStyle w:val="30"/>
        <w:adjustRightInd w:val="0"/>
        <w:snapToGrid w:val="0"/>
        <w:spacing w:before="0" w:beforeAutospacing="0" w:after="0" w:afterAutospacing="0" w:line="240"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3A0F2F9B">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34"/>
        <w:tblW w:w="1410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688"/>
        <w:gridCol w:w="1632"/>
        <w:gridCol w:w="1576"/>
        <w:gridCol w:w="1521"/>
      </w:tblGrid>
      <w:tr w14:paraId="223B3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tcBorders>
              <w:tl2br w:val="single" w:color="auto" w:sz="4" w:space="0"/>
            </w:tcBorders>
            <w:noWrap w:val="0"/>
            <w:tcMar>
              <w:left w:w="28" w:type="dxa"/>
              <w:right w:w="28" w:type="dxa"/>
            </w:tcMar>
            <w:vAlign w:val="center"/>
          </w:tcPr>
          <w:p w14:paraId="620E222C">
            <w:pPr>
              <w:pStyle w:val="59"/>
              <w:keepNext w:val="0"/>
              <w:keepLines w:val="0"/>
              <w:suppressLineNumbers w:val="0"/>
              <w:spacing w:before="0" w:beforeLines="0" w:beforeAutospacing="0" w:after="0" w:afterLines="0" w:afterAutospacing="0" w:line="240" w:lineRule="auto"/>
              <w:ind w:left="0" w:right="0"/>
              <w:jc w:val="right"/>
              <w:rPr>
                <w:rFonts w:hint="eastAsia" w:ascii="Times New Roman" w:hAnsi="Times New Roman" w:eastAsia="宋体" w:cs="宋体"/>
                <w:snapToGrid w:val="0"/>
                <w:color w:val="auto"/>
                <w:spacing w:val="-6"/>
                <w:kern w:val="21"/>
                <w:sz w:val="21"/>
                <w:szCs w:val="21"/>
              </w:rPr>
            </w:pPr>
            <w:r>
              <w:rPr>
                <w:rFonts w:hint="eastAsia" w:ascii="Times New Roman" w:hAnsi="Times New Roman" w:eastAsia="宋体" w:cs="宋体"/>
                <w:snapToGrid w:val="0"/>
                <w:color w:val="auto"/>
                <w:spacing w:val="-6"/>
                <w:kern w:val="21"/>
                <w:sz w:val="21"/>
                <w:szCs w:val="21"/>
              </w:rPr>
              <w:t>项目</w:t>
            </w:r>
          </w:p>
          <w:p w14:paraId="1D37F496">
            <w:pPr>
              <w:pStyle w:val="59"/>
              <w:keepNext w:val="0"/>
              <w:keepLines w:val="0"/>
              <w:suppressLineNumbers w:val="0"/>
              <w:spacing w:before="0" w:beforeLines="0" w:beforeAutospacing="0" w:after="0" w:afterLines="0" w:afterAutospacing="0" w:line="240" w:lineRule="auto"/>
              <w:ind w:left="0" w:right="0"/>
              <w:jc w:val="left"/>
              <w:rPr>
                <w:rFonts w:hint="eastAsia" w:ascii="Times New Roman" w:hAnsi="Times New Roman" w:eastAsia="宋体" w:cs="宋体"/>
                <w:snapToGrid w:val="0"/>
                <w:color w:val="auto"/>
                <w:spacing w:val="-6"/>
                <w:kern w:val="21"/>
                <w:sz w:val="21"/>
                <w:szCs w:val="21"/>
              </w:rPr>
            </w:pPr>
            <w:r>
              <w:rPr>
                <w:rFonts w:hint="eastAsia" w:ascii="Times New Roman" w:hAnsi="Times New Roman" w:eastAsia="宋体" w:cs="宋体"/>
                <w:snapToGrid w:val="0"/>
                <w:color w:val="auto"/>
                <w:spacing w:val="-6"/>
                <w:kern w:val="21"/>
                <w:sz w:val="21"/>
                <w:szCs w:val="21"/>
              </w:rPr>
              <w:t>分类</w:t>
            </w:r>
          </w:p>
        </w:tc>
        <w:tc>
          <w:tcPr>
            <w:tcW w:w="1417" w:type="dxa"/>
            <w:noWrap w:val="0"/>
            <w:tcMar>
              <w:left w:w="28" w:type="dxa"/>
              <w:right w:w="28" w:type="dxa"/>
            </w:tcMar>
            <w:vAlign w:val="center"/>
          </w:tcPr>
          <w:p w14:paraId="03A5CD90">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spacing w:val="-6"/>
                <w:kern w:val="21"/>
                <w:sz w:val="21"/>
                <w:szCs w:val="21"/>
              </w:rPr>
            </w:pPr>
            <w:r>
              <w:rPr>
                <w:rFonts w:hint="eastAsia" w:ascii="Times New Roman" w:hAnsi="Times New Roman" w:eastAsia="宋体" w:cs="宋体"/>
                <w:snapToGrid w:val="0"/>
                <w:color w:val="auto"/>
                <w:spacing w:val="-6"/>
                <w:kern w:val="21"/>
                <w:sz w:val="21"/>
                <w:szCs w:val="21"/>
              </w:rPr>
              <w:t>污染物名称</w:t>
            </w:r>
          </w:p>
        </w:tc>
        <w:tc>
          <w:tcPr>
            <w:tcW w:w="1701" w:type="dxa"/>
            <w:noWrap w:val="0"/>
            <w:tcMar>
              <w:left w:w="28" w:type="dxa"/>
              <w:right w:w="28" w:type="dxa"/>
            </w:tcMar>
            <w:vAlign w:val="center"/>
          </w:tcPr>
          <w:p w14:paraId="686D300A">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14:paraId="3560B727">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w:t>
            </w:r>
            <w:r>
              <w:rPr>
                <w:rFonts w:hint="eastAsia" w:ascii="Times New Roman" w:hAnsi="Times New Roman" w:eastAsia="宋体" w:cs="Times New Roman"/>
                <w:snapToGrid w:val="0"/>
                <w:color w:val="auto"/>
                <w:spacing w:val="-6"/>
                <w:kern w:val="21"/>
                <w:sz w:val="21"/>
                <w:szCs w:val="21"/>
              </w:rPr>
              <w:t>体</w:t>
            </w:r>
            <w:r>
              <w:rPr>
                <w:rFonts w:hint="default" w:ascii="Times New Roman" w:hAnsi="Times New Roman" w:eastAsia="宋体" w:cs="Times New Roman"/>
                <w:snapToGrid w:val="0"/>
                <w:color w:val="auto"/>
                <w:spacing w:val="-6"/>
                <w:kern w:val="21"/>
                <w:sz w:val="21"/>
                <w:szCs w:val="21"/>
              </w:rPr>
              <w:t>废</w:t>
            </w:r>
            <w:r>
              <w:rPr>
                <w:rFonts w:hint="eastAsia" w:ascii="Times New Roman" w:hAnsi="Times New Roman" w:eastAsia="宋体" w:cs="Times New Roman"/>
                <w:snapToGrid w:val="0"/>
                <w:color w:val="auto"/>
                <w:spacing w:val="-6"/>
                <w:kern w:val="21"/>
                <w:sz w:val="21"/>
                <w:szCs w:val="21"/>
              </w:rPr>
              <w:t>物</w:t>
            </w:r>
            <w:r>
              <w:rPr>
                <w:rFonts w:hint="default" w:ascii="Times New Roman" w:hAnsi="Times New Roman" w:eastAsia="宋体" w:cs="Times New Roman"/>
                <w:snapToGrid w:val="0"/>
                <w:color w:val="auto"/>
                <w:spacing w:val="-6"/>
                <w:kern w:val="21"/>
                <w:sz w:val="21"/>
                <w:szCs w:val="21"/>
              </w:rPr>
              <w:t>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1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eastAsia" w:ascii="Times New Roman" w:hAnsi="Times New Roman" w:eastAsia="宋体" w:cs="宋体"/>
                <w:color w:val="auto"/>
                <w:kern w:val="2"/>
                <w:sz w:val="21"/>
                <w:szCs w:val="21"/>
              </w:rPr>
              <w:t>①</w:t>
            </w:r>
            <w:r>
              <w:rPr>
                <w:rFonts w:hint="default" w:ascii="Times New Roman" w:hAnsi="Times New Roman" w:eastAsia="宋体" w:cs="Times New Roman"/>
                <w:snapToGrid w:val="0"/>
                <w:color w:val="auto"/>
                <w:spacing w:val="-6"/>
                <w:kern w:val="21"/>
                <w:sz w:val="21"/>
                <w:szCs w:val="21"/>
              </w:rPr>
              <w:fldChar w:fldCharType="end"/>
            </w:r>
          </w:p>
        </w:tc>
        <w:tc>
          <w:tcPr>
            <w:tcW w:w="1276" w:type="dxa"/>
            <w:noWrap w:val="0"/>
            <w:tcMar>
              <w:left w:w="28" w:type="dxa"/>
              <w:right w:w="28" w:type="dxa"/>
            </w:tcMar>
            <w:vAlign w:val="center"/>
          </w:tcPr>
          <w:p w14:paraId="5BF6BEBA">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14:paraId="1B227D1E">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许可排放量</w:t>
            </w:r>
          </w:p>
          <w:p w14:paraId="1EC232B0">
            <w:pPr>
              <w:pStyle w:val="59"/>
              <w:keepNext w:val="0"/>
              <w:keepLines w:val="0"/>
              <w:suppressLineNumbers w:val="0"/>
              <w:spacing w:before="0" w:beforeLines="0" w:beforeAutospacing="0" w:after="0" w:afterLines="0" w:afterAutospacing="0"/>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2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eastAsia" w:ascii="Times New Roman" w:hAnsi="Times New Roman" w:eastAsia="宋体" w:cs="宋体"/>
                <w:snapToGrid w:val="0"/>
                <w:color w:val="auto"/>
                <w:spacing w:val="-6"/>
                <w:kern w:val="21"/>
                <w:sz w:val="21"/>
                <w:szCs w:val="21"/>
              </w:rPr>
              <w:t>②</w:t>
            </w:r>
            <w:r>
              <w:rPr>
                <w:rFonts w:hint="default" w:ascii="Times New Roman" w:hAnsi="Times New Roman" w:eastAsia="宋体" w:cs="Times New Roman"/>
                <w:snapToGrid w:val="0"/>
                <w:color w:val="auto"/>
                <w:spacing w:val="-6"/>
                <w:kern w:val="21"/>
                <w:sz w:val="21"/>
                <w:szCs w:val="21"/>
              </w:rPr>
              <w:fldChar w:fldCharType="end"/>
            </w:r>
          </w:p>
        </w:tc>
        <w:tc>
          <w:tcPr>
            <w:tcW w:w="1701" w:type="dxa"/>
            <w:noWrap w:val="0"/>
            <w:tcMar>
              <w:left w:w="28" w:type="dxa"/>
              <w:right w:w="28" w:type="dxa"/>
            </w:tcMar>
            <w:vAlign w:val="center"/>
          </w:tcPr>
          <w:p w14:paraId="421248EA">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在建工程</w:t>
            </w:r>
          </w:p>
          <w:p w14:paraId="5F187316">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w:t>
            </w:r>
            <w:r>
              <w:rPr>
                <w:rFonts w:hint="eastAsia" w:ascii="Times New Roman" w:hAnsi="Times New Roman" w:eastAsia="宋体" w:cs="Times New Roman"/>
                <w:snapToGrid w:val="0"/>
                <w:color w:val="auto"/>
                <w:spacing w:val="-6"/>
                <w:kern w:val="21"/>
                <w:sz w:val="21"/>
                <w:szCs w:val="21"/>
              </w:rPr>
              <w:t>体</w:t>
            </w:r>
            <w:r>
              <w:rPr>
                <w:rFonts w:hint="default" w:ascii="Times New Roman" w:hAnsi="Times New Roman" w:eastAsia="宋体" w:cs="Times New Roman"/>
                <w:snapToGrid w:val="0"/>
                <w:color w:val="auto"/>
                <w:spacing w:val="-6"/>
                <w:kern w:val="21"/>
                <w:sz w:val="21"/>
                <w:szCs w:val="21"/>
              </w:rPr>
              <w:t>废</w:t>
            </w:r>
            <w:r>
              <w:rPr>
                <w:rFonts w:hint="eastAsia" w:ascii="Times New Roman" w:hAnsi="Times New Roman" w:eastAsia="宋体" w:cs="Times New Roman"/>
                <w:snapToGrid w:val="0"/>
                <w:color w:val="auto"/>
                <w:spacing w:val="-6"/>
                <w:kern w:val="21"/>
                <w:sz w:val="21"/>
                <w:szCs w:val="21"/>
              </w:rPr>
              <w:t>物</w:t>
            </w:r>
            <w:r>
              <w:rPr>
                <w:rFonts w:hint="default" w:ascii="Times New Roman" w:hAnsi="Times New Roman" w:eastAsia="宋体" w:cs="Times New Roman"/>
                <w:snapToGrid w:val="0"/>
                <w:color w:val="auto"/>
                <w:spacing w:val="-6"/>
                <w:kern w:val="21"/>
                <w:sz w:val="21"/>
                <w:szCs w:val="21"/>
              </w:rPr>
              <w:t>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3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eastAsia" w:ascii="Times New Roman" w:hAnsi="Times New Roman" w:eastAsia="宋体" w:cs="宋体"/>
                <w:color w:val="auto"/>
                <w:kern w:val="2"/>
                <w:sz w:val="21"/>
                <w:szCs w:val="21"/>
              </w:rPr>
              <w:t>③</w:t>
            </w:r>
            <w:r>
              <w:rPr>
                <w:rFonts w:hint="default" w:ascii="Times New Roman" w:hAnsi="Times New Roman" w:eastAsia="宋体" w:cs="Times New Roman"/>
                <w:snapToGrid w:val="0"/>
                <w:color w:val="auto"/>
                <w:spacing w:val="-6"/>
                <w:kern w:val="21"/>
                <w:sz w:val="21"/>
                <w:szCs w:val="21"/>
              </w:rPr>
              <w:fldChar w:fldCharType="end"/>
            </w:r>
          </w:p>
        </w:tc>
        <w:tc>
          <w:tcPr>
            <w:tcW w:w="1688" w:type="dxa"/>
            <w:noWrap w:val="0"/>
            <w:tcMar>
              <w:left w:w="28" w:type="dxa"/>
              <w:right w:w="28" w:type="dxa"/>
            </w:tcMar>
            <w:vAlign w:val="center"/>
          </w:tcPr>
          <w:p w14:paraId="58490485">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本项目</w:t>
            </w:r>
          </w:p>
          <w:p w14:paraId="2F76AD36">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w:t>
            </w:r>
            <w:r>
              <w:rPr>
                <w:rFonts w:hint="eastAsia" w:ascii="Times New Roman" w:hAnsi="Times New Roman" w:eastAsia="宋体" w:cs="Times New Roman"/>
                <w:snapToGrid w:val="0"/>
                <w:color w:val="auto"/>
                <w:spacing w:val="-6"/>
                <w:kern w:val="21"/>
                <w:sz w:val="21"/>
                <w:szCs w:val="21"/>
              </w:rPr>
              <w:t>体</w:t>
            </w:r>
            <w:r>
              <w:rPr>
                <w:rFonts w:hint="default" w:ascii="Times New Roman" w:hAnsi="Times New Roman" w:eastAsia="宋体" w:cs="Times New Roman"/>
                <w:snapToGrid w:val="0"/>
                <w:color w:val="auto"/>
                <w:spacing w:val="-6"/>
                <w:kern w:val="21"/>
                <w:sz w:val="21"/>
                <w:szCs w:val="21"/>
              </w:rPr>
              <w:t>废</w:t>
            </w:r>
            <w:r>
              <w:rPr>
                <w:rFonts w:hint="eastAsia" w:ascii="Times New Roman" w:hAnsi="Times New Roman" w:eastAsia="宋体" w:cs="Times New Roman"/>
                <w:snapToGrid w:val="0"/>
                <w:color w:val="auto"/>
                <w:spacing w:val="-6"/>
                <w:kern w:val="21"/>
                <w:sz w:val="21"/>
                <w:szCs w:val="21"/>
              </w:rPr>
              <w:t>物</w:t>
            </w:r>
            <w:r>
              <w:rPr>
                <w:rFonts w:hint="default" w:ascii="Times New Roman" w:hAnsi="Times New Roman" w:eastAsia="宋体" w:cs="Times New Roman"/>
                <w:snapToGrid w:val="0"/>
                <w:color w:val="auto"/>
                <w:spacing w:val="-6"/>
                <w:kern w:val="21"/>
                <w:sz w:val="21"/>
                <w:szCs w:val="21"/>
              </w:rPr>
              <w:t>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4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eastAsia" w:ascii="Times New Roman" w:hAnsi="Times New Roman" w:eastAsia="宋体" w:cs="宋体"/>
                <w:color w:val="auto"/>
                <w:kern w:val="2"/>
                <w:sz w:val="21"/>
                <w:szCs w:val="21"/>
              </w:rPr>
              <w:t>④</w:t>
            </w:r>
            <w:r>
              <w:rPr>
                <w:rFonts w:hint="default" w:ascii="Times New Roman" w:hAnsi="Times New Roman" w:eastAsia="宋体" w:cs="Times New Roman"/>
                <w:snapToGrid w:val="0"/>
                <w:color w:val="auto"/>
                <w:spacing w:val="-6"/>
                <w:kern w:val="21"/>
                <w:sz w:val="21"/>
                <w:szCs w:val="21"/>
              </w:rPr>
              <w:fldChar w:fldCharType="end"/>
            </w:r>
          </w:p>
        </w:tc>
        <w:tc>
          <w:tcPr>
            <w:tcW w:w="1632" w:type="dxa"/>
            <w:noWrap w:val="0"/>
            <w:tcMar>
              <w:left w:w="28" w:type="dxa"/>
              <w:right w:w="28" w:type="dxa"/>
            </w:tcMar>
            <w:vAlign w:val="center"/>
          </w:tcPr>
          <w:p w14:paraId="18CA404E">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以新带老削减量</w:t>
            </w:r>
          </w:p>
          <w:p w14:paraId="792A8B94">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（新建项目不填）</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5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eastAsia" w:ascii="Times New Roman" w:hAnsi="Times New Roman" w:eastAsia="宋体" w:cs="宋体"/>
                <w:color w:val="auto"/>
                <w:kern w:val="2"/>
                <w:sz w:val="21"/>
                <w:szCs w:val="21"/>
              </w:rPr>
              <w:t>⑤</w:t>
            </w:r>
            <w:r>
              <w:rPr>
                <w:rFonts w:hint="default" w:ascii="Times New Roman" w:hAnsi="Times New Roman" w:eastAsia="宋体" w:cs="Times New Roman"/>
                <w:snapToGrid w:val="0"/>
                <w:color w:val="auto"/>
                <w:spacing w:val="-16"/>
                <w:kern w:val="21"/>
                <w:sz w:val="21"/>
                <w:szCs w:val="21"/>
              </w:rPr>
              <w:fldChar w:fldCharType="end"/>
            </w:r>
          </w:p>
        </w:tc>
        <w:tc>
          <w:tcPr>
            <w:tcW w:w="1576" w:type="dxa"/>
            <w:noWrap w:val="0"/>
            <w:tcMar>
              <w:left w:w="28" w:type="dxa"/>
              <w:right w:w="28" w:type="dxa"/>
            </w:tcMar>
            <w:vAlign w:val="center"/>
          </w:tcPr>
          <w:p w14:paraId="44EFAF44">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本项目建成后</w:t>
            </w:r>
          </w:p>
          <w:p w14:paraId="01ACB34F">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 w:val="21"/>
                <w:szCs w:val="21"/>
              </w:rPr>
            </w:pPr>
            <w:r>
              <w:rPr>
                <w:rFonts w:hint="eastAsia" w:ascii="Times New Roman" w:hAnsi="Times New Roman" w:eastAsia="宋体" w:cs="Times New Roman"/>
                <w:snapToGrid w:val="0"/>
                <w:color w:val="auto"/>
                <w:spacing w:val="-16"/>
                <w:kern w:val="21"/>
                <w:sz w:val="21"/>
                <w:szCs w:val="21"/>
              </w:rPr>
              <w:t>全厂</w:t>
            </w:r>
            <w:r>
              <w:rPr>
                <w:rFonts w:hint="default" w:ascii="Times New Roman" w:hAnsi="Times New Roman" w:eastAsia="宋体" w:cs="Times New Roman"/>
                <w:snapToGrid w:val="0"/>
                <w:color w:val="auto"/>
                <w:spacing w:val="-16"/>
                <w:kern w:val="21"/>
                <w:sz w:val="21"/>
                <w:szCs w:val="21"/>
              </w:rPr>
              <w:t>排放量（固</w:t>
            </w:r>
            <w:r>
              <w:rPr>
                <w:rFonts w:hint="eastAsia" w:ascii="Times New Roman" w:hAnsi="Times New Roman" w:eastAsia="宋体" w:cs="Times New Roman"/>
                <w:snapToGrid w:val="0"/>
                <w:color w:val="auto"/>
                <w:spacing w:val="-16"/>
                <w:kern w:val="21"/>
                <w:sz w:val="21"/>
                <w:szCs w:val="21"/>
              </w:rPr>
              <w:t>体</w:t>
            </w:r>
            <w:r>
              <w:rPr>
                <w:rFonts w:hint="default" w:ascii="Times New Roman" w:hAnsi="Times New Roman" w:eastAsia="宋体" w:cs="Times New Roman"/>
                <w:snapToGrid w:val="0"/>
                <w:color w:val="auto"/>
                <w:spacing w:val="-16"/>
                <w:kern w:val="21"/>
                <w:sz w:val="21"/>
                <w:szCs w:val="21"/>
              </w:rPr>
              <w:t>废</w:t>
            </w:r>
            <w:r>
              <w:rPr>
                <w:rFonts w:hint="eastAsia" w:ascii="Times New Roman" w:hAnsi="Times New Roman" w:eastAsia="宋体" w:cs="Times New Roman"/>
                <w:snapToGrid w:val="0"/>
                <w:color w:val="auto"/>
                <w:spacing w:val="-16"/>
                <w:kern w:val="21"/>
                <w:sz w:val="21"/>
                <w:szCs w:val="21"/>
              </w:rPr>
              <w:t>物</w:t>
            </w:r>
            <w:r>
              <w:rPr>
                <w:rFonts w:hint="default" w:ascii="Times New Roman" w:hAnsi="Times New Roman" w:eastAsia="宋体" w:cs="Times New Roman"/>
                <w:snapToGrid w:val="0"/>
                <w:color w:val="auto"/>
                <w:spacing w:val="-16"/>
                <w:kern w:val="21"/>
                <w:sz w:val="21"/>
                <w:szCs w:val="21"/>
              </w:rPr>
              <w:t>产生量）</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6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eastAsia" w:ascii="Times New Roman" w:hAnsi="Times New Roman" w:eastAsia="宋体" w:cs="宋体"/>
                <w:color w:val="auto"/>
                <w:kern w:val="2"/>
                <w:sz w:val="21"/>
                <w:szCs w:val="21"/>
              </w:rPr>
              <w:t>⑥</w:t>
            </w:r>
            <w:r>
              <w:rPr>
                <w:rFonts w:hint="default" w:ascii="Times New Roman" w:hAnsi="Times New Roman" w:eastAsia="宋体" w:cs="Times New Roman"/>
                <w:snapToGrid w:val="0"/>
                <w:color w:val="auto"/>
                <w:spacing w:val="-16"/>
                <w:kern w:val="21"/>
                <w:sz w:val="21"/>
                <w:szCs w:val="21"/>
              </w:rPr>
              <w:fldChar w:fldCharType="end"/>
            </w:r>
          </w:p>
        </w:tc>
        <w:tc>
          <w:tcPr>
            <w:tcW w:w="1521" w:type="dxa"/>
            <w:noWrap w:val="0"/>
            <w:tcMar>
              <w:left w:w="28" w:type="dxa"/>
              <w:right w:w="28" w:type="dxa"/>
            </w:tcMar>
            <w:vAlign w:val="center"/>
          </w:tcPr>
          <w:p w14:paraId="063C1678">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变化量</w:t>
            </w:r>
          </w:p>
          <w:p w14:paraId="5DEE93B4">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7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eastAsia" w:ascii="Times New Roman" w:hAnsi="Times New Roman" w:eastAsia="宋体" w:cs="宋体"/>
                <w:color w:val="auto"/>
                <w:kern w:val="2"/>
                <w:sz w:val="21"/>
                <w:szCs w:val="21"/>
              </w:rPr>
              <w:t>⑦</w:t>
            </w:r>
            <w:r>
              <w:rPr>
                <w:rFonts w:hint="default" w:ascii="Times New Roman" w:hAnsi="Times New Roman" w:eastAsia="宋体" w:cs="Times New Roman"/>
                <w:snapToGrid w:val="0"/>
                <w:color w:val="auto"/>
                <w:spacing w:val="-6"/>
                <w:kern w:val="21"/>
                <w:sz w:val="21"/>
                <w:szCs w:val="21"/>
              </w:rPr>
              <w:fldChar w:fldCharType="end"/>
            </w:r>
          </w:p>
        </w:tc>
      </w:tr>
      <w:tr w14:paraId="7886F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14:paraId="2AE620F9">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lang w:val="en-US" w:eastAsia="zh-CN"/>
              </w:rPr>
            </w:pPr>
            <w:r>
              <w:rPr>
                <w:rFonts w:hint="eastAsia" w:ascii="Times New Roman" w:cs="宋体"/>
                <w:snapToGrid w:val="0"/>
                <w:color w:val="auto"/>
                <w:kern w:val="21"/>
                <w:sz w:val="21"/>
                <w:szCs w:val="21"/>
                <w:lang w:val="en-US" w:eastAsia="zh-CN"/>
              </w:rPr>
              <w:t>废气</w:t>
            </w:r>
          </w:p>
        </w:tc>
        <w:tc>
          <w:tcPr>
            <w:tcW w:w="1417" w:type="dxa"/>
            <w:noWrap w:val="0"/>
            <w:vAlign w:val="center"/>
          </w:tcPr>
          <w:p w14:paraId="47E53C46">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颗粒物</w:t>
            </w:r>
          </w:p>
        </w:tc>
        <w:tc>
          <w:tcPr>
            <w:tcW w:w="1701" w:type="dxa"/>
            <w:noWrap w:val="0"/>
            <w:vAlign w:val="center"/>
          </w:tcPr>
          <w:p w14:paraId="543E0C51">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276" w:type="dxa"/>
            <w:noWrap w:val="0"/>
            <w:vAlign w:val="center"/>
          </w:tcPr>
          <w:p w14:paraId="0CDFC966">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701" w:type="dxa"/>
            <w:noWrap w:val="0"/>
            <w:vAlign w:val="center"/>
          </w:tcPr>
          <w:p w14:paraId="24959D04">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688" w:type="dxa"/>
            <w:noWrap w:val="0"/>
            <w:vAlign w:val="center"/>
          </w:tcPr>
          <w:p w14:paraId="228AE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宋体"/>
                <w:snapToGrid w:val="0"/>
                <w:color w:val="000000"/>
                <w:kern w:val="21"/>
                <w:sz w:val="21"/>
                <w:szCs w:val="21"/>
                <w:highlight w:val="none"/>
                <w:lang w:val="en-US" w:eastAsia="zh-CN"/>
              </w:rPr>
            </w:pPr>
            <w:r>
              <w:rPr>
                <w:rFonts w:hint="eastAsia" w:cs="宋体"/>
                <w:snapToGrid w:val="0"/>
                <w:color w:val="000000"/>
                <w:kern w:val="21"/>
                <w:sz w:val="21"/>
                <w:szCs w:val="21"/>
                <w:highlight w:val="none"/>
                <w:lang w:val="en-US" w:eastAsia="zh-CN"/>
              </w:rPr>
              <w:t>0.27</w:t>
            </w:r>
            <w:r>
              <w:rPr>
                <w:rFonts w:hint="eastAsia" w:ascii="Times New Roman" w:hAnsi="Times New Roman" w:eastAsia="宋体" w:cs="宋体"/>
                <w:snapToGrid w:val="0"/>
                <w:color w:val="000000"/>
                <w:kern w:val="21"/>
                <w:sz w:val="21"/>
                <w:szCs w:val="21"/>
                <w:highlight w:val="none"/>
                <w:lang w:val="en-US" w:eastAsia="zh-CN"/>
              </w:rPr>
              <w:t>t/a</w:t>
            </w:r>
          </w:p>
        </w:tc>
        <w:tc>
          <w:tcPr>
            <w:tcW w:w="1632" w:type="dxa"/>
            <w:noWrap w:val="0"/>
            <w:vAlign w:val="center"/>
          </w:tcPr>
          <w:p w14:paraId="6BD6D1DA">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576" w:type="dxa"/>
            <w:noWrap w:val="0"/>
            <w:vAlign w:val="center"/>
          </w:tcPr>
          <w:p w14:paraId="46132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宋体"/>
                <w:snapToGrid w:val="0"/>
                <w:color w:val="000000"/>
                <w:kern w:val="21"/>
                <w:sz w:val="21"/>
                <w:szCs w:val="21"/>
                <w:highlight w:val="none"/>
                <w:lang w:val="en-US" w:eastAsia="zh-CN"/>
              </w:rPr>
            </w:pPr>
            <w:r>
              <w:rPr>
                <w:rFonts w:hint="eastAsia" w:cs="宋体"/>
                <w:snapToGrid w:val="0"/>
                <w:color w:val="000000"/>
                <w:kern w:val="21"/>
                <w:sz w:val="21"/>
                <w:szCs w:val="21"/>
                <w:highlight w:val="none"/>
                <w:lang w:val="en-US" w:eastAsia="zh-CN"/>
              </w:rPr>
              <w:t>0.27</w:t>
            </w:r>
            <w:r>
              <w:rPr>
                <w:rFonts w:hint="eastAsia" w:ascii="Times New Roman" w:hAnsi="Times New Roman" w:eastAsia="宋体" w:cs="宋体"/>
                <w:snapToGrid w:val="0"/>
                <w:color w:val="000000"/>
                <w:kern w:val="21"/>
                <w:sz w:val="21"/>
                <w:szCs w:val="21"/>
                <w:highlight w:val="none"/>
                <w:lang w:val="en-US" w:eastAsia="zh-CN"/>
              </w:rPr>
              <w:t>t/a</w:t>
            </w:r>
          </w:p>
        </w:tc>
        <w:tc>
          <w:tcPr>
            <w:tcW w:w="1521" w:type="dxa"/>
            <w:noWrap w:val="0"/>
            <w:vAlign w:val="center"/>
          </w:tcPr>
          <w:p w14:paraId="6C6FF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宋体"/>
                <w:snapToGrid w:val="0"/>
                <w:color w:val="000000"/>
                <w:kern w:val="21"/>
                <w:sz w:val="21"/>
                <w:szCs w:val="21"/>
                <w:highlight w:val="none"/>
                <w:lang w:val="en-US" w:eastAsia="zh-CN"/>
              </w:rPr>
            </w:pPr>
            <w:r>
              <w:rPr>
                <w:rFonts w:hint="eastAsia" w:cs="Times New Roman" w:eastAsiaTheme="minorEastAsia"/>
                <w:color w:val="000000"/>
                <w:sz w:val="21"/>
                <w:szCs w:val="21"/>
                <w:highlight w:val="none"/>
                <w:lang w:val="en-US" w:eastAsia="zh-CN"/>
              </w:rPr>
              <w:t>+0.27</w:t>
            </w:r>
            <w:r>
              <w:rPr>
                <w:rFonts w:hint="eastAsia" w:ascii="Times New Roman" w:hAnsi="Times New Roman" w:eastAsia="宋体" w:cs="宋体"/>
                <w:snapToGrid w:val="0"/>
                <w:color w:val="000000"/>
                <w:kern w:val="21"/>
                <w:sz w:val="21"/>
                <w:szCs w:val="21"/>
                <w:highlight w:val="none"/>
                <w:lang w:val="en-US" w:eastAsia="zh-CN"/>
              </w:rPr>
              <w:t>t/a</w:t>
            </w:r>
          </w:p>
        </w:tc>
      </w:tr>
      <w:tr w14:paraId="08EA8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5A43D5B2">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rPr>
            </w:pPr>
          </w:p>
        </w:tc>
        <w:tc>
          <w:tcPr>
            <w:tcW w:w="1417" w:type="dxa"/>
            <w:noWrap w:val="0"/>
            <w:vAlign w:val="center"/>
          </w:tcPr>
          <w:p w14:paraId="1DD9793E">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VOCs</w:t>
            </w:r>
          </w:p>
        </w:tc>
        <w:tc>
          <w:tcPr>
            <w:tcW w:w="1701" w:type="dxa"/>
            <w:noWrap w:val="0"/>
            <w:vAlign w:val="center"/>
          </w:tcPr>
          <w:p w14:paraId="2289CF00">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276" w:type="dxa"/>
            <w:noWrap w:val="0"/>
            <w:vAlign w:val="center"/>
          </w:tcPr>
          <w:p w14:paraId="4D84A56E">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701" w:type="dxa"/>
            <w:noWrap w:val="0"/>
            <w:vAlign w:val="center"/>
          </w:tcPr>
          <w:p w14:paraId="60B8142E">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688" w:type="dxa"/>
            <w:noWrap w:val="0"/>
            <w:vAlign w:val="center"/>
          </w:tcPr>
          <w:p w14:paraId="593210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宋体"/>
                <w:snapToGrid w:val="0"/>
                <w:color w:val="000000"/>
                <w:kern w:val="21"/>
                <w:sz w:val="21"/>
                <w:szCs w:val="21"/>
                <w:highlight w:val="none"/>
                <w:lang w:val="en-US" w:eastAsia="zh-CN"/>
              </w:rPr>
            </w:pPr>
            <w:r>
              <w:rPr>
                <w:rFonts w:hint="eastAsia" w:cs="Times New Roman" w:eastAsiaTheme="minorEastAsia"/>
                <w:color w:val="000000"/>
                <w:sz w:val="21"/>
                <w:szCs w:val="21"/>
                <w:highlight w:val="none"/>
                <w:lang w:val="en-US" w:eastAsia="zh-CN"/>
              </w:rPr>
              <w:t>0.1</w:t>
            </w:r>
            <w:r>
              <w:rPr>
                <w:rFonts w:hint="eastAsia" w:ascii="Times New Roman" w:hAnsi="Times New Roman" w:eastAsia="宋体" w:cs="宋体"/>
                <w:snapToGrid w:val="0"/>
                <w:color w:val="000000"/>
                <w:kern w:val="21"/>
                <w:sz w:val="21"/>
                <w:szCs w:val="21"/>
                <w:highlight w:val="none"/>
                <w:lang w:val="en-US" w:eastAsia="zh-CN"/>
              </w:rPr>
              <w:t>t/a</w:t>
            </w:r>
          </w:p>
        </w:tc>
        <w:tc>
          <w:tcPr>
            <w:tcW w:w="1632" w:type="dxa"/>
            <w:noWrap w:val="0"/>
            <w:vAlign w:val="center"/>
          </w:tcPr>
          <w:p w14:paraId="41BAC6DD">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576" w:type="dxa"/>
            <w:noWrap w:val="0"/>
            <w:vAlign w:val="center"/>
          </w:tcPr>
          <w:p w14:paraId="66D5F8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宋体"/>
                <w:snapToGrid w:val="0"/>
                <w:color w:val="000000"/>
                <w:kern w:val="21"/>
                <w:sz w:val="21"/>
                <w:szCs w:val="21"/>
                <w:highlight w:val="none"/>
                <w:lang w:val="en-US" w:eastAsia="zh-CN"/>
              </w:rPr>
            </w:pPr>
            <w:r>
              <w:rPr>
                <w:rFonts w:hint="eastAsia" w:cs="Times New Roman" w:eastAsiaTheme="minorEastAsia"/>
                <w:color w:val="000000"/>
                <w:sz w:val="21"/>
                <w:szCs w:val="21"/>
                <w:highlight w:val="none"/>
                <w:lang w:val="en-US" w:eastAsia="zh-CN"/>
              </w:rPr>
              <w:t>0.1</w:t>
            </w:r>
            <w:r>
              <w:rPr>
                <w:rFonts w:hint="eastAsia" w:ascii="Times New Roman" w:hAnsi="Times New Roman" w:eastAsia="宋体" w:cs="宋体"/>
                <w:snapToGrid w:val="0"/>
                <w:color w:val="000000"/>
                <w:kern w:val="21"/>
                <w:sz w:val="21"/>
                <w:szCs w:val="21"/>
                <w:highlight w:val="none"/>
                <w:lang w:val="en-US" w:eastAsia="zh-CN"/>
              </w:rPr>
              <w:t>t/a</w:t>
            </w:r>
          </w:p>
        </w:tc>
        <w:tc>
          <w:tcPr>
            <w:tcW w:w="1521" w:type="dxa"/>
            <w:noWrap w:val="0"/>
            <w:vAlign w:val="center"/>
          </w:tcPr>
          <w:p w14:paraId="7E3CF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宋体"/>
                <w:snapToGrid w:val="0"/>
                <w:color w:val="000000"/>
                <w:kern w:val="21"/>
                <w:sz w:val="21"/>
                <w:szCs w:val="21"/>
                <w:highlight w:val="none"/>
                <w:lang w:val="en-US" w:eastAsia="zh-CN"/>
              </w:rPr>
            </w:pPr>
            <w:r>
              <w:rPr>
                <w:rFonts w:hint="eastAsia" w:cs="Times New Roman" w:eastAsiaTheme="minorEastAsia"/>
                <w:color w:val="000000"/>
                <w:sz w:val="21"/>
                <w:szCs w:val="21"/>
                <w:highlight w:val="none"/>
                <w:lang w:val="en-US" w:eastAsia="zh-CN"/>
              </w:rPr>
              <w:t>+0.1</w:t>
            </w:r>
            <w:r>
              <w:rPr>
                <w:rFonts w:hint="eastAsia" w:ascii="Times New Roman" w:hAnsi="Times New Roman" w:eastAsia="宋体" w:cs="宋体"/>
                <w:snapToGrid w:val="0"/>
                <w:color w:val="000000"/>
                <w:kern w:val="21"/>
                <w:sz w:val="21"/>
                <w:szCs w:val="21"/>
                <w:highlight w:val="none"/>
                <w:lang w:val="en-US" w:eastAsia="zh-CN"/>
              </w:rPr>
              <w:t>t/a</w:t>
            </w:r>
          </w:p>
        </w:tc>
      </w:tr>
      <w:tr w14:paraId="7D5642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14:paraId="3411CF70">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rPr>
            </w:pPr>
            <w:r>
              <w:rPr>
                <w:rFonts w:hint="eastAsia" w:ascii="Times New Roman" w:hAnsi="Times New Roman" w:eastAsia="宋体" w:cs="宋体"/>
                <w:snapToGrid w:val="0"/>
                <w:color w:val="auto"/>
                <w:kern w:val="21"/>
                <w:sz w:val="21"/>
                <w:szCs w:val="21"/>
              </w:rPr>
              <w:t>废水</w:t>
            </w:r>
          </w:p>
        </w:tc>
        <w:tc>
          <w:tcPr>
            <w:tcW w:w="1417" w:type="dxa"/>
            <w:noWrap w:val="0"/>
            <w:vAlign w:val="center"/>
          </w:tcPr>
          <w:p w14:paraId="0BC1BC0A">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eastAsia="zh-CN"/>
              </w:rPr>
              <w:t>COD</w:t>
            </w:r>
            <w:r>
              <w:rPr>
                <w:rFonts w:hint="eastAsia" w:ascii="Times New Roman" w:hAnsi="Times New Roman" w:eastAsia="宋体" w:cs="Times New Roman"/>
                <w:snapToGrid w:val="0"/>
                <w:color w:val="auto"/>
                <w:kern w:val="21"/>
                <w:sz w:val="21"/>
                <w:szCs w:val="21"/>
                <w:lang w:eastAsia="zh-CN"/>
              </w:rPr>
              <w:t>cr</w:t>
            </w:r>
          </w:p>
        </w:tc>
        <w:tc>
          <w:tcPr>
            <w:tcW w:w="1701" w:type="dxa"/>
            <w:noWrap w:val="0"/>
            <w:vAlign w:val="center"/>
          </w:tcPr>
          <w:p w14:paraId="74BBA5C5">
            <w:pPr>
              <w:pStyle w:val="59"/>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276" w:type="dxa"/>
            <w:noWrap w:val="0"/>
            <w:vAlign w:val="center"/>
          </w:tcPr>
          <w:p w14:paraId="69C4F10C">
            <w:pPr>
              <w:pStyle w:val="59"/>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701" w:type="dxa"/>
            <w:noWrap w:val="0"/>
            <w:vAlign w:val="center"/>
          </w:tcPr>
          <w:p w14:paraId="199F96F8">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hAnsi="Times New Roman" w:eastAsia="宋体" w:cs="宋体"/>
                <w:snapToGrid w:val="0"/>
                <w:color w:val="auto"/>
                <w:kern w:val="21"/>
                <w:sz w:val="21"/>
                <w:szCs w:val="21"/>
                <w:highlight w:val="none"/>
                <w:lang w:val="en-US" w:eastAsia="zh-CN"/>
              </w:rPr>
              <w:t>0</w:t>
            </w:r>
          </w:p>
        </w:tc>
        <w:tc>
          <w:tcPr>
            <w:tcW w:w="1688" w:type="dxa"/>
            <w:noWrap w:val="0"/>
            <w:vAlign w:val="center"/>
          </w:tcPr>
          <w:p w14:paraId="765F54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snapToGrid w:val="0"/>
                <w:color w:val="auto"/>
                <w:kern w:val="21"/>
                <w:sz w:val="21"/>
                <w:szCs w:val="21"/>
                <w:highlight w:val="none"/>
                <w:lang w:val="en-US" w:eastAsia="zh-CN"/>
              </w:rPr>
            </w:pPr>
            <w:r>
              <w:rPr>
                <w:rFonts w:hint="eastAsia" w:cs="Times New Roman" w:eastAsiaTheme="minorEastAsia"/>
                <w:color w:val="000000"/>
                <w:sz w:val="21"/>
                <w:szCs w:val="21"/>
                <w:highlight w:val="none"/>
                <w:lang w:val="en-US" w:eastAsia="zh-CN"/>
              </w:rPr>
              <w:t>0.084</w:t>
            </w:r>
            <w:r>
              <w:rPr>
                <w:rFonts w:hint="eastAsia" w:ascii="Times New Roman" w:hAnsi="Times New Roman" w:eastAsia="宋体" w:cs="宋体"/>
                <w:snapToGrid w:val="0"/>
                <w:color w:val="000000"/>
                <w:kern w:val="21"/>
                <w:sz w:val="21"/>
                <w:szCs w:val="21"/>
                <w:highlight w:val="none"/>
                <w:lang w:val="en-US" w:eastAsia="zh-CN"/>
              </w:rPr>
              <w:t>t/a</w:t>
            </w:r>
          </w:p>
        </w:tc>
        <w:tc>
          <w:tcPr>
            <w:tcW w:w="1632" w:type="dxa"/>
            <w:noWrap w:val="0"/>
            <w:vAlign w:val="center"/>
          </w:tcPr>
          <w:p w14:paraId="0989AF64">
            <w:pPr>
              <w:pStyle w:val="59"/>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576" w:type="dxa"/>
            <w:noWrap w:val="0"/>
            <w:vAlign w:val="center"/>
          </w:tcPr>
          <w:p w14:paraId="4E3B8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snapToGrid w:val="0"/>
                <w:color w:val="auto"/>
                <w:kern w:val="21"/>
                <w:sz w:val="21"/>
                <w:szCs w:val="21"/>
                <w:highlight w:val="none"/>
                <w:lang w:val="en-US" w:eastAsia="zh-CN"/>
              </w:rPr>
            </w:pPr>
            <w:r>
              <w:rPr>
                <w:rFonts w:hint="eastAsia" w:cs="Times New Roman" w:eastAsiaTheme="minorEastAsia"/>
                <w:color w:val="000000"/>
                <w:sz w:val="21"/>
                <w:szCs w:val="21"/>
                <w:highlight w:val="none"/>
                <w:lang w:val="en-US" w:eastAsia="zh-CN"/>
              </w:rPr>
              <w:t>0.084</w:t>
            </w:r>
            <w:r>
              <w:rPr>
                <w:rFonts w:hint="eastAsia" w:ascii="Times New Roman" w:hAnsi="Times New Roman" w:eastAsia="宋体" w:cs="宋体"/>
                <w:snapToGrid w:val="0"/>
                <w:color w:val="000000"/>
                <w:kern w:val="21"/>
                <w:sz w:val="21"/>
                <w:szCs w:val="21"/>
                <w:highlight w:val="none"/>
                <w:lang w:val="en-US" w:eastAsia="zh-CN"/>
              </w:rPr>
              <w:t>t/a</w:t>
            </w:r>
          </w:p>
        </w:tc>
        <w:tc>
          <w:tcPr>
            <w:tcW w:w="1521" w:type="dxa"/>
            <w:noWrap w:val="0"/>
            <w:vAlign w:val="center"/>
          </w:tcPr>
          <w:p w14:paraId="7FDE2F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snapToGrid w:val="0"/>
                <w:color w:val="auto"/>
                <w:kern w:val="21"/>
                <w:sz w:val="21"/>
                <w:szCs w:val="21"/>
                <w:highlight w:val="none"/>
                <w:lang w:val="en-US" w:eastAsia="zh-CN"/>
              </w:rPr>
            </w:pPr>
            <w:r>
              <w:rPr>
                <w:rFonts w:hint="eastAsia" w:cs="Times New Roman" w:eastAsiaTheme="minorEastAsia"/>
                <w:color w:val="000000"/>
                <w:sz w:val="21"/>
                <w:szCs w:val="21"/>
                <w:highlight w:val="none"/>
                <w:lang w:val="en-US" w:eastAsia="zh-CN"/>
              </w:rPr>
              <w:t>+0.084</w:t>
            </w:r>
            <w:r>
              <w:rPr>
                <w:rFonts w:hint="eastAsia" w:ascii="Times New Roman" w:hAnsi="Times New Roman" w:eastAsia="宋体" w:cs="宋体"/>
                <w:snapToGrid w:val="0"/>
                <w:color w:val="000000"/>
                <w:kern w:val="21"/>
                <w:sz w:val="21"/>
                <w:szCs w:val="21"/>
                <w:highlight w:val="none"/>
                <w:lang w:val="en-US" w:eastAsia="zh-CN"/>
              </w:rPr>
              <w:t>t/a</w:t>
            </w:r>
          </w:p>
        </w:tc>
      </w:tr>
      <w:tr w14:paraId="09533E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1B4054B4">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rPr>
            </w:pPr>
          </w:p>
        </w:tc>
        <w:tc>
          <w:tcPr>
            <w:tcW w:w="1417" w:type="dxa"/>
            <w:noWrap w:val="0"/>
            <w:vAlign w:val="center"/>
          </w:tcPr>
          <w:p w14:paraId="4620E59D">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eastAsia="zh-CN"/>
              </w:rPr>
              <w:t>氨氮</w:t>
            </w:r>
          </w:p>
        </w:tc>
        <w:tc>
          <w:tcPr>
            <w:tcW w:w="1701" w:type="dxa"/>
            <w:noWrap w:val="0"/>
            <w:vAlign w:val="center"/>
          </w:tcPr>
          <w:p w14:paraId="5AFE825F">
            <w:pPr>
              <w:pStyle w:val="59"/>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276" w:type="dxa"/>
            <w:noWrap w:val="0"/>
            <w:vAlign w:val="center"/>
          </w:tcPr>
          <w:p w14:paraId="01450FD9">
            <w:pPr>
              <w:pStyle w:val="59"/>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701" w:type="dxa"/>
            <w:noWrap w:val="0"/>
            <w:vAlign w:val="center"/>
          </w:tcPr>
          <w:p w14:paraId="0AB5C88A">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hAnsi="Times New Roman" w:eastAsia="宋体" w:cs="宋体"/>
                <w:snapToGrid w:val="0"/>
                <w:color w:val="auto"/>
                <w:kern w:val="21"/>
                <w:sz w:val="21"/>
                <w:szCs w:val="21"/>
                <w:highlight w:val="none"/>
                <w:lang w:val="en-US" w:eastAsia="zh-CN"/>
              </w:rPr>
              <w:t>0</w:t>
            </w:r>
          </w:p>
        </w:tc>
        <w:tc>
          <w:tcPr>
            <w:tcW w:w="1688" w:type="dxa"/>
            <w:noWrap w:val="0"/>
            <w:vAlign w:val="center"/>
          </w:tcPr>
          <w:p w14:paraId="025C2D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snapToGrid w:val="0"/>
                <w:color w:val="auto"/>
                <w:kern w:val="21"/>
                <w:sz w:val="21"/>
                <w:szCs w:val="21"/>
                <w:highlight w:val="none"/>
                <w:lang w:val="en-US" w:eastAsia="zh-CN"/>
              </w:rPr>
            </w:pPr>
            <w:r>
              <w:rPr>
                <w:rFonts w:hint="eastAsia" w:cs="Times New Roman" w:eastAsiaTheme="minorEastAsia"/>
                <w:color w:val="000000"/>
                <w:sz w:val="21"/>
                <w:szCs w:val="21"/>
                <w:highlight w:val="none"/>
                <w:lang w:val="en-US" w:eastAsia="zh-CN"/>
              </w:rPr>
              <w:t>0.005</w:t>
            </w:r>
            <w:r>
              <w:rPr>
                <w:rFonts w:hint="eastAsia" w:ascii="Times New Roman" w:hAnsi="Times New Roman" w:eastAsia="宋体" w:cs="宋体"/>
                <w:snapToGrid w:val="0"/>
                <w:color w:val="000000"/>
                <w:kern w:val="21"/>
                <w:sz w:val="21"/>
                <w:szCs w:val="21"/>
                <w:highlight w:val="none"/>
                <w:lang w:val="en-US" w:eastAsia="zh-CN"/>
              </w:rPr>
              <w:t>t/a</w:t>
            </w:r>
          </w:p>
        </w:tc>
        <w:tc>
          <w:tcPr>
            <w:tcW w:w="1632" w:type="dxa"/>
            <w:noWrap w:val="0"/>
            <w:vAlign w:val="center"/>
          </w:tcPr>
          <w:p w14:paraId="646F38D9">
            <w:pPr>
              <w:pStyle w:val="59"/>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576" w:type="dxa"/>
            <w:noWrap w:val="0"/>
            <w:vAlign w:val="center"/>
          </w:tcPr>
          <w:p w14:paraId="42F02A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snapToGrid w:val="0"/>
                <w:color w:val="auto"/>
                <w:kern w:val="21"/>
                <w:sz w:val="21"/>
                <w:szCs w:val="21"/>
                <w:highlight w:val="none"/>
                <w:lang w:val="en-US" w:eastAsia="zh-CN"/>
              </w:rPr>
            </w:pPr>
            <w:r>
              <w:rPr>
                <w:rFonts w:hint="eastAsia" w:cs="Times New Roman" w:eastAsiaTheme="minorEastAsia"/>
                <w:color w:val="000000"/>
                <w:sz w:val="21"/>
                <w:szCs w:val="21"/>
                <w:highlight w:val="none"/>
                <w:lang w:val="en-US" w:eastAsia="zh-CN"/>
              </w:rPr>
              <w:t>0.005</w:t>
            </w:r>
            <w:r>
              <w:rPr>
                <w:rFonts w:hint="eastAsia" w:ascii="Times New Roman" w:hAnsi="Times New Roman" w:eastAsia="宋体" w:cs="宋体"/>
                <w:snapToGrid w:val="0"/>
                <w:color w:val="000000"/>
                <w:kern w:val="21"/>
                <w:sz w:val="21"/>
                <w:szCs w:val="21"/>
                <w:highlight w:val="none"/>
                <w:lang w:val="en-US" w:eastAsia="zh-CN"/>
              </w:rPr>
              <w:t>t/a</w:t>
            </w:r>
          </w:p>
        </w:tc>
        <w:tc>
          <w:tcPr>
            <w:tcW w:w="1521" w:type="dxa"/>
            <w:noWrap w:val="0"/>
            <w:vAlign w:val="center"/>
          </w:tcPr>
          <w:p w14:paraId="6B0FA3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snapToGrid w:val="0"/>
                <w:color w:val="auto"/>
                <w:kern w:val="21"/>
                <w:sz w:val="21"/>
                <w:szCs w:val="21"/>
                <w:highlight w:val="none"/>
                <w:lang w:val="en-US" w:eastAsia="zh-CN"/>
              </w:rPr>
            </w:pPr>
            <w:r>
              <w:rPr>
                <w:rFonts w:hint="eastAsia" w:cs="Times New Roman" w:eastAsiaTheme="minorEastAsia"/>
                <w:color w:val="000000"/>
                <w:sz w:val="21"/>
                <w:szCs w:val="21"/>
                <w:highlight w:val="none"/>
                <w:lang w:val="en-US" w:eastAsia="zh-CN"/>
              </w:rPr>
              <w:t>+0.005</w:t>
            </w:r>
            <w:r>
              <w:rPr>
                <w:rFonts w:hint="eastAsia" w:ascii="Times New Roman" w:hAnsi="Times New Roman" w:eastAsia="宋体" w:cs="宋体"/>
                <w:snapToGrid w:val="0"/>
                <w:color w:val="000000"/>
                <w:kern w:val="21"/>
                <w:sz w:val="21"/>
                <w:szCs w:val="21"/>
                <w:highlight w:val="none"/>
                <w:lang w:val="en-US" w:eastAsia="zh-CN"/>
              </w:rPr>
              <w:t>t/a</w:t>
            </w:r>
          </w:p>
        </w:tc>
      </w:tr>
      <w:tr w14:paraId="13045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14:paraId="29859F10">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宋体"/>
                <w:snapToGrid w:val="0"/>
                <w:color w:val="auto"/>
                <w:kern w:val="21"/>
                <w:sz w:val="21"/>
                <w:szCs w:val="21"/>
              </w:rPr>
            </w:pPr>
            <w:r>
              <w:rPr>
                <w:rFonts w:hint="eastAsia" w:ascii="Times New Roman" w:hAnsi="Times New Roman" w:eastAsia="宋体" w:cs="宋体"/>
                <w:snapToGrid w:val="0"/>
                <w:color w:val="auto"/>
                <w:kern w:val="21"/>
                <w:sz w:val="21"/>
                <w:szCs w:val="21"/>
              </w:rPr>
              <w:t>一般工业</w:t>
            </w:r>
          </w:p>
          <w:p w14:paraId="612C8816">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rPr>
            </w:pPr>
            <w:r>
              <w:rPr>
                <w:rFonts w:hint="eastAsia" w:ascii="Times New Roman" w:hAnsi="Times New Roman" w:eastAsia="宋体" w:cs="宋体"/>
                <w:snapToGrid w:val="0"/>
                <w:color w:val="auto"/>
                <w:kern w:val="21"/>
                <w:sz w:val="21"/>
                <w:szCs w:val="21"/>
              </w:rPr>
              <w:t>固体废物</w:t>
            </w:r>
          </w:p>
        </w:tc>
        <w:tc>
          <w:tcPr>
            <w:tcW w:w="1417" w:type="dxa"/>
            <w:noWrap w:val="0"/>
            <w:vAlign w:val="center"/>
          </w:tcPr>
          <w:p w14:paraId="4B081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bCs/>
                <w:color w:val="auto"/>
                <w:spacing w:val="-11"/>
                <w:kern w:val="2"/>
                <w:sz w:val="21"/>
                <w:szCs w:val="21"/>
                <w:lang w:val="en-US" w:eastAsia="zh-CN" w:bidi="ar-SA"/>
              </w:rPr>
            </w:pPr>
            <w:r>
              <w:rPr>
                <w:rFonts w:hint="eastAsia" w:cs="Times New Roman" w:eastAsiaTheme="minorEastAsia"/>
                <w:color w:val="000000"/>
                <w:sz w:val="21"/>
                <w:szCs w:val="21"/>
                <w:highlight w:val="none"/>
                <w:lang w:val="en-US" w:eastAsia="zh-CN"/>
              </w:rPr>
              <w:t>边角料</w:t>
            </w:r>
          </w:p>
        </w:tc>
        <w:tc>
          <w:tcPr>
            <w:tcW w:w="1701" w:type="dxa"/>
            <w:noWrap w:val="0"/>
            <w:vAlign w:val="center"/>
          </w:tcPr>
          <w:p w14:paraId="7F92192C">
            <w:pPr>
              <w:pStyle w:val="59"/>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宋体"/>
                <w:bCs/>
                <w:color w:val="auto"/>
                <w:spacing w:val="-11"/>
                <w:kern w:val="2"/>
                <w:sz w:val="21"/>
                <w:szCs w:val="21"/>
                <w:highlight w:val="none"/>
                <w:lang w:val="en-US" w:eastAsia="zh-CN" w:bidi="ar-SA"/>
              </w:rPr>
            </w:pPr>
            <w:r>
              <w:rPr>
                <w:rFonts w:hint="eastAsia" w:ascii="Times New Roman" w:cs="宋体"/>
                <w:snapToGrid w:val="0"/>
                <w:color w:val="auto"/>
                <w:kern w:val="21"/>
                <w:sz w:val="21"/>
                <w:szCs w:val="21"/>
                <w:highlight w:val="none"/>
                <w:lang w:val="en-US" w:eastAsia="zh-CN"/>
              </w:rPr>
              <w:t>0</w:t>
            </w:r>
          </w:p>
        </w:tc>
        <w:tc>
          <w:tcPr>
            <w:tcW w:w="1276" w:type="dxa"/>
            <w:noWrap w:val="0"/>
            <w:vAlign w:val="center"/>
          </w:tcPr>
          <w:p w14:paraId="72A13891">
            <w:pPr>
              <w:pStyle w:val="59"/>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宋体"/>
                <w:bCs/>
                <w:color w:val="auto"/>
                <w:spacing w:val="-11"/>
                <w:kern w:val="2"/>
                <w:sz w:val="21"/>
                <w:szCs w:val="21"/>
                <w:highlight w:val="none"/>
                <w:lang w:val="en-US" w:eastAsia="zh-CN" w:bidi="ar-SA"/>
              </w:rPr>
            </w:pPr>
            <w:r>
              <w:rPr>
                <w:rFonts w:hint="eastAsia" w:ascii="Times New Roman" w:cs="宋体"/>
                <w:snapToGrid w:val="0"/>
                <w:color w:val="auto"/>
                <w:kern w:val="21"/>
                <w:sz w:val="21"/>
                <w:szCs w:val="21"/>
                <w:highlight w:val="none"/>
                <w:lang w:val="en-US" w:eastAsia="zh-CN"/>
              </w:rPr>
              <w:t>0</w:t>
            </w:r>
          </w:p>
        </w:tc>
        <w:tc>
          <w:tcPr>
            <w:tcW w:w="1701" w:type="dxa"/>
            <w:noWrap w:val="0"/>
            <w:vAlign w:val="center"/>
          </w:tcPr>
          <w:p w14:paraId="7139E81D">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hAnsi="Times New Roman" w:eastAsia="宋体" w:cs="宋体"/>
                <w:snapToGrid w:val="0"/>
                <w:color w:val="auto"/>
                <w:kern w:val="21"/>
                <w:sz w:val="21"/>
                <w:szCs w:val="21"/>
                <w:highlight w:val="none"/>
                <w:lang w:val="en-US" w:eastAsia="zh-CN"/>
              </w:rPr>
              <w:t>0</w:t>
            </w:r>
          </w:p>
        </w:tc>
        <w:tc>
          <w:tcPr>
            <w:tcW w:w="1688" w:type="dxa"/>
            <w:noWrap w:val="0"/>
            <w:vAlign w:val="center"/>
          </w:tcPr>
          <w:p w14:paraId="044A0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bCs/>
                <w:color w:val="auto"/>
                <w:spacing w:val="-11"/>
                <w:kern w:val="2"/>
                <w:sz w:val="21"/>
                <w:szCs w:val="21"/>
                <w:highlight w:val="none"/>
                <w:lang w:val="en-US" w:eastAsia="zh-CN" w:bidi="ar-SA"/>
              </w:rPr>
            </w:pPr>
            <w:r>
              <w:rPr>
                <w:rFonts w:hint="eastAsia" w:cs="Times New Roman" w:eastAsiaTheme="minorEastAsia"/>
                <w:color w:val="000000"/>
                <w:sz w:val="21"/>
                <w:szCs w:val="21"/>
                <w:highlight w:val="none"/>
                <w:lang w:val="en-US" w:eastAsia="zh-CN"/>
              </w:rPr>
              <w:t>14</w:t>
            </w:r>
            <w:r>
              <w:rPr>
                <w:rFonts w:hint="eastAsia" w:ascii="Times New Roman" w:hAnsi="Times New Roman" w:eastAsia="宋体" w:cs="宋体"/>
                <w:snapToGrid w:val="0"/>
                <w:color w:val="000000"/>
                <w:kern w:val="21"/>
                <w:sz w:val="21"/>
                <w:szCs w:val="21"/>
                <w:highlight w:val="none"/>
                <w:lang w:val="en-US" w:eastAsia="zh-CN"/>
              </w:rPr>
              <w:t>t/a</w:t>
            </w:r>
          </w:p>
        </w:tc>
        <w:tc>
          <w:tcPr>
            <w:tcW w:w="1632" w:type="dxa"/>
            <w:noWrap w:val="0"/>
            <w:vAlign w:val="center"/>
          </w:tcPr>
          <w:p w14:paraId="428E10DC">
            <w:pPr>
              <w:pStyle w:val="59"/>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宋体"/>
                <w:snapToGrid w:val="0"/>
                <w:color w:val="auto"/>
                <w:kern w:val="21"/>
                <w:sz w:val="21"/>
                <w:szCs w:val="21"/>
                <w:highlight w:val="none"/>
              </w:rPr>
            </w:pPr>
            <w:r>
              <w:rPr>
                <w:rFonts w:hint="eastAsia" w:ascii="Times New Roman" w:cs="宋体"/>
                <w:snapToGrid w:val="0"/>
                <w:color w:val="auto"/>
                <w:kern w:val="21"/>
                <w:sz w:val="21"/>
                <w:szCs w:val="21"/>
                <w:highlight w:val="none"/>
                <w:lang w:val="en-US" w:eastAsia="zh-CN"/>
              </w:rPr>
              <w:t>0</w:t>
            </w:r>
          </w:p>
        </w:tc>
        <w:tc>
          <w:tcPr>
            <w:tcW w:w="1576" w:type="dxa"/>
            <w:noWrap w:val="0"/>
            <w:vAlign w:val="center"/>
          </w:tcPr>
          <w:p w14:paraId="73245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snapToGrid w:val="0"/>
                <w:color w:val="auto"/>
                <w:kern w:val="21"/>
                <w:sz w:val="21"/>
                <w:szCs w:val="21"/>
                <w:highlight w:val="none"/>
                <w:lang w:val="en-US" w:eastAsia="zh-CN"/>
              </w:rPr>
            </w:pPr>
            <w:r>
              <w:rPr>
                <w:rFonts w:hint="eastAsia" w:cs="Times New Roman" w:eastAsiaTheme="minorEastAsia"/>
                <w:color w:val="000000"/>
                <w:sz w:val="21"/>
                <w:szCs w:val="21"/>
                <w:highlight w:val="none"/>
                <w:lang w:val="en-US" w:eastAsia="zh-CN"/>
              </w:rPr>
              <w:t>0.084</w:t>
            </w:r>
            <w:r>
              <w:rPr>
                <w:rFonts w:hint="eastAsia" w:ascii="Times New Roman" w:hAnsi="Times New Roman" w:eastAsia="宋体" w:cs="宋体"/>
                <w:snapToGrid w:val="0"/>
                <w:color w:val="000000"/>
                <w:kern w:val="21"/>
                <w:sz w:val="21"/>
                <w:szCs w:val="21"/>
                <w:highlight w:val="none"/>
                <w:lang w:val="en-US" w:eastAsia="zh-CN"/>
              </w:rPr>
              <w:t>t/a</w:t>
            </w:r>
          </w:p>
        </w:tc>
        <w:tc>
          <w:tcPr>
            <w:tcW w:w="1521" w:type="dxa"/>
            <w:noWrap w:val="0"/>
            <w:vAlign w:val="center"/>
          </w:tcPr>
          <w:p w14:paraId="760C6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snapToGrid w:val="0"/>
                <w:color w:val="auto"/>
                <w:kern w:val="21"/>
                <w:sz w:val="21"/>
                <w:szCs w:val="21"/>
                <w:highlight w:val="none"/>
                <w:lang w:val="en-US" w:eastAsia="zh-CN"/>
              </w:rPr>
            </w:pPr>
            <w:r>
              <w:rPr>
                <w:rFonts w:hint="eastAsia" w:cs="Times New Roman" w:eastAsiaTheme="minorEastAsia"/>
                <w:color w:val="000000"/>
                <w:sz w:val="21"/>
                <w:szCs w:val="21"/>
                <w:highlight w:val="none"/>
                <w:lang w:val="en-US" w:eastAsia="zh-CN"/>
              </w:rPr>
              <w:t>+14</w:t>
            </w:r>
            <w:r>
              <w:rPr>
                <w:rFonts w:hint="eastAsia" w:ascii="Times New Roman" w:hAnsi="Times New Roman" w:eastAsia="宋体" w:cs="宋体"/>
                <w:snapToGrid w:val="0"/>
                <w:color w:val="000000"/>
                <w:kern w:val="21"/>
                <w:sz w:val="21"/>
                <w:szCs w:val="21"/>
                <w:highlight w:val="none"/>
                <w:lang w:val="en-US" w:eastAsia="zh-CN"/>
              </w:rPr>
              <w:t>t/a</w:t>
            </w:r>
          </w:p>
        </w:tc>
      </w:tr>
      <w:tr w14:paraId="7A0C3A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22E529DC">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rPr>
            </w:pPr>
          </w:p>
        </w:tc>
        <w:tc>
          <w:tcPr>
            <w:tcW w:w="1417" w:type="dxa"/>
            <w:noWrap w:val="0"/>
            <w:vAlign w:val="center"/>
          </w:tcPr>
          <w:p w14:paraId="743E5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废包装材料</w:t>
            </w:r>
          </w:p>
        </w:tc>
        <w:tc>
          <w:tcPr>
            <w:tcW w:w="1701" w:type="dxa"/>
            <w:noWrap w:val="0"/>
            <w:vAlign w:val="center"/>
          </w:tcPr>
          <w:p w14:paraId="6EF39C77">
            <w:pPr>
              <w:pStyle w:val="59"/>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276" w:type="dxa"/>
            <w:noWrap w:val="0"/>
            <w:vAlign w:val="center"/>
          </w:tcPr>
          <w:p w14:paraId="43CF0789">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701" w:type="dxa"/>
            <w:noWrap w:val="0"/>
            <w:vAlign w:val="center"/>
          </w:tcPr>
          <w:p w14:paraId="4C404FE1">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688" w:type="dxa"/>
            <w:noWrap w:val="0"/>
            <w:vAlign w:val="center"/>
          </w:tcPr>
          <w:p w14:paraId="03FE0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3.1</w:t>
            </w:r>
            <w:r>
              <w:rPr>
                <w:rFonts w:hint="eastAsia" w:ascii="Times New Roman" w:hAnsi="Times New Roman" w:eastAsia="宋体" w:cs="宋体"/>
                <w:snapToGrid w:val="0"/>
                <w:color w:val="000000"/>
                <w:kern w:val="21"/>
                <w:sz w:val="21"/>
                <w:szCs w:val="21"/>
                <w:highlight w:val="none"/>
                <w:lang w:val="en-US" w:eastAsia="zh-CN"/>
              </w:rPr>
              <w:t>t/a</w:t>
            </w:r>
          </w:p>
        </w:tc>
        <w:tc>
          <w:tcPr>
            <w:tcW w:w="1632" w:type="dxa"/>
            <w:noWrap w:val="0"/>
            <w:vAlign w:val="center"/>
          </w:tcPr>
          <w:p w14:paraId="12E6AA7D">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576" w:type="dxa"/>
            <w:noWrap w:val="0"/>
            <w:vAlign w:val="center"/>
          </w:tcPr>
          <w:p w14:paraId="5311AC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0.005</w:t>
            </w:r>
            <w:r>
              <w:rPr>
                <w:rFonts w:hint="eastAsia" w:ascii="Times New Roman" w:hAnsi="Times New Roman" w:eastAsia="宋体" w:cs="宋体"/>
                <w:snapToGrid w:val="0"/>
                <w:color w:val="000000"/>
                <w:kern w:val="21"/>
                <w:sz w:val="21"/>
                <w:szCs w:val="21"/>
                <w:highlight w:val="none"/>
                <w:lang w:val="en-US" w:eastAsia="zh-CN"/>
              </w:rPr>
              <w:t>t/a</w:t>
            </w:r>
          </w:p>
        </w:tc>
        <w:tc>
          <w:tcPr>
            <w:tcW w:w="1521" w:type="dxa"/>
            <w:noWrap w:val="0"/>
            <w:vAlign w:val="center"/>
          </w:tcPr>
          <w:p w14:paraId="773C08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+3.1</w:t>
            </w:r>
            <w:r>
              <w:rPr>
                <w:rFonts w:hint="eastAsia" w:ascii="Times New Roman" w:hAnsi="Times New Roman" w:eastAsia="宋体" w:cs="宋体"/>
                <w:snapToGrid w:val="0"/>
                <w:color w:val="000000"/>
                <w:kern w:val="21"/>
                <w:sz w:val="21"/>
                <w:szCs w:val="21"/>
                <w:highlight w:val="none"/>
                <w:lang w:val="en-US" w:eastAsia="zh-CN"/>
              </w:rPr>
              <w:t>t/a</w:t>
            </w:r>
          </w:p>
        </w:tc>
      </w:tr>
      <w:tr w14:paraId="1EF07A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02862116">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rPr>
            </w:pPr>
          </w:p>
        </w:tc>
        <w:tc>
          <w:tcPr>
            <w:tcW w:w="1417" w:type="dxa"/>
            <w:noWrap w:val="0"/>
            <w:vAlign w:val="center"/>
          </w:tcPr>
          <w:p w14:paraId="636E1A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spacing w:val="8"/>
                <w:sz w:val="21"/>
                <w:szCs w:val="21"/>
                <w:lang w:val="en-US" w:eastAsia="zh-CN"/>
              </w:rPr>
              <w:t>污泥</w:t>
            </w:r>
          </w:p>
        </w:tc>
        <w:tc>
          <w:tcPr>
            <w:tcW w:w="1701" w:type="dxa"/>
            <w:noWrap w:val="0"/>
            <w:vAlign w:val="center"/>
          </w:tcPr>
          <w:p w14:paraId="26817DFF">
            <w:pPr>
              <w:pStyle w:val="59"/>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276" w:type="dxa"/>
            <w:noWrap w:val="0"/>
            <w:vAlign w:val="center"/>
          </w:tcPr>
          <w:p w14:paraId="2C709548">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701" w:type="dxa"/>
            <w:noWrap w:val="0"/>
            <w:vAlign w:val="center"/>
          </w:tcPr>
          <w:p w14:paraId="77205722">
            <w:pPr>
              <w:pStyle w:val="59"/>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688" w:type="dxa"/>
            <w:noWrap w:val="0"/>
            <w:vAlign w:val="center"/>
          </w:tcPr>
          <w:p w14:paraId="7D2367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0.2</w:t>
            </w:r>
            <w:r>
              <w:rPr>
                <w:rFonts w:hint="eastAsia" w:ascii="Times New Roman" w:hAnsi="Times New Roman" w:eastAsia="宋体" w:cs="宋体"/>
                <w:snapToGrid w:val="0"/>
                <w:color w:val="000000"/>
                <w:kern w:val="21"/>
                <w:sz w:val="21"/>
                <w:szCs w:val="21"/>
                <w:highlight w:val="none"/>
                <w:lang w:val="en-US" w:eastAsia="zh-CN"/>
              </w:rPr>
              <w:t>t/a</w:t>
            </w:r>
          </w:p>
        </w:tc>
        <w:tc>
          <w:tcPr>
            <w:tcW w:w="1632" w:type="dxa"/>
            <w:noWrap w:val="0"/>
            <w:vAlign w:val="center"/>
          </w:tcPr>
          <w:p w14:paraId="04F09FAB">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576" w:type="dxa"/>
            <w:noWrap w:val="0"/>
            <w:vAlign w:val="center"/>
          </w:tcPr>
          <w:p w14:paraId="20F27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0.084</w:t>
            </w:r>
            <w:r>
              <w:rPr>
                <w:rFonts w:hint="eastAsia" w:ascii="Times New Roman" w:hAnsi="Times New Roman" w:eastAsia="宋体" w:cs="宋体"/>
                <w:snapToGrid w:val="0"/>
                <w:color w:val="000000"/>
                <w:kern w:val="21"/>
                <w:sz w:val="21"/>
                <w:szCs w:val="21"/>
                <w:highlight w:val="none"/>
                <w:lang w:val="en-US" w:eastAsia="zh-CN"/>
              </w:rPr>
              <w:t>t/a</w:t>
            </w:r>
          </w:p>
        </w:tc>
        <w:tc>
          <w:tcPr>
            <w:tcW w:w="1521" w:type="dxa"/>
            <w:noWrap w:val="0"/>
            <w:vAlign w:val="center"/>
          </w:tcPr>
          <w:p w14:paraId="7C1B19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+0.2</w:t>
            </w:r>
            <w:r>
              <w:rPr>
                <w:rFonts w:hint="eastAsia" w:ascii="Times New Roman" w:hAnsi="Times New Roman" w:eastAsia="宋体" w:cs="宋体"/>
                <w:snapToGrid w:val="0"/>
                <w:color w:val="000000"/>
                <w:kern w:val="21"/>
                <w:sz w:val="21"/>
                <w:szCs w:val="21"/>
                <w:highlight w:val="none"/>
                <w:lang w:val="en-US" w:eastAsia="zh-CN"/>
              </w:rPr>
              <w:t>t/a</w:t>
            </w:r>
          </w:p>
        </w:tc>
      </w:tr>
      <w:tr w14:paraId="726B4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14:paraId="14EB393A">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rPr>
            </w:pPr>
            <w:r>
              <w:rPr>
                <w:rFonts w:hint="eastAsia" w:ascii="Times New Roman" w:hAnsi="Times New Roman" w:eastAsia="宋体" w:cs="宋体"/>
                <w:snapToGrid w:val="0"/>
                <w:color w:val="auto"/>
                <w:kern w:val="21"/>
                <w:sz w:val="21"/>
                <w:szCs w:val="21"/>
              </w:rPr>
              <w:t>危险废物</w:t>
            </w:r>
          </w:p>
        </w:tc>
        <w:tc>
          <w:tcPr>
            <w:tcW w:w="1417" w:type="dxa"/>
            <w:noWrap w:val="0"/>
            <w:vAlign w:val="center"/>
          </w:tcPr>
          <w:p w14:paraId="26A665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spacing w:val="8"/>
                <w:sz w:val="21"/>
                <w:szCs w:val="21"/>
              </w:rPr>
            </w:pPr>
            <w:r>
              <w:rPr>
                <w:rFonts w:hint="eastAsia" w:cs="Times New Roman" w:eastAsiaTheme="minorEastAsia"/>
                <w:spacing w:val="8"/>
                <w:sz w:val="21"/>
                <w:szCs w:val="21"/>
                <w:lang w:val="en-US" w:eastAsia="zh-CN"/>
              </w:rPr>
              <w:t>废水墨桶</w:t>
            </w:r>
          </w:p>
        </w:tc>
        <w:tc>
          <w:tcPr>
            <w:tcW w:w="1701" w:type="dxa"/>
            <w:noWrap w:val="0"/>
            <w:vAlign w:val="center"/>
          </w:tcPr>
          <w:p w14:paraId="16E0A972">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276" w:type="dxa"/>
            <w:noWrap w:val="0"/>
            <w:vAlign w:val="center"/>
          </w:tcPr>
          <w:p w14:paraId="2B970E68">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701" w:type="dxa"/>
            <w:noWrap w:val="0"/>
            <w:vAlign w:val="center"/>
          </w:tcPr>
          <w:p w14:paraId="336B0F7F">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688" w:type="dxa"/>
            <w:noWrap w:val="0"/>
            <w:vAlign w:val="center"/>
          </w:tcPr>
          <w:p w14:paraId="34C5C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0.002</w:t>
            </w:r>
            <w:r>
              <w:rPr>
                <w:rFonts w:hint="eastAsia" w:ascii="Times New Roman" w:hAnsi="Times New Roman" w:eastAsia="宋体" w:cs="宋体"/>
                <w:snapToGrid w:val="0"/>
                <w:color w:val="000000"/>
                <w:kern w:val="21"/>
                <w:sz w:val="21"/>
                <w:szCs w:val="21"/>
                <w:highlight w:val="none"/>
                <w:lang w:val="en-US" w:eastAsia="zh-CN"/>
              </w:rPr>
              <w:t>t/a</w:t>
            </w:r>
          </w:p>
        </w:tc>
        <w:tc>
          <w:tcPr>
            <w:tcW w:w="1632" w:type="dxa"/>
            <w:noWrap w:val="0"/>
            <w:vAlign w:val="center"/>
          </w:tcPr>
          <w:p w14:paraId="04D384FC">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576" w:type="dxa"/>
            <w:noWrap w:val="0"/>
            <w:vAlign w:val="center"/>
          </w:tcPr>
          <w:p w14:paraId="3208F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0.005</w:t>
            </w:r>
            <w:r>
              <w:rPr>
                <w:rFonts w:hint="eastAsia" w:ascii="Times New Roman" w:hAnsi="Times New Roman" w:eastAsia="宋体" w:cs="宋体"/>
                <w:snapToGrid w:val="0"/>
                <w:color w:val="000000"/>
                <w:kern w:val="21"/>
                <w:sz w:val="21"/>
                <w:szCs w:val="21"/>
                <w:highlight w:val="none"/>
                <w:lang w:val="en-US" w:eastAsia="zh-CN"/>
              </w:rPr>
              <w:t>t/a</w:t>
            </w:r>
          </w:p>
        </w:tc>
        <w:tc>
          <w:tcPr>
            <w:tcW w:w="1521" w:type="dxa"/>
            <w:noWrap w:val="0"/>
            <w:vAlign w:val="center"/>
          </w:tcPr>
          <w:p w14:paraId="0AB3C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+0.002</w:t>
            </w:r>
            <w:r>
              <w:rPr>
                <w:rFonts w:hint="eastAsia" w:ascii="Times New Roman" w:hAnsi="Times New Roman" w:eastAsia="宋体" w:cs="宋体"/>
                <w:snapToGrid w:val="0"/>
                <w:color w:val="000000"/>
                <w:kern w:val="21"/>
                <w:sz w:val="21"/>
                <w:szCs w:val="21"/>
                <w:highlight w:val="none"/>
                <w:lang w:val="en-US" w:eastAsia="zh-CN"/>
              </w:rPr>
              <w:t>t/a</w:t>
            </w:r>
          </w:p>
        </w:tc>
      </w:tr>
      <w:tr w14:paraId="4E015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2F7A0438">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rPr>
            </w:pPr>
          </w:p>
        </w:tc>
        <w:tc>
          <w:tcPr>
            <w:tcW w:w="1417" w:type="dxa"/>
            <w:noWrap w:val="0"/>
            <w:vAlign w:val="center"/>
          </w:tcPr>
          <w:p w14:paraId="33FBF1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spacing w:val="8"/>
                <w:sz w:val="21"/>
                <w:szCs w:val="21"/>
              </w:rPr>
            </w:pPr>
            <w:r>
              <w:rPr>
                <w:rFonts w:hint="eastAsia" w:cs="Times New Roman" w:eastAsiaTheme="minorEastAsia"/>
                <w:spacing w:val="8"/>
                <w:sz w:val="21"/>
                <w:szCs w:val="21"/>
                <w:lang w:val="en-US" w:eastAsia="zh-CN"/>
              </w:rPr>
              <w:t>废机油</w:t>
            </w:r>
          </w:p>
        </w:tc>
        <w:tc>
          <w:tcPr>
            <w:tcW w:w="1701" w:type="dxa"/>
            <w:noWrap w:val="0"/>
            <w:vAlign w:val="center"/>
          </w:tcPr>
          <w:p w14:paraId="627E89C8">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276" w:type="dxa"/>
            <w:noWrap w:val="0"/>
            <w:vAlign w:val="center"/>
          </w:tcPr>
          <w:p w14:paraId="1A2FAE6B">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701" w:type="dxa"/>
            <w:noWrap w:val="0"/>
            <w:vAlign w:val="center"/>
          </w:tcPr>
          <w:p w14:paraId="10C558E9">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688" w:type="dxa"/>
            <w:noWrap w:val="0"/>
            <w:vAlign w:val="center"/>
          </w:tcPr>
          <w:p w14:paraId="56D038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0.01</w:t>
            </w:r>
            <w:r>
              <w:rPr>
                <w:rFonts w:hint="eastAsia" w:ascii="Times New Roman" w:hAnsi="Times New Roman" w:eastAsia="宋体" w:cs="宋体"/>
                <w:snapToGrid w:val="0"/>
                <w:color w:val="000000"/>
                <w:kern w:val="21"/>
                <w:sz w:val="21"/>
                <w:szCs w:val="21"/>
                <w:highlight w:val="none"/>
                <w:lang w:val="en-US" w:eastAsia="zh-CN"/>
              </w:rPr>
              <w:t>t/a</w:t>
            </w:r>
          </w:p>
        </w:tc>
        <w:tc>
          <w:tcPr>
            <w:tcW w:w="1632" w:type="dxa"/>
            <w:noWrap w:val="0"/>
            <w:vAlign w:val="center"/>
          </w:tcPr>
          <w:p w14:paraId="43CB474B">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576" w:type="dxa"/>
            <w:noWrap w:val="0"/>
            <w:vAlign w:val="center"/>
          </w:tcPr>
          <w:p w14:paraId="71D7D1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0.084</w:t>
            </w:r>
            <w:r>
              <w:rPr>
                <w:rFonts w:hint="eastAsia" w:ascii="Times New Roman" w:hAnsi="Times New Roman" w:eastAsia="宋体" w:cs="宋体"/>
                <w:snapToGrid w:val="0"/>
                <w:color w:val="000000"/>
                <w:kern w:val="21"/>
                <w:sz w:val="21"/>
                <w:szCs w:val="21"/>
                <w:highlight w:val="none"/>
                <w:lang w:val="en-US" w:eastAsia="zh-CN"/>
              </w:rPr>
              <w:t>t/a</w:t>
            </w:r>
          </w:p>
        </w:tc>
        <w:tc>
          <w:tcPr>
            <w:tcW w:w="1521" w:type="dxa"/>
            <w:noWrap w:val="0"/>
            <w:vAlign w:val="center"/>
          </w:tcPr>
          <w:p w14:paraId="74362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+0.01</w:t>
            </w:r>
            <w:r>
              <w:rPr>
                <w:rFonts w:hint="eastAsia" w:ascii="Times New Roman" w:hAnsi="Times New Roman" w:eastAsia="宋体" w:cs="宋体"/>
                <w:snapToGrid w:val="0"/>
                <w:color w:val="000000"/>
                <w:kern w:val="21"/>
                <w:sz w:val="21"/>
                <w:szCs w:val="21"/>
                <w:highlight w:val="none"/>
                <w:lang w:val="en-US" w:eastAsia="zh-CN"/>
              </w:rPr>
              <w:t>t/a</w:t>
            </w:r>
          </w:p>
        </w:tc>
      </w:tr>
      <w:tr w14:paraId="00BC8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069C159D">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rPr>
            </w:pPr>
          </w:p>
        </w:tc>
        <w:tc>
          <w:tcPr>
            <w:tcW w:w="1417" w:type="dxa"/>
            <w:noWrap w:val="0"/>
            <w:vAlign w:val="center"/>
          </w:tcPr>
          <w:p w14:paraId="76251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spacing w:val="8"/>
                <w:sz w:val="21"/>
                <w:szCs w:val="21"/>
              </w:rPr>
            </w:pPr>
            <w:r>
              <w:rPr>
                <w:rFonts w:hint="eastAsia" w:cs="Times New Roman" w:eastAsiaTheme="minorEastAsia"/>
                <w:spacing w:val="8"/>
                <w:sz w:val="21"/>
                <w:szCs w:val="21"/>
                <w:lang w:val="en-US" w:eastAsia="zh-CN"/>
              </w:rPr>
              <w:t>废油桶</w:t>
            </w:r>
          </w:p>
        </w:tc>
        <w:tc>
          <w:tcPr>
            <w:tcW w:w="1701" w:type="dxa"/>
            <w:noWrap w:val="0"/>
            <w:vAlign w:val="center"/>
          </w:tcPr>
          <w:p w14:paraId="24DDEF66">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276" w:type="dxa"/>
            <w:noWrap w:val="0"/>
            <w:vAlign w:val="center"/>
          </w:tcPr>
          <w:p w14:paraId="00C6AFD4">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701" w:type="dxa"/>
            <w:noWrap w:val="0"/>
            <w:vAlign w:val="center"/>
          </w:tcPr>
          <w:p w14:paraId="09AA8E56">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688" w:type="dxa"/>
            <w:noWrap w:val="0"/>
            <w:vAlign w:val="center"/>
          </w:tcPr>
          <w:p w14:paraId="709006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0.003</w:t>
            </w:r>
            <w:r>
              <w:rPr>
                <w:rFonts w:hint="eastAsia" w:ascii="Times New Roman" w:hAnsi="Times New Roman" w:eastAsia="宋体" w:cs="宋体"/>
                <w:snapToGrid w:val="0"/>
                <w:color w:val="000000"/>
                <w:kern w:val="21"/>
                <w:sz w:val="21"/>
                <w:szCs w:val="21"/>
                <w:highlight w:val="none"/>
                <w:lang w:val="en-US" w:eastAsia="zh-CN"/>
              </w:rPr>
              <w:t>t/a</w:t>
            </w:r>
          </w:p>
        </w:tc>
        <w:tc>
          <w:tcPr>
            <w:tcW w:w="1632" w:type="dxa"/>
            <w:noWrap w:val="0"/>
            <w:vAlign w:val="center"/>
          </w:tcPr>
          <w:p w14:paraId="140763B0">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576" w:type="dxa"/>
            <w:noWrap w:val="0"/>
            <w:vAlign w:val="center"/>
          </w:tcPr>
          <w:p w14:paraId="060200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0.005</w:t>
            </w:r>
            <w:r>
              <w:rPr>
                <w:rFonts w:hint="eastAsia" w:ascii="Times New Roman" w:hAnsi="Times New Roman" w:eastAsia="宋体" w:cs="宋体"/>
                <w:snapToGrid w:val="0"/>
                <w:color w:val="000000"/>
                <w:kern w:val="21"/>
                <w:sz w:val="21"/>
                <w:szCs w:val="21"/>
                <w:highlight w:val="none"/>
                <w:lang w:val="en-US" w:eastAsia="zh-CN"/>
              </w:rPr>
              <w:t>t/a</w:t>
            </w:r>
          </w:p>
        </w:tc>
        <w:tc>
          <w:tcPr>
            <w:tcW w:w="1521" w:type="dxa"/>
            <w:noWrap w:val="0"/>
            <w:vAlign w:val="center"/>
          </w:tcPr>
          <w:p w14:paraId="6C90E8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cs="Times New Roman"/>
                <w:b w:val="0"/>
                <w:bCs/>
                <w:color w:val="auto"/>
                <w:sz w:val="21"/>
                <w:szCs w:val="21"/>
                <w:highlight w:val="none"/>
                <w:vertAlign w:val="baseline"/>
                <w:lang w:val="en-US" w:eastAsia="zh-CN"/>
              </w:rPr>
            </w:pPr>
            <w:r>
              <w:rPr>
                <w:rFonts w:hint="eastAsia" w:cs="Times New Roman" w:eastAsiaTheme="minorEastAsia"/>
                <w:color w:val="000000"/>
                <w:sz w:val="21"/>
                <w:szCs w:val="21"/>
                <w:highlight w:val="none"/>
                <w:lang w:val="en-US" w:eastAsia="zh-CN"/>
              </w:rPr>
              <w:t>+0.003</w:t>
            </w:r>
            <w:r>
              <w:rPr>
                <w:rFonts w:hint="eastAsia" w:ascii="Times New Roman" w:hAnsi="Times New Roman" w:eastAsia="宋体" w:cs="宋体"/>
                <w:snapToGrid w:val="0"/>
                <w:color w:val="000000"/>
                <w:kern w:val="21"/>
                <w:sz w:val="21"/>
                <w:szCs w:val="21"/>
                <w:highlight w:val="none"/>
                <w:lang w:val="en-US" w:eastAsia="zh-CN"/>
              </w:rPr>
              <w:t>t/a</w:t>
            </w:r>
          </w:p>
        </w:tc>
      </w:tr>
      <w:tr w14:paraId="6F8535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7BA7F153">
            <w:pPr>
              <w:pStyle w:val="59"/>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宋体"/>
                <w:snapToGrid w:val="0"/>
                <w:color w:val="auto"/>
                <w:kern w:val="21"/>
                <w:sz w:val="21"/>
                <w:szCs w:val="21"/>
              </w:rPr>
            </w:pPr>
          </w:p>
        </w:tc>
        <w:tc>
          <w:tcPr>
            <w:tcW w:w="1417" w:type="dxa"/>
            <w:noWrap w:val="0"/>
            <w:vAlign w:val="center"/>
          </w:tcPr>
          <w:p w14:paraId="7A0FBB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宋体" w:eastAsiaTheme="minorEastAsia"/>
                <w:snapToGrid w:val="0"/>
                <w:color w:val="auto"/>
                <w:kern w:val="21"/>
                <w:sz w:val="21"/>
                <w:szCs w:val="21"/>
                <w:highlight w:val="none"/>
                <w:lang w:val="en-US" w:eastAsia="zh-CN"/>
              </w:rPr>
            </w:pPr>
            <w:r>
              <w:rPr>
                <w:rFonts w:hint="eastAsia" w:cs="Times New Roman" w:eastAsiaTheme="minorEastAsia"/>
                <w:spacing w:val="8"/>
                <w:sz w:val="21"/>
                <w:szCs w:val="21"/>
                <w:lang w:val="en-US" w:eastAsia="zh-CN"/>
              </w:rPr>
              <w:t>废活性炭</w:t>
            </w:r>
          </w:p>
        </w:tc>
        <w:tc>
          <w:tcPr>
            <w:tcW w:w="1701" w:type="dxa"/>
            <w:noWrap w:val="0"/>
            <w:vAlign w:val="center"/>
          </w:tcPr>
          <w:p w14:paraId="253E80F2">
            <w:pPr>
              <w:pStyle w:val="59"/>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276" w:type="dxa"/>
            <w:noWrap w:val="0"/>
            <w:vAlign w:val="center"/>
          </w:tcPr>
          <w:p w14:paraId="4F5093C5">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701" w:type="dxa"/>
            <w:noWrap w:val="0"/>
            <w:vAlign w:val="center"/>
          </w:tcPr>
          <w:p w14:paraId="79611DB2">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688" w:type="dxa"/>
            <w:noWrap w:val="0"/>
            <w:vAlign w:val="center"/>
          </w:tcPr>
          <w:p w14:paraId="7F43E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snapToGrid w:val="0"/>
                <w:color w:val="auto"/>
                <w:kern w:val="21"/>
                <w:sz w:val="21"/>
                <w:szCs w:val="21"/>
                <w:highlight w:val="none"/>
                <w:lang w:val="en-US" w:eastAsia="zh-CN"/>
              </w:rPr>
            </w:pPr>
            <w:r>
              <w:rPr>
                <w:rFonts w:hint="eastAsia" w:cs="宋体"/>
                <w:snapToGrid w:val="0"/>
                <w:color w:val="000000"/>
                <w:kern w:val="21"/>
                <w:sz w:val="21"/>
                <w:szCs w:val="21"/>
                <w:highlight w:val="none"/>
                <w:lang w:val="en-US" w:eastAsia="zh-CN"/>
              </w:rPr>
              <w:t>3.27</w:t>
            </w:r>
            <w:r>
              <w:rPr>
                <w:rFonts w:hint="eastAsia" w:ascii="Times New Roman" w:hAnsi="Times New Roman" w:eastAsia="宋体" w:cs="宋体"/>
                <w:snapToGrid w:val="0"/>
                <w:color w:val="000000"/>
                <w:kern w:val="21"/>
                <w:sz w:val="21"/>
                <w:szCs w:val="21"/>
                <w:highlight w:val="none"/>
                <w:lang w:val="en-US" w:eastAsia="zh-CN"/>
              </w:rPr>
              <w:t>t/a</w:t>
            </w:r>
          </w:p>
        </w:tc>
        <w:tc>
          <w:tcPr>
            <w:tcW w:w="1632" w:type="dxa"/>
            <w:noWrap w:val="0"/>
            <w:vAlign w:val="center"/>
          </w:tcPr>
          <w:p w14:paraId="3FFAD46E">
            <w:pPr>
              <w:pStyle w:val="59"/>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s="宋体"/>
                <w:snapToGrid w:val="0"/>
                <w:color w:val="auto"/>
                <w:kern w:val="21"/>
                <w:sz w:val="21"/>
                <w:szCs w:val="21"/>
                <w:highlight w:val="none"/>
                <w:lang w:val="en-US" w:eastAsia="zh-CN"/>
              </w:rPr>
            </w:pPr>
            <w:r>
              <w:rPr>
                <w:rFonts w:hint="eastAsia" w:ascii="Times New Roman" w:cs="宋体"/>
                <w:snapToGrid w:val="0"/>
                <w:color w:val="auto"/>
                <w:kern w:val="21"/>
                <w:sz w:val="21"/>
                <w:szCs w:val="21"/>
                <w:highlight w:val="none"/>
                <w:lang w:val="en-US" w:eastAsia="zh-CN"/>
              </w:rPr>
              <w:t>0</w:t>
            </w:r>
          </w:p>
        </w:tc>
        <w:tc>
          <w:tcPr>
            <w:tcW w:w="1576" w:type="dxa"/>
            <w:noWrap w:val="0"/>
            <w:vAlign w:val="center"/>
          </w:tcPr>
          <w:p w14:paraId="0AB998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snapToGrid w:val="0"/>
                <w:color w:val="auto"/>
                <w:kern w:val="21"/>
                <w:sz w:val="21"/>
                <w:szCs w:val="21"/>
                <w:highlight w:val="none"/>
                <w:lang w:val="en-US" w:eastAsia="zh-CN"/>
              </w:rPr>
            </w:pPr>
            <w:r>
              <w:rPr>
                <w:rFonts w:hint="eastAsia" w:cs="Times New Roman" w:eastAsiaTheme="minorEastAsia"/>
                <w:color w:val="000000"/>
                <w:sz w:val="21"/>
                <w:szCs w:val="21"/>
                <w:highlight w:val="none"/>
                <w:lang w:val="en-US" w:eastAsia="zh-CN"/>
              </w:rPr>
              <w:t>0.084</w:t>
            </w:r>
            <w:r>
              <w:rPr>
                <w:rFonts w:hint="eastAsia" w:ascii="Times New Roman" w:hAnsi="Times New Roman" w:eastAsia="宋体" w:cs="宋体"/>
                <w:snapToGrid w:val="0"/>
                <w:color w:val="000000"/>
                <w:kern w:val="21"/>
                <w:sz w:val="21"/>
                <w:szCs w:val="21"/>
                <w:highlight w:val="none"/>
                <w:lang w:val="en-US" w:eastAsia="zh-CN"/>
              </w:rPr>
              <w:t>t/a</w:t>
            </w:r>
          </w:p>
        </w:tc>
        <w:tc>
          <w:tcPr>
            <w:tcW w:w="1521" w:type="dxa"/>
            <w:noWrap w:val="0"/>
            <w:vAlign w:val="center"/>
          </w:tcPr>
          <w:p w14:paraId="1828B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宋体"/>
                <w:snapToGrid w:val="0"/>
                <w:color w:val="auto"/>
                <w:kern w:val="21"/>
                <w:sz w:val="21"/>
                <w:szCs w:val="21"/>
                <w:highlight w:val="none"/>
                <w:lang w:val="en-US" w:eastAsia="zh-CN"/>
              </w:rPr>
            </w:pPr>
            <w:r>
              <w:rPr>
                <w:rFonts w:hint="eastAsia" w:cs="宋体"/>
                <w:snapToGrid w:val="0"/>
                <w:color w:val="000000"/>
                <w:kern w:val="21"/>
                <w:sz w:val="21"/>
                <w:szCs w:val="21"/>
                <w:highlight w:val="none"/>
                <w:lang w:val="en-US" w:eastAsia="zh-CN"/>
              </w:rPr>
              <w:t>+3.27</w:t>
            </w:r>
            <w:r>
              <w:rPr>
                <w:rFonts w:hint="eastAsia" w:ascii="Times New Roman" w:hAnsi="Times New Roman" w:eastAsia="宋体" w:cs="宋体"/>
                <w:snapToGrid w:val="0"/>
                <w:color w:val="000000"/>
                <w:kern w:val="21"/>
                <w:sz w:val="21"/>
                <w:szCs w:val="21"/>
                <w:highlight w:val="none"/>
                <w:lang w:val="en-US" w:eastAsia="zh-CN"/>
              </w:rPr>
              <w:t>t/a</w:t>
            </w:r>
          </w:p>
        </w:tc>
      </w:tr>
    </w:tbl>
    <w:p w14:paraId="0562EBEF">
      <w:pPr>
        <w:pStyle w:val="59"/>
        <w:spacing w:before="192" w:beforeLines="80" w:after="24"/>
        <w:jc w:val="left"/>
        <w:rPr>
          <w:rFonts w:hint="eastAsia"/>
          <w:color w:val="auto"/>
          <w:lang w:eastAsia="zh-CN"/>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headerReference r:id="rId6" w:type="default"/>
      <w:footerReference r:id="rId7" w:type="default"/>
      <w:pgSz w:w="16838" w:h="11906" w:orient="landscape"/>
      <w:pgMar w:top="1417" w:right="1440" w:bottom="1417" w:left="1440" w:header="851" w:footer="992" w:gutter="0"/>
      <w:pgBorders>
        <w:top w:val="none" w:sz="0" w:space="0"/>
        <w:left w:val="none" w:sz="0" w:space="0"/>
        <w:bottom w:val="none" w:sz="0" w:space="0"/>
        <w:right w:val="none" w:sz="0" w:space="0"/>
      </w:pgBorders>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7A66D3D-8222-4F06-8D38-23395A7E7A6C}"/>
  </w:font>
  <w:font w:name="黑体">
    <w:panose1 w:val="02010609060101010101"/>
    <w:charset w:val="86"/>
    <w:family w:val="auto"/>
    <w:pitch w:val="default"/>
    <w:sig w:usb0="800002BF" w:usb1="38CF7CFA" w:usb2="00000016" w:usb3="00000000" w:csb0="00040001" w:csb1="00000000"/>
    <w:embedRegular r:id="rId2" w:fontKey="{CE879E2F-AF36-4F49-947B-E6106E56EEE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B3ABADD-E3D6-4CEB-877A-13CF31F5A475}"/>
  </w:font>
  <w:font w:name="楷体_GB2312">
    <w:altName w:val="楷体"/>
    <w:panose1 w:val="02010609030101010101"/>
    <w:charset w:val="86"/>
    <w:family w:val="modern"/>
    <w:pitch w:val="default"/>
    <w:sig w:usb0="00000000" w:usb1="00000000" w:usb2="00000000" w:usb3="00000000" w:csb0="00040000" w:csb1="00000000"/>
    <w:embedRegular r:id="rId4" w:fontKey="{FE42A965-2F31-4DBF-A764-5A64393DE824}"/>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Arial Black">
    <w:panose1 w:val="020B0A04020102020204"/>
    <w:charset w:val="00"/>
    <w:family w:val="swiss"/>
    <w:pitch w:val="default"/>
    <w:sig w:usb0="A00002AF" w:usb1="400078FB" w:usb2="00000000" w:usb3="00000000" w:csb0="6000009F" w:csb1="DFD70000"/>
  </w:font>
  <w:font w:name="仿宋">
    <w:panose1 w:val="02010609060101010101"/>
    <w:charset w:val="86"/>
    <w:family w:val="auto"/>
    <w:pitch w:val="default"/>
    <w:sig w:usb0="800002BF" w:usb1="38CF7CFA" w:usb2="00000016" w:usb3="00000000" w:csb0="00040001" w:csb1="00000000"/>
    <w:embedRegular r:id="rId5" w:fontKey="{E947A28F-9870-4581-BB1A-FE0D31D3DC3C}"/>
  </w:font>
  <w:font w:name="새굴림">
    <w:altName w:val="AMGDT"/>
    <w:panose1 w:val="00000000000000000000"/>
    <w:charset w:val="00"/>
    <w:family w:val="auto"/>
    <w:pitch w:val="default"/>
    <w:sig w:usb0="00000000" w:usb1="00000000" w:usb2="00000000" w:usb3="00000000" w:csb0="00040001" w:csb1="00000000"/>
  </w:font>
  <w:font w:name="AMGDT">
    <w:panose1 w:val="02000400000000000000"/>
    <w:charset w:val="00"/>
    <w:family w:val="auto"/>
    <w:pitch w:val="default"/>
    <w:sig w:usb0="80000003" w:usb1="1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6" w:fontKey="{189A15F2-D72F-4621-9C19-3EA50FDF271A}"/>
  </w:font>
  <w:font w:name="方正小标宋_GBK">
    <w:panose1 w:val="02000000000000000000"/>
    <w:charset w:val="86"/>
    <w:family w:val="script"/>
    <w:pitch w:val="default"/>
    <w:sig w:usb0="A00002BF" w:usb1="38CF7CFA" w:usb2="00082016" w:usb3="00000000" w:csb0="00040001" w:csb1="00000000"/>
    <w:embedRegular r:id="rId7" w:fontKey="{5663EBE3-2F88-4A45-B4B8-961B93E503FE}"/>
  </w:font>
  <w:font w:name="华文仿宋">
    <w:panose1 w:val="02010600040101010101"/>
    <w:charset w:val="86"/>
    <w:family w:val="auto"/>
    <w:pitch w:val="default"/>
    <w:sig w:usb0="00000287" w:usb1="080F0000" w:usb2="00000000" w:usb3="00000000" w:csb0="0004009F" w:csb1="DFD70000"/>
    <w:embedRegular r:id="rId8" w:fontKey="{20854888-D346-4CC8-8FA6-E51A5E16A66B}"/>
  </w:font>
  <w:font w:name="TimesNewRomanPSMT">
    <w:altName w:val="Times New Roman"/>
    <w:panose1 w:val="00000000000000000000"/>
    <w:charset w:val="80"/>
    <w:family w:val="auto"/>
    <w:pitch w:val="default"/>
    <w:sig w:usb0="00000000" w:usb1="00000000" w:usb2="00000000" w:usb3="00000000" w:csb0="00020000" w:csb1="00000000"/>
    <w:embedRegular r:id="rId9" w:fontKey="{11793B95-589E-49F5-899D-16A2DA13982E}"/>
  </w:font>
  <w:font w:name="TimesNewRomanPS-BoldMT">
    <w:altName w:val="宋体"/>
    <w:panose1 w:val="00000000000000000000"/>
    <w:charset w:val="86"/>
    <w:family w:val="auto"/>
    <w:pitch w:val="default"/>
    <w:sig w:usb0="00000000" w:usb1="00000000" w:usb2="00000000" w:usb3="00000000" w:csb0="00040000" w:csb1="00000000"/>
    <w:embedRegular r:id="rId10" w:fontKey="{854234B1-A2B0-4D09-8D4B-B9D1ADB6AC49}"/>
  </w:font>
  <w:font w:name="方正楷体简体">
    <w:altName w:val="宋体"/>
    <w:panose1 w:val="00000000000000000000"/>
    <w:charset w:val="86"/>
    <w:family w:val="script"/>
    <w:pitch w:val="default"/>
    <w:sig w:usb0="00000000" w:usb1="00000000" w:usb2="00000000" w:usb3="00000000" w:csb0="00040000" w:csb1="00000000"/>
    <w:embedRegular r:id="rId11" w:fontKey="{E9A658C4-E705-4321-B84C-25C662E08A32}"/>
  </w:font>
  <w:font w:name="方正仿宋简体">
    <w:altName w:val="微软雅黑"/>
    <w:panose1 w:val="00000000000000000000"/>
    <w:charset w:val="86"/>
    <w:family w:val="script"/>
    <w:pitch w:val="default"/>
    <w:sig w:usb0="00000000" w:usb1="00000000" w:usb2="00000000" w:usb3="00000000" w:csb0="00040000" w:csb1="00000000"/>
    <w:embedRegular r:id="rId12" w:fontKey="{175DF40C-065A-4D9C-B11F-E4B1B8C0ABBB}"/>
  </w:font>
  <w:font w:name="微软雅黑">
    <w:panose1 w:val="020B0503020204020204"/>
    <w:charset w:val="86"/>
    <w:family w:val="auto"/>
    <w:pitch w:val="default"/>
    <w:sig w:usb0="80000287" w:usb1="2ACF3C50" w:usb2="00000016" w:usb3="00000000" w:csb0="0004001F" w:csb1="00000000"/>
  </w:font>
  <w:font w:name="Gulim">
    <w:altName w:val="Malgun Gothic"/>
    <w:panose1 w:val="020B0600000101010101"/>
    <w:charset w:val="81"/>
    <w:family w:val="swiss"/>
    <w:pitch w:val="default"/>
    <w:sig w:usb0="00000000" w:usb1="00000000" w:usb2="00000030" w:usb3="00000000" w:csb0="4008009F" w:csb1="DFD70000"/>
    <w:embedRegular r:id="rId13" w:fontKey="{E904B60E-3198-4506-B915-918F1881ACF6}"/>
  </w:font>
  <w:font w:name="Malgun Gothic">
    <w:panose1 w:val="020B0503020000020004"/>
    <w:charset w:val="81"/>
    <w:family w:val="auto"/>
    <w:pitch w:val="default"/>
    <w:sig w:usb0="9000002F" w:usb1="29D77CFB" w:usb2="00000012" w:usb3="00000000" w:csb0="00080001" w:csb1="00000000"/>
  </w:font>
  <w:font w:name="新宋体">
    <w:panose1 w:val="02010609030101010101"/>
    <w:charset w:val="86"/>
    <w:family w:val="modern"/>
    <w:pitch w:val="default"/>
    <w:sig w:usb0="00000283" w:usb1="288F0000" w:usb2="00000006" w:usb3="00000000" w:csb0="00040001" w:csb1="00000000"/>
    <w:embedRegular r:id="rId14" w:fontKey="{B3BFA87B-E8CB-41C3-A36E-7CD8A4730DD9}"/>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8CE65">
    <w:pPr>
      <w:pStyle w:val="2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4395">
    <w:pPr>
      <w:pStyle w:val="25"/>
      <w:framePr w:wrap="around" w:vAnchor="text" w:hAnchor="margin" w:xAlign="center" w:y="1"/>
      <w:rPr>
        <w:rStyle w:val="38"/>
      </w:rPr>
    </w:pPr>
    <w:r>
      <w:fldChar w:fldCharType="begin"/>
    </w:r>
    <w:r>
      <w:rPr>
        <w:rStyle w:val="38"/>
      </w:rPr>
      <w:instrText xml:space="preserve">PAGE  </w:instrText>
    </w:r>
    <w:r>
      <w:fldChar w:fldCharType="end"/>
    </w:r>
  </w:p>
  <w:p w14:paraId="447E0C43">
    <w:pPr>
      <w:pStyle w:val="2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752F8">
    <w:pPr>
      <w:pStyle w:val="25"/>
      <w:framePr w:wrap="around" w:vAnchor="text" w:hAnchor="margin" w:xAlign="outside" w:y="1"/>
      <w:ind w:left="0" w:leftChars="0" w:right="0" w:rightChars="0" w:firstLine="0" w:firstLineChars="0"/>
      <w:jc w:val="center"/>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Fonts w:ascii="宋体" w:hAnsi="宋体"/>
        <w:sz w:val="26"/>
        <w:szCs w:val="26"/>
      </w:rPr>
      <w:fldChar w:fldCharType="begin"/>
    </w:r>
    <w:r>
      <w:rPr>
        <w:rStyle w:val="38"/>
        <w:rFonts w:ascii="宋体" w:hAnsi="宋体"/>
        <w:sz w:val="26"/>
        <w:szCs w:val="26"/>
      </w:rPr>
      <w:instrText xml:space="preserve">PAGE  </w:instrText>
    </w:r>
    <w:r>
      <w:rPr>
        <w:rFonts w:ascii="宋体" w:hAnsi="宋体"/>
        <w:sz w:val="26"/>
        <w:szCs w:val="26"/>
      </w:rPr>
      <w:fldChar w:fldCharType="separate"/>
    </w:r>
    <w:r>
      <w:rPr>
        <w:rStyle w:val="38"/>
        <w:rFonts w:ascii="宋体" w:hAnsi="宋体"/>
        <w:sz w:val="26"/>
        <w:szCs w:val="26"/>
      </w:rPr>
      <w:t>9</w:t>
    </w:r>
    <w:r>
      <w:rPr>
        <w:rFonts w:ascii="宋体" w:hAnsi="宋体"/>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p w14:paraId="0EE35C58">
    <w:pPr>
      <w:pStyle w:val="2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A7C6C">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CD4EE">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68A6AE"/>
    <w:multiLevelType w:val="singleLevel"/>
    <w:tmpl w:val="E568A6AE"/>
    <w:lvl w:ilvl="0" w:tentative="0">
      <w:start w:val="1"/>
      <w:numFmt w:val="decimal"/>
      <w:suff w:val="nothing"/>
      <w:lvlText w:val="%1、"/>
      <w:lvlJc w:val="left"/>
    </w:lvl>
  </w:abstractNum>
  <w:abstractNum w:abstractNumId="1">
    <w:nsid w:val="E592A215"/>
    <w:multiLevelType w:val="multilevel"/>
    <w:tmpl w:val="E592A215"/>
    <w:lvl w:ilvl="0" w:tentative="0">
      <w:start w:val="1"/>
      <w:numFmt w:val="decimal"/>
      <w:suff w:val="nothing"/>
      <w:lvlText w:val="（%1）"/>
      <w:lvlJc w:val="left"/>
      <w:pPr>
        <w:tabs>
          <w:tab w:val="left" w:pos="0"/>
        </w:tabs>
        <w:ind w:left="0" w:firstLine="420"/>
      </w:pPr>
      <w:rPr>
        <w:rFonts w:hint="default"/>
        <w:sz w:val="24"/>
        <w:szCs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E65AD6C1"/>
    <w:multiLevelType w:val="multilevel"/>
    <w:tmpl w:val="E65AD6C1"/>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suff w:val="nothing"/>
      <w:lvlText w:val="%1.%2.%3."/>
      <w:lvlJc w:val="left"/>
      <w:pPr>
        <w:ind w:left="0" w:firstLine="0"/>
      </w:pPr>
      <w:rPr>
        <w:rFonts w:hint="default"/>
        <w:sz w:val="32"/>
      </w:rPr>
    </w:lvl>
    <w:lvl w:ilvl="3" w:tentative="0">
      <w:start w:val="1"/>
      <w:numFmt w:val="decimal"/>
      <w:suff w:val="nothing"/>
      <w:lvlText w:val="%1.%2.%3.%4."/>
      <w:lvlJc w:val="left"/>
      <w:pPr>
        <w:ind w:left="864" w:hanging="864"/>
      </w:pPr>
      <w:rPr>
        <w:rFonts w:hint="default" w:ascii="宋体" w:hAnsi="宋体" w:eastAsia="宋体" w:cs="宋体"/>
      </w:rPr>
    </w:lvl>
    <w:lvl w:ilvl="4" w:tentative="0">
      <w:start w:val="1"/>
      <w:numFmt w:val="decimal"/>
      <w:lvlText w:val="%1.%2.%3.%4.%5."/>
      <w:lvlJc w:val="left"/>
      <w:pPr>
        <w:ind w:left="1008" w:hanging="1008"/>
      </w:pPr>
      <w:rPr>
        <w:rFonts w:hint="default"/>
      </w:rPr>
    </w:lvl>
    <w:lvl w:ilvl="5" w:tentative="0">
      <w:start w:val="1"/>
      <w:numFmt w:val="decimal"/>
      <w:lvlText w:val="%1.%2.%3.%4.%5.%6."/>
      <w:lvlJc w:val="left"/>
      <w:pPr>
        <w:tabs>
          <w:tab w:val="left" w:pos="0"/>
        </w:tabs>
        <w:ind w:left="0" w:firstLine="0"/>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Restart w:val="2"/>
      <w:pStyle w:val="3"/>
      <w:suff w:val="space"/>
      <w:lvlText w:val="表%1.%2-%9"/>
      <w:lvlJc w:val="left"/>
      <w:pPr>
        <w:ind w:left="720" w:firstLine="0"/>
      </w:pPr>
      <w:rPr>
        <w:rFonts w:hint="default" w:ascii="宋体" w:hAnsi="宋体" w:eastAsia="宋体" w:cs="宋体"/>
        <w:sz w:val="24"/>
        <w:szCs w:val="24"/>
      </w:rPr>
    </w:lvl>
  </w:abstractNum>
  <w:abstractNum w:abstractNumId="3">
    <w:nsid w:val="F91F3A87"/>
    <w:multiLevelType w:val="singleLevel"/>
    <w:tmpl w:val="F91F3A87"/>
    <w:lvl w:ilvl="0" w:tentative="0">
      <w:start w:val="1"/>
      <w:numFmt w:val="decimal"/>
      <w:suff w:val="nothing"/>
      <w:lvlText w:val="%1、"/>
      <w:lvlJc w:val="left"/>
    </w:lvl>
  </w:abstractNum>
  <w:abstractNum w:abstractNumId="4">
    <w:nsid w:val="6AF915A6"/>
    <w:multiLevelType w:val="multilevel"/>
    <w:tmpl w:val="6AF915A6"/>
    <w:lvl w:ilvl="0" w:tentative="0">
      <w:start w:val="1"/>
      <w:numFmt w:val="decimal"/>
      <w:lvlText w:val="%1"/>
      <w:lvlJc w:val="left"/>
      <w:pPr>
        <w:tabs>
          <w:tab w:val="left" w:pos="432"/>
        </w:tabs>
        <w:ind w:left="0" w:firstLine="0"/>
      </w:pPr>
      <w:rPr>
        <w:rFonts w:hint="default" w:ascii="Times New Roman" w:hAnsi="Times New Roman" w:cs="Times New Roman"/>
      </w:rPr>
    </w:lvl>
    <w:lvl w:ilvl="1" w:tentative="0">
      <w:start w:val="1"/>
      <w:numFmt w:val="decimal"/>
      <w:pStyle w:val="5"/>
      <w:lvlText w:val="%1.%2"/>
      <w:lvlJc w:val="left"/>
      <w:pPr>
        <w:tabs>
          <w:tab w:val="left" w:pos="432"/>
        </w:tabs>
        <w:ind w:left="0" w:firstLine="0"/>
      </w:pPr>
      <w:rPr>
        <w:rFonts w:hint="default" w:ascii="Times New Roman" w:hAnsi="Times New Roman" w:cs="Times New Roman"/>
      </w:rPr>
    </w:lvl>
    <w:lvl w:ilvl="2" w:tentative="0">
      <w:start w:val="1"/>
      <w:numFmt w:val="decimal"/>
      <w:lvlText w:val="%1.%2.%3"/>
      <w:lvlJc w:val="left"/>
      <w:pPr>
        <w:tabs>
          <w:tab w:val="left" w:pos="747"/>
        </w:tabs>
        <w:ind w:left="315" w:firstLine="0"/>
      </w:pPr>
      <w:rPr>
        <w:rFonts w:hint="default" w:ascii="Times New Roman" w:hAnsi="Times New Roman" w:cs="Times New Roman"/>
        <w:b/>
      </w:rPr>
    </w:lvl>
    <w:lvl w:ilvl="3" w:tentative="0">
      <w:start w:val="1"/>
      <w:numFmt w:val="decimal"/>
      <w:lvlText w:val="%1.%2.%3.%4"/>
      <w:lvlJc w:val="left"/>
      <w:pPr>
        <w:tabs>
          <w:tab w:val="left" w:pos="432"/>
        </w:tabs>
        <w:ind w:left="0" w:firstLine="0"/>
      </w:pPr>
      <w:rPr>
        <w:rFonts w:hint="default" w:ascii="Times New Roman" w:hAnsi="Times New Roman" w:cs="Times New Roman"/>
        <w:b/>
        <w:color w:val="000000"/>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5">
    <w:nsid w:val="71113A02"/>
    <w:multiLevelType w:val="singleLevel"/>
    <w:tmpl w:val="71113A02"/>
    <w:lvl w:ilvl="0" w:tentative="0">
      <w:start w:val="1"/>
      <w:numFmt w:val="bullet"/>
      <w:pStyle w:val="19"/>
      <w:lvlText w:val=""/>
      <w:lvlJc w:val="left"/>
      <w:pPr>
        <w:tabs>
          <w:tab w:val="left" w:pos="2040"/>
        </w:tabs>
        <w:ind w:left="2040" w:hanging="360"/>
      </w:pPr>
      <w:rPr>
        <w:rFonts w:hint="default" w:ascii="Wingdings" w:hAnsi="Wingdings"/>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5MDFlZDUwZDMxMjU1ZDM0MGI1MmQ3ZTNhN2FjMmM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2953"/>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4410"/>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A87"/>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5E4AD6"/>
    <w:rsid w:val="017240DE"/>
    <w:rsid w:val="019A2911"/>
    <w:rsid w:val="01AB0581"/>
    <w:rsid w:val="01AF76DB"/>
    <w:rsid w:val="01DE3C65"/>
    <w:rsid w:val="022F2AFB"/>
    <w:rsid w:val="02697903"/>
    <w:rsid w:val="02952F50"/>
    <w:rsid w:val="02986744"/>
    <w:rsid w:val="02A426CE"/>
    <w:rsid w:val="02F03DCB"/>
    <w:rsid w:val="02F96569"/>
    <w:rsid w:val="03071A04"/>
    <w:rsid w:val="030B168C"/>
    <w:rsid w:val="03945002"/>
    <w:rsid w:val="03A62727"/>
    <w:rsid w:val="03C75198"/>
    <w:rsid w:val="03EA7B21"/>
    <w:rsid w:val="041F20D1"/>
    <w:rsid w:val="042112D4"/>
    <w:rsid w:val="04231903"/>
    <w:rsid w:val="042D4C6A"/>
    <w:rsid w:val="04814D63"/>
    <w:rsid w:val="04C34715"/>
    <w:rsid w:val="050831A2"/>
    <w:rsid w:val="051A51B8"/>
    <w:rsid w:val="052D0A47"/>
    <w:rsid w:val="05314F11"/>
    <w:rsid w:val="054E5E0E"/>
    <w:rsid w:val="05B25CDD"/>
    <w:rsid w:val="05D215EF"/>
    <w:rsid w:val="05D357B0"/>
    <w:rsid w:val="05F83EAE"/>
    <w:rsid w:val="05FC1E71"/>
    <w:rsid w:val="063D5101"/>
    <w:rsid w:val="063E7D85"/>
    <w:rsid w:val="064E336B"/>
    <w:rsid w:val="06B372F3"/>
    <w:rsid w:val="06E1488E"/>
    <w:rsid w:val="071B7641"/>
    <w:rsid w:val="07293586"/>
    <w:rsid w:val="07295285"/>
    <w:rsid w:val="072C76B6"/>
    <w:rsid w:val="075A410D"/>
    <w:rsid w:val="075E57C8"/>
    <w:rsid w:val="07636392"/>
    <w:rsid w:val="07770C56"/>
    <w:rsid w:val="077A3310"/>
    <w:rsid w:val="078653C6"/>
    <w:rsid w:val="07AE4438"/>
    <w:rsid w:val="07CC1669"/>
    <w:rsid w:val="07EB3115"/>
    <w:rsid w:val="08234384"/>
    <w:rsid w:val="08550AB7"/>
    <w:rsid w:val="085C4273"/>
    <w:rsid w:val="08A879AC"/>
    <w:rsid w:val="08C23D32"/>
    <w:rsid w:val="08EA137C"/>
    <w:rsid w:val="090C503D"/>
    <w:rsid w:val="092217DD"/>
    <w:rsid w:val="093A7294"/>
    <w:rsid w:val="0962248A"/>
    <w:rsid w:val="096C42F9"/>
    <w:rsid w:val="09774987"/>
    <w:rsid w:val="09E0077E"/>
    <w:rsid w:val="0A263993"/>
    <w:rsid w:val="0A2D3AC2"/>
    <w:rsid w:val="0AA755DF"/>
    <w:rsid w:val="0AC736EC"/>
    <w:rsid w:val="0B120D44"/>
    <w:rsid w:val="0B2F0DE8"/>
    <w:rsid w:val="0B6A3567"/>
    <w:rsid w:val="0B904FAE"/>
    <w:rsid w:val="0BBA6759"/>
    <w:rsid w:val="0BC11A15"/>
    <w:rsid w:val="0BD27BF6"/>
    <w:rsid w:val="0BDA797B"/>
    <w:rsid w:val="0BE40775"/>
    <w:rsid w:val="0C1175F2"/>
    <w:rsid w:val="0C3B3C7D"/>
    <w:rsid w:val="0CAB2EAE"/>
    <w:rsid w:val="0CAF61E6"/>
    <w:rsid w:val="0CD971A1"/>
    <w:rsid w:val="0CDC5089"/>
    <w:rsid w:val="0CDF5AF2"/>
    <w:rsid w:val="0D0B517D"/>
    <w:rsid w:val="0D49663A"/>
    <w:rsid w:val="0D510A28"/>
    <w:rsid w:val="0D621C7D"/>
    <w:rsid w:val="0D86310C"/>
    <w:rsid w:val="0D9A3FF9"/>
    <w:rsid w:val="0DA833CC"/>
    <w:rsid w:val="0E73034D"/>
    <w:rsid w:val="0EA63E78"/>
    <w:rsid w:val="0EAE66D0"/>
    <w:rsid w:val="0F13775A"/>
    <w:rsid w:val="0F5F45FE"/>
    <w:rsid w:val="0F6E4FA9"/>
    <w:rsid w:val="0F785153"/>
    <w:rsid w:val="0F9A112B"/>
    <w:rsid w:val="0FB87AA7"/>
    <w:rsid w:val="0FD32E38"/>
    <w:rsid w:val="104B4852"/>
    <w:rsid w:val="10575ACF"/>
    <w:rsid w:val="106D2F64"/>
    <w:rsid w:val="10B63710"/>
    <w:rsid w:val="10C761F4"/>
    <w:rsid w:val="10DA721B"/>
    <w:rsid w:val="10EF23E4"/>
    <w:rsid w:val="10F10820"/>
    <w:rsid w:val="10F36FE9"/>
    <w:rsid w:val="111C2F7A"/>
    <w:rsid w:val="11654680"/>
    <w:rsid w:val="11665CA1"/>
    <w:rsid w:val="11E608FC"/>
    <w:rsid w:val="130D1EB8"/>
    <w:rsid w:val="134A3E23"/>
    <w:rsid w:val="134C478E"/>
    <w:rsid w:val="137D3871"/>
    <w:rsid w:val="13951726"/>
    <w:rsid w:val="13AC317A"/>
    <w:rsid w:val="13B8131D"/>
    <w:rsid w:val="13BA3DEE"/>
    <w:rsid w:val="14396509"/>
    <w:rsid w:val="146124BC"/>
    <w:rsid w:val="14C924E0"/>
    <w:rsid w:val="14DD2C3C"/>
    <w:rsid w:val="14FD2F11"/>
    <w:rsid w:val="1557027F"/>
    <w:rsid w:val="15CA0AB1"/>
    <w:rsid w:val="15F208BF"/>
    <w:rsid w:val="16087E1D"/>
    <w:rsid w:val="162449B3"/>
    <w:rsid w:val="163C1560"/>
    <w:rsid w:val="16710207"/>
    <w:rsid w:val="167370A0"/>
    <w:rsid w:val="168D48A0"/>
    <w:rsid w:val="17701D14"/>
    <w:rsid w:val="17735226"/>
    <w:rsid w:val="179E5A77"/>
    <w:rsid w:val="17A50638"/>
    <w:rsid w:val="17E02057"/>
    <w:rsid w:val="180D7B04"/>
    <w:rsid w:val="181D494B"/>
    <w:rsid w:val="184C3483"/>
    <w:rsid w:val="188E086C"/>
    <w:rsid w:val="189F624C"/>
    <w:rsid w:val="196149FA"/>
    <w:rsid w:val="198C5291"/>
    <w:rsid w:val="199148E8"/>
    <w:rsid w:val="19A16730"/>
    <w:rsid w:val="19F7179E"/>
    <w:rsid w:val="19FE328E"/>
    <w:rsid w:val="1A1C66C0"/>
    <w:rsid w:val="1A42393B"/>
    <w:rsid w:val="1A7940DF"/>
    <w:rsid w:val="1AAD45DE"/>
    <w:rsid w:val="1AD84D72"/>
    <w:rsid w:val="1ADF7B2B"/>
    <w:rsid w:val="1AE31E7C"/>
    <w:rsid w:val="1B046F80"/>
    <w:rsid w:val="1B2972F4"/>
    <w:rsid w:val="1B3267B5"/>
    <w:rsid w:val="1B346D30"/>
    <w:rsid w:val="1B40161D"/>
    <w:rsid w:val="1B441859"/>
    <w:rsid w:val="1B6606B1"/>
    <w:rsid w:val="1B75684C"/>
    <w:rsid w:val="1BD46BA6"/>
    <w:rsid w:val="1C2269D4"/>
    <w:rsid w:val="1C5E7925"/>
    <w:rsid w:val="1C712DCC"/>
    <w:rsid w:val="1CE238AE"/>
    <w:rsid w:val="1CFB0000"/>
    <w:rsid w:val="1CFD070F"/>
    <w:rsid w:val="1D3A6DB6"/>
    <w:rsid w:val="1D5021F1"/>
    <w:rsid w:val="1D5F6196"/>
    <w:rsid w:val="1D6132A5"/>
    <w:rsid w:val="1D8D1284"/>
    <w:rsid w:val="1D8E56D5"/>
    <w:rsid w:val="1D90524F"/>
    <w:rsid w:val="1DD23C7F"/>
    <w:rsid w:val="1E000CD5"/>
    <w:rsid w:val="1E270127"/>
    <w:rsid w:val="1E404845"/>
    <w:rsid w:val="1E736F5D"/>
    <w:rsid w:val="1E7A43DA"/>
    <w:rsid w:val="1E826EA4"/>
    <w:rsid w:val="1ECF4B8A"/>
    <w:rsid w:val="1EE24D91"/>
    <w:rsid w:val="1EE97E37"/>
    <w:rsid w:val="1F546E67"/>
    <w:rsid w:val="1FC320BE"/>
    <w:rsid w:val="1FE7539E"/>
    <w:rsid w:val="20671BE0"/>
    <w:rsid w:val="208E6682"/>
    <w:rsid w:val="20963CB8"/>
    <w:rsid w:val="20A81A1B"/>
    <w:rsid w:val="20B07FB6"/>
    <w:rsid w:val="20B646FB"/>
    <w:rsid w:val="20BB2547"/>
    <w:rsid w:val="20F57102"/>
    <w:rsid w:val="20FC21B5"/>
    <w:rsid w:val="2135699A"/>
    <w:rsid w:val="213B74B1"/>
    <w:rsid w:val="214806FA"/>
    <w:rsid w:val="215A2310"/>
    <w:rsid w:val="21DE318A"/>
    <w:rsid w:val="21EF5B80"/>
    <w:rsid w:val="224B5A92"/>
    <w:rsid w:val="225545E5"/>
    <w:rsid w:val="22576990"/>
    <w:rsid w:val="227B755E"/>
    <w:rsid w:val="22814E21"/>
    <w:rsid w:val="22B1707E"/>
    <w:rsid w:val="22F47480"/>
    <w:rsid w:val="238860F7"/>
    <w:rsid w:val="23A31F0D"/>
    <w:rsid w:val="23B119A8"/>
    <w:rsid w:val="23CB7DF7"/>
    <w:rsid w:val="23DE1C48"/>
    <w:rsid w:val="240210CD"/>
    <w:rsid w:val="2437420E"/>
    <w:rsid w:val="244B55D0"/>
    <w:rsid w:val="2483647E"/>
    <w:rsid w:val="249374D7"/>
    <w:rsid w:val="249A108F"/>
    <w:rsid w:val="24AB32DF"/>
    <w:rsid w:val="24BA1165"/>
    <w:rsid w:val="24BF09F7"/>
    <w:rsid w:val="24C16D86"/>
    <w:rsid w:val="252D53FE"/>
    <w:rsid w:val="257C6A95"/>
    <w:rsid w:val="258322B2"/>
    <w:rsid w:val="259700CD"/>
    <w:rsid w:val="25EB65A4"/>
    <w:rsid w:val="25EC2D81"/>
    <w:rsid w:val="264C5790"/>
    <w:rsid w:val="267C3833"/>
    <w:rsid w:val="26EE56AF"/>
    <w:rsid w:val="275D540C"/>
    <w:rsid w:val="276440F0"/>
    <w:rsid w:val="277057A2"/>
    <w:rsid w:val="277D0F63"/>
    <w:rsid w:val="27807F4C"/>
    <w:rsid w:val="27853395"/>
    <w:rsid w:val="27A22F05"/>
    <w:rsid w:val="28206B64"/>
    <w:rsid w:val="284E3D95"/>
    <w:rsid w:val="285757C6"/>
    <w:rsid w:val="28793836"/>
    <w:rsid w:val="289A5807"/>
    <w:rsid w:val="28A53DB1"/>
    <w:rsid w:val="28EC5EB7"/>
    <w:rsid w:val="28F516C2"/>
    <w:rsid w:val="29206EB8"/>
    <w:rsid w:val="29333BE2"/>
    <w:rsid w:val="29542197"/>
    <w:rsid w:val="29595666"/>
    <w:rsid w:val="297A44B2"/>
    <w:rsid w:val="29874881"/>
    <w:rsid w:val="29AB6313"/>
    <w:rsid w:val="29CE3BD4"/>
    <w:rsid w:val="29DE4F5E"/>
    <w:rsid w:val="29E325E0"/>
    <w:rsid w:val="29F243F9"/>
    <w:rsid w:val="29FA1A18"/>
    <w:rsid w:val="2A1B6F7E"/>
    <w:rsid w:val="2A2F2892"/>
    <w:rsid w:val="2A452503"/>
    <w:rsid w:val="2ADB6E3F"/>
    <w:rsid w:val="2B144310"/>
    <w:rsid w:val="2B4F3221"/>
    <w:rsid w:val="2B8C67FD"/>
    <w:rsid w:val="2BA758FD"/>
    <w:rsid w:val="2BA936A8"/>
    <w:rsid w:val="2BDB0428"/>
    <w:rsid w:val="2C196DC9"/>
    <w:rsid w:val="2C1B1B52"/>
    <w:rsid w:val="2C315A5A"/>
    <w:rsid w:val="2C422351"/>
    <w:rsid w:val="2C4B1C25"/>
    <w:rsid w:val="2C686598"/>
    <w:rsid w:val="2C7C3EDF"/>
    <w:rsid w:val="2C8B2374"/>
    <w:rsid w:val="2D3253FC"/>
    <w:rsid w:val="2D3459AC"/>
    <w:rsid w:val="2D4654A3"/>
    <w:rsid w:val="2D595A9A"/>
    <w:rsid w:val="2D8B7952"/>
    <w:rsid w:val="2D9E56F5"/>
    <w:rsid w:val="2DAE4FBF"/>
    <w:rsid w:val="2E4440F8"/>
    <w:rsid w:val="2E667F96"/>
    <w:rsid w:val="2E694682"/>
    <w:rsid w:val="2E8226AB"/>
    <w:rsid w:val="2EED69CE"/>
    <w:rsid w:val="2F0819A9"/>
    <w:rsid w:val="2F3911A2"/>
    <w:rsid w:val="2F405B1F"/>
    <w:rsid w:val="2F5F5E2F"/>
    <w:rsid w:val="2F964994"/>
    <w:rsid w:val="2FCE2CA3"/>
    <w:rsid w:val="2FD065E6"/>
    <w:rsid w:val="2FD96870"/>
    <w:rsid w:val="30580BC9"/>
    <w:rsid w:val="308A4F9D"/>
    <w:rsid w:val="308B2942"/>
    <w:rsid w:val="309425AC"/>
    <w:rsid w:val="30A45008"/>
    <w:rsid w:val="30A67064"/>
    <w:rsid w:val="30F15AB5"/>
    <w:rsid w:val="31046251"/>
    <w:rsid w:val="311E2ED7"/>
    <w:rsid w:val="314C03C6"/>
    <w:rsid w:val="315619EE"/>
    <w:rsid w:val="315C449C"/>
    <w:rsid w:val="316406E0"/>
    <w:rsid w:val="31B82709"/>
    <w:rsid w:val="31BB1046"/>
    <w:rsid w:val="31D05482"/>
    <w:rsid w:val="31E21248"/>
    <w:rsid w:val="31FE751D"/>
    <w:rsid w:val="32400B34"/>
    <w:rsid w:val="329E6876"/>
    <w:rsid w:val="33256C2B"/>
    <w:rsid w:val="332B4026"/>
    <w:rsid w:val="333015F2"/>
    <w:rsid w:val="334B6320"/>
    <w:rsid w:val="33867B2B"/>
    <w:rsid w:val="33B51A84"/>
    <w:rsid w:val="33D579D2"/>
    <w:rsid w:val="33D934D4"/>
    <w:rsid w:val="33F5642B"/>
    <w:rsid w:val="33FE2F6A"/>
    <w:rsid w:val="340E07E5"/>
    <w:rsid w:val="341E0851"/>
    <w:rsid w:val="34235BF7"/>
    <w:rsid w:val="342A4663"/>
    <w:rsid w:val="346F264A"/>
    <w:rsid w:val="34825F3F"/>
    <w:rsid w:val="34CA762A"/>
    <w:rsid w:val="34FD114A"/>
    <w:rsid w:val="35260FC4"/>
    <w:rsid w:val="35564465"/>
    <w:rsid w:val="35861673"/>
    <w:rsid w:val="35891AD6"/>
    <w:rsid w:val="358C5FA8"/>
    <w:rsid w:val="359B1EF1"/>
    <w:rsid w:val="35AF60E8"/>
    <w:rsid w:val="35C15DF1"/>
    <w:rsid w:val="35C45BA4"/>
    <w:rsid w:val="35F836A0"/>
    <w:rsid w:val="36074A7F"/>
    <w:rsid w:val="36923549"/>
    <w:rsid w:val="36B75FBF"/>
    <w:rsid w:val="36BD0C45"/>
    <w:rsid w:val="371D1E1A"/>
    <w:rsid w:val="37B179ED"/>
    <w:rsid w:val="37E00298"/>
    <w:rsid w:val="383C5F9A"/>
    <w:rsid w:val="38743F75"/>
    <w:rsid w:val="38991974"/>
    <w:rsid w:val="38B302F9"/>
    <w:rsid w:val="38F12CD3"/>
    <w:rsid w:val="38F94775"/>
    <w:rsid w:val="39073432"/>
    <w:rsid w:val="392971ED"/>
    <w:rsid w:val="39325651"/>
    <w:rsid w:val="394F046A"/>
    <w:rsid w:val="395A55A8"/>
    <w:rsid w:val="39DF3CFF"/>
    <w:rsid w:val="3A20459B"/>
    <w:rsid w:val="3A4678DA"/>
    <w:rsid w:val="3A4725A8"/>
    <w:rsid w:val="3A872856"/>
    <w:rsid w:val="3AC32575"/>
    <w:rsid w:val="3AD265B4"/>
    <w:rsid w:val="3B3763D1"/>
    <w:rsid w:val="3B3B497F"/>
    <w:rsid w:val="3B4541EE"/>
    <w:rsid w:val="3C0C136E"/>
    <w:rsid w:val="3C2F6E1E"/>
    <w:rsid w:val="3C4F64BA"/>
    <w:rsid w:val="3CAB7B4F"/>
    <w:rsid w:val="3CB21257"/>
    <w:rsid w:val="3CC40EAF"/>
    <w:rsid w:val="3CDA245A"/>
    <w:rsid w:val="3D1E06B7"/>
    <w:rsid w:val="3D2F4086"/>
    <w:rsid w:val="3D5B3034"/>
    <w:rsid w:val="3DC022B8"/>
    <w:rsid w:val="3DC770B3"/>
    <w:rsid w:val="3E645A81"/>
    <w:rsid w:val="3E8A3EE5"/>
    <w:rsid w:val="3E9048D9"/>
    <w:rsid w:val="3E956359"/>
    <w:rsid w:val="3E9B61E5"/>
    <w:rsid w:val="3EDA0523"/>
    <w:rsid w:val="3F067DF7"/>
    <w:rsid w:val="3F1D3E68"/>
    <w:rsid w:val="3F600D9F"/>
    <w:rsid w:val="3F740422"/>
    <w:rsid w:val="3F845F6B"/>
    <w:rsid w:val="3F860279"/>
    <w:rsid w:val="3FE0175A"/>
    <w:rsid w:val="4018391E"/>
    <w:rsid w:val="40183C9A"/>
    <w:rsid w:val="403C77B5"/>
    <w:rsid w:val="40431F1A"/>
    <w:rsid w:val="407A6407"/>
    <w:rsid w:val="407D3CED"/>
    <w:rsid w:val="40AD420F"/>
    <w:rsid w:val="40CA69A0"/>
    <w:rsid w:val="416B7C26"/>
    <w:rsid w:val="419B507F"/>
    <w:rsid w:val="4200449D"/>
    <w:rsid w:val="423A3BCC"/>
    <w:rsid w:val="424E57D2"/>
    <w:rsid w:val="42A02BEB"/>
    <w:rsid w:val="42A22A11"/>
    <w:rsid w:val="42B26C49"/>
    <w:rsid w:val="42E35BC8"/>
    <w:rsid w:val="42EC59EC"/>
    <w:rsid w:val="433A6FE6"/>
    <w:rsid w:val="433E4EB8"/>
    <w:rsid w:val="43480868"/>
    <w:rsid w:val="434E2645"/>
    <w:rsid w:val="4350713C"/>
    <w:rsid w:val="436653E0"/>
    <w:rsid w:val="43C4431A"/>
    <w:rsid w:val="440A62EF"/>
    <w:rsid w:val="443E1B27"/>
    <w:rsid w:val="44B3220A"/>
    <w:rsid w:val="44B951CC"/>
    <w:rsid w:val="44C96C5A"/>
    <w:rsid w:val="44CD14E0"/>
    <w:rsid w:val="44F20B0B"/>
    <w:rsid w:val="452E5F4C"/>
    <w:rsid w:val="45344E8E"/>
    <w:rsid w:val="45446E7A"/>
    <w:rsid w:val="45612018"/>
    <w:rsid w:val="45651B38"/>
    <w:rsid w:val="458946E9"/>
    <w:rsid w:val="4597723C"/>
    <w:rsid w:val="45991B64"/>
    <w:rsid w:val="45A47C0E"/>
    <w:rsid w:val="45C40594"/>
    <w:rsid w:val="45CE0EA0"/>
    <w:rsid w:val="45D831EC"/>
    <w:rsid w:val="45EF0BFF"/>
    <w:rsid w:val="46132E83"/>
    <w:rsid w:val="46577FD6"/>
    <w:rsid w:val="468E4C86"/>
    <w:rsid w:val="46A21448"/>
    <w:rsid w:val="46D955A7"/>
    <w:rsid w:val="47133957"/>
    <w:rsid w:val="47515D8E"/>
    <w:rsid w:val="47A07E0C"/>
    <w:rsid w:val="48291CEA"/>
    <w:rsid w:val="4870272E"/>
    <w:rsid w:val="48807943"/>
    <w:rsid w:val="48BC6556"/>
    <w:rsid w:val="491C146C"/>
    <w:rsid w:val="493C10E5"/>
    <w:rsid w:val="499D50E6"/>
    <w:rsid w:val="49D06A74"/>
    <w:rsid w:val="49DC7715"/>
    <w:rsid w:val="49E144A1"/>
    <w:rsid w:val="4A023139"/>
    <w:rsid w:val="4A4F27DB"/>
    <w:rsid w:val="4A7B576F"/>
    <w:rsid w:val="4A851968"/>
    <w:rsid w:val="4AAB496B"/>
    <w:rsid w:val="4ABB7B93"/>
    <w:rsid w:val="4ACD7D04"/>
    <w:rsid w:val="4AE023EC"/>
    <w:rsid w:val="4AE62995"/>
    <w:rsid w:val="4AF561A9"/>
    <w:rsid w:val="4B0A3CE8"/>
    <w:rsid w:val="4B583BE7"/>
    <w:rsid w:val="4BF83390"/>
    <w:rsid w:val="4C4A0649"/>
    <w:rsid w:val="4C4F5DF9"/>
    <w:rsid w:val="4C7140AF"/>
    <w:rsid w:val="4C7E5ECA"/>
    <w:rsid w:val="4C87118D"/>
    <w:rsid w:val="4C876AA5"/>
    <w:rsid w:val="4C9347AE"/>
    <w:rsid w:val="4CC13295"/>
    <w:rsid w:val="4D0E00FB"/>
    <w:rsid w:val="4D176606"/>
    <w:rsid w:val="4D6C55AD"/>
    <w:rsid w:val="4D751DA4"/>
    <w:rsid w:val="4DEC4FB0"/>
    <w:rsid w:val="4DF74202"/>
    <w:rsid w:val="4DFE64A5"/>
    <w:rsid w:val="4E075D8A"/>
    <w:rsid w:val="4E3441C2"/>
    <w:rsid w:val="4E555D0E"/>
    <w:rsid w:val="4E5C42B3"/>
    <w:rsid w:val="4E695370"/>
    <w:rsid w:val="4EC00FAD"/>
    <w:rsid w:val="4EEE4370"/>
    <w:rsid w:val="4F1A6EFD"/>
    <w:rsid w:val="4F1C6CA5"/>
    <w:rsid w:val="4F3D7752"/>
    <w:rsid w:val="4F42646A"/>
    <w:rsid w:val="4F5166AD"/>
    <w:rsid w:val="4F673E69"/>
    <w:rsid w:val="4F7766F7"/>
    <w:rsid w:val="4F9843DC"/>
    <w:rsid w:val="4F9D5D96"/>
    <w:rsid w:val="4FC62A8C"/>
    <w:rsid w:val="4FE20F0D"/>
    <w:rsid w:val="4FE51552"/>
    <w:rsid w:val="502D50C3"/>
    <w:rsid w:val="50504C4B"/>
    <w:rsid w:val="50767F8D"/>
    <w:rsid w:val="508D136D"/>
    <w:rsid w:val="509B6CBC"/>
    <w:rsid w:val="509C6E7C"/>
    <w:rsid w:val="509E6C48"/>
    <w:rsid w:val="50A25FC6"/>
    <w:rsid w:val="50B67110"/>
    <w:rsid w:val="50C6549F"/>
    <w:rsid w:val="5139564B"/>
    <w:rsid w:val="5162104E"/>
    <w:rsid w:val="51A540D2"/>
    <w:rsid w:val="51A92F5F"/>
    <w:rsid w:val="51CD4345"/>
    <w:rsid w:val="523919CF"/>
    <w:rsid w:val="526F36E7"/>
    <w:rsid w:val="527C590A"/>
    <w:rsid w:val="52904D10"/>
    <w:rsid w:val="52A916A0"/>
    <w:rsid w:val="531B03DA"/>
    <w:rsid w:val="53202F66"/>
    <w:rsid w:val="535054EE"/>
    <w:rsid w:val="53742D9D"/>
    <w:rsid w:val="53A039CC"/>
    <w:rsid w:val="53A1505A"/>
    <w:rsid w:val="53C03E02"/>
    <w:rsid w:val="53ED479A"/>
    <w:rsid w:val="54063E08"/>
    <w:rsid w:val="543437E8"/>
    <w:rsid w:val="54433A33"/>
    <w:rsid w:val="544D3AF5"/>
    <w:rsid w:val="546636F2"/>
    <w:rsid w:val="54D6013E"/>
    <w:rsid w:val="54D73FA3"/>
    <w:rsid w:val="54ED42EE"/>
    <w:rsid w:val="54F73313"/>
    <w:rsid w:val="54F80955"/>
    <w:rsid w:val="555170A7"/>
    <w:rsid w:val="5587536D"/>
    <w:rsid w:val="559B174B"/>
    <w:rsid w:val="55A32E5B"/>
    <w:rsid w:val="55CE0CF4"/>
    <w:rsid w:val="56436AEF"/>
    <w:rsid w:val="565F1082"/>
    <w:rsid w:val="566D0271"/>
    <w:rsid w:val="56876E58"/>
    <w:rsid w:val="5689497F"/>
    <w:rsid w:val="56957A39"/>
    <w:rsid w:val="56AB2B47"/>
    <w:rsid w:val="56B22A9C"/>
    <w:rsid w:val="56F922DD"/>
    <w:rsid w:val="570F46A6"/>
    <w:rsid w:val="571B7CCD"/>
    <w:rsid w:val="57390153"/>
    <w:rsid w:val="574014E1"/>
    <w:rsid w:val="57893FD3"/>
    <w:rsid w:val="57B72A76"/>
    <w:rsid w:val="57C2182F"/>
    <w:rsid w:val="57C2283E"/>
    <w:rsid w:val="57C3426C"/>
    <w:rsid w:val="57CE1F93"/>
    <w:rsid w:val="58467A7A"/>
    <w:rsid w:val="588743D1"/>
    <w:rsid w:val="5887701A"/>
    <w:rsid w:val="589C5923"/>
    <w:rsid w:val="589F0CDE"/>
    <w:rsid w:val="58AA3E76"/>
    <w:rsid w:val="58BF2B50"/>
    <w:rsid w:val="58C76999"/>
    <w:rsid w:val="5901634D"/>
    <w:rsid w:val="5971285C"/>
    <w:rsid w:val="59741916"/>
    <w:rsid w:val="59C0439F"/>
    <w:rsid w:val="5A8150D5"/>
    <w:rsid w:val="5A9F0C15"/>
    <w:rsid w:val="5ABE2233"/>
    <w:rsid w:val="5ADD48AF"/>
    <w:rsid w:val="5AEE0B00"/>
    <w:rsid w:val="5B040E3C"/>
    <w:rsid w:val="5BA81F7F"/>
    <w:rsid w:val="5BDF5D95"/>
    <w:rsid w:val="5BFE7528"/>
    <w:rsid w:val="5C272B27"/>
    <w:rsid w:val="5CBF559E"/>
    <w:rsid w:val="5CCA17C1"/>
    <w:rsid w:val="5CF07ED7"/>
    <w:rsid w:val="5CFB7CD0"/>
    <w:rsid w:val="5D255787"/>
    <w:rsid w:val="5D2C0865"/>
    <w:rsid w:val="5E0C385E"/>
    <w:rsid w:val="5E2467F1"/>
    <w:rsid w:val="5E2D4A11"/>
    <w:rsid w:val="5E337FF2"/>
    <w:rsid w:val="5E405BA2"/>
    <w:rsid w:val="5E737602"/>
    <w:rsid w:val="5EA10CB3"/>
    <w:rsid w:val="5EAC693B"/>
    <w:rsid w:val="5EB86749"/>
    <w:rsid w:val="5F066B06"/>
    <w:rsid w:val="5F1A2B43"/>
    <w:rsid w:val="5F466117"/>
    <w:rsid w:val="5FAB3D8B"/>
    <w:rsid w:val="5FB837BB"/>
    <w:rsid w:val="60114363"/>
    <w:rsid w:val="60161739"/>
    <w:rsid w:val="601E3D58"/>
    <w:rsid w:val="60397499"/>
    <w:rsid w:val="60CC405A"/>
    <w:rsid w:val="60DB47C9"/>
    <w:rsid w:val="61D85EF6"/>
    <w:rsid w:val="61E215D8"/>
    <w:rsid w:val="621B3775"/>
    <w:rsid w:val="62274807"/>
    <w:rsid w:val="62364782"/>
    <w:rsid w:val="62577F1A"/>
    <w:rsid w:val="6394356A"/>
    <w:rsid w:val="639A08A5"/>
    <w:rsid w:val="63B12627"/>
    <w:rsid w:val="63C61B2C"/>
    <w:rsid w:val="63D40BE9"/>
    <w:rsid w:val="64102431"/>
    <w:rsid w:val="6412050B"/>
    <w:rsid w:val="642E2B31"/>
    <w:rsid w:val="643B3A80"/>
    <w:rsid w:val="6477675E"/>
    <w:rsid w:val="648D24BE"/>
    <w:rsid w:val="64A5243A"/>
    <w:rsid w:val="64B1551A"/>
    <w:rsid w:val="64F531DE"/>
    <w:rsid w:val="651C40A2"/>
    <w:rsid w:val="65373578"/>
    <w:rsid w:val="654B26D8"/>
    <w:rsid w:val="654C358E"/>
    <w:rsid w:val="654D076A"/>
    <w:rsid w:val="661E47DF"/>
    <w:rsid w:val="664F36D2"/>
    <w:rsid w:val="66855E09"/>
    <w:rsid w:val="669F3353"/>
    <w:rsid w:val="66CC2EFC"/>
    <w:rsid w:val="66D72EC9"/>
    <w:rsid w:val="66EA0A15"/>
    <w:rsid w:val="67087B42"/>
    <w:rsid w:val="671F124A"/>
    <w:rsid w:val="674175E4"/>
    <w:rsid w:val="677A33C6"/>
    <w:rsid w:val="678E6673"/>
    <w:rsid w:val="67D56C82"/>
    <w:rsid w:val="67F86631"/>
    <w:rsid w:val="681A181B"/>
    <w:rsid w:val="681F6961"/>
    <w:rsid w:val="68610A2F"/>
    <w:rsid w:val="68725F29"/>
    <w:rsid w:val="68805514"/>
    <w:rsid w:val="68827FC3"/>
    <w:rsid w:val="68B23899"/>
    <w:rsid w:val="68C47A98"/>
    <w:rsid w:val="68FB6063"/>
    <w:rsid w:val="6903497A"/>
    <w:rsid w:val="69040B9F"/>
    <w:rsid w:val="69316E2F"/>
    <w:rsid w:val="69413A62"/>
    <w:rsid w:val="69491E33"/>
    <w:rsid w:val="694E2071"/>
    <w:rsid w:val="69766163"/>
    <w:rsid w:val="69792EBA"/>
    <w:rsid w:val="697A3B33"/>
    <w:rsid w:val="69805038"/>
    <w:rsid w:val="69BD4E08"/>
    <w:rsid w:val="69D44760"/>
    <w:rsid w:val="69F66EF4"/>
    <w:rsid w:val="69FD2BA5"/>
    <w:rsid w:val="6A123A14"/>
    <w:rsid w:val="6A1C7A21"/>
    <w:rsid w:val="6A27659B"/>
    <w:rsid w:val="6A520EC7"/>
    <w:rsid w:val="6A57618F"/>
    <w:rsid w:val="6A8504B0"/>
    <w:rsid w:val="6A870EA6"/>
    <w:rsid w:val="6AAA763A"/>
    <w:rsid w:val="6AF87E20"/>
    <w:rsid w:val="6B322639"/>
    <w:rsid w:val="6B516AD4"/>
    <w:rsid w:val="6B651A4B"/>
    <w:rsid w:val="6B9C5CCE"/>
    <w:rsid w:val="6BF40694"/>
    <w:rsid w:val="6C0F4113"/>
    <w:rsid w:val="6C2249B4"/>
    <w:rsid w:val="6C587DE3"/>
    <w:rsid w:val="6C636C38"/>
    <w:rsid w:val="6D0833FB"/>
    <w:rsid w:val="6D21195D"/>
    <w:rsid w:val="6D245890"/>
    <w:rsid w:val="6D362A90"/>
    <w:rsid w:val="6DB34098"/>
    <w:rsid w:val="6DB545B6"/>
    <w:rsid w:val="6DBC69B4"/>
    <w:rsid w:val="6DE02FB4"/>
    <w:rsid w:val="6E054DDB"/>
    <w:rsid w:val="6E1535D9"/>
    <w:rsid w:val="6E514CED"/>
    <w:rsid w:val="6E62516C"/>
    <w:rsid w:val="6E721CA2"/>
    <w:rsid w:val="6E99316C"/>
    <w:rsid w:val="6EB563D5"/>
    <w:rsid w:val="6ED92677"/>
    <w:rsid w:val="6EF2710D"/>
    <w:rsid w:val="6EF94B71"/>
    <w:rsid w:val="6F225983"/>
    <w:rsid w:val="6F2E63B7"/>
    <w:rsid w:val="6F2F4101"/>
    <w:rsid w:val="6F38556B"/>
    <w:rsid w:val="6F5B6BEC"/>
    <w:rsid w:val="6FAB236A"/>
    <w:rsid w:val="6FC55D7A"/>
    <w:rsid w:val="6FFC5590"/>
    <w:rsid w:val="70292330"/>
    <w:rsid w:val="703B20B6"/>
    <w:rsid w:val="7044158D"/>
    <w:rsid w:val="706D1DD0"/>
    <w:rsid w:val="70856B87"/>
    <w:rsid w:val="70D10780"/>
    <w:rsid w:val="70D32D82"/>
    <w:rsid w:val="70D527EE"/>
    <w:rsid w:val="71087E2E"/>
    <w:rsid w:val="715B5300"/>
    <w:rsid w:val="71704C61"/>
    <w:rsid w:val="71AB527B"/>
    <w:rsid w:val="71D124A8"/>
    <w:rsid w:val="71D20E3A"/>
    <w:rsid w:val="71D27F8A"/>
    <w:rsid w:val="72142696"/>
    <w:rsid w:val="72553024"/>
    <w:rsid w:val="725F1042"/>
    <w:rsid w:val="72601395"/>
    <w:rsid w:val="72F23212"/>
    <w:rsid w:val="73122968"/>
    <w:rsid w:val="73172719"/>
    <w:rsid w:val="731F5D5E"/>
    <w:rsid w:val="737C4B1B"/>
    <w:rsid w:val="738D5656"/>
    <w:rsid w:val="739B4217"/>
    <w:rsid w:val="73B7213B"/>
    <w:rsid w:val="73C51AD5"/>
    <w:rsid w:val="74162F89"/>
    <w:rsid w:val="741E793C"/>
    <w:rsid w:val="743763DF"/>
    <w:rsid w:val="745B311F"/>
    <w:rsid w:val="745E3944"/>
    <w:rsid w:val="75523424"/>
    <w:rsid w:val="75662603"/>
    <w:rsid w:val="757100A2"/>
    <w:rsid w:val="761104F9"/>
    <w:rsid w:val="76172CE4"/>
    <w:rsid w:val="762B60BC"/>
    <w:rsid w:val="7635099D"/>
    <w:rsid w:val="7738016F"/>
    <w:rsid w:val="77762421"/>
    <w:rsid w:val="77B56B1F"/>
    <w:rsid w:val="77CF26E1"/>
    <w:rsid w:val="780F09F4"/>
    <w:rsid w:val="783376BB"/>
    <w:rsid w:val="78797156"/>
    <w:rsid w:val="789F1A78"/>
    <w:rsid w:val="78A90480"/>
    <w:rsid w:val="78DA554A"/>
    <w:rsid w:val="78F42C47"/>
    <w:rsid w:val="79A61220"/>
    <w:rsid w:val="79B87FC3"/>
    <w:rsid w:val="79D95265"/>
    <w:rsid w:val="7A364017"/>
    <w:rsid w:val="7A6452BF"/>
    <w:rsid w:val="7A66719B"/>
    <w:rsid w:val="7A8265E1"/>
    <w:rsid w:val="7A9F24BA"/>
    <w:rsid w:val="7AB61937"/>
    <w:rsid w:val="7B050232"/>
    <w:rsid w:val="7B23159E"/>
    <w:rsid w:val="7B5E6DC8"/>
    <w:rsid w:val="7B686D42"/>
    <w:rsid w:val="7B7529B0"/>
    <w:rsid w:val="7B841746"/>
    <w:rsid w:val="7BA03291"/>
    <w:rsid w:val="7BD203EB"/>
    <w:rsid w:val="7BFA3AA5"/>
    <w:rsid w:val="7C165F2B"/>
    <w:rsid w:val="7C2A163A"/>
    <w:rsid w:val="7C6C5AC7"/>
    <w:rsid w:val="7C7C4602"/>
    <w:rsid w:val="7CBA2CE5"/>
    <w:rsid w:val="7CC6544B"/>
    <w:rsid w:val="7D0239FF"/>
    <w:rsid w:val="7D5E40CD"/>
    <w:rsid w:val="7DBF3078"/>
    <w:rsid w:val="7DCD56F2"/>
    <w:rsid w:val="7DE61166"/>
    <w:rsid w:val="7DF12649"/>
    <w:rsid w:val="7E257BAF"/>
    <w:rsid w:val="7EC3582F"/>
    <w:rsid w:val="7F001CE7"/>
    <w:rsid w:val="7F13408A"/>
    <w:rsid w:val="7F222C0A"/>
    <w:rsid w:val="7F7725BD"/>
    <w:rsid w:val="7FB56661"/>
    <w:rsid w:val="7FC97090"/>
    <w:rsid w:val="7FE27C46"/>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qFormat="1" w:unhideWhenUsed="0" w:uiPriority="99"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qFormat="1"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qFormat="1"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keepLines/>
      <w:numPr>
        <w:ilvl w:val="1"/>
        <w:numId w:val="1"/>
      </w:numPr>
      <w:tabs>
        <w:tab w:val="left" w:pos="1586"/>
      </w:tabs>
      <w:spacing w:line="600" w:lineRule="exact"/>
      <w:outlineLvl w:val="1"/>
    </w:pPr>
    <w:rPr>
      <w:rFonts w:eastAsia="黑体"/>
      <w:color w:val="000000"/>
      <w:spacing w:val="8"/>
      <w:sz w:val="30"/>
      <w:szCs w:val="30"/>
    </w:rPr>
  </w:style>
  <w:style w:type="paragraph" w:styleId="6">
    <w:name w:val="heading 3"/>
    <w:basedOn w:val="1"/>
    <w:next w:val="1"/>
    <w:qFormat/>
    <w:locked/>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paragraph" w:styleId="7">
    <w:name w:val="heading 4"/>
    <w:basedOn w:val="1"/>
    <w:next w:val="1"/>
    <w:qFormat/>
    <w:locked/>
    <w:uiPriority w:val="1"/>
    <w:pPr>
      <w:ind w:left="1475"/>
      <w:outlineLvl w:val="3"/>
    </w:pPr>
    <w:rPr>
      <w:rFonts w:ascii="宋体" w:hAnsi="宋体" w:eastAsia="宋体" w:cs="宋体"/>
      <w:b/>
      <w:bCs/>
      <w:sz w:val="24"/>
      <w:szCs w:val="24"/>
      <w:lang w:val="zh-CN" w:eastAsia="zh-CN" w:bidi="zh-CN"/>
    </w:rPr>
  </w:style>
  <w:style w:type="character" w:default="1" w:styleId="36">
    <w:name w:val="Default Paragraph Font"/>
    <w:semiHidden/>
    <w:qFormat/>
    <w:uiPriority w:val="0"/>
  </w:style>
  <w:style w:type="table" w:default="1" w:styleId="3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44"/>
    <w:qFormat/>
    <w:uiPriority w:val="0"/>
    <w:pPr>
      <w:widowControl/>
      <w:snapToGrid w:val="0"/>
      <w:spacing w:before="60" w:after="160" w:line="259" w:lineRule="auto"/>
      <w:ind w:right="113"/>
    </w:pPr>
    <w:rPr>
      <w:kern w:val="0"/>
      <w:sz w:val="18"/>
      <w:szCs w:val="20"/>
    </w:rPr>
  </w:style>
  <w:style w:type="paragraph" w:styleId="3">
    <w:name w:val="macro"/>
    <w:basedOn w:val="1"/>
    <w:next w:val="1"/>
    <w:qFormat/>
    <w:locked/>
    <w:uiPriority w:val="0"/>
    <w:pPr>
      <w:widowControl w:val="0"/>
      <w:numPr>
        <w:ilvl w:val="8"/>
        <w:numId w:val="2"/>
      </w:numPr>
      <w:tabs>
        <w:tab w:val="center" w:pos="0"/>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ind w:left="720" w:firstLine="0" w:firstLineChars="0"/>
      <w:jc w:val="center"/>
    </w:pPr>
    <w:rPr>
      <w:b/>
      <w:kern w:val="2"/>
      <w:sz w:val="20"/>
      <w:szCs w:val="20"/>
    </w:rPr>
  </w:style>
  <w:style w:type="paragraph" w:styleId="8">
    <w:name w:val="Document Map"/>
    <w:basedOn w:val="1"/>
    <w:semiHidden/>
    <w:qFormat/>
    <w:locked/>
    <w:uiPriority w:val="0"/>
    <w:pPr>
      <w:shd w:val="clear" w:color="auto" w:fill="000080"/>
    </w:pPr>
  </w:style>
  <w:style w:type="paragraph" w:styleId="9">
    <w:name w:val="annotation text"/>
    <w:basedOn w:val="1"/>
    <w:link w:val="45"/>
    <w:semiHidden/>
    <w:qFormat/>
    <w:uiPriority w:val="0"/>
    <w:pPr>
      <w:jc w:val="left"/>
    </w:pPr>
    <w:rPr>
      <w:kern w:val="0"/>
      <w:sz w:val="24"/>
      <w:szCs w:val="20"/>
    </w:rPr>
  </w:style>
  <w:style w:type="paragraph" w:styleId="10">
    <w:name w:val="Body Text Indent"/>
    <w:basedOn w:val="1"/>
    <w:next w:val="11"/>
    <w:link w:val="42"/>
    <w:qFormat/>
    <w:uiPriority w:val="0"/>
    <w:pPr>
      <w:spacing w:after="120"/>
      <w:ind w:left="420" w:leftChars="200"/>
    </w:pPr>
    <w:rPr>
      <w:kern w:val="0"/>
      <w:sz w:val="24"/>
      <w:szCs w:val="20"/>
    </w:rPr>
  </w:style>
  <w:style w:type="paragraph" w:customStyle="1" w:styleId="11">
    <w:name w:val="样式 正文文本缩进 + 行距: 1.5 倍行距"/>
    <w:basedOn w:val="12"/>
    <w:next w:val="13"/>
    <w:qFormat/>
    <w:uiPriority w:val="0"/>
    <w:pPr>
      <w:spacing w:before="0" w:after="120"/>
      <w:ind w:left="90" w:leftChars="32" w:firstLine="560" w:firstLineChars="200"/>
    </w:pPr>
    <w:rPr>
      <w:rFonts w:ascii="Times New Roman" w:cs="宋体"/>
    </w:rPr>
  </w:style>
  <w:style w:type="paragraph" w:customStyle="1" w:styleId="12">
    <w:name w:val="正文文本缩进1"/>
    <w:basedOn w:val="1"/>
    <w:next w:val="11"/>
    <w:qFormat/>
    <w:uiPriority w:val="0"/>
    <w:pPr>
      <w:spacing w:line="560" w:lineRule="exact"/>
      <w:ind w:firstLine="560" w:firstLineChars="200"/>
    </w:pPr>
    <w:rPr>
      <w:rFonts w:ascii="宋体" w:hAnsi="宋体"/>
      <w:sz w:val="28"/>
    </w:rPr>
  </w:style>
  <w:style w:type="paragraph" w:styleId="13">
    <w:name w:val="header"/>
    <w:basedOn w:val="1"/>
    <w:next w:val="14"/>
    <w:link w:val="43"/>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4">
    <w:name w:val="样式5"/>
    <w:basedOn w:val="15"/>
    <w:next w:val="1"/>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15">
    <w:name w:val="正文1"/>
    <w:basedOn w:val="2"/>
    <w:next w:val="1"/>
    <w:qFormat/>
    <w:uiPriority w:val="0"/>
    <w:pPr>
      <w:adjustRightInd w:val="0"/>
    </w:pPr>
    <w:rPr>
      <w:rFonts w:eastAsia="楷体_GB2312"/>
      <w:sz w:val="24"/>
    </w:rPr>
  </w:style>
  <w:style w:type="paragraph" w:styleId="16">
    <w:name w:val="Block Text"/>
    <w:basedOn w:val="1"/>
    <w:qFormat/>
    <w:locked/>
    <w:uiPriority w:val="0"/>
    <w:pPr>
      <w:adjustRightInd w:val="0"/>
      <w:ind w:left="420" w:right="33"/>
      <w:jc w:val="left"/>
    </w:pPr>
    <w:rPr>
      <w:rFonts w:eastAsia="隶书"/>
      <w:kern w:val="0"/>
      <w:sz w:val="24"/>
    </w:rPr>
  </w:style>
  <w:style w:type="paragraph" w:styleId="17">
    <w:name w:val="Plain Text"/>
    <w:basedOn w:val="1"/>
    <w:next w:val="18"/>
    <w:qFormat/>
    <w:locked/>
    <w:uiPriority w:val="0"/>
    <w:pPr>
      <w:widowControl/>
      <w:spacing w:line="357" w:lineRule="atLeast"/>
      <w:textAlignment w:val="baseline"/>
    </w:pPr>
    <w:rPr>
      <w:rFonts w:ascii="宋体" w:hAnsi="Courier New" w:eastAsia="宋体"/>
      <w:color w:val="000000"/>
      <w:sz w:val="21"/>
      <w:u w:val="none" w:color="000000"/>
      <w:lang w:val="en-US" w:eastAsia="zh-CN" w:bidi="ar-SA"/>
    </w:rPr>
  </w:style>
  <w:style w:type="paragraph" w:styleId="18">
    <w:name w:val="List Continue 5"/>
    <w:basedOn w:val="1"/>
    <w:qFormat/>
    <w:locked/>
    <w:uiPriority w:val="0"/>
    <w:pPr>
      <w:spacing w:after="120" w:afterLines="0"/>
      <w:ind w:left="2100" w:leftChars="1000"/>
    </w:pPr>
  </w:style>
  <w:style w:type="paragraph" w:styleId="19">
    <w:name w:val="List Bullet 5"/>
    <w:basedOn w:val="1"/>
    <w:qFormat/>
    <w:locked/>
    <w:uiPriority w:val="0"/>
    <w:pPr>
      <w:numPr>
        <w:ilvl w:val="0"/>
        <w:numId w:val="3"/>
      </w:numPr>
    </w:pPr>
  </w:style>
  <w:style w:type="paragraph" w:styleId="20">
    <w:name w:val="Date"/>
    <w:basedOn w:val="1"/>
    <w:next w:val="1"/>
    <w:link w:val="46"/>
    <w:qFormat/>
    <w:uiPriority w:val="0"/>
    <w:pPr>
      <w:ind w:left="100" w:leftChars="2500"/>
    </w:pPr>
    <w:rPr>
      <w:kern w:val="0"/>
      <w:sz w:val="24"/>
      <w:szCs w:val="20"/>
    </w:rPr>
  </w:style>
  <w:style w:type="paragraph" w:styleId="21">
    <w:name w:val="Body Text Indent 2"/>
    <w:basedOn w:val="1"/>
    <w:next w:val="22"/>
    <w:qFormat/>
    <w:locked/>
    <w:uiPriority w:val="0"/>
    <w:pPr>
      <w:spacing w:line="360" w:lineRule="auto"/>
      <w:ind w:left="720" w:hanging="720"/>
    </w:pPr>
    <w:rPr>
      <w:rFonts w:ascii="宋体"/>
      <w:sz w:val="24"/>
    </w:rPr>
  </w:style>
  <w:style w:type="paragraph" w:customStyle="1" w:styleId="22">
    <w:name w:val="reader-word-layer reader-word-s46-2"/>
    <w:basedOn w:val="1"/>
    <w:next w:val="23"/>
    <w:qFormat/>
    <w:uiPriority w:val="0"/>
    <w:pPr>
      <w:widowControl/>
      <w:spacing w:before="100" w:beforeAutospacing="1" w:after="100" w:afterAutospacing="1"/>
      <w:jc w:val="left"/>
    </w:pPr>
    <w:rPr>
      <w:rFonts w:ascii="宋体" w:hAnsi="宋体" w:cs="宋体"/>
      <w:kern w:val="0"/>
      <w:sz w:val="24"/>
      <w:szCs w:val="24"/>
    </w:rPr>
  </w:style>
  <w:style w:type="paragraph" w:customStyle="1" w:styleId="23">
    <w:name w:val="xl35"/>
    <w:basedOn w:val="1"/>
    <w:next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Arial Unicode MS" w:hAnsi="Arial Unicode MS" w:eastAsia="Arial Unicode MS"/>
      <w:spacing w:val="12"/>
      <w:kern w:val="0"/>
      <w:sz w:val="24"/>
      <w:szCs w:val="24"/>
    </w:rPr>
  </w:style>
  <w:style w:type="paragraph" w:styleId="24">
    <w:name w:val="Balloon Text"/>
    <w:basedOn w:val="1"/>
    <w:link w:val="48"/>
    <w:semiHidden/>
    <w:qFormat/>
    <w:uiPriority w:val="0"/>
    <w:rPr>
      <w:kern w:val="0"/>
      <w:sz w:val="18"/>
      <w:szCs w:val="20"/>
    </w:rPr>
  </w:style>
  <w:style w:type="paragraph" w:styleId="25">
    <w:name w:val="footer"/>
    <w:basedOn w:val="1"/>
    <w:next w:val="1"/>
    <w:link w:val="49"/>
    <w:qFormat/>
    <w:uiPriority w:val="99"/>
    <w:pPr>
      <w:tabs>
        <w:tab w:val="center" w:pos="4153"/>
        <w:tab w:val="right" w:pos="8306"/>
      </w:tabs>
      <w:snapToGrid w:val="0"/>
      <w:jc w:val="left"/>
    </w:pPr>
    <w:rPr>
      <w:kern w:val="0"/>
      <w:sz w:val="18"/>
      <w:szCs w:val="20"/>
    </w:rPr>
  </w:style>
  <w:style w:type="paragraph" w:styleId="26">
    <w:name w:val="toc 1"/>
    <w:basedOn w:val="1"/>
    <w:next w:val="1"/>
    <w:qFormat/>
    <w:locked/>
    <w:uiPriority w:val="39"/>
  </w:style>
  <w:style w:type="paragraph" w:styleId="27">
    <w:name w:val="List"/>
    <w:basedOn w:val="1"/>
    <w:qFormat/>
    <w:locked/>
    <w:uiPriority w:val="0"/>
    <w:pPr>
      <w:spacing w:line="320" w:lineRule="exact"/>
      <w:jc w:val="center"/>
    </w:pPr>
    <w:rPr>
      <w:sz w:val="20"/>
      <w:szCs w:val="24"/>
    </w:rPr>
  </w:style>
  <w:style w:type="paragraph" w:styleId="28">
    <w:name w:val="index 7"/>
    <w:basedOn w:val="1"/>
    <w:next w:val="1"/>
    <w:qFormat/>
    <w:locked/>
    <w:uiPriority w:val="99"/>
    <w:pPr>
      <w:widowControl w:val="0"/>
      <w:ind w:left="1200" w:leftChars="1200"/>
      <w:jc w:val="both"/>
    </w:pPr>
    <w:rPr>
      <w:rFonts w:ascii="Times New Roman" w:hAnsi="Times New Roman" w:eastAsia="宋体" w:cs="Times New Roman"/>
      <w:kern w:val="2"/>
      <w:sz w:val="21"/>
      <w:szCs w:val="24"/>
      <w:lang w:val="en-US" w:eastAsia="zh-CN" w:bidi="ar-SA"/>
    </w:rPr>
  </w:style>
  <w:style w:type="paragraph" w:styleId="29">
    <w:name w:val="Body Text 2"/>
    <w:basedOn w:val="1"/>
    <w:qFormat/>
    <w:locked/>
    <w:uiPriority w:val="0"/>
    <w:pPr>
      <w:spacing w:after="120" w:line="480" w:lineRule="auto"/>
    </w:pPr>
  </w:style>
  <w:style w:type="paragraph" w:styleId="30">
    <w:name w:val="Normal (Web)"/>
    <w:basedOn w:val="1"/>
    <w:next w:val="28"/>
    <w:link w:val="50"/>
    <w:qFormat/>
    <w:uiPriority w:val="0"/>
    <w:pPr>
      <w:widowControl/>
      <w:spacing w:before="100" w:beforeAutospacing="1" w:after="100" w:afterAutospacing="1"/>
      <w:jc w:val="left"/>
    </w:pPr>
    <w:rPr>
      <w:rFonts w:ascii="宋体" w:hAnsi="宋体"/>
      <w:kern w:val="0"/>
      <w:sz w:val="24"/>
      <w:szCs w:val="20"/>
    </w:rPr>
  </w:style>
  <w:style w:type="paragraph" w:styleId="31">
    <w:name w:val="annotation subject"/>
    <w:basedOn w:val="9"/>
    <w:next w:val="9"/>
    <w:link w:val="51"/>
    <w:semiHidden/>
    <w:qFormat/>
    <w:uiPriority w:val="0"/>
    <w:rPr>
      <w:b/>
      <w:sz w:val="24"/>
      <w:szCs w:val="20"/>
    </w:rPr>
  </w:style>
  <w:style w:type="paragraph" w:styleId="32">
    <w:name w:val="Body Text First Indent"/>
    <w:basedOn w:val="2"/>
    <w:next w:val="1"/>
    <w:qFormat/>
    <w:locked/>
    <w:uiPriority w:val="0"/>
    <w:pPr>
      <w:spacing w:after="120" w:afterLines="0" w:line="240" w:lineRule="auto"/>
      <w:ind w:firstLine="420" w:firstLineChars="100"/>
    </w:pPr>
    <w:rPr>
      <w:rFonts w:ascii="Times New Roman"/>
      <w:sz w:val="21"/>
    </w:rPr>
  </w:style>
  <w:style w:type="paragraph" w:styleId="33">
    <w:name w:val="Body Text First Indent 2"/>
    <w:basedOn w:val="10"/>
    <w:next w:val="1"/>
    <w:qFormat/>
    <w:locked/>
    <w:uiPriority w:val="0"/>
    <w:pPr>
      <w:keepNext w:val="0"/>
      <w:keepLines w:val="0"/>
      <w:widowControl w:val="0"/>
      <w:suppressLineNumbers w:val="0"/>
      <w:spacing w:before="0" w:beforeAutospacing="0" w:after="120" w:afterLines="0" w:afterAutospacing="0"/>
      <w:ind w:left="420" w:leftChars="200" w:firstLine="420" w:firstLineChars="200"/>
      <w:jc w:val="both"/>
    </w:pPr>
    <w:rPr>
      <w:rFonts w:hint="default" w:ascii="Times New Roman" w:hAnsi="Times New Roman" w:cs="Times New Roman"/>
      <w:kern w:val="2"/>
      <w:sz w:val="21"/>
      <w:szCs w:val="21"/>
      <w:lang w:val="en-US" w:eastAsia="zh-CN" w:bidi="ar"/>
    </w:rPr>
  </w:style>
  <w:style w:type="table" w:styleId="35">
    <w:name w:val="Table Grid"/>
    <w:basedOn w:val="3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locked/>
    <w:uiPriority w:val="0"/>
    <w:rPr>
      <w:b/>
    </w:rPr>
  </w:style>
  <w:style w:type="character" w:styleId="38">
    <w:name w:val="page number"/>
    <w:basedOn w:val="36"/>
    <w:qFormat/>
    <w:locked/>
    <w:uiPriority w:val="0"/>
  </w:style>
  <w:style w:type="character" w:styleId="39">
    <w:name w:val="FollowedHyperlink"/>
    <w:basedOn w:val="36"/>
    <w:qFormat/>
    <w:locked/>
    <w:uiPriority w:val="0"/>
    <w:rPr>
      <w:color w:val="595758"/>
      <w:u w:val="none"/>
    </w:rPr>
  </w:style>
  <w:style w:type="character" w:styleId="40">
    <w:name w:val="Hyperlink"/>
    <w:basedOn w:val="36"/>
    <w:qFormat/>
    <w:locked/>
    <w:uiPriority w:val="0"/>
    <w:rPr>
      <w:color w:val="595758"/>
      <w:u w:val="none"/>
    </w:rPr>
  </w:style>
  <w:style w:type="character" w:styleId="41">
    <w:name w:val="annotation reference"/>
    <w:semiHidden/>
    <w:qFormat/>
    <w:uiPriority w:val="0"/>
    <w:rPr>
      <w:sz w:val="21"/>
    </w:rPr>
  </w:style>
  <w:style w:type="character" w:customStyle="1" w:styleId="42">
    <w:name w:val="正文文本缩进 Char"/>
    <w:link w:val="10"/>
    <w:semiHidden/>
    <w:qFormat/>
    <w:locked/>
    <w:uiPriority w:val="0"/>
    <w:rPr>
      <w:rFonts w:ascii="Times New Roman" w:hAnsi="Times New Roman" w:eastAsia="宋体"/>
      <w:sz w:val="24"/>
    </w:rPr>
  </w:style>
  <w:style w:type="character" w:customStyle="1" w:styleId="43">
    <w:name w:val="页眉 Char"/>
    <w:link w:val="13"/>
    <w:qFormat/>
    <w:locked/>
    <w:uiPriority w:val="0"/>
    <w:rPr>
      <w:sz w:val="18"/>
    </w:rPr>
  </w:style>
  <w:style w:type="character" w:customStyle="1" w:styleId="44">
    <w:name w:val="正文文本 Char"/>
    <w:link w:val="2"/>
    <w:qFormat/>
    <w:locked/>
    <w:uiPriority w:val="0"/>
    <w:rPr>
      <w:sz w:val="18"/>
    </w:rPr>
  </w:style>
  <w:style w:type="character" w:customStyle="1" w:styleId="45">
    <w:name w:val="批注文字 Char"/>
    <w:link w:val="9"/>
    <w:qFormat/>
    <w:locked/>
    <w:uiPriority w:val="0"/>
    <w:rPr>
      <w:rFonts w:ascii="Times New Roman" w:hAnsi="Times New Roman" w:eastAsia="宋体"/>
      <w:sz w:val="24"/>
    </w:rPr>
  </w:style>
  <w:style w:type="character" w:customStyle="1" w:styleId="46">
    <w:name w:val="日期 Char"/>
    <w:link w:val="20"/>
    <w:qFormat/>
    <w:locked/>
    <w:uiPriority w:val="0"/>
    <w:rPr>
      <w:rFonts w:ascii="Times New Roman" w:hAnsi="Times New Roman" w:eastAsia="宋体"/>
      <w:sz w:val="24"/>
    </w:rPr>
  </w:style>
  <w:style w:type="paragraph" w:customStyle="1" w:styleId="47">
    <w:name w:val="+正文"/>
    <w:basedOn w:val="1"/>
    <w:qFormat/>
    <w:uiPriority w:val="0"/>
    <w:pPr>
      <w:spacing w:line="360" w:lineRule="auto"/>
      <w:ind w:firstLine="200" w:firstLineChars="200"/>
    </w:pPr>
    <w:rPr>
      <w:szCs w:val="28"/>
    </w:rPr>
  </w:style>
  <w:style w:type="character" w:customStyle="1" w:styleId="48">
    <w:name w:val="批注框文本 Char"/>
    <w:link w:val="24"/>
    <w:semiHidden/>
    <w:qFormat/>
    <w:locked/>
    <w:uiPriority w:val="0"/>
    <w:rPr>
      <w:rFonts w:ascii="Times New Roman" w:hAnsi="Times New Roman" w:eastAsia="宋体"/>
      <w:sz w:val="18"/>
    </w:rPr>
  </w:style>
  <w:style w:type="character" w:customStyle="1" w:styleId="49">
    <w:name w:val="页脚 Char"/>
    <w:link w:val="25"/>
    <w:qFormat/>
    <w:locked/>
    <w:uiPriority w:val="99"/>
    <w:rPr>
      <w:sz w:val="18"/>
    </w:rPr>
  </w:style>
  <w:style w:type="character" w:customStyle="1" w:styleId="50">
    <w:name w:val="普通(网站) Char"/>
    <w:link w:val="30"/>
    <w:qFormat/>
    <w:locked/>
    <w:uiPriority w:val="0"/>
    <w:rPr>
      <w:rFonts w:ascii="宋体" w:hAnsi="宋体" w:eastAsia="宋体"/>
      <w:sz w:val="24"/>
    </w:rPr>
  </w:style>
  <w:style w:type="character" w:customStyle="1" w:styleId="51">
    <w:name w:val="批注主题 Char"/>
    <w:link w:val="31"/>
    <w:semiHidden/>
    <w:qFormat/>
    <w:locked/>
    <w:uiPriority w:val="0"/>
    <w:rPr>
      <w:rFonts w:ascii="Times New Roman" w:hAnsi="Times New Roman" w:eastAsia="宋体"/>
      <w:b/>
      <w:kern w:val="2"/>
      <w:sz w:val="24"/>
    </w:rPr>
  </w:style>
  <w:style w:type="paragraph" w:customStyle="1" w:styleId="52">
    <w:name w:val="Default"/>
    <w:basedOn w:val="53"/>
    <w:next w:val="5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3">
    <w:name w:val="纯文本1"/>
    <w:basedOn w:val="1"/>
    <w:qFormat/>
    <w:uiPriority w:val="0"/>
    <w:rPr>
      <w:rFonts w:ascii="宋体" w:hAnsi="Courier New"/>
      <w:kern w:val="0"/>
      <w:szCs w:val="20"/>
    </w:rPr>
  </w:style>
  <w:style w:type="paragraph" w:customStyle="1" w:styleId="54">
    <w:name w:val="样式 样式 首行缩进:  2 字符 + 首行缩进:  2 字符"/>
    <w:basedOn w:val="1"/>
    <w:next w:val="26"/>
    <w:qFormat/>
    <w:uiPriority w:val="0"/>
    <w:pPr>
      <w:snapToGrid w:val="0"/>
      <w:spacing w:line="360" w:lineRule="auto"/>
      <w:ind w:firstLine="560" w:firstLineChars="200"/>
    </w:pPr>
    <w:rPr>
      <w:sz w:val="28"/>
    </w:rPr>
  </w:style>
  <w:style w:type="paragraph" w:customStyle="1" w:styleId="55">
    <w:name w:val="样式35"/>
    <w:basedOn w:val="1"/>
    <w:next w:val="1"/>
    <w:qFormat/>
    <w:uiPriority w:val="0"/>
    <w:pPr>
      <w:spacing w:line="312" w:lineRule="auto"/>
      <w:ind w:firstLine="567"/>
    </w:pPr>
    <w:rPr>
      <w:rFonts w:ascii="宋体"/>
      <w:sz w:val="28"/>
    </w:rPr>
  </w:style>
  <w:style w:type="paragraph" w:customStyle="1" w:styleId="56">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cs="宋体"/>
      <w:sz w:val="24"/>
      <w:szCs w:val="20"/>
    </w:rPr>
  </w:style>
  <w:style w:type="character" w:customStyle="1" w:styleId="57">
    <w:name w:val="日期 字符"/>
    <w:semiHidden/>
    <w:qFormat/>
    <w:uiPriority w:val="0"/>
    <w:rPr>
      <w:rFonts w:ascii="Times New Roman" w:hAnsi="Times New Roman" w:eastAsia="宋体"/>
      <w:sz w:val="24"/>
    </w:rPr>
  </w:style>
  <w:style w:type="character" w:customStyle="1" w:styleId="58">
    <w:name w:val="表格 Char"/>
    <w:link w:val="59"/>
    <w:qFormat/>
    <w:locked/>
    <w:uiPriority w:val="0"/>
    <w:rPr>
      <w:rFonts w:ascii="宋体"/>
      <w:sz w:val="21"/>
    </w:rPr>
  </w:style>
  <w:style w:type="paragraph" w:customStyle="1" w:styleId="59">
    <w:name w:val="表格"/>
    <w:basedOn w:val="1"/>
    <w:next w:val="1"/>
    <w:link w:val="58"/>
    <w:qFormat/>
    <w:uiPriority w:val="0"/>
    <w:pPr>
      <w:adjustRightInd w:val="0"/>
      <w:snapToGrid w:val="0"/>
      <w:spacing w:beforeLines="10" w:afterLines="10" w:line="259" w:lineRule="auto"/>
      <w:jc w:val="center"/>
    </w:pPr>
    <w:rPr>
      <w:rFonts w:ascii="宋体"/>
      <w:kern w:val="0"/>
      <w:szCs w:val="20"/>
    </w:rPr>
  </w:style>
  <w:style w:type="character" w:customStyle="1" w:styleId="60">
    <w:name w:val="正文文本 字符1"/>
    <w:semiHidden/>
    <w:qFormat/>
    <w:uiPriority w:val="0"/>
    <w:rPr>
      <w:rFonts w:ascii="Times New Roman" w:hAnsi="Times New Roman" w:eastAsia="宋体"/>
      <w:sz w:val="24"/>
    </w:rPr>
  </w:style>
  <w:style w:type="character" w:customStyle="1" w:styleId="61">
    <w:name w:val="页脚 字符"/>
    <w:basedOn w:val="36"/>
    <w:qFormat/>
    <w:uiPriority w:val="99"/>
  </w:style>
  <w:style w:type="character" w:customStyle="1" w:styleId="62">
    <w:name w:val="批注文字 字符1"/>
    <w:semiHidden/>
    <w:qFormat/>
    <w:uiPriority w:val="0"/>
    <w:rPr>
      <w:rFonts w:ascii="Times New Roman" w:hAnsi="Times New Roman" w:eastAsia="宋体"/>
      <w:sz w:val="24"/>
    </w:rPr>
  </w:style>
  <w:style w:type="paragraph" w:customStyle="1" w:styleId="6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4">
    <w:name w:val="reader-word-layer reader-word-s20-6"/>
    <w:basedOn w:val="1"/>
    <w:qFormat/>
    <w:uiPriority w:val="0"/>
    <w:pPr>
      <w:widowControl/>
      <w:spacing w:before="100" w:beforeAutospacing="1" w:after="100" w:afterAutospacing="1"/>
      <w:jc w:val="left"/>
    </w:pPr>
    <w:rPr>
      <w:rFonts w:ascii="宋体" w:hAnsi="宋体" w:cs="宋体"/>
      <w:kern w:val="0"/>
      <w:sz w:val="24"/>
    </w:rPr>
  </w:style>
  <w:style w:type="paragraph" w:customStyle="1" w:styleId="65">
    <w:name w:val="Table Paragraph"/>
    <w:basedOn w:val="1"/>
    <w:qFormat/>
    <w:uiPriority w:val="1"/>
  </w:style>
  <w:style w:type="paragraph" w:customStyle="1" w:styleId="66">
    <w:name w:val="正1"/>
    <w:basedOn w:val="1"/>
    <w:qFormat/>
    <w:uiPriority w:val="0"/>
    <w:pPr>
      <w:spacing w:line="360" w:lineRule="auto"/>
      <w:ind w:firstLine="200" w:firstLineChars="200"/>
      <w:jc w:val="left"/>
    </w:pPr>
    <w:rPr>
      <w:rFonts w:eastAsia="楷体_GB2312"/>
      <w:kern w:val="2"/>
      <w:sz w:val="24"/>
      <w:szCs w:val="24"/>
      <w:lang w:val="en-US" w:eastAsia="zh-CN" w:bidi="ar-SA"/>
    </w:rPr>
  </w:style>
  <w:style w:type="paragraph" w:customStyle="1" w:styleId="67">
    <w:name w:val=" 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6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9">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70">
    <w:name w:val="样式"/>
    <w:basedOn w:val="1"/>
    <w:next w:val="1"/>
    <w:qFormat/>
    <w:uiPriority w:val="0"/>
    <w:pPr>
      <w:ind w:firstLine="420"/>
    </w:pPr>
    <w:rPr>
      <w:rFonts w:ascii="宋体" w:hAnsi="Arial Black" w:cs="宋体"/>
      <w:sz w:val="24"/>
    </w:rPr>
  </w:style>
  <w:style w:type="paragraph" w:customStyle="1" w:styleId="71">
    <w:name w:val="HP正文"/>
    <w:basedOn w:val="1"/>
    <w:qFormat/>
    <w:uiPriority w:val="0"/>
    <w:pPr>
      <w:spacing w:line="360" w:lineRule="auto"/>
      <w:ind w:firstLine="480" w:firstLineChars="200"/>
    </w:pPr>
    <w:rPr>
      <w:sz w:val="24"/>
      <w:szCs w:val="24"/>
    </w:rPr>
  </w:style>
  <w:style w:type="paragraph" w:customStyle="1" w:styleId="72">
    <w:name w:val="样式 样式 样式 四号 左侧:  1.53 厘米 + 首行缩进:  2 字符 + 居中 左侧:  2 字符 首行缩进:  2..."/>
    <w:basedOn w:val="1"/>
    <w:qFormat/>
    <w:uiPriority w:val="0"/>
    <w:pPr>
      <w:adjustRightInd w:val="0"/>
      <w:ind w:left="200" w:leftChars="200"/>
      <w:jc w:val="center"/>
    </w:pPr>
    <w:rPr>
      <w:w w:val="90"/>
      <w:sz w:val="28"/>
    </w:rPr>
  </w:style>
  <w:style w:type="paragraph" w:customStyle="1" w:styleId="73">
    <w:name w:val="填表内容"/>
    <w:basedOn w:val="1"/>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74">
    <w:name w:val="样式3"/>
    <w:basedOn w:val="1"/>
    <w:qFormat/>
    <w:uiPriority w:val="0"/>
    <w:rPr>
      <w:szCs w:val="21"/>
    </w:rPr>
  </w:style>
  <w:style w:type="paragraph" w:customStyle="1" w:styleId="75">
    <w:name w:val="样式 标题 3ReHead 3 WSAh3标题 3 Char标题 32标题 311Re11Head 3 WSA1..."/>
    <w:basedOn w:val="6"/>
    <w:qFormat/>
    <w:uiPriority w:val="99"/>
    <w:pPr>
      <w:keepNext w:val="0"/>
      <w:keepLines w:val="0"/>
      <w:widowControl/>
      <w:tabs>
        <w:tab w:val="left" w:pos="1260"/>
      </w:tabs>
      <w:adjustRightInd w:val="0"/>
      <w:spacing w:beforeLines="50" w:after="0" w:line="480" w:lineRule="exact"/>
      <w:ind w:firstLine="482" w:firstLineChars="200"/>
      <w:jc w:val="left"/>
    </w:pPr>
    <w:rPr>
      <w:rFonts w:ascii="黑体" w:eastAsia="黑体" w:cs="黑体"/>
      <w:color w:val="000000"/>
      <w:kern w:val="0"/>
      <w:sz w:val="24"/>
      <w:szCs w:val="24"/>
    </w:rPr>
  </w:style>
  <w:style w:type="character" w:customStyle="1" w:styleId="76">
    <w:name w:val="font51"/>
    <w:qFormat/>
    <w:uiPriority w:val="0"/>
    <w:rPr>
      <w:rFonts w:hint="eastAsia" w:ascii="宋体" w:hAnsi="宋体" w:eastAsia="宋体" w:cs="宋体"/>
      <w:b/>
      <w:color w:val="000000"/>
      <w:sz w:val="21"/>
      <w:szCs w:val="21"/>
      <w:u w:val="none"/>
    </w:rPr>
  </w:style>
  <w:style w:type="paragraph" w:customStyle="1" w:styleId="77">
    <w:name w:val="表"/>
    <w:basedOn w:val="1"/>
    <w:qFormat/>
    <w:uiPriority w:val="0"/>
    <w:pPr>
      <w:keepNext/>
      <w:keepLines/>
      <w:autoSpaceDE w:val="0"/>
      <w:autoSpaceDN w:val="0"/>
      <w:adjustRightInd w:val="0"/>
      <w:spacing w:before="40" w:after="40" w:line="240" w:lineRule="exact"/>
      <w:jc w:val="center"/>
    </w:pPr>
    <w:rPr>
      <w:kern w:val="21"/>
    </w:rPr>
  </w:style>
  <w:style w:type="character" w:customStyle="1" w:styleId="78">
    <w:name w:val="fontstyle01"/>
    <w:qFormat/>
    <w:uiPriority w:val="0"/>
    <w:rPr>
      <w:rFonts w:hint="default" w:ascii="仿宋" w:hAnsi="仿宋"/>
      <w:color w:val="000000"/>
      <w:sz w:val="22"/>
      <w:szCs w:val="22"/>
    </w:rPr>
  </w:style>
  <w:style w:type="character" w:customStyle="1" w:styleId="79">
    <w:name w:val="checkbox2"/>
    <w:basedOn w:val="36"/>
    <w:qFormat/>
    <w:uiPriority w:val="0"/>
  </w:style>
  <w:style w:type="character" w:customStyle="1" w:styleId="80">
    <w:name w:val="checkbox"/>
    <w:basedOn w:val="36"/>
    <w:qFormat/>
    <w:uiPriority w:val="0"/>
  </w:style>
  <w:style w:type="character" w:customStyle="1" w:styleId="81">
    <w:name w:val="NormalCharacter"/>
    <w:semiHidden/>
    <w:qFormat/>
    <w:uiPriority w:val="0"/>
    <w:rPr>
      <w:kern w:val="2"/>
      <w:sz w:val="21"/>
      <w:szCs w:val="24"/>
      <w:lang w:val="en-US" w:eastAsia="zh-CN" w:bidi="ar-SA"/>
    </w:rPr>
  </w:style>
  <w:style w:type="paragraph" w:customStyle="1" w:styleId="82">
    <w:name w:val="样式 表格 + (中文) 黑体"/>
    <w:basedOn w:val="1"/>
    <w:qFormat/>
    <w:uiPriority w:val="99"/>
    <w:pPr>
      <w:adjustRightInd w:val="0"/>
      <w:ind w:firstLine="482" w:firstLineChars="200"/>
      <w:jc w:val="center"/>
    </w:pPr>
    <w:rPr>
      <w:rFonts w:ascii="Calibri" w:hAnsi="Calibri" w:eastAsia="宋体"/>
      <w:b/>
      <w:szCs w:val="21"/>
    </w:rPr>
  </w:style>
  <w:style w:type="paragraph" w:customStyle="1" w:styleId="83">
    <w:name w:val="表头"/>
    <w:basedOn w:val="15"/>
    <w:next w:val="1"/>
    <w:qFormat/>
    <w:uiPriority w:val="0"/>
    <w:pPr>
      <w:spacing w:line="360" w:lineRule="auto"/>
      <w:jc w:val="center"/>
    </w:pPr>
    <w:rPr>
      <w:rFonts w:ascii="宋体" w:hAnsi="宋体"/>
      <w:b/>
    </w:rPr>
  </w:style>
  <w:style w:type="paragraph" w:customStyle="1" w:styleId="84">
    <w:name w:val="报告书正文样式1"/>
    <w:basedOn w:val="85"/>
    <w:qFormat/>
    <w:uiPriority w:val="0"/>
  </w:style>
  <w:style w:type="paragraph" w:customStyle="1" w:styleId="85">
    <w:name w:val="报告书正文"/>
    <w:basedOn w:val="1"/>
    <w:qFormat/>
    <w:uiPriority w:val="0"/>
    <w:pPr>
      <w:spacing w:line="400" w:lineRule="exact"/>
      <w:ind w:firstLine="200" w:firstLineChars="200"/>
    </w:pPr>
    <w:rPr>
      <w:rFonts w:ascii="宋体" w:hAnsi="宋体" w:cs="宋体"/>
      <w:sz w:val="24"/>
      <w:szCs w:val="24"/>
    </w:rPr>
  </w:style>
  <w:style w:type="character" w:customStyle="1" w:styleId="86">
    <w:name w:val="font31"/>
    <w:basedOn w:val="36"/>
    <w:qFormat/>
    <w:uiPriority w:val="0"/>
    <w:rPr>
      <w:rFonts w:hint="default" w:ascii="Times New Roman" w:hAnsi="Times New Roman" w:cs="Times New Roman"/>
      <w:color w:val="000000"/>
      <w:sz w:val="21"/>
      <w:szCs w:val="21"/>
      <w:u w:val="none"/>
    </w:rPr>
  </w:style>
  <w:style w:type="character" w:customStyle="1" w:styleId="87">
    <w:name w:val="font21"/>
    <w:basedOn w:val="36"/>
    <w:qFormat/>
    <w:uiPriority w:val="0"/>
    <w:rPr>
      <w:rFonts w:ascii="새굴림" w:hAnsi="새굴림" w:eastAsia="새굴림" w:cs="새굴림"/>
      <w:color w:val="000000"/>
      <w:sz w:val="22"/>
      <w:szCs w:val="22"/>
      <w:u w:val="none"/>
    </w:rPr>
  </w:style>
  <w:style w:type="character" w:customStyle="1" w:styleId="88">
    <w:name w:val="font41"/>
    <w:basedOn w:val="36"/>
    <w:qFormat/>
    <w:uiPriority w:val="0"/>
    <w:rPr>
      <w:rFonts w:hint="eastAsia" w:ascii="宋体" w:hAnsi="宋体" w:eastAsia="宋体" w:cs="宋体"/>
      <w:color w:val="000000"/>
      <w:sz w:val="21"/>
      <w:szCs w:val="21"/>
      <w:u w:val="none"/>
    </w:rPr>
  </w:style>
  <w:style w:type="character" w:customStyle="1" w:styleId="89">
    <w:name w:val="font11"/>
    <w:basedOn w:val="36"/>
    <w:qFormat/>
    <w:uiPriority w:val="0"/>
    <w:rPr>
      <w:rFonts w:hint="eastAsia" w:ascii="等线" w:hAnsi="等线" w:eastAsia="等线" w:cs="等线"/>
      <w:color w:val="000000"/>
      <w:sz w:val="22"/>
      <w:szCs w:val="22"/>
      <w:u w:val="none"/>
    </w:rPr>
  </w:style>
  <w:style w:type="character" w:customStyle="1" w:styleId="90">
    <w:name w:val="font01"/>
    <w:basedOn w:val="36"/>
    <w:qFormat/>
    <w:uiPriority w:val="0"/>
    <w:rPr>
      <w:rFonts w:hint="default" w:ascii="Times New Roman" w:hAnsi="Times New Roman" w:cs="Times New Roman"/>
      <w:color w:val="000000"/>
      <w:sz w:val="21"/>
      <w:szCs w:val="21"/>
      <w:u w:val="none"/>
      <w:vertAlign w:val="superscript"/>
    </w:rPr>
  </w:style>
  <w:style w:type="character" w:customStyle="1" w:styleId="91">
    <w:name w:val="样式 仿宋_GB2312 小四5"/>
    <w:qFormat/>
    <w:uiPriority w:val="0"/>
    <w:rPr>
      <w:rFonts w:ascii="Times New Roman" w:hAnsi="Times New Roman" w:eastAsia="宋体"/>
      <w:sz w:val="24"/>
      <w:szCs w:val="24"/>
    </w:rPr>
  </w:style>
  <w:style w:type="paragraph" w:customStyle="1" w:styleId="92">
    <w:name w:val="表格内容"/>
    <w:basedOn w:val="93"/>
    <w:qFormat/>
    <w:uiPriority w:val="0"/>
    <w:pPr>
      <w:adjustRightInd w:val="0"/>
      <w:spacing w:line="240" w:lineRule="auto"/>
      <w:ind w:leftChars="-15" w:right="-161" w:rightChars="-67" w:hanging="36" w:hangingChars="17"/>
      <w:jc w:val="center"/>
    </w:pPr>
    <w:rPr>
      <w:rFonts w:ascii="Times New Roman" w:hAnsi="Times New Roman" w:eastAsia="宋体" w:cs="Times New Roman"/>
      <w:color w:val="FF0000"/>
      <w:sz w:val="21"/>
      <w:szCs w:val="21"/>
    </w:rPr>
  </w:style>
  <w:style w:type="paragraph" w:customStyle="1" w:styleId="93">
    <w:name w:val="wf-表格内容"/>
    <w:basedOn w:val="1"/>
    <w:qFormat/>
    <w:uiPriority w:val="0"/>
    <w:pPr>
      <w:keepNext w:val="0"/>
      <w:keepLines w:val="0"/>
      <w:widowControl w:val="0"/>
      <w:suppressLineNumbers w:val="0"/>
      <w:adjustRightInd w:val="0"/>
      <w:spacing w:before="0" w:beforeAutospacing="0" w:after="0" w:afterAutospacing="0" w:line="240" w:lineRule="auto"/>
      <w:ind w:left="0" w:right="0"/>
      <w:jc w:val="center"/>
      <w:textAlignment w:val="baseline"/>
    </w:pPr>
    <w:rPr>
      <w:rFonts w:hint="default" w:ascii="Times New Roman" w:hAnsi="Times New Roman" w:eastAsia="宋体" w:cs="Times New Roman"/>
      <w:kern w:val="2"/>
      <w:sz w:val="21"/>
      <w:szCs w:val="21"/>
      <w:lang w:val="en-US" w:eastAsia="zh-CN" w:bidi="ar"/>
    </w:rPr>
  </w:style>
  <w:style w:type="paragraph" w:styleId="94">
    <w:name w:val="List Paragraph"/>
    <w:basedOn w:val="1"/>
    <w:qFormat/>
    <w:uiPriority w:val="0"/>
    <w:pPr>
      <w:ind w:firstLine="420" w:firstLineChars="200"/>
    </w:pPr>
    <w:rPr>
      <w:szCs w:val="22"/>
    </w:rPr>
  </w:style>
  <w:style w:type="paragraph" w:customStyle="1" w:styleId="95">
    <w:name w:val="三级标题"/>
    <w:basedOn w:val="1"/>
    <w:qFormat/>
    <w:uiPriority w:val="0"/>
    <w:pPr>
      <w:spacing w:line="360" w:lineRule="auto"/>
    </w:pPr>
    <w:rPr>
      <w:rFonts w:ascii="宋体" w:hAnsi="宋体"/>
      <w:bCs/>
      <w:sz w:val="24"/>
      <w:szCs w:val="24"/>
    </w:rPr>
  </w:style>
  <w:style w:type="paragraph" w:customStyle="1" w:styleId="96">
    <w:name w:val="_Style 39"/>
    <w:basedOn w:val="8"/>
    <w:qFormat/>
    <w:uiPriority w:val="0"/>
    <w:rPr>
      <w:rFonts w:ascii="宋体"/>
      <w:sz w:val="18"/>
      <w:szCs w:val="18"/>
    </w:rPr>
  </w:style>
  <w:style w:type="table" w:customStyle="1" w:styleId="97">
    <w:name w:val="Table Normal"/>
    <w:unhideWhenUsed/>
    <w:qFormat/>
    <w:uiPriority w:val="0"/>
    <w:tblPr>
      <w:tblCellMar>
        <w:top w:w="0" w:type="dxa"/>
        <w:left w:w="0" w:type="dxa"/>
        <w:bottom w:w="0" w:type="dxa"/>
        <w:right w:w="0" w:type="dxa"/>
      </w:tblCellMar>
    </w:tblPr>
  </w:style>
  <w:style w:type="paragraph" w:customStyle="1" w:styleId="98">
    <w:name w:val="五号表格"/>
    <w:basedOn w:val="1"/>
    <w:qFormat/>
    <w:uiPriority w:val="0"/>
    <w:pPr>
      <w:keepNext w:val="0"/>
      <w:keepLines w:val="0"/>
      <w:widowControl w:val="0"/>
      <w:suppressLineNumbers w:val="0"/>
      <w:adjustRightInd w:val="0"/>
      <w:spacing w:before="0" w:beforeAutospacing="0" w:after="0" w:afterAutospacing="0" w:line="240" w:lineRule="atLeast"/>
      <w:ind w:left="0" w:right="0"/>
      <w:jc w:val="center"/>
    </w:pPr>
    <w:rPr>
      <w:rFonts w:hint="default" w:ascii="Times New Roman" w:hAnsi="Times New Roman" w:eastAsia="宋体" w:cs="宋体"/>
      <w:kern w:val="2"/>
      <w:sz w:val="21"/>
      <w:szCs w:val="21"/>
      <w:lang w:val="en-US" w:eastAsia="zh-CN" w:bidi="ar"/>
    </w:rPr>
  </w:style>
  <w:style w:type="paragraph" w:customStyle="1" w:styleId="99">
    <w:name w:val="BodyText1I2"/>
    <w:basedOn w:val="100"/>
    <w:next w:val="1"/>
    <w:qFormat/>
    <w:uiPriority w:val="0"/>
    <w:pPr>
      <w:spacing w:after="120" w:line="240" w:lineRule="auto"/>
      <w:ind w:left="420" w:leftChars="200" w:firstLine="420" w:firstLineChars="200"/>
      <w:jc w:val="both"/>
      <w:textAlignment w:val="baseline"/>
    </w:pPr>
    <w:rPr>
      <w:rFonts w:eastAsia="仿宋_GB2312"/>
      <w:color w:val="000000"/>
      <w:kern w:val="0"/>
      <w:sz w:val="28"/>
      <w:szCs w:val="20"/>
    </w:rPr>
  </w:style>
  <w:style w:type="paragraph" w:customStyle="1" w:styleId="100">
    <w:name w:val="BodyTextIndent"/>
    <w:basedOn w:val="1"/>
    <w:next w:val="101"/>
    <w:semiHidden/>
    <w:qFormat/>
    <w:uiPriority w:val="0"/>
    <w:pPr>
      <w:spacing w:after="120"/>
      <w:ind w:left="420" w:leftChars="200"/>
      <w:jc w:val="both"/>
      <w:textAlignment w:val="baseline"/>
    </w:pPr>
  </w:style>
  <w:style w:type="paragraph" w:customStyle="1" w:styleId="101">
    <w:name w:val="BodyText1I"/>
    <w:basedOn w:val="102"/>
    <w:next w:val="1"/>
    <w:qFormat/>
    <w:uiPriority w:val="0"/>
    <w:pPr>
      <w:widowControl/>
      <w:snapToGrid w:val="0"/>
      <w:spacing w:before="60" w:after="120" w:line="259" w:lineRule="auto"/>
      <w:ind w:right="113" w:firstLine="420" w:firstLineChars="100"/>
      <w:jc w:val="both"/>
      <w:textAlignment w:val="baseline"/>
    </w:pPr>
    <w:rPr>
      <w:kern w:val="0"/>
      <w:sz w:val="21"/>
      <w:szCs w:val="18"/>
      <w:lang w:val="en-US" w:eastAsia="zh-CN" w:bidi="ar-SA"/>
    </w:rPr>
  </w:style>
  <w:style w:type="paragraph" w:customStyle="1" w:styleId="102">
    <w:name w:val="BodyText"/>
    <w:basedOn w:val="1"/>
    <w:next w:val="103"/>
    <w:qFormat/>
    <w:uiPriority w:val="0"/>
    <w:pPr>
      <w:widowControl/>
      <w:snapToGrid w:val="0"/>
      <w:spacing w:before="60" w:after="160" w:line="259" w:lineRule="auto"/>
      <w:ind w:right="113"/>
      <w:jc w:val="both"/>
      <w:textAlignment w:val="baseline"/>
    </w:pPr>
    <w:rPr>
      <w:kern w:val="0"/>
      <w:sz w:val="18"/>
      <w:szCs w:val="18"/>
      <w:lang w:val="en-US" w:eastAsia="zh-CN" w:bidi="ar-SA"/>
    </w:rPr>
  </w:style>
  <w:style w:type="paragraph" w:customStyle="1" w:styleId="103">
    <w:name w:val="BodyText3"/>
    <w:basedOn w:val="1"/>
    <w:next w:val="1"/>
    <w:qFormat/>
    <w:uiPriority w:val="0"/>
    <w:pPr>
      <w:spacing w:after="120" w:line="540" w:lineRule="exact"/>
      <w:ind w:firstLine="200" w:firstLineChars="200"/>
      <w:jc w:val="both"/>
      <w:textAlignment w:val="baseline"/>
    </w:pPr>
    <w:rPr>
      <w:rFonts w:eastAsia="仿宋_GB2312"/>
      <w:kern w:val="2"/>
      <w:sz w:val="16"/>
      <w:szCs w:val="16"/>
      <w:lang w:val="en-US" w:eastAsia="zh-CN" w:bidi="ar-SA"/>
    </w:rPr>
  </w:style>
  <w:style w:type="paragraph" w:customStyle="1" w:styleId="104">
    <w:name w:val="普通(网站)1"/>
    <w:basedOn w:val="1"/>
    <w:qFormat/>
    <w:uiPriority w:val="0"/>
    <w:pPr>
      <w:widowControl/>
      <w:adjustRightInd w:val="0"/>
      <w:spacing w:before="100" w:after="100"/>
      <w:jc w:val="left"/>
    </w:pPr>
    <w:rPr>
      <w:rFonts w:ascii="宋体" w:hAnsi="宋体"/>
      <w:kern w:val="0"/>
      <w:sz w:val="24"/>
      <w:szCs w:val="28"/>
    </w:rPr>
  </w:style>
  <w:style w:type="paragraph" w:customStyle="1" w:styleId="105">
    <w:name w:val="Table Text"/>
    <w:basedOn w:val="1"/>
    <w:semiHidden/>
    <w:qFormat/>
    <w:uiPriority w:val="0"/>
    <w:rPr>
      <w:rFonts w:ascii="宋体" w:hAnsi="宋体" w:eastAsia="宋体" w:cs="宋体"/>
      <w:sz w:val="20"/>
      <w:szCs w:val="20"/>
      <w:lang w:val="en-US" w:eastAsia="en-US" w:bidi="ar-SA"/>
    </w:rPr>
  </w:style>
  <w:style w:type="paragraph" w:customStyle="1" w:styleId="106">
    <w:name w:val="wf-表格标题"/>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hint="eastAsia" w:ascii="Times New Roman" w:hAnsi="Times New Roman" w:eastAsia="黑体" w:cs="Times New Roman"/>
      <w:bCs/>
      <w:kern w:val="2"/>
      <w:sz w:val="24"/>
      <w:szCs w:val="24"/>
      <w:lang w:val="en-US" w:eastAsia="zh-CN" w:bidi="ar"/>
    </w:rPr>
  </w:style>
  <w:style w:type="paragraph" w:customStyle="1" w:styleId="107">
    <w:name w:val="A正文"/>
    <w:basedOn w:val="1"/>
    <w:qFormat/>
    <w:uiPriority w:val="0"/>
    <w:pPr>
      <w:spacing w:line="360" w:lineRule="auto"/>
      <w:ind w:firstLine="200" w:firstLineChars="200"/>
    </w:pPr>
    <w:rPr>
      <w:rFonts w:ascii="Calibri" w:hAnsi="Calibri"/>
      <w:kern w:val="0"/>
      <w:sz w:val="24"/>
    </w:rPr>
  </w:style>
  <w:style w:type="paragraph" w:customStyle="1" w:styleId="108">
    <w:name w:val="表格题目"/>
    <w:basedOn w:val="1"/>
    <w:qFormat/>
    <w:uiPriority w:val="0"/>
    <w:pPr>
      <w:keepNext/>
      <w:keepLines w:val="0"/>
      <w:widowControl w:val="0"/>
      <w:suppressLineNumbers w:val="0"/>
      <w:autoSpaceDE w:val="0"/>
      <w:autoSpaceDN w:val="0"/>
      <w:adjustRightInd w:val="0"/>
      <w:snapToGrid w:val="0"/>
      <w:spacing w:before="0" w:beforeAutospacing="0" w:after="0" w:afterAutospacing="0" w:line="240" w:lineRule="auto"/>
      <w:ind w:left="0" w:right="0"/>
      <w:jc w:val="center"/>
    </w:pPr>
    <w:rPr>
      <w:rFonts w:hint="default" w:ascii="Times New Roman" w:hAnsi="Times New Roman" w:eastAsia="黑体" w:cs="Times New Roman"/>
      <w:color w:val="000000"/>
      <w:kern w:val="2"/>
      <w:sz w:val="24"/>
      <w:szCs w:val="24"/>
      <w:lang w:val="en-US" w:eastAsia="zh-CN" w:bidi="ar"/>
    </w:rPr>
  </w:style>
  <w:style w:type="character" w:customStyle="1" w:styleId="109">
    <w:name w:val="15"/>
    <w:basedOn w:val="36"/>
    <w:qFormat/>
    <w:uiPriority w:val="0"/>
    <w:rPr>
      <w:rFonts w:hint="eastAsia" w:ascii="Times New Roman" w:hAnsi="Times New Roman" w:eastAsia="黑体" w:cs="Times New Roman"/>
      <w:bCs/>
      <w:sz w:val="24"/>
      <w:szCs w:val="24"/>
    </w:rPr>
  </w:style>
  <w:style w:type="character" w:customStyle="1" w:styleId="110">
    <w:name w:val="16"/>
    <w:basedOn w:val="36"/>
    <w:qFormat/>
    <w:uiPriority w:val="0"/>
    <w:rPr>
      <w:rFonts w:hint="default" w:ascii="Times New Roman" w:hAnsi="Times New Roman" w:eastAsia="黑体" w:cs="Times New Roman"/>
      <w:color w:val="000000"/>
      <w:kern w:val="2"/>
      <w:sz w:val="24"/>
      <w:szCs w:val="24"/>
    </w:rPr>
  </w:style>
  <w:style w:type="paragraph" w:customStyle="1" w:styleId="111">
    <w:name w:val="表标题"/>
    <w:basedOn w:val="112"/>
    <w:qFormat/>
    <w:uiPriority w:val="0"/>
    <w:pPr>
      <w:topLinePunct/>
      <w:adjustRightInd w:val="0"/>
      <w:snapToGrid w:val="0"/>
      <w:spacing w:before="60" w:after="60" w:line="500" w:lineRule="exact"/>
      <w:ind w:firstLine="0" w:firstLineChars="0"/>
      <w:jc w:val="center"/>
    </w:pPr>
    <w:rPr>
      <w:rFonts w:ascii="Calibri" w:hAnsi="Calibri"/>
      <w:b/>
      <w:bCs/>
      <w:color w:val="000000"/>
      <w:kern w:val="0"/>
      <w:sz w:val="24"/>
    </w:rPr>
  </w:style>
  <w:style w:type="paragraph" w:customStyle="1" w:styleId="112">
    <w:name w:val="正文首行缩进1"/>
    <w:basedOn w:val="2"/>
    <w:qFormat/>
    <w:locked/>
    <w:uiPriority w:val="0"/>
    <w:pPr>
      <w:widowControl w:val="0"/>
      <w:snapToGrid/>
      <w:spacing w:before="0" w:after="120" w:line="240" w:lineRule="auto"/>
      <w:ind w:right="0" w:firstLine="420" w:firstLineChars="100"/>
    </w:pPr>
    <w:rPr>
      <w:kern w:val="2"/>
      <w:sz w:val="30"/>
    </w:rPr>
  </w:style>
  <w:style w:type="character" w:customStyle="1" w:styleId="113">
    <w:name w:val="font71"/>
    <w:basedOn w:val="36"/>
    <w:qFormat/>
    <w:uiPriority w:val="0"/>
    <w:rPr>
      <w:rFonts w:hint="default" w:ascii="Times New Roman" w:hAnsi="Times New Roman" w:cs="Times New Roman"/>
      <w:b/>
      <w:bCs/>
      <w:color w:val="000000"/>
      <w:sz w:val="21"/>
      <w:szCs w:val="21"/>
      <w:u w:val="none"/>
    </w:rPr>
  </w:style>
  <w:style w:type="paragraph" w:customStyle="1" w:styleId="114">
    <w:name w:val="li_正文"/>
    <w:basedOn w:val="1"/>
    <w:qFormat/>
    <w:uiPriority w:val="0"/>
    <w:pPr>
      <w:tabs>
        <w:tab w:val="left" w:pos="2340"/>
        <w:tab w:val="left" w:pos="4320"/>
      </w:tabs>
      <w:ind w:firstLine="530" w:firstLineChars="200"/>
      <w:jc w:val="left"/>
    </w:pPr>
    <w:rPr>
      <w:sz w:val="28"/>
      <w:szCs w:val="28"/>
    </w:rPr>
  </w:style>
  <w:style w:type="paragraph" w:customStyle="1" w:styleId="115">
    <w:name w:val="Body text|1"/>
    <w:basedOn w:val="1"/>
    <w:qFormat/>
    <w:uiPriority w:val="0"/>
    <w:pPr>
      <w:spacing w:after="100"/>
      <w:jc w:val="left"/>
    </w:pPr>
    <w:rPr>
      <w:rFonts w:ascii="宋体" w:hAnsi="宋体" w:cs="宋体"/>
      <w:kern w:val="0"/>
      <w:sz w:val="22"/>
      <w:szCs w:val="22"/>
      <w:lang w:val="zh-TW" w:eastAsia="zh-TW" w:bidi="zh-TW"/>
    </w:rPr>
  </w:style>
  <w:style w:type="paragraph" w:customStyle="1" w:styleId="116">
    <w:name w:val="Other|1"/>
    <w:basedOn w:val="1"/>
    <w:qFormat/>
    <w:uiPriority w:val="0"/>
    <w:pPr>
      <w:widowControl w:val="0"/>
      <w:shd w:val="clear" w:color="auto" w:fill="auto"/>
      <w:jc w:val="center"/>
    </w:pPr>
    <w:rPr>
      <w:rFonts w:ascii="宋体" w:hAnsi="宋体" w:eastAsia="宋体" w:cs="宋体"/>
      <w:sz w:val="22"/>
      <w:szCs w:val="22"/>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png"/><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6.bin"/><Relationship Id="rId28" Type="http://schemas.openxmlformats.org/officeDocument/2006/relationships/image" Target="media/image15.wmf"/><Relationship Id="rId27" Type="http://schemas.openxmlformats.org/officeDocument/2006/relationships/oleObject" Target="embeddings/oleObject5.bin"/><Relationship Id="rId26" Type="http://schemas.openxmlformats.org/officeDocument/2006/relationships/image" Target="media/image14.wmf"/><Relationship Id="rId25" Type="http://schemas.openxmlformats.org/officeDocument/2006/relationships/oleObject" Target="embeddings/oleObject4.bin"/><Relationship Id="rId24" Type="http://schemas.openxmlformats.org/officeDocument/2006/relationships/image" Target="media/image13.wmf"/><Relationship Id="rId23" Type="http://schemas.openxmlformats.org/officeDocument/2006/relationships/oleObject" Target="embeddings/oleObject3.bin"/><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wmf"/><Relationship Id="rId16" Type="http://schemas.openxmlformats.org/officeDocument/2006/relationships/oleObject" Target="embeddings/oleObject2.bin"/><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50"/>
    <customShpInfo spid="_x0000_s1026"/>
  </customShpExts>
  <extobjs>
    <extobj name="F360BE8B-6686-4F3D-AEAF-501FE73E4058-1">
      <extobjdata type="F360BE8B-6686-4F3D-AEAF-501FE73E4058" data="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"/>
    </extobj>
    <extobj name="F360BE8B-6686-4F3D-AEAF-501FE73E4058-2">
      <extobjdata type="F360BE8B-6686-4F3D-AEAF-501FE73E4058" data="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"/>
    </extobj>
    <extobj name="F360BE8B-6686-4F3D-AEAF-501FE73E4058-3">
      <extobjdata type="F360BE8B-6686-4F3D-AEAF-501FE73E4058" data="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"/>
    </extobj>
  </extobjs>
</s:customData>
</file>

<file path=customXml/item2.xml><?xml version="1.0" encoding="utf-8"?>
<contractReview xmlns="http://schemas.wps.cn/vas-ai-hub/contract-review">
  <reviewItems>
    <reviewItem>
      <errorID>b2330239-9d64-4f76-afe1-52e441046011</errorID>
      <errorWord>(</errorWord>
      <group>L1_Format</group>
      <groupName>格式问题</groupName>
      <ability>L2_HalfPunc</ability>
      <abilityName>全半角检查</abilityName>
      <candidateList>
        <item>（</item>
      </candidateList>
      <explain>文本全半角错误。</explain>
      <paraID>7FD63106</paraID>
      <start>13</start>
      <end>14</end>
      <status>unmodified</status>
      <modifiedWord/>
      <trackRevisions>false</trackRevisions>
    </reviewItem>
    <reviewItem>
      <errorID>e7ab7af7-bf7f-45fd-95a9-2b6c4cf00ad2</errorID>
      <errorWord>)</errorWord>
      <group>L1_Format</group>
      <groupName>格式问题</groupName>
      <ability>L2_HalfPunc</ability>
      <abilityName>全半角检查</abilityName>
      <candidateList>
        <item>）</item>
      </candidateList>
      <explain>文本全半角错误。</explain>
      <paraID>7FD63106</paraID>
      <start>16</start>
      <end>17</end>
      <status>unmodified</status>
      <modifiedWord/>
      <trackRevisions>false</trackRevisions>
    </reviewItem>
    <reviewItem>
      <errorID>8042ba1e-eec1-4d5b-a69d-ba918312c27e</errorID>
      <errorWord>“</errorWord>
      <group>L1_Punc</group>
      <groupName>标点问题</groupName>
      <ability>L2_Punc</ability>
      <abilityName>标点符号检查</abilityName>
      <candidateList/>
      <explain/>
      <paraID>45AF0565</paraID>
      <start>0</start>
      <end>1</end>
      <status>unmodified</status>
      <modifiedWord/>
      <trackRevisions>false</trackRevisions>
    </reviewItem>
    <reviewItem>
      <errorID>30bd5a20-d797-4cf2-8aec-6787aef560f4</errorID>
      <errorWord>》（试行）</errorWord>
      <group>L1_Word</group>
      <groupName>字词问题</groupName>
      <ability>L2_Typo</ability>
      <abilityName>字词错误</abilityName>
      <candidateList>
        <item>（试行）》</item>
      </candidateList>
      <explain/>
      <paraID>44BB0451</paraID>
      <start>27</start>
      <end>32</end>
      <status>unmodified</status>
      <modifiedWord/>
      <trackRevisions>false</trackRevisions>
    </reviewItem>
    <reviewItem>
      <errorID>af2394f6-21e8-44e4-b359-5b5694fffc13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14B01626</paraID>
      <start>0</start>
      <end>2</end>
      <status>unmodified</status>
      <modifiedWord/>
      <trackRevisions>false</trackRevisions>
    </reviewItem>
    <reviewItem>
      <errorID>22d4f55a-dbf7-444e-b80d-3c2874018f44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53FD363F</paraID>
      <start>0</start>
      <end>2</end>
      <status>unmodified</status>
      <modifiedWord/>
      <trackRevisions>false</trackRevisions>
    </reviewItem>
    <reviewItem>
      <errorID>85a6dc67-cfb3-4dd9-8633-490d058a2310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18C79866</paraID>
      <start>0</start>
      <end>2</end>
      <status>unmodified</status>
      <modifiedWord/>
      <trackRevisions>false</trackRevisions>
    </reviewItem>
    <reviewItem>
      <errorID>fea68296-e307-43d6-8a6b-4da382994a68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762C0CA0</paraID>
      <start>0</start>
      <end>2</end>
      <status>unmodified</status>
      <modifiedWord/>
      <trackRevisions>false</trackRevisions>
    </reviewItem>
    <reviewItem>
      <errorID>e25a125c-5556-4705-b789-dd705b9c2c84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4FE93947</paraID>
      <start>0</start>
      <end>2</end>
      <status>unmodified</status>
      <modifiedWord/>
      <trackRevisions>false</trackRevisions>
    </reviewItem>
    <reviewItem>
      <errorID>5c0dd4e2-f434-4272-b28f-48c656ccd477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C67E304</paraID>
      <start>0</start>
      <end>2</end>
      <status>unmodified</status>
      <modifiedWord/>
      <trackRevisions>false</trackRevisions>
    </reviewItem>
    <reviewItem>
      <errorID>9a280ebe-bddc-45db-9686-3a8a58bfe7ef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48FBC011</paraID>
      <start>0</start>
      <end>2</end>
      <status>unmodified</status>
      <modifiedWord/>
      <trackRevisions>false</trackRevisions>
    </reviewItem>
    <reviewItem>
      <errorID>4f0aa6d7-54e5-456f-b497-06a27ad511bf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26D4A504</paraID>
      <start>0</start>
      <end>2</end>
      <status>unmodified</status>
      <modifiedWord/>
      <trackRevisions>false</trackRevisions>
    </reviewItem>
    <reviewItem>
      <errorID>cfd12b78-2bf6-425e-a9e9-204ef6fc75c5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7C35534B</paraID>
      <start>0</start>
      <end>2</end>
      <status>unmodified</status>
      <modifiedWord/>
      <trackRevisions>false</trackRevisions>
    </reviewItem>
    <reviewItem>
      <errorID>722ab72f-bf9f-42d2-ad5e-21eda9e973a7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368A12CD</paraID>
      <start>0</start>
      <end>2</end>
      <status>unmodified</status>
      <modifiedWord/>
      <trackRevisions>false</trackRevisions>
    </reviewItem>
    <reviewItem>
      <errorID>eba4512c-680c-4c87-bd71-b0172f2f8c5e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1B3FF8DE</paraID>
      <start>0</start>
      <end>2</end>
      <status>unmodified</status>
      <modifiedWord/>
      <trackRevisions>false</trackRevisions>
    </reviewItem>
    <reviewItem>
      <errorID>cb56d278-08f5-4e5c-99ec-2bc7a6017e50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2377FD35</paraID>
      <start>0</start>
      <end>2</end>
      <status>unmodified</status>
      <modifiedWord/>
      <trackRevisions>false</trackRevisions>
    </reviewItem>
    <reviewItem>
      <errorID>946fde7b-8bea-401e-ae5e-a8cb2c5f1a85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760CEA4</paraID>
      <start>0</start>
      <end>2</end>
      <status>unmodified</status>
      <modifiedWord/>
      <trackRevisions>false</trackRevisions>
    </reviewItem>
    <reviewItem>
      <errorID>551fb7b6-f577-4cf3-b298-8c87848319ec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5DE27BDC</paraID>
      <start>0</start>
      <end>2</end>
      <status>unmodified</status>
      <modifiedWord/>
      <trackRevisions>false</trackRevisions>
    </reviewItem>
    <reviewItem>
      <errorID>8f9bdbb2-f71f-45a7-acad-7d04f6054e5b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66ED0E72</paraID>
      <start>0</start>
      <end>2</end>
      <status>unmodified</status>
      <modifiedWord/>
      <trackRevisions>false</trackRevisions>
    </reviewItem>
    <reviewItem>
      <errorID>c38d2c60-25a2-49d8-80b7-99bfe812f11d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78471494</paraID>
      <start>0</start>
      <end>2</end>
      <status>unmodified</status>
      <modifiedWord/>
      <trackRevisions>false</trackRevisions>
    </reviewItem>
    <reviewItem>
      <errorID>7d407b19-a42a-46a6-8a17-ddae9a4fcd9d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72C512B4</paraID>
      <start>0</start>
      <end>2</end>
      <status>unmodified</status>
      <modifiedWord/>
      <trackRevisions>false</trackRevisions>
    </reviewItem>
    <reviewItem>
      <errorID>b7e423a0-32af-4d7a-839b-b22005a49f3c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31C99CD3</paraID>
      <start>0</start>
      <end>2</end>
      <status>unmodified</status>
      <modifiedWord/>
      <trackRevisions>false</trackRevisions>
    </reviewItem>
    <reviewItem>
      <errorID>a2589567-2be8-48fa-8b20-2aa91dbbe4b2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4550EAE7</paraID>
      <start>0</start>
      <end>2</end>
      <status>unmodified</status>
      <modifiedWord/>
      <trackRevisions>false</trackRevisions>
    </reviewItem>
    <reviewItem>
      <errorID>6afd82b8-2efd-4060-bfd3-72eec111c49b</errorID>
      <errorWord>其它</errorWord>
      <group>L1_Word</group>
      <groupName>字词问题</groupName>
      <ability>L2_Alias</ability>
      <abilityName>也作/曾用词</abilityName>
      <candidateList>
        <item>其他</item>
      </candidateList>
      <explain>词汇[其它]为不规范表述或旧称，其规范书面表述为[其他]。</explain>
      <paraID>66CCFE87</paraID>
      <start>23</start>
      <end>25</end>
      <status>unmodified</status>
      <modifiedWord/>
      <trackRevisions>false</trackRevisions>
    </reviewItem>
    <reviewItem>
      <errorID>8fe02954-932a-4c1e-bdf9-8215c618bc1d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2F2C405A</paraID>
      <start>0</start>
      <end>2</end>
      <status>unmodified</status>
      <modifiedWord/>
      <trackRevisions>false</trackRevisions>
    </reviewItem>
    <reviewItem>
      <errorID>3176a0bb-7305-429a-9135-aadd58a04da9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2F960AD4</paraID>
      <start>0</start>
      <end>2</end>
      <status>unmodified</status>
      <modifiedWord/>
      <trackRevisions>false</trackRevisions>
    </reviewItem>
    <reviewItem>
      <errorID>0f83e949-a4aa-4d18-a2e3-153e5e0af888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41CE0EB2</paraID>
      <start>0</start>
      <end>2</end>
      <status>unmodified</status>
      <modifiedWord/>
      <trackRevisions>false</trackRevisions>
    </reviewItem>
    <reviewItem>
      <errorID>e9fbb04b-b186-4e22-85c4-28f70caf6c53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572BFBE3</paraID>
      <start>0</start>
      <end>2</end>
      <status>unmodified</status>
      <modifiedWord/>
      <trackRevisions>false</trackRevisions>
    </reviewItem>
    <reviewItem>
      <errorID>d273c89d-bdf5-462a-8223-366db1cd545e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1F3270B1</paraID>
      <start>0</start>
      <end>2</end>
      <status>unmodified</status>
      <modifiedWord/>
      <trackRevisions>false</trackRevisions>
    </reviewItem>
    <reviewItem>
      <errorID>9c7e1097-eef3-4671-9e25-d12512ea09c6</errorID>
      <errorWord>三线一单</errorWord>
      <group>L1_Political</group>
      <groupName>政治性问题</groupName>
      <ability>L2_Keyword</ability>
      <abilityName>固定表述</abilityName>
      <candidateList>
        <item>‘三线一单’</item>
      </candidateList>
      <explain>注意检查当前固定表述标点是否使用规范。</explain>
      <paraID>1F3270B1</paraID>
      <start>3</start>
      <end>7</end>
      <status>unmodified</status>
      <modifiedWord/>
      <trackRevisions>false</trackRevisions>
    </reviewItem>
    <reviewItem>
      <errorID>67c700ed-18a1-48b9-a153-8e9dbfe1e0e5</errorID>
      <errorWord>程</errorWord>
      <group>L1_Word</group>
      <groupName>字词问题</groupName>
      <ability>L2_Typo</ability>
      <abilityName>字词错误</abilityName>
      <candidateList>
        <item>程中</item>
      </candidateList>
      <explain/>
      <paraID>71AD1013</paraID>
      <start>32</start>
      <end>33</end>
      <status>unmodified</status>
      <modifiedWord/>
      <trackRevisions>false</trackRevisions>
    </reviewItem>
    <reviewItem>
      <errorID>e6101662-a16f-4df4-a0b4-adb37c72e0fc</errorID>
      <errorWord>2025年09月</errorWord>
      <group>L1_Knowledge</group>
      <groupName>知识性问题</groupName>
      <ability>L2_Time</ability>
      <abilityName>日期时间</abilityName>
      <candidateList>
        <item>2025年9月</item>
      </candidateList>
      <explain>根据日常书写习惯，月份一般会省略前导零。</explain>
      <paraID>1CB5A3A3</paraID>
      <start>12</start>
      <end>20</end>
      <status>unmodified</status>
      <modifiedWord/>
      <trackRevisions>false</trackRevisions>
    </reviewItem>
    <reviewItem>
      <errorID>9b89802e-692f-4830-9b3c-8d346ab6d277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2A43B311</paraID>
      <start>0</start>
      <end>2</end>
      <status>unmodified</status>
      <modifiedWord/>
      <trackRevisions>false</trackRevisions>
    </reviewItem>
    <reviewItem>
      <errorID>93ab02d0-eaea-429f-bf79-2f73b886ce8c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7665761F</paraID>
      <start>0</start>
      <end>2</end>
      <status>unmodified</status>
      <modifiedWord/>
      <trackRevisions>false</trackRevisions>
    </reviewItem>
    <reviewItem>
      <errorID>e6721227-61e6-4c7a-96ca-01af1253c019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62D709BE</paraID>
      <start>0</start>
      <end>2</end>
      <status>unmodified</status>
      <modifiedWord/>
      <trackRevisions>false</trackRevisions>
    </reviewItem>
    <reviewItem>
      <errorID>4aa96a5e-a295-40d0-9a3d-8951bf9428df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BA05D28</paraID>
      <start>0</start>
      <end>2</end>
      <status>unmodified</status>
      <modifiedWord/>
      <trackRevisions>false</trackRevisions>
    </reviewItem>
    <reviewItem>
      <errorID>4eccda1c-e288-4ea6-995e-a173bdcec36d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1C07290D</paraID>
      <start>0</start>
      <end>2</end>
      <status>unmodified</status>
      <modifiedWord/>
      <trackRevisions>false</trackRevisions>
    </reviewItem>
    <reviewItem>
      <errorID>9fb4f9e9-bc1b-40ec-b017-63f332555778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45F94B0D</paraID>
      <start>0</start>
      <end>2</end>
      <status>unmodified</status>
      <modifiedWord/>
      <trackRevisions>false</trackRevisions>
    </reviewItem>
    <reviewItem>
      <errorID>cec02917-db18-486e-9cca-3a7e83f98f6b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7CD88FB</paraID>
      <start>0</start>
      <end>2</end>
      <status>unmodified</status>
      <modifiedWord/>
      <trackRevisions>false</trackRevisions>
    </reviewItem>
    <reviewItem>
      <errorID>0ff4ef87-9a4b-4ac2-830c-cad3407b3229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4016A9C3</paraID>
      <start>0</start>
      <end>2</end>
      <status>unmodified</status>
      <modifiedWord/>
      <trackRevisions>false</trackRevisions>
    </reviewItem>
    <reviewItem>
      <errorID>819c5ac7-b776-4370-a0bd-20065c04903d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7F2A2DBA</paraID>
      <start>0</start>
      <end>2</end>
      <status>unmodified</status>
      <modifiedWord/>
      <trackRevisions>false</trackRevisions>
    </reviewItem>
    <reviewItem>
      <errorID>05be58df-d23f-4655-a825-f3b7ef7c9737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1815FD1</paraID>
      <start>0</start>
      <end>2</end>
      <status>unmodified</status>
      <modifiedWord/>
      <trackRevisions>false</trackRevisions>
    </reviewItem>
    <reviewItem>
      <errorID>d7e27ac6-2170-49ae-9f22-668f55478fc6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463221CE</paraID>
      <start>0</start>
      <end>2</end>
      <status>unmodified</status>
      <modifiedWord/>
      <trackRevisions>false</trackRevisions>
    </reviewItem>
    <reviewItem>
      <errorID>01b73e4b-3559-4435-936c-23c9823f78b5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19E93004</paraID>
      <start>0</start>
      <end>2</end>
      <status>unmodified</status>
      <modifiedWord/>
      <trackRevisions>false</trackRevisions>
    </reviewItem>
    <reviewItem>
      <errorID>8d500726-1d42-474a-a2ac-5fff5e0f1f34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620770EA</paraID>
      <start>0</start>
      <end>2</end>
      <status>unmodified</status>
      <modifiedWord/>
      <trackRevisions>false</trackRevisions>
    </reviewItem>
    <reviewItem>
      <errorID>4ed3c584-c639-49fe-9398-fe5edf2578d7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6954EB04</paraID>
      <start>0</start>
      <end>2</end>
      <status>unmodified</status>
      <modifiedWord/>
      <trackRevisions>false</trackRevisions>
    </reviewItem>
    <reviewItem>
      <errorID>ca6af866-6130-4c19-a794-fb0f8111cc73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1210BFB1</paraID>
      <start>0</start>
      <end>2</end>
      <status>unmodified</status>
      <modifiedWord/>
      <trackRevisions>false</trackRevisions>
    </reviewItem>
    <reviewItem>
      <errorID>4e358bb2-75f7-4195-84b7-9fa25fe8029d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34D7D4F0</paraID>
      <start>0</start>
      <end>2</end>
      <status>unmodified</status>
      <modifiedWord/>
      <trackRevisions>false</trackRevisions>
    </reviewItem>
    <reviewItem>
      <errorID>55237501-cc15-40f9-9755-2dc20f83eeba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31ACB513</paraID>
      <start>0</start>
      <end>2</end>
      <status>unmodified</status>
      <modifiedWord/>
      <trackRevisions>false</trackRevisions>
    </reviewItem>
    <reviewItem>
      <errorID>d1089672-1d40-4400-9209-5bfa517cf463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6900A4F6</paraID>
      <start>0</start>
      <end>2</end>
      <status>unmodified</status>
      <modifiedWord/>
      <trackRevisions>false</trackRevisions>
    </reviewItem>
    <reviewItem>
      <errorID>f0d39192-0cb6-475c-ad5d-c626490259ae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2AA749D7</paraID>
      <start>0</start>
      <end>2</end>
      <status>unmodified</status>
      <modifiedWord/>
      <trackRevisions>false</trackRevisions>
    </reviewItem>
    <reviewItem>
      <errorID>17c0fd6e-3c87-4f9c-9bb0-3187c5fd69f1</errorID>
      <errorWord>行之有效的</errorWord>
      <group>L1_Word</group>
      <groupName>字词问题</groupName>
      <ability>L2_Typo</ability>
      <abilityName>字词错误</abilityName>
      <candidateList>
        <item>行之有效地</item>
      </candidateList>
      <explain/>
      <paraID>2AA749D7</paraID>
      <start>54</start>
      <end>59</end>
      <status>modified</status>
      <modifiedWord>行之有效地</modifiedWord>
      <trackRevisions>false</trackRevisions>
    </reviewItem>
    <reviewItem>
      <errorID>971df8f3-c992-4c5a-bfe0-3390e839c362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5B35BF3A</paraID>
      <start>0</start>
      <end>2</end>
      <status>unmodified</status>
      <modifiedWord/>
      <trackRevisions>false</trackRevisions>
    </reviewItem>
    <reviewItem>
      <errorID>e88220e9-cbad-4368-938b-28ea61bded15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3AA12E9B</paraID>
      <start>0</start>
      <end>2</end>
      <status>unmodified</status>
      <modifiedWord/>
      <trackRevisions>false</trackRevisions>
    </reviewItem>
    <reviewItem>
      <errorID>e5ed4487-c792-4da5-8dbd-7f8817c9e630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7611BE70</paraID>
      <start>0</start>
      <end>2</end>
      <status>unmodified</status>
      <modifiedWord/>
      <trackRevisions>false</trackRevisions>
    </reviewItem>
    <reviewItem>
      <errorID>9d9d7eb3-c384-4ae5-8010-2b1ee001fd9d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3BF8D653</paraID>
      <start>0</start>
      <end>2</end>
      <status>unmodified</status>
      <modifiedWord/>
      <trackRevisions>false</trackRevisions>
    </reviewItem>
    <reviewItem>
      <errorID>f4c20986-df63-4ba7-ad0b-ce68727145e1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48095B4F</paraID>
      <start>0</start>
      <end>2</end>
      <status>unmodified</status>
      <modifiedWord/>
      <trackRevisions>false</trackRevisions>
    </reviewItem>
    <reviewItem>
      <errorID>75e875d5-f0ca-4bfe-8378-6c1f8923c39d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655EE3BA</paraID>
      <start>0</start>
      <end>2</end>
      <status>unmodified</status>
      <modifiedWord/>
      <trackRevisions>false</trackRevisions>
    </reviewItem>
    <reviewItem>
      <errorID>40ca89c4-22c4-45d2-a528-5dc4f791daaa</errorID>
      <errorWord>加强</errorWord>
      <group>L1_Word</group>
      <groupName>字词问题</groupName>
      <ability>L2_Typo</ability>
      <abilityName>字词错误</abilityName>
      <candidateList>
        <item>加大</item>
      </candidateList>
      <explain>“加强～力度”搭配不当，建议修改为“加大～力度”。</explain>
      <paraID>655EE3BA</paraID>
      <start>12</start>
      <end>14</end>
      <status>unmodified</status>
      <modifiedWord/>
      <trackRevisions>false</trackRevisions>
    </reviewItem>
    <reviewItem>
      <errorID>7c66ff39-51da-4643-b361-855dc073d8fe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E8ABF32</paraID>
      <start>0</start>
      <end>2</end>
      <status>unmodified</status>
      <modifiedWord/>
      <trackRevisions>false</trackRevisions>
    </reviewItem>
    <reviewItem>
      <errorID>fe2a9eb5-1003-40c4-88ad-cdbbcb388db0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31F4FE28</paraID>
      <start>0</start>
      <end>2</end>
      <status>unmodified</status>
      <modifiedWord/>
      <trackRevisions>false</trackRevisions>
    </reviewItem>
    <reviewItem>
      <errorID>90439cac-1ae8-4430-94ca-e63db8d0f521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78753F74</paraID>
      <start>0</start>
      <end>2</end>
      <status>unmodified</status>
      <modifiedWord/>
      <trackRevisions>false</trackRevisions>
    </reviewItem>
    <reviewItem>
      <errorID>c269b770-322c-47ba-b22a-d154b6c2ff7b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76651743</paraID>
      <start>0</start>
      <end>2</end>
      <status>unmodified</status>
      <modifiedWord/>
      <trackRevisions>false</trackRevisions>
    </reviewItem>
    <reviewItem>
      <errorID>c7707a80-fc5e-4e50-945b-c9f355c1eeea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10A0BEC</paraID>
      <start>0</start>
      <end>2</end>
      <status>unmodified</status>
      <modifiedWord/>
      <trackRevisions>false</trackRevisions>
    </reviewItem>
    <reviewItem>
      <errorID>71e342a4-3d62-4e13-9b75-7bb6dff46320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4DBB4382</paraID>
      <start>0</start>
      <end>2</end>
      <status>unmodified</status>
      <modifiedWord/>
      <trackRevisions>false</trackRevisions>
    </reviewItem>
    <reviewItem>
      <errorID>d9e5d43f-f574-4b79-8d33-756ac645e6b1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194B8295</paraID>
      <start>0</start>
      <end>2</end>
      <status>unmodified</status>
      <modifiedWord/>
      <trackRevisions>false</trackRevisions>
    </reviewItem>
    <reviewItem>
      <errorID>753593b2-1088-4a3c-a9e8-580c1945189c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7954A54E</paraID>
      <start>0</start>
      <end>2</end>
      <status>unmodified</status>
      <modifiedWord/>
      <trackRevisions>false</trackRevisions>
    </reviewItem>
    <reviewItem>
      <errorID>07bcc9ed-86a8-4263-bfa9-dc18b25d747d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71CDD160</paraID>
      <start>0</start>
      <end>2</end>
      <status>unmodified</status>
      <modifiedWord/>
      <trackRevisions>false</trackRevisions>
    </reviewItem>
    <reviewItem>
      <errorID>a994c4c9-debb-400b-9b49-e0222654eb2e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2AEE0A54</paraID>
      <start>0</start>
      <end>2</end>
      <status>unmodified</status>
      <modifiedWord/>
      <trackRevisions>false</trackRevisions>
    </reviewItem>
    <reviewItem>
      <errorID>f2fcb66d-9425-47de-9c73-dddd49365914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338687</paraID>
      <start>0</start>
      <end>2</end>
      <status>unmodified</status>
      <modifiedWord/>
      <trackRevisions>false</trackRevisions>
    </reviewItem>
    <reviewItem>
      <errorID>1b6f91b0-25f6-446a-9719-ec032b631616</errorID>
      <errorWord>]</errorWord>
      <group>L1_Punc</group>
      <groupName>标点问题</groupName>
      <ability>L2_Punc</ability>
      <abilityName>标点符号检查</abilityName>
      <candidateList/>
      <explain/>
      <paraID>  338687</paraID>
      <start>39</start>
      <end>40</end>
      <status>unmodified</status>
      <modifiedWord/>
      <trackRevisions>false</trackRevisions>
    </reviewItem>
    <reviewItem>
      <errorID>1cf22f6c-25e4-426a-bb3e-f4139e698eaf</errorID>
      <errorWord>胶黏剂</errorWord>
      <group>L1_Word</group>
      <groupName>字词问题</groupName>
      <ability>L2_Typo</ability>
      <abilityName>字词错误</abilityName>
      <candidateList>
        <item>胶粘剂</item>
      </candidateList>
      <explain/>
      <paraID>5F5D7B90</paraID>
      <start>10</start>
      <end>13</end>
      <status>unmodified</status>
      <modifiedWord/>
      <trackRevisions>false</trackRevisions>
    </reviewItem>
    <reviewItem>
      <errorID>430730a0-d46f-4cab-89d3-be39c1abb749</errorID>
      <errorWord>为装</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5F5D7B90</paraID>
      <start>15</start>
      <end>17</end>
      <status>unmodified</status>
      <modifiedWord/>
      <trackRevisions>false</trackRevisions>
    </reviewItem>
    <reviewItem>
      <errorID>cc817495-cf99-4e35-9674-91a39ed6bd50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55BD44C3</paraID>
      <start>0</start>
      <end>3</end>
      <status>unmodified</status>
      <modifiedWord/>
      <trackRevisions>false</trackRevisions>
    </reviewItem>
    <reviewItem>
      <errorID>2d44a412-aac2-4a9a-b04b-9288a582753f</errorID>
      <errorWord>紫外光</errorWord>
      <group>L1_Word</group>
      <groupName>字词问题</groupName>
      <ability>L2_Typo</ability>
      <abilityName>字词错误</abilityName>
      <candidateList>
        <item>紫外线</item>
      </candidateList>
      <explain/>
      <paraID>44B3E5CE</paraID>
      <start>77</start>
      <end>80</end>
      <status>unmodified</status>
      <modifiedWord/>
      <trackRevisions>false</trackRevisions>
    </reviewItem>
    <reviewItem>
      <errorID>11fd0c55-2808-43ac-ba1c-82e3270b8755</errorID>
      <errorWord>紫外光</errorWord>
      <group>L1_Word</group>
      <groupName>字词问题</groupName>
      <ability>L2_Typo</ability>
      <abilityName>字词错误</abilityName>
      <candidateList>
        <item>紫外线</item>
      </candidateList>
      <explain/>
      <paraID>44B3E5CE</paraID>
      <start>155</start>
      <end>158</end>
      <status>unmodified</status>
      <modifiedWord/>
      <trackRevisions>false</trackRevisions>
    </reviewItem>
    <reviewItem>
      <errorID>a93ed85d-59e5-4456-a7da-798787a84488</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43214851</paraID>
      <start>0</start>
      <end>3</end>
      <status>unmodified</status>
      <modifiedWord/>
      <trackRevisions>false</trackRevisions>
    </reviewItem>
    <reviewItem>
      <errorID>bac2d7af-be6d-4503-bee9-78caafe16e99</errorID>
      <errorWord>“</errorWord>
      <group>L1_Punc</group>
      <groupName>标点问题</groupName>
      <ability>L2_Punc</ability>
      <abilityName>标点符号检查</abilityName>
      <candidateList/>
      <explain/>
      <paraID>2D85DB1E</paraID>
      <start>105</start>
      <end>106</end>
      <status>unmodified</status>
      <modifiedWord/>
      <trackRevisions>false</trackRevisions>
    </reviewItem>
    <reviewItem>
      <errorID>911a2fed-bf32-4795-bfdd-2fea9fe3c844</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3F28120F</paraID>
      <start>0</start>
      <end>3</end>
      <status>unmodified</status>
      <modifiedWord/>
      <trackRevisions>false</trackRevisions>
    </reviewItem>
    <reviewItem>
      <errorID>9af0a1a7-aa69-4f18-bbf0-fd2e66b6674e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4C4F5918</paraID>
      <start>0</start>
      <end>2</end>
      <status>unmodified</status>
      <modifiedWord/>
      <trackRevisions>false</trackRevisions>
    </reviewItem>
    <reviewItem>
      <errorID>e09a5fd1-12df-4dca-a39f-de1dbd888f77</errorID>
      <errorWord>程</errorWord>
      <group>L1_Word</group>
      <groupName>字词问题</groupName>
      <ability>L2_Typo</ability>
      <abilityName>字词错误</abilityName>
      <candidateList>
        <item>程中</item>
      </candidateList>
      <explain/>
      <paraID>4D2F4C1F</paraID>
      <start>17</start>
      <end>18</end>
      <status>unmodified</status>
      <modifiedWord/>
      <trackRevisions>false</trackRevisions>
    </reviewItem>
    <reviewItem>
      <errorID>02ef2e8e-931a-49e1-84a3-519ab81d1895</errorID>
      <errorWord>程</errorWord>
      <group>L1_Word</group>
      <groupName>字词问题</groupName>
      <ability>L2_Typo</ability>
      <abilityName>字词错误</abilityName>
      <candidateList>
        <item>程中</item>
      </candidateList>
      <explain/>
      <paraID>4D2F4C1F</paraID>
      <start>36</start>
      <end>37</end>
      <status>unmodified</status>
      <modifiedWord/>
      <trackRevisions>false</trackRevisions>
    </reviewItem>
    <reviewItem>
      <errorID>5c9cc1ae-adb3-4d76-90c6-826945ca9068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299BB002</paraID>
      <start>0</start>
      <end>2</end>
      <status>unmodified</status>
      <modifiedWord/>
      <trackRevisions>false</trackRevisions>
    </reviewItem>
    <reviewItem>
      <errorID>68789cc0-7e6a-490d-8f61-f9e2fa180f5b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7DADDEE5</paraID>
      <start>0</start>
      <end>2</end>
      <status>unmodified</status>
      <modifiedWord/>
      <trackRevisions>false</trackRevisions>
    </reviewItem>
    <reviewItem>
      <errorID>913880b3-a186-4aa2-a20c-0d4e71ed7069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4E7E02C</paraID>
      <start>0</start>
      <end>2</end>
      <status>unmodified</status>
      <modifiedWord/>
      <trackRevisions>false</trackRevisions>
    </reviewItem>
    <reviewItem>
      <errorID>eacabcd0-d962-4aa5-8390-9ff368ada906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130D165A</paraID>
      <start>23</start>
      <end>24</end>
      <status>unmodified</status>
      <modifiedWord/>
      <trackRevisions>false</trackRevisions>
    </reviewItem>
    <reviewItem>
      <errorID>178bbd7a-051f-4493-8817-0705c071499c</errorID>
      <errorWord>(</errorWord>
      <group>L1_Format</group>
      <groupName>格式问题</groupName>
      <ability>L2_HalfPunc</ability>
      <abilityName>全半角检查</abilityName>
      <candidateList>
        <item>（</item>
      </candidateList>
      <explain>文本全半角错误。</explain>
      <paraID>6C3D8EA3</paraID>
      <start>9</start>
      <end>10</end>
      <status>unmodified</status>
      <modifiedWord/>
      <trackRevisions>false</trackRevisions>
    </reviewItem>
    <reviewItem>
      <errorID>b63f643d-9f57-4cd2-a1bf-6d327fdafc30</errorID>
      <errorWord>)</errorWord>
      <group>L1_Format</group>
      <groupName>格式问题</groupName>
      <ability>L2_HalfPunc</ability>
      <abilityName>全半角检查</abilityName>
      <candidateList>
        <item>）</item>
      </candidateList>
      <explain>文本全半角错误。</explain>
      <paraID>6C3D8EA3</paraID>
      <start>17</start>
      <end>18</end>
      <status>unmodified</status>
      <modifiedWord/>
      <trackRevisions>false</trackRevisions>
    </reviewItem>
    <reviewItem>
      <errorID>38f8a35e-672c-4669-a74b-89ddec80853d</errorID>
      <errorWord>~</errorWord>
      <group>L1_Format</group>
      <groupName>格式问题</groupName>
      <ability>L2_HalfPunc</ability>
      <abilityName>全半角检查</abilityName>
      <candidateList>
        <item>～</item>
      </candidateList>
      <explain>文本全半角错误。</explain>
      <paraID>533C2102</paraID>
      <start>50</start>
      <end>51</end>
      <status>unmodified</status>
      <modifiedWord/>
      <trackRevisions>false</trackRevisions>
    </reviewItem>
    <reviewItem>
      <errorID>f24479c7-c403-46ad-8419-e6c781e9bb0a</errorID>
      <errorWord>PH值</errorWord>
      <group>L1_Word</group>
      <groupName>字词问题</groupName>
      <ability>L2_Typo</ability>
      <abilityName>字词错误</abilityName>
      <candidateList>
        <item>pH值</item>
      </candidateList>
      <explain/>
      <paraID>533C2102</paraID>
      <start>61</start>
      <end>64</end>
      <status>modified</status>
      <modifiedWord>pH值</modifiedWord>
      <trackRevisions>false</trackRevisions>
    </reviewItem>
    <reviewItem>
      <errorID>0921fc49-44f0-478d-bc9d-568781ee91bf</errorID>
      <errorWord>PH值</errorWord>
      <group>L1_Word</group>
      <groupName>字词问题</groupName>
      <ability>L2_Typo</ability>
      <abilityName>字词错误</abilityName>
      <candidateList>
        <item>pH值</item>
      </candidateList>
      <explain/>
      <paraID> 5CB0F23</paraID>
      <start>69</start>
      <end>72</end>
      <status>modified</status>
      <modifiedWord>pH值</modifiedWord>
      <trackRevisions>false</trackRevisions>
    </reviewItem>
    <reviewItem>
      <errorID>974b0e30-0a8c-414b-a122-505c0db21d4d</errorID>
      <errorWord>49-51%</errorWord>
      <group>L1_Knowledge</group>
      <groupName>知识性问题</groupName>
      <ability>L2_Knowledge</ability>
      <abilityName>其他知识</abilityName>
      <candidateList>
        <item>49%—51%</item>
      </candidateList>
      <explain>1. “49-51%”中的单位“%”仅出现在后一个数字上，容易引起歧义；根据《现代汉语标点符号数字用法规范手册》，数字表示范围两边需要使用统一的格式。2. 根据标点国标 4.13 中的规则，数字、时间或地域连接符应使用（视觉上更长的）“—”或“～”。</explain>
      <paraID>3738412E</paraID>
      <start>39</start>
      <end>46</end>
      <status>modified</status>
      <modifiedWord>49%—51%</modifiedWord>
      <trackRevisions>false</trackRevisions>
    </reviewItem>
    <reviewItem>
      <errorID>46ede676-4b70-4a3d-a743-75d56aa24b63</errorID>
      <errorWord>20～30％</errorWord>
      <group>L1_Knowledge</group>
      <groupName>知识性问题</groupName>
      <ability>L2_Knowledge</ability>
      <abilityName>其他知识</abilityName>
      <candidateList>
        <item>20％～30％</item>
      </candidateList>
      <explain>1. “20～30％”中的单位“％”仅出现在后一个数字上，容易引起歧义；根据《现代汉语标点符号数字用法规范手册》，数字表示范围两边需要使用统一的格式。2. 根据标点国标 4.13 中的规则，数字、时间或地域连接符应使用（视觉上更长的）“—”或“～”。</explain>
      <paraID>1CCD3808</paraID>
      <start>12</start>
      <end>19</end>
      <status>modified</status>
      <modifiedWord>20％～30％</modifiedWord>
      <trackRevisions>false</trackRevisions>
    </reviewItem>
    <reviewItem>
      <errorID>2ae9fb33-ba20-4d79-998a-fe6f23fddfa9</errorID>
      <errorWord>20～30％</errorWord>
      <group>L1_Knowledge</group>
      <groupName>知识性问题</groupName>
      <ability>L2_Knowledge</ability>
      <abilityName>其他知识</abilityName>
      <candidateList>
        <item>20％～30％</item>
      </candidateList>
      <explain>1. “20～30％”中的单位“％”仅出现在后一个数字上，容易引起歧义；根据《现代汉语标点符号数字用法规范手册》，数字表示范围两边需要使用统一的格式。2. 根据标点国标 4.13 中的规则，数字、时间或地域连接符应使用（视觉上更长的）“—”或“～”。</explain>
      <paraID>1CCD3808</paraID>
      <start>25</start>
      <end>32</end>
      <status>modified</status>
      <modifiedWord>20％～30％</modifiedWord>
      <trackRevisions>false</trackRevisions>
    </reviewItem>
    <reviewItem>
      <errorID>b00e4d89-3652-4ce4-8f37-2086fcdb377c</errorID>
      <errorWord>40～50％</errorWord>
      <group>L1_Knowledge</group>
      <groupName>知识性问题</groupName>
      <ability>L2_Knowledge</ability>
      <abilityName>其他知识</abilityName>
      <candidateList>
        <item>40％～50％</item>
      </candidateList>
      <explain>1. “40～50％”中的单位“％”仅出现在后一个数字上，容易引起歧义；根据《现代汉语标点符号数字用法规范手册》，数字表示范围两边需要使用统一的格式。2. 根据标点国标 4.13 中的规则，数字、时间或地域连接符应使用（视觉上更长的）“—”或“～”。</explain>
      <paraID>1CCD3808</paraID>
      <start>38</start>
      <end>45</end>
      <status>modified</status>
      <modifiedWord>40％～50％</modifiedWord>
      <trackRevisions>false</trackRevisions>
    </reviewItem>
    <reviewItem>
      <errorID>021c42dd-3f2c-4b93-b2ea-22a53dade793</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1CCD3808</paraID>
      <start>50</start>
      <end>57</end>
      <status>modified</status>
      <modifiedWord>15％～25％</modifiedWord>
      <trackRevisions>false</trackRevisions>
    </reviewItem>
    <reviewItem>
      <errorID>406e1d2c-f45b-4bfb-a284-d693c04b9be1</errorID>
      <errorWord>(</errorWord>
      <group>L1_Format</group>
      <groupName>格式问题</groupName>
      <ability>L2_HalfPunc</ability>
      <abilityName>全半角检查</abilityName>
      <candidateList>
        <item>（</item>
      </candidateList>
      <explain>文本全半角错误。</explain>
      <paraID>1CCD3808</paraID>
      <start>172</start>
      <end>173</end>
      <status>unmodified</status>
      <modifiedWord/>
      <trackRevisions>false</trackRevisions>
    </reviewItem>
    <reviewItem>
      <errorID>17cc9414-e05a-4e6c-a99d-f6a235d93ef4</errorID>
      <errorWord>)</errorWord>
      <group>L1_Format</group>
      <groupName>格式问题</groupName>
      <ability>L2_HalfPunc</ability>
      <abilityName>全半角检查</abilityName>
      <candidateList>
        <item>）</item>
      </candidateList>
      <explain>文本全半角错误。</explain>
      <paraID>1CCD3808</paraID>
      <start>177</start>
      <end>178</end>
      <status>unmodified</status>
      <modifiedWord/>
      <trackRevisions>false</trackRevisions>
    </reviewItem>
    <reviewItem>
      <errorID>16681b08-5ef9-479d-a90a-707c3feb8492</errorID>
      <errorWord>挥发份含量</errorWord>
      <group>L1_Knowledge</group>
      <groupName>知识性问题</groupName>
      <ability>L2_Term</ability>
      <abilityName>专业术语</abilityName>
      <candidateList>
        <item>挥发分含量</item>
      </candidateList>
      <explain/>
      <paraID>39C43076</paraID>
      <start>9</start>
      <end>14</end>
      <status>modified</status>
      <modifiedWord>挥发分含量</modifiedWord>
      <trackRevisions>false</trackRevisions>
    </reviewItem>
    <reviewItem>
      <errorID>d9451804-d4ff-40b7-a2c5-439ca9e77ea4</errorID>
      <errorWord>粘稠</errorWord>
      <group>L1_Word</group>
      <groupName>字词问题</groupName>
      <ability>L2_Typo</ability>
      <abilityName>字词错误</abilityName>
      <candidateList>
        <item>黏稠</item>
      </candidateList>
      <explain>存在发音相同字词的误用。</explain>
      <paraID>54829057</paraID>
      <start>87</start>
      <end>89</end>
      <status>unmodified</status>
      <modifiedWord/>
      <trackRevisions>false</trackRevisions>
    </reviewItem>
    <reviewItem>
      <errorID>f0a8df1e-5c4c-45c5-982d-00fc2fe88594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63376034</paraID>
      <start>0</start>
      <end>2</end>
      <status>unmodified</status>
      <modifiedWord/>
      <trackRevisions>false</trackRevisions>
    </reviewItem>
    <reviewItem>
      <errorID>4a0f45e3-5e21-4a8a-94e6-4624ff8d9edb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38837E6E</paraID>
      <start>0</start>
      <end>2</end>
      <status>unmodified</status>
      <modifiedWord/>
      <trackRevisions>false</trackRevisions>
    </reviewItem>
    <reviewItem>
      <errorID>2aaa7e78-584b-48bf-b7f1-cd5c3924d070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4AECDB16</paraID>
      <start>0</start>
      <end>2</end>
      <status>unmodified</status>
      <modifiedWord/>
      <trackRevisions>false</trackRevisions>
    </reviewItem>
    <reviewItem>
      <errorID>f4512f78-41af-4841-9792-8605af13fa18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43AE980F</paraID>
      <start>0</start>
      <end>2</end>
      <status>unmodified</status>
      <modifiedWord/>
      <trackRevisions>false</trackRevisions>
    </reviewItem>
    <reviewItem>
      <errorID>0af311a1-1d45-40f6-9e95-a98935a814e9</errorID>
      <errorWord>平平</errorWord>
      <group>L1_Word</group>
      <groupName>字词问题</groupName>
      <ability>L2_Typo</ability>
      <abilityName>字词错误</abilityName>
      <candidateList>
        <item>平</item>
      </candidateList>
      <explain/>
      <paraID>5CB8F0F1</paraID>
      <start>81</start>
      <end>83</end>
      <status>unmodified</status>
      <modifiedWord/>
      <trackRevisions>false</trackRevisions>
    </reviewItem>
    <reviewItem>
      <errorID>0cf66e7a-94a2-463e-b943-db5ff2d8e2bb</errorID>
      <errorWord>充分考虑到</errorWord>
      <group>L1_Word</group>
      <groupName>字词问题</groupName>
      <ability>L2_Typo</ability>
      <abilityName>字词错误</abilityName>
      <candidateList>
        <item>充分考虑</item>
      </candidateList>
      <explain/>
      <paraID>1A8F1A57</paraID>
      <start>42</start>
      <end>47</end>
      <status>unmodified</status>
      <modifiedWord/>
      <trackRevisions>false</trackRevisions>
    </reviewItem>
    <reviewItem>
      <errorID>97e64e42-c227-4777-99c8-f34e90ab0923</errorID>
      <errorWord>下图</errorWord>
      <group>L1_Word</group>
      <groupName>字词问题</groupName>
      <ability>L2_Typo</ability>
      <abilityName>字词错误</abilityName>
      <candidateList>
        <item>图</item>
      </candidateList>
      <explain/>
      <paraID>2A7B8520</paraID>
      <start>15</start>
      <end>17</end>
      <status>unmodified</status>
      <modifiedWord/>
      <trackRevisions>false</trackRevisions>
    </reviewItem>
    <reviewItem>
      <errorID>90de0a10-e096-4202-9ad0-374fe167a73d</errorID>
      <errorWord>烘缸</errorWord>
      <group>L1_Word</group>
      <groupName>字词问题</groupName>
      <ability>L2_Typo</ability>
      <abilityName>字词错误</abilityName>
      <candidateList>
        <item>烘干</item>
      </candidateList>
      <explain/>
      <paraID>19CB698A</paraID>
      <start>68</start>
      <end>70</end>
      <status>unmodified</status>
      <modifiedWord/>
      <trackRevisions>false</trackRevisions>
    </reviewItem>
    <reviewItem>
      <errorID>7b3d7295-8bbe-4ad9-ab32-9a3bed9d7952</errorID>
      <errorWord>成卷</errorWord>
      <group>L1_Word</group>
      <groupName>字词问题</groupName>
      <ability>L2_Typo</ability>
      <abilityName>字词错误</abilityName>
      <candidateList>
        <item>成品</item>
      </candidateList>
      <explain/>
      <paraID>4113D519</paraID>
      <start>25</start>
      <end>27</end>
      <status>unmodified</status>
      <modifiedWord/>
      <trackRevisions>false</trackRevisions>
    </reviewItem>
    <reviewItem>
      <errorID>f3f168b5-817e-4c43-aae1-ac0941071c45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5D4C6C91</paraID>
      <start>0</start>
      <end>2</end>
      <status>unmodified</status>
      <modifiedWord/>
      <trackRevisions>false</trackRevisions>
    </reviewItem>
    <reviewItem>
      <errorID>6ff5cb70-d4bd-4678-9003-1342371c1f49</errorID>
      <errorWord>省生态环境局</errorWord>
      <group>L1_Political</group>
      <groupName>政治性问题</groupName>
      <ability>L2_Unpolitical</ability>
      <abilityName>政治敏感错误</abilityName>
      <candidateList>
        <item>省生态环境厅</item>
      </candidateList>
      <explain>机关单位名称不规范，请注意审核。</explain>
      <paraID>64C4477C</paraID>
      <start>97</start>
      <end>103</end>
      <status>modified</status>
      <modifiedWord>省生态环境厅</modifiedWord>
      <trackRevisions>false</trackRevisions>
    </reviewItem>
    <reviewItem>
      <errorID>c119bc47-a0e1-4952-a9ea-d9b45972d447</errorID>
      <errorWord>年</errorWord>
      <group>L1_Word</group>
      <groupName>字词问题</groupName>
      <ability>L2_Typo</ability>
      <abilityName>字词错误</abilityName>
      <candidateList>
        <item>年度</item>
      </candidateList>
      <explain/>
      <paraID>7384BA1D</paraID>
      <start>0</start>
      <end>1</end>
      <status>unmodified</status>
      <modifiedWord/>
      <trackRevisions>false</trackRevisions>
    </reviewItem>
    <reviewItem>
      <errorID>58480786-1540-46da-b054-abc87ece0b41</errorID>
      <errorWord>(</errorWord>
      <group>L1_Format</group>
      <groupName>格式问题</groupName>
      <ability>L2_HalfPunc</ability>
      <abilityName>全半角检查</abilityName>
      <candidateList>
        <item>（</item>
      </candidateList>
      <explain>文本全半角错误。</explain>
      <paraID>75286EDB</paraID>
      <start>4</start>
      <end>5</end>
      <status>unmodified</status>
      <modifiedWord/>
      <trackRevisions>false</trackRevisions>
    </reviewItem>
    <reviewItem>
      <errorID>dffd05a6-c694-4bbd-b3a7-fd1af4f76db4</errorID>
      <errorWord>(</errorWord>
      <group>L1_Format</group>
      <groupName>格式问题</groupName>
      <ability>L2_HalfPunc</ability>
      <abilityName>全半角检查</abilityName>
      <candidateList>
        <item>（</item>
      </candidateList>
      <explain>文本全半角错误。</explain>
      <paraID>6332903A</paraID>
      <start>3</start>
      <end>4</end>
      <status>unmodified</status>
      <modifiedWord/>
      <trackRevisions>false</trackRevisions>
    </reviewItem>
    <reviewItem>
      <errorID>c42601e0-0026-4644-9468-ceb319d0dd96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26B9392B</paraID>
      <start>0</start>
      <end>2</end>
      <status>unmodified</status>
      <modifiedWord/>
      <trackRevisions>false</trackRevisions>
    </reviewItem>
    <reviewItem>
      <errorID>95191bfb-47ee-4a41-ac9f-4979d7e4d0e4</errorID>
      <errorWord>年</errorWord>
      <group>L1_Word</group>
      <groupName>字词问题</groupName>
      <ability>L2_Typo</ability>
      <abilityName>字词错误</abilityName>
      <candidateList>
        <item>年度</item>
      </candidateList>
      <explain/>
      <paraID>23671C57</paraID>
      <start>0</start>
      <end>1</end>
      <status>unmodified</status>
      <modifiedWord/>
      <trackRevisions>false</trackRevisions>
    </reviewItem>
    <reviewItem>
      <errorID>ab8bf194-adfd-430d-b860-0d5443ce7f26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259D6BA3</paraID>
      <start>0</start>
      <end>2</end>
      <status>unmodified</status>
      <modifiedWord/>
      <trackRevisions>false</trackRevisions>
    </reviewItem>
    <reviewItem>
      <errorID>89cf2d80-9bf2-4f4f-860e-601050a4d4c0</errorID>
      <errorWord>III类</errorWord>
      <group>L1_Knowledge</group>
      <groupName>知识性问题</groupName>
      <ability>L2_Knowledge</ability>
      <abilityName>其他知识</abilityName>
      <candidateList>
        <item>Ⅲ类</item>
      </candidateList>
      <explain/>
      <paraID> 59E161C</paraID>
      <start>24</start>
      <end>28</end>
      <status>unmodified</status>
      <modifiedWord/>
      <trackRevisions>false</trackRevisions>
    </reviewItem>
    <reviewItem>
      <errorID>fc03c3cf-8573-4d0e-bbaa-3c91f144a1d0</errorID>
      <errorWord>III类</errorWord>
      <group>L1_Knowledge</group>
      <groupName>知识性问题</groupName>
      <ability>L2_Knowledge</ability>
      <abilityName>其他知识</abilityName>
      <candidateList>
        <item>Ⅲ类</item>
      </candidateList>
      <explain/>
      <paraID> 59E161C</paraID>
      <start>97</start>
      <end>101</end>
      <status>unmodified</status>
      <modifiedWord/>
      <trackRevisions>false</trackRevisions>
    </reviewItem>
    <reviewItem>
      <errorID>fa70bdfd-4681-4887-953d-703b93e7c141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6FF67FCF</paraID>
      <start>0</start>
      <end>2</end>
      <status>unmodified</status>
      <modifiedWord/>
      <trackRevisions>false</trackRevisions>
    </reviewItem>
    <reviewItem>
      <errorID>a8478f55-8bea-4653-98c5-dc43cf8ee07f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4CD6A2D4</paraID>
      <start>0</start>
      <end>2</end>
      <status>unmodified</status>
      <modifiedWord/>
      <trackRevisions>false</trackRevisions>
    </reviewItem>
    <reviewItem>
      <errorID>b7676fce-499c-4959-9737-58cb097623a2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37E63B2A</paraID>
      <start>0</start>
      <end>2</end>
      <status>unmodified</status>
      <modifiedWord/>
      <trackRevisions>false</trackRevisions>
    </reviewItem>
    <reviewItem>
      <errorID>64012d98-3a03-4546-a199-94d31187fe76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30E65C79</paraID>
      <start>0</start>
      <end>2</end>
      <status>unmodified</status>
      <modifiedWord/>
      <trackRevisions>false</trackRevisions>
    </reviewItem>
    <reviewItem>
      <errorID>caa5c96d-4dd0-4fc4-87c3-6a48505a0090</errorID>
      <errorWord>III类</errorWord>
      <group>L1_Knowledge</group>
      <groupName>知识性问题</groupName>
      <ability>L2_Knowledge</ability>
      <abilityName>其他知识</abilityName>
      <candidateList>
        <item>Ⅲ类</item>
      </candidateList>
      <explain/>
      <paraID>22BCEC9B</paraID>
      <start>19</start>
      <end>23</end>
      <status>unmodified</status>
      <modifiedWord/>
      <trackRevisions>false</trackRevisions>
    </reviewItem>
    <reviewItem>
      <errorID>182ebcb8-712c-41ac-ba68-e9dce01c4b5a</errorID>
      <errorWord>III类</errorWord>
      <group>L1_Knowledge</group>
      <groupName>知识性问题</groupName>
      <ability>L2_Knowledge</ability>
      <abilityName>其他知识</abilityName>
      <candidateList>
        <item>Ⅲ类</item>
      </candidateList>
      <explain/>
      <paraID>7FE853C6</paraID>
      <start>19</start>
      <end>23</end>
      <status>unmodified</status>
      <modifiedWord/>
      <trackRevisions>false</trackRevisions>
    </reviewItem>
    <reviewItem>
      <errorID>4f56f0fb-232e-4929-a6fd-24c2a90bbae5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38F0A623</paraID>
      <start>0</start>
      <end>2</end>
      <status>unmodified</status>
      <modifiedWord/>
      <trackRevisions>false</trackRevisions>
    </reviewItem>
    <reviewItem>
      <errorID>ddf16759-9e72-4e16-b52d-00899f1f5043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245830CA</paraID>
      <start>0</start>
      <end>2</end>
      <status>unmodified</status>
      <modifiedWord/>
      <trackRevisions>false</trackRevisions>
    </reviewItem>
    <reviewItem>
      <errorID>90c217f9-056b-4e09-8bd6-885947d2ec18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39B094FD</paraID>
      <start>0</start>
      <end>2</end>
      <status>unmodified</status>
      <modifiedWord/>
      <trackRevisions>false</trackRevisions>
    </reviewItem>
    <reviewItem>
      <errorID>6588e3a5-c4b3-4957-a4d9-d8970ed89f00</errorID>
      <errorWord>（</errorWord>
      <group>L1_Format</group>
      <groupName>格式问题</groupName>
      <ability>L2_HalfPunc</ability>
      <abilityName>全半角检查</abilityName>
      <candidateList>
        <item>(</item>
      </candidateList>
      <explain>文本全半角错误。</explain>
      <paraID>38E06E47</paraID>
      <start>5</start>
      <end>6</end>
      <status>unmodified</status>
      <modifiedWord/>
      <trackRevisions>false</trackRevisions>
    </reviewItem>
    <reviewItem>
      <errorID>cb4b494d-def8-4e0d-8462-63b8f1867fea</errorID>
      <errorWord>）</errorWord>
      <group>L1_Format</group>
      <groupName>格式问题</groupName>
      <ability>L2_HalfPunc</ability>
      <abilityName>全半角检查</abilityName>
      <candidateList>
        <item>)</item>
      </candidateList>
      <explain>文本全半角错误。</explain>
      <paraID>38E06E47</paraID>
      <start>10</start>
      <end>11</end>
      <status>unmodified</status>
      <modifiedWord/>
      <trackRevisions>false</trackRevisions>
    </reviewItem>
    <reviewItem>
      <errorID>44c648bd-8a04-47da-847b-a341a8d59503</errorID>
      <errorWord>（</errorWord>
      <group>L1_Format</group>
      <groupName>格式问题</groupName>
      <ability>L2_HalfPunc</ability>
      <abilityName>全半角检查</abilityName>
      <candidateList>
        <item>(</item>
      </candidateList>
      <explain>文本全半角错误。</explain>
      <paraID>4052BF8C</paraID>
      <start>5</start>
      <end>6</end>
      <status>unmodified</status>
      <modifiedWord/>
      <trackRevisions>false</trackRevisions>
    </reviewItem>
    <reviewItem>
      <errorID>af4cda41-792e-403a-8861-c34057ce1923</errorID>
      <errorWord>）</errorWord>
      <group>L1_Format</group>
      <groupName>格式问题</groupName>
      <ability>L2_HalfPunc</ability>
      <abilityName>全半角检查</abilityName>
      <candidateList>
        <item>)</item>
      </candidateList>
      <explain>文本全半角错误。</explain>
      <paraID>4052BF8C</paraID>
      <start>10</start>
      <end>11</end>
      <status>unmodified</status>
      <modifiedWord/>
      <trackRevisions>false</trackRevisions>
    </reviewItem>
    <reviewItem>
      <errorID>36e559a9-8c72-46eb-9386-c1a275f80bf7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F517E0E</paraID>
      <start>0</start>
      <end>2</end>
      <status>unmodified</status>
      <modifiedWord/>
      <trackRevisions>false</trackRevisions>
    </reviewItem>
    <reviewItem>
      <errorID>7ce07c69-95c2-49e5-a812-a648147a43f2</errorID>
      <errorWord>(</errorWord>
      <group>L1_Format</group>
      <groupName>格式问题</groupName>
      <ability>L2_HalfPunc</ability>
      <abilityName>全半角检查</abilityName>
      <candidateList>
        <item>（</item>
      </candidateList>
      <explain>文本全半角错误。</explain>
      <paraID> 9579ED1</paraID>
      <start>5</start>
      <end>6</end>
      <status>unmodified</status>
      <modifiedWord/>
      <trackRevisions>false</trackRevisions>
    </reviewItem>
    <reviewItem>
      <errorID>0a0f6136-3e92-4948-a58d-0bc3ce94193c</errorID>
      <errorWord>)</errorWord>
      <group>L1_Format</group>
      <groupName>格式问题</groupName>
      <ability>L2_HalfPunc</ability>
      <abilityName>全半角检查</abilityName>
      <candidateList>
        <item>）</item>
      </candidateList>
      <explain>文本全半角错误。</explain>
      <paraID> 9579ED1</paraID>
      <start>7</start>
      <end>8</end>
      <status>unmodified</status>
      <modifiedWord/>
      <trackRevisions>false</trackRevisions>
    </reviewItem>
    <reviewItem>
      <errorID>9a9beb6e-b6cd-4cda-bca0-10bfbd71df9c</errorID>
      <errorWord>(</errorWord>
      <group>L1_Format</group>
      <groupName>格式问题</groupName>
      <ability>L2_HalfPunc</ability>
      <abilityName>全半角检查</abilityName>
      <candidateList>
        <item>（</item>
      </candidateList>
      <explain>文本全半角错误。</explain>
      <paraID>61746874</paraID>
      <start>11</start>
      <end>12</end>
      <status>unmodified</status>
      <modifiedWord/>
      <trackRevisions>false</trackRevisions>
    </reviewItem>
    <reviewItem>
      <errorID>5096e129-b539-4109-89fb-d618fdc73f82</errorID>
      <errorWord>浓度限制</errorWord>
      <group>L1_Word</group>
      <groupName>字词问题</groupName>
      <ability>L2_Typo</ability>
      <abilityName>字词错误</abilityName>
      <candidateList>
        <item>浓度限值</item>
      </candidateList>
      <explain/>
      <paraID> 676CA21</paraID>
      <start>8</start>
      <end>12</end>
      <status>modified</status>
      <modifiedWord>浓度限值</modifiedWord>
      <trackRevisions>false</trackRevisions>
    </reviewItem>
    <reviewItem>
      <errorID>202e2ab4-89af-4e57-9749-be45b75cad1d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6F702D65</paraID>
      <start>0</start>
      <end>2</end>
      <status>unmodified</status>
      <modifiedWord/>
      <trackRevisions>false</trackRevisions>
    </reviewItem>
    <reviewItem>
      <errorID>f656f7bf-e01d-4c3d-871a-b9cf2d08887e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2A6E79CD</paraID>
      <start>0</start>
      <end>2</end>
      <status>unmodified</status>
      <modifiedWord/>
      <trackRevisions>false</trackRevisions>
    </reviewItem>
    <reviewItem>
      <errorID>d806ad99-afb5-411e-9395-b0ae3135c2e0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1C558F08</paraID>
      <start>0</start>
      <end>2</end>
      <status>unmodified</status>
      <modifiedWord/>
      <trackRevisions>false</trackRevisions>
    </reviewItem>
    <reviewItem>
      <errorID>1978553a-3e24-4fdc-a7d8-989e63186c10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7714D27</paraID>
      <start>0</start>
      <end>2</end>
      <status>unmodified</status>
      <modifiedWord/>
      <trackRevisions>false</trackRevisions>
    </reviewItem>
    <reviewItem>
      <errorID>22b4902a-dfce-4cfd-b125-751a83965ad9</errorID>
      <errorWord>、以及</errorWord>
      <group>L1_Punc</group>
      <groupName>标点问题</groupName>
      <ability>L2_Punc</ability>
      <abilityName>标点符号检查</abilityName>
      <candidateList>
        <item>，以及</item>
      </candidateList>
      <explain>连接词前后不宜使用顿号，建议使用逗号。</explain>
      <paraID>3EDE97A5</paraID>
      <start>86</start>
      <end>89</end>
      <status>unmodified</status>
      <modifiedWord/>
      <trackRevisions>false</trackRevisions>
    </reviewItem>
    <reviewItem>
      <errorID>9679e8ea-9146-4a48-ae97-2ca97b11c7b3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3EDE97A5</paraID>
      <start>162</start>
      <end>163</end>
      <status>unmodified</status>
      <modifiedWord/>
      <trackRevisions>false</trackRevisions>
    </reviewItem>
    <reviewItem>
      <errorID>21d0b3c6-3200-4bc9-aa6e-d47473428aad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43444B8C</paraID>
      <start>63</start>
      <end>66</end>
      <status>unmodified</status>
      <modifiedWord/>
      <trackRevisions>false</trackRevisions>
    </reviewItem>
    <reviewItem>
      <errorID>b7a4d35a-c0e9-4c0a-b3bd-73d6dc2b9047</errorID>
      <errorWord>粘</errorWord>
      <group>L1_Word</group>
      <groupName>字词问题</groupName>
      <ability>L2_Typo</ability>
      <abilityName>字词错误</abilityName>
      <candidateList>
        <item>黏</item>
      </candidateList>
      <explain>存在发音相同字词的误用。</explain>
      <paraID>1FD6E4B6</paraID>
      <start>52</start>
      <end>53</end>
      <status>unmodified</status>
      <modifiedWord/>
      <trackRevisions>false</trackRevisions>
    </reviewItem>
    <reviewItem>
      <errorID>2c32b6a5-ca66-4a0d-b7bc-e99d486f8b21</errorID>
      <errorWord>并</errorWord>
      <group>L1_Word</group>
      <groupName>字词问题</groupName>
      <ability>L2_Typo</ability>
      <abilityName>字词错误</abilityName>
      <candidateList>
        <item>并在</item>
      </candidateList>
      <explain/>
      <paraID> 64E07F0</paraID>
      <start>123</start>
      <end>124</end>
      <status>unmodified</status>
      <modifiedWord/>
      <trackRevisions>false</trackRevisions>
    </reviewItem>
    <reviewItem>
      <errorID>7e9208fa-1923-485d-b11d-6f9931a140e7</errorID>
      <errorWord>置顶</errorWord>
      <group>L1_Word</group>
      <groupName>字词问题</groupName>
      <ability>L2_Typo</ability>
      <abilityName>字词错误</abilityName>
      <candidateList>
        <item>指定</item>
      </candidateList>
      <explain/>
      <paraID> 64E07F0</paraID>
      <start>157</start>
      <end>159</end>
      <status>unmodified</status>
      <modifiedWord/>
      <trackRevisions>false</trackRevisions>
    </reviewItem>
    <reviewItem>
      <errorID>24efa9c8-b0a2-4591-8b26-497ced8f7ffc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2ACF83CB</paraID>
      <start>0</start>
      <end>2</end>
      <status>unmodified</status>
      <modifiedWord/>
      <trackRevisions>false</trackRevisions>
    </reviewItem>
    <reviewItem>
      <errorID>d4df13d3-bf7c-455c-b1ef-0efedbcea481</errorID>
      <errorWord>：</errorWord>
      <group>L1_Format</group>
      <groupName>格式问题</groupName>
      <ability>L2_HalfPunc</ability>
      <abilityName>全半角检查</abilityName>
      <candidateList>
        <item>:</item>
      </candidateList>
      <explain>文本全半角错误。</explain>
      <paraID> 1CB723F</paraID>
      <start>48</start>
      <end>49</end>
      <status>unmodified</status>
      <modifiedWord/>
      <trackRevisions>false</trackRevisions>
    </reviewItem>
    <reviewItem>
      <errorID>aed5577c-0087-4a31-abe9-26b454643e53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39C54B65</paraID>
      <start>0</start>
      <end>2</end>
      <status>unmodified</status>
      <modifiedWord/>
      <trackRevisions>false</trackRevisions>
    </reviewItem>
    <reviewItem>
      <errorID>e9f68766-d8b7-4e4c-8ae6-d05e8391fa6d</errorID>
      <errorWord>沉砂池</errorWord>
      <group>L1_Word</group>
      <groupName>字词问题</groupName>
      <ability>L2_Typo</ability>
      <abilityName>字词错误</abilityName>
      <candidateList>
        <item>沉沙池</item>
      </candidateList>
      <explain>存在发音相同字词的误用。</explain>
      <paraID>414BA615</paraID>
      <start>79</start>
      <end>82</end>
      <status>unmodified</status>
      <modifiedWord/>
      <trackRevisions>false</trackRevisions>
    </reviewItem>
    <reviewItem>
      <errorID>ada4c994-34fe-4d66-849d-684040665cf7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477992A</paraID>
      <start>0</start>
      <end>2</end>
      <status>unmodified</status>
      <modifiedWord/>
      <trackRevisions>false</trackRevisions>
    </reviewItem>
    <reviewItem>
      <errorID>6c21adae-773b-4ce0-b4f6-aa61bac4e7a1</errorID>
      <errorWord>程</errorWord>
      <group>L1_Word</group>
      <groupName>字词问题</groupName>
      <ability>L2_Typo</ability>
      <abilityName>字词错误</abilityName>
      <candidateList>
        <item>程中</item>
      </candidateList>
      <explain/>
      <paraID>465063B6</paraID>
      <start>18</start>
      <end>19</end>
      <status>unmodified</status>
      <modifiedWord/>
      <trackRevisions>false</trackRevisions>
    </reviewItem>
    <reviewItem>
      <errorID>b0dafac4-bb63-409b-bb00-7e0d1b1f18a1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7FB7B4A8</paraID>
      <start>0</start>
      <end>2</end>
      <status>unmodified</status>
      <modifiedWord/>
      <trackRevisions>false</trackRevisions>
    </reviewItem>
    <reviewItem>
      <errorID>fc5035c9-1381-4bd1-abd5-2d63f278e4fd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3603BC93</paraID>
      <start>0</start>
      <end>2</end>
      <status>unmodified</status>
      <modifiedWord/>
      <trackRevisions>false</trackRevisions>
    </reviewItem>
    <reviewItem>
      <errorID>3e3b52ac-2d7d-4b18-95b5-32b4ab53d835</errorID>
      <errorWord>(</errorWord>
      <group>L1_Format</group>
      <groupName>格式问题</groupName>
      <ability>L2_HalfPunc</ability>
      <abilityName>全半角检查</abilityName>
      <candidateList>
        <item>（</item>
      </candidateList>
      <explain>文本全半角错误。</explain>
      <paraID>5E24B420</paraID>
      <start>138</start>
      <end>139</end>
      <status>unmodified</status>
      <modifiedWord/>
      <trackRevisions>false</trackRevisions>
    </reviewItem>
    <reviewItem>
      <errorID>c45fad93-eabe-4bb9-a4f5-1efae455b157</errorID>
      <errorWord>)</errorWord>
      <group>L1_Format</group>
      <groupName>格式问题</groupName>
      <ability>L2_HalfPunc</ability>
      <abilityName>全半角检查</abilityName>
      <candidateList>
        <item>）</item>
      </candidateList>
      <explain>文本全半角错误。</explain>
      <paraID>5E24B420</paraID>
      <start>143</start>
      <end>144</end>
      <status>unmodified</status>
      <modifiedWord/>
      <trackRevisions>false</trackRevisions>
    </reviewItem>
    <reviewItem>
      <errorID>8586e52c-082f-4deb-9024-ec81cfb5de9f</errorID>
      <errorWord>-</errorWord>
      <group>L1_Format</group>
      <groupName>格式问题</groupName>
      <ability>L2_HalfPunc</ability>
      <abilityName>全半角检查</abilityName>
      <candidateList>
        <item>－</item>
      </candidateList>
      <explain>文本全半角错误。</explain>
      <paraID>4ECDFED8</paraID>
      <start>137</start>
      <end>138</end>
      <status>unmodified</status>
      <modifiedWord/>
      <trackRevisions>false</trackRevisions>
    </reviewItem>
    <reviewItem>
      <errorID>c163bf68-dd7c-4b69-9cf3-91d729af06d2</errorID>
      <errorWord>程</errorWord>
      <group>L1_Word</group>
      <groupName>字词问题</groupName>
      <ability>L2_Typo</ability>
      <abilityName>字词错误</abilityName>
      <candidateList>
        <item>程中</item>
      </candidateList>
      <explain/>
      <paraID>4B492358</paraID>
      <start>6</start>
      <end>7</end>
      <status>unmodified</status>
      <modifiedWord/>
      <trackRevisions>false</trackRevisions>
    </reviewItem>
    <reviewItem>
      <errorID>c22ede70-c41d-4a32-b178-a0ed2cba9e6c</errorID>
      <errorWord>频次按</errorWord>
      <group>L1_Word</group>
      <groupName>字词问题</groupName>
      <ability>L2_Typo</ability>
      <abilityName>字词错误</abilityName>
      <candidateList>
        <item>频次</item>
      </candidateList>
      <explain/>
      <paraID> AEF2834</paraID>
      <start>40</start>
      <end>43</end>
      <status>unmodified</status>
      <modifiedWord/>
      <trackRevisions>false</trackRevisions>
    </reviewItem>
    <reviewItem>
      <errorID>5a1da9e3-3902-4420-aee5-986f141d4405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66C2CB2C</paraID>
      <start>0</start>
      <end>2</end>
      <status>unmodified</status>
      <modifiedWord/>
      <trackRevisions>false</trackRevisions>
    </reviewItem>
    <reviewItem>
      <errorID>df37c04d-2f91-4a4b-8e95-d709121ed39b</errorID>
      <errorWord>，</errorWord>
      <group>L1_Word</group>
      <groupName>字词问题</groupName>
      <ability>L2_Typo</ability>
      <abilityName>字词错误</abilityName>
      <candidateList>
        <item>，将</item>
      </candidateList>
      <explain/>
      <paraID>710E33E4</paraID>
      <start>32</start>
      <end>33</end>
      <status>unmodified</status>
      <modifiedWord/>
      <trackRevisions>false</trackRevisions>
    </reviewItem>
    <reviewItem>
      <errorID>a0c1b08b-62a1-4d2a-8967-daecf16f3a51</errorID>
      <errorWord>(</errorWord>
      <group>L1_Format</group>
      <groupName>格式问题</groupName>
      <ability>L2_HalfPunc</ability>
      <abilityName>全半角检查</abilityName>
      <candidateList>
        <item>（</item>
      </candidateList>
      <explain>文本全半角错误。</explain>
      <paraID>51CFC1C7</paraID>
      <start>32</start>
      <end>33</end>
      <status>unmodified</status>
      <modifiedWord/>
      <trackRevisions>false</trackRevisions>
    </reviewItem>
    <reviewItem>
      <errorID>191ef852-ce02-4ccf-abe2-4e7a59ab8e99</errorID>
      <errorWord>)</errorWord>
      <group>L1_Format</group>
      <groupName>格式问题</groupName>
      <ability>L2_HalfPunc</ability>
      <abilityName>全半角检查</abilityName>
      <candidateList>
        <item>）</item>
      </candidateList>
      <explain>文本全半角错误。</explain>
      <paraID>51CFC1C7</paraID>
      <start>47</start>
      <end>48</end>
      <status>unmodified</status>
      <modifiedWord/>
      <trackRevisions>false</trackRevisions>
    </reviewItem>
    <reviewItem>
      <errorID>810db5f6-41c0-4715-86ab-ac151e9e2ec5</errorID>
      <errorWord>(</errorWord>
      <group>L1_Format</group>
      <groupName>格式问题</groupName>
      <ability>L2_HalfPunc</ability>
      <abilityName>全半角检查</abilityName>
      <candidateList>
        <item>（</item>
      </candidateList>
      <explain>文本全半角错误。</explain>
      <paraID>51CFC1C7</paraID>
      <start>69</start>
      <end>70</end>
      <status>unmodified</status>
      <modifiedWord/>
      <trackRevisions>false</trackRevisions>
    </reviewItem>
    <reviewItem>
      <errorID>92ca63fc-49bd-4cf2-ad4c-4d5cd968bc5b</errorID>
      <errorWord>)</errorWord>
      <group>L1_Format</group>
      <groupName>格式问题</groupName>
      <ability>L2_HalfPunc</ability>
      <abilityName>全半角检查</abilityName>
      <candidateList>
        <item>）</item>
      </candidateList>
      <explain>文本全半角错误。</explain>
      <paraID>51CFC1C7</paraID>
      <start>81</start>
      <end>82</end>
      <status>unmodified</status>
      <modifiedWord/>
      <trackRevisions>false</trackRevisions>
    </reviewItem>
    <reviewItem>
      <errorID>fbac7a93-6c03-44aa-9733-82f5bc553645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545B33DF</paraID>
      <start>0</start>
      <end>2</end>
      <status>unmodified</status>
      <modifiedWord/>
      <trackRevisions>false</trackRevisions>
    </reviewItem>
    <reviewItem>
      <errorID>7949f06c-9adf-4da3-b043-19219a8653a7</errorID>
      <errorWord>源源</errorWord>
      <group>L1_Word</group>
      <groupName>字词问题</groupName>
      <ability>L2_Typo</ability>
      <abilityName>字词错误</abilityName>
      <candidateList>
        <item>源</item>
      </candidateList>
      <explain/>
      <paraID>39E58FDE</paraID>
      <start>1</start>
      <end>3</end>
      <status>unmodified</status>
      <modifiedWord/>
      <trackRevisions>false</trackRevisions>
    </reviewItem>
    <reviewItem>
      <errorID>798d7b3d-f64a-4295-895c-1453a5bb9668</errorID>
      <errorWord>源源</errorWord>
      <group>L1_Word</group>
      <groupName>字词问题</groupName>
      <ability>L2_Typo</ability>
      <abilityName>字词错误</abilityName>
      <candidateList>
        <item>源</item>
      </candidateList>
      <explain/>
      <paraID>4231067A</paraID>
      <start>1</start>
      <end>3</end>
      <status>unmodified</status>
      <modifiedWord/>
      <trackRevisions>false</trackRevisions>
    </reviewItem>
    <reviewItem>
      <errorID>9049451e-28e2-4724-8a4d-2b525ea96e70</errorID>
      <errorWord>,</errorWord>
      <group>L1_Format</group>
      <groupName>格式问题</groupName>
      <ability>L2_HalfPunc</ability>
      <abilityName>全半角检查</abilityName>
      <candidateList>
        <item>，</item>
      </candidateList>
      <explain>文本全半角错误。</explain>
      <paraID>6BD29484</paraID>
      <start>3</start>
      <end>4</end>
      <status>unmodified</status>
      <modifiedWord/>
      <trackRevisions>false</trackRevisions>
    </reviewItem>
    <reviewItem>
      <errorID>77997cbe-d88f-4479-be21-e32470ecdf51</errorID>
      <errorWord>)</errorWord>
      <group>L1_Format</group>
      <groupName>格式问题</groupName>
      <ability>L2_HalfPunc</ability>
      <abilityName>全半角检查</abilityName>
      <candidateList>
        <item>）</item>
      </candidateList>
      <explain>文本全半角错误。</explain>
      <paraID> E86FE8A</paraID>
      <start>11</start>
      <end>12</end>
      <status>unmodified</status>
      <modifiedWord/>
      <trackRevisions>false</trackRevisions>
    </reviewItem>
    <reviewItem>
      <errorID>3606295c-5682-4a1e-895c-be7b1a74797c</errorID>
      <errorWord>,</errorWord>
      <group>L1_Format</group>
      <groupName>格式问题</groupName>
      <ability>L2_HalfPunc</ability>
      <abilityName>全半角检查</abilityName>
      <candidateList>
        <item>，</item>
      </candidateList>
      <explain>文本全半角错误。</explain>
      <paraID>6F89E95D</paraID>
      <start>3</start>
      <end>4</end>
      <status>unmodified</status>
      <modifiedWord/>
      <trackRevisions>false</trackRevisions>
    </reviewItem>
    <reviewItem>
      <errorID>9d880ed0-6f30-43ca-bda4-f777f6562368</errorID>
      <errorWord>)</errorWord>
      <group>L1_Format</group>
      <groupName>格式问题</groupName>
      <ability>L2_HalfPunc</ability>
      <abilityName>全半角检查</abilityName>
      <candidateList>
        <item>）</item>
      </candidateList>
      <explain>文本全半角错误。</explain>
      <paraID> 4D548C0</paraID>
      <start>11</start>
      <end>12</end>
      <status>unmodified</status>
      <modifiedWord/>
      <trackRevisions>false</trackRevisions>
    </reviewItem>
    <reviewItem>
      <errorID>18d129c8-1f40-40c2-8fa1-b13e1a57475e</errorID>
      <errorWord>,</errorWord>
      <group>L1_Format</group>
      <groupName>格式问题</groupName>
      <ability>L2_HalfPunc</ability>
      <abilityName>全半角检查</abilityName>
      <candidateList>
        <item>，</item>
      </candidateList>
      <explain>文本全半角错误。</explain>
      <paraID>2A6F12B5</paraID>
      <start>3</start>
      <end>4</end>
      <status>unmodified</status>
      <modifiedWord/>
      <trackRevisions>false</trackRevisions>
    </reviewItem>
    <reviewItem>
      <errorID>7ab50c40-1bc0-4250-bec6-4c01e9eae3c4</errorID>
      <errorWord>)</errorWord>
      <group>L1_Format</group>
      <groupName>格式问题</groupName>
      <ability>L2_HalfPunc</ability>
      <abilityName>全半角检查</abilityName>
      <candidateList>
        <item>）</item>
      </candidateList>
      <explain>文本全半角错误。</explain>
      <paraID>4EFF35DB</paraID>
      <start>11</start>
      <end>12</end>
      <status>unmodified</status>
      <modifiedWord/>
      <trackRevisions>false</trackRevisions>
    </reviewItem>
    <reviewItem>
      <errorID>2c781abc-36af-4164-86be-0568633f83eb</errorID>
      <errorWord>,</errorWord>
      <group>L1_Format</group>
      <groupName>格式问题</groupName>
      <ability>L2_HalfPunc</ability>
      <abilityName>全半角检查</abilityName>
      <candidateList>
        <item>，</item>
      </candidateList>
      <explain>文本全半角错误。</explain>
      <paraID>2E0AC70D</paraID>
      <start>3</start>
      <end>4</end>
      <status>unmodified</status>
      <modifiedWord/>
      <trackRevisions>false</trackRevisions>
    </reviewItem>
    <reviewItem>
      <errorID>006ac827-c558-47df-8b17-fc7c1749c484</errorID>
      <errorWord>)</errorWord>
      <group>L1_Format</group>
      <groupName>格式问题</groupName>
      <ability>L2_HalfPunc</ability>
      <abilityName>全半角检查</abilityName>
      <candidateList>
        <item>）</item>
      </candidateList>
      <explain>文本全半角错误。</explain>
      <paraID>553E7FB2</paraID>
      <start>11</start>
      <end>12</end>
      <status>unmodified</status>
      <modifiedWord/>
      <trackRevisions>false</trackRevisions>
    </reviewItem>
    <reviewItem>
      <errorID>be01e497-203c-440b-a931-86f561659988</errorID>
      <errorWord>,</errorWord>
      <group>L1_Format</group>
      <groupName>格式问题</groupName>
      <ability>L2_HalfPunc</ability>
      <abilityName>全半角检查</abilityName>
      <candidateList>
        <item>，</item>
      </candidateList>
      <explain>文本全半角错误。</explain>
      <paraID>  4C883A</paraID>
      <start>3</start>
      <end>4</end>
      <status>unmodified</status>
      <modifiedWord/>
      <trackRevisions>false</trackRevisions>
    </reviewItem>
    <reviewItem>
      <errorID>eb4e02f5-fb46-4c07-b980-8a1f612b9a67</errorID>
      <errorWord>)</errorWord>
      <group>L1_Format</group>
      <groupName>格式问题</groupName>
      <ability>L2_HalfPunc</ability>
      <abilityName>全半角检查</abilityName>
      <candidateList>
        <item>）</item>
      </candidateList>
      <explain>文本全半角错误。</explain>
      <paraID>6E7FE48E</paraID>
      <start>11</start>
      <end>12</end>
      <status>unmodified</status>
      <modifiedWord/>
      <trackRevisions>false</trackRevisions>
    </reviewItem>
    <reviewItem>
      <errorID>ea21f997-72ec-4d2c-a576-f24f0c5bdf28</errorID>
      <errorWord>,</errorWord>
      <group>L1_Format</group>
      <groupName>格式问题</groupName>
      <ability>L2_HalfPunc</ability>
      <abilityName>全半角检查</abilityName>
      <candidateList>
        <item>，</item>
      </candidateList>
      <explain>文本全半角错误。</explain>
      <paraID>71CE74B6</paraID>
      <start>3</start>
      <end>4</end>
      <status>unmodified</status>
      <modifiedWord/>
      <trackRevisions>false</trackRevisions>
    </reviewItem>
    <reviewItem>
      <errorID>77a2cb23-8d83-4f80-8e1e-805d136cc9b7</errorID>
      <errorWord>)</errorWord>
      <group>L1_Format</group>
      <groupName>格式问题</groupName>
      <ability>L2_HalfPunc</ability>
      <abilityName>全半角检查</abilityName>
      <candidateList>
        <item>）</item>
      </candidateList>
      <explain>文本全半角错误。</explain>
      <paraID> F9F2EBD</paraID>
      <start>11</start>
      <end>12</end>
      <status>unmodified</status>
      <modifiedWord/>
      <trackRevisions>false</trackRevisions>
    </reviewItem>
    <reviewItem>
      <errorID>db5f8b9d-bdbf-46c1-8cbe-b7e3d772d97f</errorID>
      <errorWord>,</errorWord>
      <group>L1_Format</group>
      <groupName>格式问题</groupName>
      <ability>L2_HalfPunc</ability>
      <abilityName>全半角检查</abilityName>
      <candidateList>
        <item>，</item>
      </candidateList>
      <explain>文本全半角错误。</explain>
      <paraID>3341AAF1</paraID>
      <start>3</start>
      <end>4</end>
      <status>unmodified</status>
      <modifiedWord/>
      <trackRevisions>false</trackRevisions>
    </reviewItem>
    <reviewItem>
      <errorID>c7a86c3e-41e6-428f-918b-915acd15dae8</errorID>
      <errorWord>)</errorWord>
      <group>L1_Format</group>
      <groupName>格式问题</groupName>
      <ability>L2_HalfPunc</ability>
      <abilityName>全半角检查</abilityName>
      <candidateList>
        <item>）</item>
      </candidateList>
      <explain>文本全半角错误。</explain>
      <paraID>3EB90179</paraID>
      <start>11</start>
      <end>12</end>
      <status>unmodified</status>
      <modifiedWord/>
      <trackRevisions>false</trackRevisions>
    </reviewItem>
    <reviewItem>
      <errorID>11762555-42ee-4355-93da-496919a3f272</errorID>
      <errorWord>,</errorWord>
      <group>L1_Format</group>
      <groupName>格式问题</groupName>
      <ability>L2_HalfPunc</ability>
      <abilityName>全半角检查</abilityName>
      <candidateList>
        <item>，</item>
      </candidateList>
      <explain>文本全半角错误。</explain>
      <paraID>2EDDC05D</paraID>
      <start>2</start>
      <end>3</end>
      <status>unmodified</status>
      <modifiedWord/>
      <trackRevisions>false</trackRevisions>
    </reviewItem>
    <reviewItem>
      <errorID>ee189a78-fe27-4dbf-bc08-47a84c2b733e</errorID>
      <errorWord>)</errorWord>
      <group>L1_Format</group>
      <groupName>格式问题</groupName>
      <ability>L2_HalfPunc</ability>
      <abilityName>全半角检查</abilityName>
      <candidateList>
        <item>）</item>
      </candidateList>
      <explain>文本全半角错误。</explain>
      <paraID>3DC757C7</paraID>
      <start>11</start>
      <end>12</end>
      <status>unmodified</status>
      <modifiedWord/>
      <trackRevisions>false</trackRevisions>
    </reviewItem>
    <reviewItem>
      <errorID>679b757a-24ef-4450-aaf0-ff8f2e3cd68b</errorID>
      <errorWord>)</errorWord>
      <group>L1_Format</group>
      <groupName>格式问题</groupName>
      <ability>L2_HalfPunc</ability>
      <abilityName>全半角检查</abilityName>
      <candidateList>
        <item>）</item>
      </candidateList>
      <explain>文本全半角错误。</explain>
      <paraID>2BA1FE6D</paraID>
      <start>18</start>
      <end>19</end>
      <status>unmodified</status>
      <modifiedWord/>
      <trackRevisions>false</trackRevisions>
    </reviewItem>
    <reviewItem>
      <errorID>811a2161-ec3a-4efc-b597-a923ffe69765</errorID>
      <errorWord>)</errorWord>
      <group>L1_Format</group>
      <groupName>格式问题</groupName>
      <ability>L2_HalfPunc</ability>
      <abilityName>全半角检查</abilityName>
      <candidateList>
        <item>）</item>
      </candidateList>
      <explain>文本全半角错误。</explain>
      <paraID> 87661A1</paraID>
      <start>27</start>
      <end>28</end>
      <status>unmodified</status>
      <modifiedWord/>
      <trackRevisions>false</trackRevisions>
    </reviewItem>
    <reviewItem>
      <errorID>48251cef-0907-4d57-ab54-b71cac7657d9</errorID>
      <errorWord>较正</errorWord>
      <group>L1_Word</group>
      <groupName>字词问题</groupName>
      <ability>L2_Typo</ability>
      <abilityName>字词错误</abilityName>
      <candidateList>
        <item>校正</item>
      </candidateList>
      <explain/>
      <paraID>7F2163EC</paraID>
      <start>7</start>
      <end>9</end>
      <status>unmodified</status>
      <modifiedWord/>
      <trackRevisions>false</trackRevisions>
    </reviewItem>
    <reviewItem>
      <errorID>e1007a92-3c4e-4400-bb4c-7095c9a528f3</errorID>
      <errorWord>（</errorWord>
      <group>L1_Punc</group>
      <groupName>标点问题</groupName>
      <ability>L2_Punc</ability>
      <abilityName>标点符号检查</abilityName>
      <candidateList>
        <item/>
      </candidateList>
      <explain>同一形式括号套用。</explain>
      <paraID> DB8D341</paraID>
      <start>3</start>
      <end>4</end>
      <status>unmodified</status>
      <modifiedWord/>
      <trackRevisions>false</trackRevisions>
    </reviewItem>
    <reviewItem>
      <errorID>800a3873-502d-409b-bf53-112790c6c09d</errorID>
      <errorWord>(</errorWord>
      <group>L1_Punc</group>
      <groupName>标点问题</groupName>
      <ability>L2_Punc</ability>
      <abilityName>标点符号检查</abilityName>
      <candidateList/>
      <explain>同一形式括号套用。</explain>
      <paraID> DB8D341</paraID>
      <start>6</start>
      <end>7</end>
      <status>unmodified</status>
      <modifiedWord/>
      <trackRevisions>false</trackRevisions>
    </reviewItem>
    <reviewItem>
      <errorID>81c2ce3b-83f6-4667-9680-3b57544c7bcb</errorID>
      <errorWord>)</errorWord>
      <group>L1_Punc</group>
      <groupName>标点问题</groupName>
      <ability>L2_Punc</ability>
      <abilityName>标点符号检查</abilityName>
      <candidateList/>
      <explain>同一形式括号套用。</explain>
      <paraID> DB8D341</paraID>
      <start>8</start>
      <end>9</end>
      <status>unmodified</status>
      <modifiedWord/>
      <trackRevisions>false</trackRevisions>
    </reviewItem>
    <reviewItem>
      <errorID>a9ef08a3-d7f4-4557-aad7-959b8b5bccfe</errorID>
      <errorWord>）</errorWord>
      <group>L1_Punc</group>
      <groupName>标点问题</groupName>
      <ability>L2_Punc</ability>
      <abilityName>标点符号检查</abilityName>
      <candidateList/>
      <explain>同一形式括号套用。</explain>
      <paraID> DB8D341</paraID>
      <start>9</start>
      <end>10</end>
      <status>unmodified</status>
      <modifiedWord/>
      <trackRevisions>false</trackRevisions>
    </reviewItem>
    <reviewItem>
      <errorID>a369f9ac-c758-4547-b13d-68e064d1d59a</errorID>
      <errorWord>（</errorWord>
      <group>L1_Punc</group>
      <groupName>标点问题</groupName>
      <ability>L2_Punc</ability>
      <abilityName>标点符号检查</abilityName>
      <candidateList>
        <item/>
      </candidateList>
      <explain>同一形式括号套用。</explain>
      <paraID>63FFFFB3</paraID>
      <start>4</start>
      <end>5</end>
      <status>unmodified</status>
      <modifiedWord/>
      <trackRevisions>false</trackRevisions>
    </reviewItem>
    <reviewItem>
      <errorID>a9ec3ea7-c406-451c-8d5c-b8316f0fc2fe</errorID>
      <errorWord>(</errorWord>
      <group>L1_Punc</group>
      <groupName>标点问题</groupName>
      <ability>L2_Punc</ability>
      <abilityName>标点符号检查</abilityName>
      <candidateList/>
      <explain>同一形式括号套用。</explain>
      <paraID>63FFFFB3</paraID>
      <start>7</start>
      <end>8</end>
      <status>unmodified</status>
      <modifiedWord/>
      <trackRevisions>false</trackRevisions>
    </reviewItem>
    <reviewItem>
      <errorID>c6b96f8a-7aee-49a4-a2e7-c9af8ca3ba84</errorID>
      <errorWord>)</errorWord>
      <group>L1_Punc</group>
      <groupName>标点问题</groupName>
      <ability>L2_Punc</ability>
      <abilityName>标点符号检查</abilityName>
      <candidateList/>
      <explain>同一形式括号套用。</explain>
      <paraID>63FFFFB3</paraID>
      <start>9</start>
      <end>10</end>
      <status>unmodified</status>
      <modifiedWord/>
      <trackRevisions>false</trackRevisions>
    </reviewItem>
    <reviewItem>
      <errorID>d2fc0e0c-0937-4900-9c5f-2d496771faee</errorID>
      <errorWord>）</errorWord>
      <group>L1_Punc</group>
      <groupName>标点问题</groupName>
      <ability>L2_Punc</ability>
      <abilityName>标点符号检查</abilityName>
      <candidateList/>
      <explain>同一形式括号套用。</explain>
      <paraID>63FFFFB3</paraID>
      <start>10</start>
      <end>11</end>
      <status>unmodified</status>
      <modifiedWord/>
      <trackRevisions>false</trackRevisions>
    </reviewItem>
    <reviewItem>
      <errorID>dea4bf88-1875-4ecf-99dd-4073dc5d2738</errorID>
      <errorWord>)</errorWord>
      <group>L1_Format</group>
      <groupName>格式问题</groupName>
      <ability>L2_HalfPunc</ability>
      <abilityName>全半角检查</abilityName>
      <candidateList>
        <item>）</item>
      </candidateList>
      <explain>文本全半角错误。</explain>
      <paraID>2A8DF3AD</paraID>
      <start>66</start>
      <end>67</end>
      <status>unmodified</status>
      <modifiedWord/>
      <trackRevisions>false</trackRevisions>
    </reviewItem>
    <reviewItem>
      <errorID>09c33c06-a8bf-41da-b210-5ba6324bf733</errorID>
      <errorWord>（</errorWord>
      <group>L1_Punc</group>
      <groupName>标点问题</groupName>
      <ability>L2_Punc</ability>
      <abilityName>标点符号检查</abilityName>
      <candidateList>
        <item/>
      </candidateList>
      <explain>同一形式括号套用。</explain>
      <paraID>2A8DF3AD</paraID>
      <start>123</start>
      <end>124</end>
      <status>unmodified</status>
      <modifiedWord/>
      <trackRevisions>false</trackRevisions>
    </reviewItem>
    <reviewItem>
      <errorID>fe744e91-2746-4500-b36d-998afd6e9c45</errorID>
      <errorWord>(</errorWord>
      <group>L1_Punc</group>
      <groupName>标点问题</groupName>
      <ability>L2_Punc</ability>
      <abilityName>标点符号检查</abilityName>
      <candidateList/>
      <explain>同一形式括号套用。</explain>
      <paraID>2A8DF3AD</paraID>
      <start>132</start>
      <end>133</end>
      <status>unmodified</status>
      <modifiedWord/>
      <trackRevisions>false</trackRevisions>
    </reviewItem>
    <reviewItem>
      <errorID>51b99938-32a7-4d71-994c-43fdfd24c42b</errorID>
      <errorWord>)</errorWord>
      <group>L1_Punc</group>
      <groupName>标点问题</groupName>
      <ability>L2_Punc</ability>
      <abilityName>标点符号检查</abilityName>
      <candidateList/>
      <explain>同一形式括号套用。</explain>
      <paraID>2A8DF3AD</paraID>
      <start>134</start>
      <end>135</end>
      <status>unmodified</status>
      <modifiedWord/>
      <trackRevisions>false</trackRevisions>
    </reviewItem>
    <reviewItem>
      <errorID>6a9de91e-1448-480d-92a5-51d6e6fb5a14</errorID>
      <errorWord>(</errorWord>
      <group>L1_Punc</group>
      <groupName>标点问题</groupName>
      <ability>L2_Punc</ability>
      <abilityName>标点符号检查</abilityName>
      <candidateList/>
      <explain>同一形式括号套用。</explain>
      <paraID>2A8DF3AD</paraID>
      <start>143</start>
      <end>144</end>
      <status>unmodified</status>
      <modifiedWord/>
      <trackRevisions>false</trackRevisions>
    </reviewItem>
    <reviewItem>
      <errorID>6d41374a-7504-4858-8d33-6d9e757a3884</errorID>
      <errorWord>)</errorWord>
      <group>L1_Punc</group>
      <groupName>标点问题</groupName>
      <ability>L2_Punc</ability>
      <abilityName>标点符号检查</abilityName>
      <candidateList/>
      <explain>同一形式括号套用。</explain>
      <paraID>2A8DF3AD</paraID>
      <start>145</start>
      <end>146</end>
      <status>unmodified</status>
      <modifiedWord/>
      <trackRevisions>false</trackRevisions>
    </reviewItem>
    <reviewItem>
      <errorID>6d1bbed5-45fd-476d-b994-44c1258923a4</errorID>
      <errorWord>）</errorWord>
      <group>L1_Punc</group>
      <groupName>标点问题</groupName>
      <ability>L2_Punc</ability>
      <abilityName>标点符号检查</abilityName>
      <candidateList/>
      <explain>同一形式括号套用。</explain>
      <paraID>2A8DF3AD</paraID>
      <start>146</start>
      <end>147</end>
      <status>unmodified</status>
      <modifiedWord/>
      <trackRevisions>false</trackRevisions>
    </reviewItem>
    <reviewItem>
      <errorID>17a5181d-fada-4a1b-9904-1f87ad158061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297EC266</paraID>
      <start>0</start>
      <end>2</end>
      <status>unmodified</status>
      <modifiedWord/>
      <trackRevisions>false</trackRevisions>
    </reviewItem>
    <reviewItem>
      <errorID>6b6d87ca-a8c8-43dc-88e4-f3a24281b9db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2E50FCEC</paraID>
      <start>0</start>
      <end>2</end>
      <status>unmodified</status>
      <modifiedWord/>
      <trackRevisions>false</trackRevisions>
    </reviewItem>
    <reviewItem>
      <errorID>107b3352-54c8-4025-b9c8-1b641ae3ac07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82C2DF4</paraID>
      <start>0</start>
      <end>2</end>
      <status>unmodified</status>
      <modifiedWord/>
      <trackRevisions>false</trackRevisions>
    </reviewItem>
    <reviewItem>
      <errorID>d63ab251-5d4f-413c-adb7-e10760ba9f6d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7CE33FF1</paraID>
      <start>0</start>
      <end>2</end>
      <status>unmodified</status>
      <modifiedWord/>
      <trackRevisions>false</trackRevisions>
    </reviewItem>
    <reviewItem>
      <errorID>9b961e59-6958-4d5b-ba54-57ce299004ce</errorID>
      <errorWord>(</errorWord>
      <group>L1_Format</group>
      <groupName>格式问题</groupName>
      <ability>L2_HalfPunc</ability>
      <abilityName>全半角检查</abilityName>
      <candidateList>
        <item>（</item>
      </candidateList>
      <explain>文本全半角错误。</explain>
      <paraID>7BB0B13F</paraID>
      <start>54</start>
      <end>55</end>
      <status>unmodified</status>
      <modifiedWord/>
      <trackRevisions>false</trackRevisions>
    </reviewItem>
    <reviewItem>
      <errorID>f6a27aa7-3dd2-485f-971c-fd48e21226b4</errorID>
      <errorWord>警示标示</errorWord>
      <group>L1_Knowledge</group>
      <groupName>知识性问题</groupName>
      <ability>L2_Term</ability>
      <abilityName>专业术语</abilityName>
      <candidateList>
        <item>警示标志</item>
      </candidateList>
      <explain/>
      <paraID>63935779</paraID>
      <start>15</start>
      <end>19</end>
      <status>unmodified</status>
      <modifiedWord/>
      <trackRevisions>false</trackRevisions>
    </reviewItem>
    <reviewItem>
      <errorID>3ac6122e-bb7e-40f9-9b62-be37a74fbe18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5F6E892A</paraID>
      <start>0</start>
      <end>2</end>
      <status>unmodified</status>
      <modifiedWord/>
      <trackRevisions>false</trackRevisions>
    </reviewItem>
    <reviewItem>
      <errorID>90e5c579-3e6c-4b7d-95b9-5d40fe3716e8</errorID>
      <errorWord>土壤污染防渗</errorWord>
      <group>L1_Knowledge</group>
      <groupName>知识性问题</groupName>
      <ability>L2_Term</ability>
      <abilityName>专业术语</abilityName>
      <candidateList>
        <item>土壤污染防治</item>
      </candidateList>
      <explain/>
      <paraID>76B0AAB8</paraID>
      <start>11</start>
      <end>17</end>
      <status>unmodified</status>
      <modifiedWord/>
      <trackRevisions>false</trackRevisions>
    </reviewItem>
    <reviewItem>
      <errorID>965e17b4-eb1d-4d59-bbd9-035f316d8689</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1158231F</paraID>
      <start>97</start>
      <end>101</end>
      <status>unmodified</status>
      <modifiedWord/>
      <trackRevisions>false</trackRevisions>
    </reviewItem>
    <reviewItem>
      <errorID>62726fc4-00be-475f-939e-4671b613bbb4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2B2480D0</paraID>
      <start>0</start>
      <end>2</end>
      <status>unmodified</status>
      <modifiedWord/>
      <trackRevisions>false</trackRevisions>
    </reviewItem>
    <reviewItem>
      <errorID>ba255060-9550-47df-9437-614d669f0875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6982935</paraID>
      <start>0</start>
      <end>2</end>
      <status>unmodified</status>
      <modifiedWord/>
      <trackRevisions>false</trackRevisions>
    </reviewItem>
    <reviewItem>
      <errorID>64ccb309-57a5-4e66-9298-59a6a684db9c</errorID>
      <errorWord>，…</errorWord>
      <group>L1_Punc</group>
      <groupName>标点问题</groupName>
      <ability>L2_Punc</ability>
      <abilityName>标点符号检查</abilityName>
      <candidateList>
        <item>，</item>
      </candidateList>
      <explain/>
      <paraID> 400DA09</paraID>
      <start>8</start>
      <end>10</end>
      <status>unmodified</status>
      <modifiedWord/>
      <trackRevisions>false</trackRevisions>
    </reviewItem>
    <reviewItem>
      <errorID>5f3f420c-a3d6-4bc9-a606-97dee58ebf90</errorID>
      <errorWord>，…</errorWord>
      <group>L1_Punc</group>
      <groupName>标点问题</groupName>
      <ability>L2_Punc</ability>
      <abilityName>标点符号检查</abilityName>
      <candidateList>
        <item>，</item>
      </candidateList>
      <explain/>
      <paraID>780E92A2</paraID>
      <start>5</start>
      <end>7</end>
      <status>unmodified</status>
      <modifiedWord/>
      <trackRevisions>false</trackRevisions>
    </reviewItem>
    <reviewItem>
      <errorID>6e65bf00-18d7-48ac-8d1a-f53b2d0213c9</errorID>
      <errorWord>提高</errorWord>
      <group>L1_Word</group>
      <groupName>字词问题</groupName>
      <ability>L2_Typo</ability>
      <abilityName>字词错误</abilityName>
      <candidateList>
        <item>增强</item>
      </candidateList>
      <explain>“提高～意识”搭配不当，建议修改为“增强～意识”。</explain>
      <paraID>60997C84</paraID>
      <start>58</start>
      <end>60</end>
      <status>unmodified</status>
      <modifiedWord/>
      <trackRevisions>false</trackRevisions>
    </reviewItem>
    <reviewItem>
      <errorID>e07c167a-d2ff-404c-9656-06986fd34f31</errorID>
      <errorWord>考虑到</errorWord>
      <group>L1_Word</group>
      <groupName>字词问题</groupName>
      <ability>L2_Typo</ability>
      <abilityName>字词错误</abilityName>
      <candidateList>
        <item>考虑</item>
      </candidateList>
      <explain/>
      <paraID>29667EAC</paraID>
      <start>18</start>
      <end>21</end>
      <status>unmodified</status>
      <modifiedWord/>
      <trackRevisions>false</trackRevisions>
    </reviewItem>
    <reviewItem>
      <errorID>84a04b6d-6e95-47f5-9244-14a81eba4f4d</errorID>
      <errorWord>针对的</errorWord>
      <group>L1_Word</group>
      <groupName>字词问题</groupName>
      <ability>L2_Typo</ability>
      <abilityName>字词错误</abilityName>
      <candidateList>
        <item>针对</item>
      </candidateList>
      <explain>〈动〉对准：～儿童的心理特点进行教育｜这些不都是～某个人的。</explain>
      <paraID>2AC96FF6</paraID>
      <start>18</start>
      <end>21</end>
      <status>unmodified</status>
      <modifiedWord/>
      <trackRevisions>false</trackRevisions>
    </reviewItem>
    <reviewItem>
      <errorID>f84eaead-d989-444b-99f9-7d69ea83376b</errorID>
      <errorWord>制订</errorWord>
      <group>L1_Word</group>
      <groupName>字词问题</groupName>
      <ability>L2_Typo</ability>
      <abilityName>字词错误</abilityName>
      <candidateList>
        <item>制定</item>
      </candidateList>
      <explain>〈动〉定出（法律、规程、政策等）：～宪法｜～学会章程。</explain>
      <paraID>71A4D509</paraID>
      <start>50</start>
      <end>52</end>
      <status>unmodified</status>
      <modifiedWord/>
      <trackRevisions>false</trackRevisions>
    </reviewItem>
    <reviewItem>
      <errorID>e028dfa4-018f-4e26-b2c5-f2dedbb92fa5</errorID>
      <errorWord>临近区域</errorWord>
      <group>L1_Knowledge</group>
      <groupName>知识性问题</groupName>
      <ability>L2_Term</ability>
      <abilityName>专业术语</abilityName>
      <candidateList>
        <item>临界区域</item>
      </candidateList>
      <explain/>
      <paraID>75A895AF</paraID>
      <start>25</start>
      <end>29</end>
      <status>unmodified</status>
      <modifiedWord/>
      <trackRevisions>false</trackRevisions>
    </reviewItem>
    <reviewItem>
      <errorID>93f15fac-af86-49f6-9369-7df12114e82f</errorID>
      <errorWord>建</errorWord>
      <group>L1_Word</group>
      <groupName>字词问题</groupName>
      <ability>L2_Typo</ability>
      <abilityName>字词错误</abilityName>
      <candidateList>
        <item>建立</item>
      </candidateList>
      <explain>〈动〉❶开始成立：～政权｜～新的工业基地。❷开始产生；开始形成：～友谊｜～邦交。</explain>
      <paraID>10B904EC</paraID>
      <start>11</start>
      <end>12</end>
      <status>unmodified</status>
      <modifiedWord/>
      <trackRevisions>false</trackRevisions>
    </reviewItem>
    <reviewItem>
      <errorID>256f6b4e-8441-4d3b-96ef-65bbe1d24950</errorID>
      <errorWord>设</errorWord>
      <group>L1_Word</group>
      <groupName>字词问题</groupName>
      <ability>L2_Typo</ability>
      <abilityName>字词错误</abilityName>
      <candidateList>
        <item>设立</item>
      </candidateList>
      <explain/>
      <paraID>10B904EC</paraID>
      <start>22</start>
      <end>23</end>
      <status>unmodified</status>
      <modifiedWord/>
      <trackRevisions>false</trackRevisions>
    </reviewItem>
    <reviewItem>
      <errorID>edd3e8b5-43fb-4c77-a11b-24729bfbde37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10D56A89</paraID>
      <start>0</start>
      <end>2</end>
      <status>unmodified</status>
      <modifiedWord/>
      <trackRevisions>false</trackRevisions>
    </reviewItem>
    <reviewItem>
      <errorID>7850ff26-3d8d-4ec9-bac1-b45a665ff4c9</errorID>
      <errorWord>减震</errorWord>
      <group>L1_Word</group>
      <groupName>字词问题</groupName>
      <ability>L2_Typo</ability>
      <abilityName>字词错误</abilityName>
      <candidateList>
        <item>减振</item>
      </candidateList>
      <explain>存在发音相同字词的误用。</explain>
      <paraID>6DC43BC8</paraID>
      <start>13</start>
      <end>15</end>
      <status>unmodified</status>
      <modifiedWord/>
      <trackRevisions>false</trackRevisions>
    </reviewItem>
    <reviewItem>
      <errorID>f5536bfe-5150-4281-a1a4-c3027c68a03c</errorID>
      <errorWord>面源</errorWord>
      <group>L1_Word</group>
      <groupName>字词问题</groupName>
      <ability>L2_Typo</ability>
      <abilityName>字词错误</abilityName>
      <candidateList>
        <item>面积</item>
      </candidateList>
      <explain>〈名〉平面或物体表面的大小：土地～｜建筑～。</explain>
      <paraID>5C25BF0D</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a415b1-8645-4545-8f49-93eee7b5a4b7}">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80</Pages>
  <Words>954</Words>
  <Characters>1067</Characters>
  <Lines>1</Lines>
  <Paragraphs>1</Paragraphs>
  <TotalTime>108</TotalTime>
  <ScaleCrop>false</ScaleCrop>
  <LinksUpToDate>false</LinksUpToDate>
  <CharactersWithSpaces>1122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李福磊</cp:lastModifiedBy>
  <cp:lastPrinted>2024-12-04T08:23:00Z</cp:lastPrinted>
  <dcterms:modified xsi:type="dcterms:W3CDTF">2025-12-03T05:45:40Z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46B0E46A1A8E4EED838F408649EC511B_13</vt:lpwstr>
  </property>
  <property fmtid="{D5CDD505-2E9C-101B-9397-08002B2CF9AE}" pid="4" name="KSOTemplateDocerSaveRecord">
    <vt:lpwstr>eyJoZGlkIjoiMDY5MDFlZDUwZDMxMjU1ZDM0MGI1MmQ3ZTNhN2FjMmMiLCJ1c2VySWQiOiI0ODg5Nzc2MjcifQ==</vt:lpwstr>
  </property>
</Properties>
</file>