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center"/>
        <w:rPr>
          <w:rFonts w:eastAsia="方正小标宋简体"/>
          <w:b/>
          <w:color w:val="000000"/>
          <w:sz w:val="44"/>
          <w:szCs w:val="44"/>
        </w:rPr>
      </w:pPr>
    </w:p>
    <w:p>
      <w:pPr>
        <w:spacing w:line="720" w:lineRule="exact"/>
        <w:jc w:val="center"/>
        <w:rPr>
          <w:rFonts w:eastAsia="方正小标宋简体"/>
          <w:b/>
          <w:color w:val="000000"/>
          <w:sz w:val="44"/>
          <w:szCs w:val="44"/>
        </w:rPr>
      </w:pPr>
      <w:r>
        <w:rPr>
          <w:rFonts w:hint="eastAsia" w:eastAsia="方正小标宋简体"/>
          <w:b/>
          <w:color w:val="000000"/>
          <w:sz w:val="44"/>
          <w:szCs w:val="44"/>
        </w:rPr>
        <w:t>泗水县行政审批服务局2022年政府信息</w:t>
      </w:r>
    </w:p>
    <w:p>
      <w:pPr>
        <w:spacing w:line="720" w:lineRule="exact"/>
        <w:jc w:val="center"/>
        <w:rPr>
          <w:rFonts w:eastAsia="方正小标宋简体"/>
          <w:b/>
          <w:color w:val="000000"/>
          <w:sz w:val="44"/>
          <w:szCs w:val="44"/>
        </w:rPr>
      </w:pPr>
      <w:bookmarkStart w:id="1" w:name="_GoBack"/>
      <w:bookmarkStart w:id="0" w:name="OLE_LINK1"/>
      <w:r>
        <w:rPr>
          <w:rFonts w:hint="eastAsia" w:eastAsia="方正小标宋简体"/>
          <w:b/>
          <w:color w:val="000000"/>
          <w:sz w:val="44"/>
          <w:szCs w:val="44"/>
        </w:rPr>
        <w:t>公开工作年度报告</w:t>
      </w:r>
      <w:bookmarkEnd w:id="0"/>
    </w:p>
    <w:bookmarkEnd w:id="1"/>
    <w:p>
      <w:pPr>
        <w:spacing w:line="720" w:lineRule="exact"/>
        <w:ind w:firstLine="643" w:firstLineChars="200"/>
        <w:rPr>
          <w:rFonts w:eastAsia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43" w:firstLineChars="200"/>
        <w:rPr>
          <w:rFonts w:eastAsia="方正仿宋简体"/>
          <w:b/>
          <w:color w:val="000000"/>
          <w:sz w:val="32"/>
          <w:szCs w:val="32"/>
        </w:rPr>
      </w:pPr>
      <w:r>
        <w:rPr>
          <w:rFonts w:hint="eastAsia" w:eastAsia="方正仿宋简体"/>
          <w:b/>
          <w:color w:val="000000"/>
          <w:sz w:val="32"/>
          <w:szCs w:val="32"/>
        </w:rPr>
        <w:t>本报告由泗水县行政审批服务局按照《中华人民共和国政府信息公开条例》（以下简称《条例》）和《中华人民共和国政府信息公开工作年度报告格式》 （国办公开办函〔2021〕30号）要求编制。</w:t>
      </w:r>
    </w:p>
    <w:p>
      <w:pPr>
        <w:spacing w:line="600" w:lineRule="exact"/>
        <w:ind w:firstLine="643" w:firstLineChars="200"/>
        <w:rPr>
          <w:rFonts w:eastAsia="方正仿宋简体"/>
          <w:b/>
          <w:color w:val="000000"/>
          <w:sz w:val="32"/>
          <w:szCs w:val="32"/>
        </w:rPr>
      </w:pPr>
      <w:r>
        <w:rPr>
          <w:rFonts w:hint="eastAsia" w:eastAsia="方正仿宋简体"/>
          <w:b/>
          <w:color w:val="00000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spacing w:line="600" w:lineRule="exact"/>
        <w:ind w:firstLine="643" w:firstLineChars="200"/>
        <w:rPr>
          <w:rFonts w:eastAsia="方正仿宋简体"/>
          <w:b/>
          <w:color w:val="000000"/>
          <w:sz w:val="32"/>
          <w:szCs w:val="32"/>
        </w:rPr>
      </w:pPr>
      <w:r>
        <w:rPr>
          <w:rFonts w:hint="eastAsia" w:eastAsia="方正仿宋简体"/>
          <w:b/>
          <w:color w:val="000000"/>
          <w:sz w:val="32"/>
          <w:szCs w:val="32"/>
        </w:rPr>
        <w:t>本报告所列数据的统计期限自2022年1月1日起至2022年12月31日止。本报告电子版可在“中国·泗水”政府门户网站（http://www.sishui.gov.cn/）查阅或下载。如对本报告有疑问，请与泗水县行政审批服务局联系（地址：泗水县中兴路10号，联系电话：0537-4238801）。</w:t>
      </w:r>
    </w:p>
    <w:p>
      <w:pPr>
        <w:spacing w:line="600" w:lineRule="exact"/>
        <w:ind w:firstLine="643" w:firstLineChars="200"/>
        <w:rPr>
          <w:rFonts w:eastAsia="黑体" w:cs="黑体"/>
          <w:b/>
          <w:color w:val="000000"/>
          <w:sz w:val="32"/>
          <w:szCs w:val="32"/>
        </w:rPr>
      </w:pPr>
      <w:r>
        <w:rPr>
          <w:rFonts w:hint="eastAsia" w:eastAsia="黑体" w:cs="黑体"/>
          <w:b/>
          <w:color w:val="000000"/>
          <w:sz w:val="32"/>
          <w:szCs w:val="32"/>
        </w:rPr>
        <w:t>一、总体情况</w:t>
      </w:r>
    </w:p>
    <w:p>
      <w:pPr>
        <w:spacing w:line="600" w:lineRule="exact"/>
        <w:ind w:firstLine="643" w:firstLineChars="200"/>
        <w:rPr>
          <w:rFonts w:eastAsia="方正仿宋简体"/>
          <w:b/>
          <w:color w:val="000000"/>
          <w:sz w:val="32"/>
          <w:szCs w:val="32"/>
        </w:rPr>
      </w:pPr>
      <w:r>
        <w:rPr>
          <w:rFonts w:hint="eastAsia" w:eastAsia="方正仿宋简体"/>
          <w:b/>
          <w:color w:val="000000"/>
          <w:sz w:val="32"/>
          <w:szCs w:val="32"/>
        </w:rPr>
        <w:t>2022年，泗水县行政审批服务局深入贯彻《中华人民共和国政府信息公开条例》，严格按照各级政府信息公开要求，紧密结合自身审批服务工作，强化政务公开组织领导，紧紧围绕增强工作透明度、加强民主监督、密切与人民群众联系，不断规范政府信息公开内容，创新政务公开形式，突出政府信息公开重点，提高政府信息公开水平。</w:t>
      </w:r>
    </w:p>
    <w:p>
      <w:pPr>
        <w:numPr>
          <w:ilvl w:val="0"/>
          <w:numId w:val="1"/>
        </w:numPr>
        <w:spacing w:line="600" w:lineRule="exact"/>
        <w:ind w:firstLine="643" w:firstLineChars="200"/>
        <w:rPr>
          <w:rFonts w:eastAsia="方正仿宋简体"/>
          <w:b/>
          <w:color w:val="000000"/>
          <w:sz w:val="32"/>
          <w:szCs w:val="32"/>
        </w:rPr>
      </w:pPr>
      <w:r>
        <w:rPr>
          <w:rFonts w:hint="eastAsia" w:eastAsia="方正楷体简体"/>
          <w:b/>
          <w:color w:val="000000"/>
          <w:sz w:val="32"/>
          <w:szCs w:val="32"/>
        </w:rPr>
        <w:t>主动公开情况</w:t>
      </w:r>
    </w:p>
    <w:p>
      <w:pPr>
        <w:spacing w:line="600" w:lineRule="exact"/>
        <w:ind w:firstLine="643" w:firstLineChars="200"/>
        <w:rPr>
          <w:rFonts w:eastAsia="方正仿宋简体"/>
          <w:b/>
          <w:color w:val="000000"/>
          <w:sz w:val="32"/>
          <w:szCs w:val="32"/>
        </w:rPr>
      </w:pPr>
      <w:r>
        <w:rPr>
          <w:rFonts w:hint="eastAsia" w:eastAsia="方正楷体简体"/>
          <w:b/>
          <w:color w:val="000000"/>
          <w:sz w:val="32"/>
          <w:szCs w:val="32"/>
          <w:lang w:val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125095</wp:posOffset>
            </wp:positionH>
            <wp:positionV relativeFrom="paragraph">
              <wp:posOffset>1990725</wp:posOffset>
            </wp:positionV>
            <wp:extent cx="5486400" cy="3200400"/>
            <wp:effectExtent l="0" t="0" r="0" b="0"/>
            <wp:wrapSquare wrapText="bothSides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  <w:r>
        <w:rPr>
          <w:rFonts w:hint="eastAsia" w:eastAsia="方正仿宋简体"/>
          <w:b/>
          <w:color w:val="000000"/>
          <w:sz w:val="32"/>
          <w:szCs w:val="32"/>
        </w:rPr>
        <w:t>2022年，县行政审批服务局主动公开各类信息468条。其中，法规规章</w:t>
      </w:r>
      <w:r>
        <w:rPr>
          <w:rFonts w:hint="eastAsia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方正仿宋简体"/>
          <w:b/>
          <w:color w:val="000000"/>
          <w:sz w:val="32"/>
          <w:szCs w:val="32"/>
        </w:rPr>
        <w:t>条，镇街部门文件</w:t>
      </w:r>
      <w:r>
        <w:rPr>
          <w:rFonts w:hint="eastAsia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eastAsia="方正仿宋简体"/>
          <w:b/>
          <w:color w:val="000000"/>
          <w:sz w:val="32"/>
          <w:szCs w:val="32"/>
        </w:rPr>
        <w:t>件，公示公告等相关信息</w:t>
      </w:r>
      <w:r>
        <w:rPr>
          <w:rFonts w:hint="eastAsia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201</w:t>
      </w:r>
      <w:r>
        <w:rPr>
          <w:rFonts w:hint="eastAsia" w:eastAsia="方正仿宋简体"/>
          <w:b/>
          <w:color w:val="000000"/>
          <w:sz w:val="32"/>
          <w:szCs w:val="32"/>
        </w:rPr>
        <w:t>条，政府开放日信息1条，政策文件解读</w:t>
      </w:r>
      <w:r>
        <w:rPr>
          <w:rFonts w:hint="eastAsia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15</w:t>
      </w:r>
      <w:r>
        <w:rPr>
          <w:rFonts w:hint="eastAsia" w:eastAsia="方正仿宋简体"/>
          <w:b/>
          <w:color w:val="000000"/>
          <w:sz w:val="32"/>
          <w:szCs w:val="32"/>
        </w:rPr>
        <w:t>条，重大建设项目相关信息7条，组织管理信息5条，行政执法公示信息230条，政府工作报告落实和民生实事项目落实情况3条。</w:t>
      </w:r>
    </w:p>
    <w:p>
      <w:pPr>
        <w:numPr>
          <w:ilvl w:val="0"/>
          <w:numId w:val="1"/>
        </w:numPr>
        <w:spacing w:line="600" w:lineRule="exact"/>
        <w:ind w:firstLine="643" w:firstLineChars="200"/>
        <w:rPr>
          <w:rFonts w:eastAsia="方正楷体简体"/>
          <w:b/>
          <w:color w:val="000000"/>
          <w:sz w:val="32"/>
          <w:szCs w:val="32"/>
        </w:rPr>
      </w:pPr>
      <w:r>
        <w:rPr>
          <w:rFonts w:hint="eastAsia" w:eastAsia="方正楷体简体"/>
          <w:b/>
          <w:color w:val="000000"/>
          <w:sz w:val="32"/>
          <w:szCs w:val="32"/>
        </w:rPr>
        <w:t>依申请公开情况</w:t>
      </w:r>
    </w:p>
    <w:p>
      <w:pPr>
        <w:spacing w:line="600" w:lineRule="exact"/>
        <w:ind w:firstLine="643" w:firstLineChars="200"/>
        <w:rPr>
          <w:rFonts w:eastAsia="方正仿宋简体"/>
          <w:b/>
          <w:color w:val="FF0000"/>
          <w:sz w:val="32"/>
          <w:szCs w:val="32"/>
        </w:rPr>
      </w:pPr>
      <w:r>
        <w:rPr>
          <w:rFonts w:hint="eastAsia" w:eastAsia="方正仿宋简体"/>
          <w:b/>
          <w:color w:val="000000"/>
          <w:sz w:val="32"/>
          <w:szCs w:val="32"/>
        </w:rPr>
        <w:t>县行政审批服务局严格按照政务信息公开有关要求，不断规范依申请公开办理工作流程，准确把握信息公开申请办理时限，依法依规依程序做好政府信息公开申请工作。2022年我局收到政府信息公开1条，与去年相比申请数量减少1条。</w:t>
      </w:r>
    </w:p>
    <w:p>
      <w:pPr>
        <w:numPr>
          <w:ilvl w:val="0"/>
          <w:numId w:val="1"/>
        </w:numPr>
        <w:spacing w:line="600" w:lineRule="exact"/>
        <w:ind w:firstLine="643" w:firstLineChars="200"/>
        <w:rPr>
          <w:rFonts w:eastAsia="方正楷体简体"/>
          <w:b/>
          <w:color w:val="000000"/>
          <w:sz w:val="32"/>
          <w:szCs w:val="32"/>
        </w:rPr>
      </w:pPr>
      <w:r>
        <w:rPr>
          <w:rFonts w:hint="eastAsia" w:eastAsia="方正楷体简体"/>
          <w:b/>
          <w:color w:val="000000"/>
          <w:sz w:val="32"/>
          <w:szCs w:val="32"/>
        </w:rPr>
        <w:t>政府信息管理情况</w:t>
      </w:r>
    </w:p>
    <w:p>
      <w:pPr>
        <w:spacing w:line="600" w:lineRule="exact"/>
        <w:ind w:firstLine="643" w:firstLineChars="200"/>
        <w:rPr>
          <w:rFonts w:eastAsia="方正仿宋简体"/>
          <w:b/>
          <w:color w:val="000000"/>
          <w:sz w:val="32"/>
          <w:szCs w:val="32"/>
        </w:rPr>
      </w:pPr>
      <w:r>
        <w:rPr>
          <w:rFonts w:hint="eastAsia" w:eastAsia="方正仿宋简体"/>
          <w:b/>
          <w:color w:val="000000"/>
          <w:sz w:val="32"/>
          <w:szCs w:val="32"/>
        </w:rPr>
        <w:t>县行政审批服务局高度重视政府信息公开工作，成立政务公开工作领导小组，并对小组成员进行及时调整补充，实行主要领导亲自抓、分管领导具体抓、业务科室积极参与的工作模式，推动政府信息发布及审核工作的制度化、规范化，助力政府信息公开工作落地落实。</w:t>
      </w:r>
    </w:p>
    <w:p>
      <w:pPr>
        <w:numPr>
          <w:ilvl w:val="0"/>
          <w:numId w:val="1"/>
        </w:numPr>
        <w:spacing w:line="600" w:lineRule="exact"/>
        <w:ind w:firstLine="643" w:firstLineChars="200"/>
        <w:rPr>
          <w:rFonts w:eastAsia="方正楷体简体"/>
          <w:b/>
          <w:color w:val="000000"/>
          <w:sz w:val="32"/>
          <w:szCs w:val="32"/>
        </w:rPr>
      </w:pPr>
      <w:r>
        <w:rPr>
          <w:rFonts w:hint="eastAsia" w:eastAsia="方正楷体简体"/>
          <w:b/>
          <w:color w:val="000000"/>
          <w:sz w:val="32"/>
          <w:szCs w:val="32"/>
        </w:rPr>
        <w:t>政府信息公开平台建设情况</w:t>
      </w:r>
    </w:p>
    <w:p>
      <w:pPr>
        <w:spacing w:line="600" w:lineRule="exact"/>
        <w:ind w:firstLine="643" w:firstLineChars="200"/>
        <w:rPr>
          <w:rFonts w:eastAsia="方正仿宋简体"/>
          <w:b/>
          <w:color w:val="000000"/>
          <w:sz w:val="32"/>
          <w:szCs w:val="32"/>
        </w:rPr>
      </w:pPr>
      <w:r>
        <w:rPr>
          <w:rFonts w:hint="eastAsia" w:eastAsia="方正仿宋简体"/>
          <w:b/>
          <w:color w:val="000000"/>
          <w:sz w:val="32"/>
          <w:szCs w:val="32"/>
        </w:rPr>
        <w:t>县行政审批服务局在维护好政府门户网站的同时，积极推进政务新媒体平台建设，拓展政府信息公开渠道，通过微信公众号、政务服务网、大厅LED屏等媒介渠道，紧跟实事发展和改革动向，不断充实公开内容，及时公示发布审批服务领域日常工作动态、创新典型经验和各级政策解读，在全社会营造起良好的舆论氛围。</w:t>
      </w:r>
    </w:p>
    <w:p>
      <w:pPr>
        <w:numPr>
          <w:ilvl w:val="0"/>
          <w:numId w:val="1"/>
        </w:numPr>
        <w:spacing w:line="600" w:lineRule="exact"/>
        <w:ind w:firstLine="643" w:firstLineChars="200"/>
        <w:rPr>
          <w:rFonts w:eastAsia="方正楷体简体"/>
          <w:b/>
          <w:color w:val="000000"/>
          <w:sz w:val="32"/>
          <w:szCs w:val="32"/>
        </w:rPr>
      </w:pPr>
      <w:r>
        <w:rPr>
          <w:rFonts w:hint="eastAsia" w:eastAsia="方正楷体简体"/>
          <w:b/>
          <w:color w:val="000000"/>
          <w:sz w:val="32"/>
          <w:szCs w:val="32"/>
        </w:rPr>
        <w:t>监督保障情况</w:t>
      </w:r>
    </w:p>
    <w:p>
      <w:pPr>
        <w:spacing w:line="600" w:lineRule="exact"/>
        <w:ind w:firstLine="643" w:firstLineChars="200"/>
        <w:rPr>
          <w:rFonts w:eastAsia="方正仿宋简体" w:cs="仿宋"/>
          <w:b/>
          <w:bCs/>
          <w:color w:val="FF0000"/>
          <w:sz w:val="32"/>
          <w:szCs w:val="32"/>
          <w:shd w:val="clear" w:color="auto" w:fill="FFFFFF"/>
        </w:rPr>
      </w:pPr>
      <w:r>
        <w:rPr>
          <w:rFonts w:hint="eastAsia" w:eastAsia="方正仿宋简体"/>
          <w:b/>
          <w:color w:val="000000"/>
          <w:sz w:val="32"/>
          <w:szCs w:val="32"/>
        </w:rPr>
        <w:t>一是加强组织人员保障，严格落实本机关政务公开工作责任，强化政务公开人员配备，保障政务公开各项工作有序开展。二是加强政务公开培训工作，通过专题释讲、案例分析等方式，开展政务公开相关培训，组织全局全体干部学习政务公开和保密制度规定，对主动公开内容发布、依申请公开处理、年度重点工作等事项进行了细致培训，切实让全体人员熟练掌握操作流程和保密要求，进一步提高了政府信息公开水平。</w:t>
      </w:r>
    </w:p>
    <w:p>
      <w:pPr>
        <w:spacing w:line="588" w:lineRule="exact"/>
        <w:ind w:firstLine="643" w:firstLineChars="200"/>
        <w:rPr>
          <w:rFonts w:eastAsia="方正黑体简体"/>
          <w:b/>
          <w:color w:val="000000"/>
          <w:sz w:val="32"/>
          <w:szCs w:val="32"/>
        </w:rPr>
      </w:pPr>
      <w:r>
        <w:rPr>
          <w:rFonts w:hint="eastAsia" w:eastAsia="方正黑体简体"/>
          <w:b/>
          <w:color w:val="000000"/>
          <w:sz w:val="32"/>
          <w:szCs w:val="32"/>
        </w:rPr>
        <w:t>二、主动公开政府信息情况</w:t>
      </w:r>
    </w:p>
    <w:tbl>
      <w:tblPr>
        <w:tblStyle w:val="5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黑体简体"/>
                <w:b/>
                <w:sz w:val="24"/>
              </w:rPr>
            </w:pPr>
            <w:r>
              <w:rPr>
                <w:rFonts w:hint="eastAsia" w:eastAsia="方正黑体简体" w:cs="宋体"/>
                <w:b/>
                <w:sz w:val="24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 w:cs="宋体"/>
                <w:b/>
                <w:sz w:val="24"/>
              </w:rPr>
              <w:t>信息内容</w:t>
            </w:r>
          </w:p>
        </w:tc>
        <w:tc>
          <w:tcPr>
            <w:tcW w:w="2133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 w:cs="宋体"/>
                <w:b/>
                <w:sz w:val="24"/>
              </w:rPr>
              <w:t>本年制发件数</w:t>
            </w:r>
          </w:p>
        </w:tc>
        <w:tc>
          <w:tcPr>
            <w:tcW w:w="221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 w:cs="宋体"/>
                <w:b/>
                <w:sz w:val="24"/>
              </w:rPr>
              <w:t>本年废止件数</w:t>
            </w:r>
          </w:p>
        </w:tc>
        <w:tc>
          <w:tcPr>
            <w:tcW w:w="19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 w:cs="宋体"/>
                <w:b/>
                <w:sz w:val="24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 w:cs="宋体"/>
                <w:b/>
                <w:sz w:val="24"/>
              </w:rPr>
              <w:t>规章</w:t>
            </w:r>
          </w:p>
        </w:tc>
        <w:tc>
          <w:tcPr>
            <w:tcW w:w="2133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 w:cs="宋体"/>
                <w:b/>
                <w:sz w:val="24"/>
              </w:rPr>
              <w:t>0</w:t>
            </w:r>
          </w:p>
        </w:tc>
        <w:tc>
          <w:tcPr>
            <w:tcW w:w="221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 w:cs="宋体"/>
                <w:b/>
                <w:sz w:val="24"/>
              </w:rPr>
              <w:t>0</w:t>
            </w:r>
          </w:p>
        </w:tc>
        <w:tc>
          <w:tcPr>
            <w:tcW w:w="19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 w:cs="Calibri"/>
                <w:b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 w:cs="宋体"/>
                <w:b/>
                <w:sz w:val="24"/>
              </w:rPr>
              <w:t>行政规范性文件</w:t>
            </w:r>
          </w:p>
        </w:tc>
        <w:tc>
          <w:tcPr>
            <w:tcW w:w="2133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 w:cs="宋体"/>
                <w:b/>
                <w:sz w:val="24"/>
              </w:rPr>
              <w:t>0</w:t>
            </w:r>
          </w:p>
        </w:tc>
        <w:tc>
          <w:tcPr>
            <w:tcW w:w="221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0</w:t>
            </w:r>
          </w:p>
        </w:tc>
        <w:tc>
          <w:tcPr>
            <w:tcW w:w="19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黑体简体" w:cs="宋体"/>
                <w:b/>
                <w:sz w:val="24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 w:cs="宋体"/>
                <w:b/>
                <w:sz w:val="24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 w:cs="宋体"/>
                <w:b/>
                <w:sz w:val="24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 w:cs="宋体"/>
                <w:b/>
                <w:sz w:val="24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 w:cs="Calibri"/>
                <w:b/>
                <w:sz w:val="24"/>
              </w:rPr>
              <w:t>27593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黑体简体" w:cs="宋体"/>
                <w:b/>
                <w:sz w:val="24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 w:cs="宋体"/>
                <w:b/>
                <w:sz w:val="24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 w:cs="宋体"/>
                <w:b/>
                <w:sz w:val="24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 w:cs="宋体"/>
                <w:b/>
                <w:sz w:val="24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 w:cs="宋体"/>
                <w:b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 w:cs="宋体"/>
                <w:b/>
                <w:sz w:val="24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 w:cs="宋体"/>
                <w:b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黑体简体" w:cs="宋体"/>
                <w:b/>
                <w:sz w:val="24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 w:cs="宋体"/>
                <w:b/>
                <w:sz w:val="24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 w:cs="宋体"/>
                <w:b/>
                <w:sz w:val="24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 w:cs="宋体"/>
                <w:b/>
                <w:sz w:val="24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/>
                <w:b/>
                <w:color w:val="FF0000"/>
                <w:sz w:val="24"/>
                <w:lang w:eastAsia="zh-CN"/>
              </w:rPr>
            </w:pPr>
            <w:r>
              <w:rPr>
                <w:rFonts w:hint="eastAsia" w:eastAsia="方正仿宋简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spacing w:line="588" w:lineRule="exact"/>
        <w:ind w:firstLine="643" w:firstLineChars="200"/>
        <w:rPr>
          <w:rFonts w:eastAsia="方正黑体简体"/>
          <w:b/>
          <w:sz w:val="32"/>
          <w:szCs w:val="32"/>
        </w:rPr>
      </w:pPr>
    </w:p>
    <w:p>
      <w:pPr>
        <w:spacing w:line="588" w:lineRule="exact"/>
        <w:ind w:firstLine="643" w:firstLineChars="200"/>
        <w:rPr>
          <w:rFonts w:eastAsia="方正黑体简体"/>
          <w:b/>
          <w:sz w:val="32"/>
          <w:szCs w:val="32"/>
        </w:rPr>
      </w:pPr>
      <w:r>
        <w:rPr>
          <w:rFonts w:hint="eastAsia" w:eastAsia="方正黑体简体"/>
          <w:b/>
          <w:sz w:val="32"/>
          <w:szCs w:val="32"/>
        </w:rPr>
        <w:t>三、收到和处理政府信息公开申请情况</w:t>
      </w:r>
    </w:p>
    <w:tbl>
      <w:tblPr>
        <w:tblStyle w:val="5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黑体简体"/>
                <w:b/>
                <w:szCs w:val="21"/>
              </w:rPr>
            </w:pPr>
            <w:r>
              <w:rPr>
                <w:rFonts w:hint="eastAsia" w:eastAsia="方正黑体简体" w:cs="楷体"/>
                <w:b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黑体简体"/>
                <w:b/>
                <w:szCs w:val="21"/>
              </w:rPr>
            </w:pPr>
            <w:r>
              <w:rPr>
                <w:rFonts w:hint="eastAsia" w:eastAsia="方正黑体简体" w:cs="宋体"/>
                <w:b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方正黑体简体"/>
                <w:b/>
                <w:szCs w:val="21"/>
              </w:rPr>
            </w:pPr>
          </w:p>
        </w:tc>
        <w:tc>
          <w:tcPr>
            <w:tcW w:w="79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黑体简体"/>
                <w:b/>
                <w:szCs w:val="21"/>
              </w:rPr>
            </w:pPr>
            <w:r>
              <w:rPr>
                <w:rFonts w:hint="eastAsia" w:eastAsia="方正黑体简体" w:cs="宋体"/>
                <w:b/>
                <w:szCs w:val="21"/>
              </w:rPr>
              <w:t>自然人</w:t>
            </w:r>
          </w:p>
        </w:tc>
        <w:tc>
          <w:tcPr>
            <w:tcW w:w="2917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黑体简体"/>
                <w:b/>
                <w:szCs w:val="21"/>
              </w:rPr>
            </w:pPr>
            <w:r>
              <w:rPr>
                <w:rFonts w:hint="eastAsia" w:eastAsia="方正黑体简体" w:cs="宋体"/>
                <w:b/>
                <w:szCs w:val="21"/>
              </w:rPr>
              <w:t>法人或其他组织</w:t>
            </w:r>
          </w:p>
        </w:tc>
        <w:tc>
          <w:tcPr>
            <w:tcW w:w="52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黑体简体"/>
                <w:b/>
                <w:szCs w:val="21"/>
              </w:rPr>
            </w:pPr>
            <w:r>
              <w:rPr>
                <w:rFonts w:hint="eastAsia" w:eastAsia="方正黑体简体" w:cs="宋体"/>
                <w:b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79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简体"/>
                <w:b/>
                <w:szCs w:val="21"/>
              </w:rPr>
            </w:pPr>
            <w:r>
              <w:rPr>
                <w:rFonts w:hint="eastAsia" w:eastAsia="方正黑体简体" w:cs="宋体"/>
                <w:b/>
                <w:szCs w:val="21"/>
              </w:rPr>
              <w:t>商业</w:t>
            </w:r>
          </w:p>
          <w:p>
            <w:pPr>
              <w:widowControl/>
              <w:spacing w:line="320" w:lineRule="exact"/>
              <w:jc w:val="center"/>
              <w:rPr>
                <w:rFonts w:eastAsia="方正黑体简体"/>
                <w:b/>
                <w:szCs w:val="21"/>
              </w:rPr>
            </w:pPr>
            <w:r>
              <w:rPr>
                <w:rFonts w:hint="eastAsia" w:eastAsia="方正黑体简体" w:cs="宋体"/>
                <w:b/>
                <w:szCs w:val="21"/>
              </w:rPr>
              <w:t>企业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简体"/>
                <w:b/>
                <w:szCs w:val="21"/>
              </w:rPr>
            </w:pPr>
            <w:r>
              <w:rPr>
                <w:rFonts w:hint="eastAsia" w:eastAsia="方正黑体简体" w:cs="宋体"/>
                <w:b/>
                <w:szCs w:val="21"/>
              </w:rPr>
              <w:t>科研</w:t>
            </w:r>
          </w:p>
          <w:p>
            <w:pPr>
              <w:widowControl/>
              <w:spacing w:line="320" w:lineRule="exact"/>
              <w:jc w:val="center"/>
              <w:rPr>
                <w:rFonts w:eastAsia="方正黑体简体"/>
                <w:b/>
                <w:szCs w:val="21"/>
              </w:rPr>
            </w:pPr>
            <w:r>
              <w:rPr>
                <w:rFonts w:hint="eastAsia" w:eastAsia="方正黑体简体" w:cs="宋体"/>
                <w:b/>
                <w:szCs w:val="21"/>
              </w:rPr>
              <w:t>机构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简体"/>
                <w:b/>
                <w:szCs w:val="21"/>
              </w:rPr>
            </w:pPr>
            <w:r>
              <w:rPr>
                <w:rFonts w:hint="eastAsia" w:eastAsia="方正黑体简体" w:cs="宋体"/>
                <w:b/>
                <w:szCs w:val="21"/>
              </w:rPr>
              <w:t>社会公益组织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简体"/>
                <w:b/>
                <w:szCs w:val="21"/>
              </w:rPr>
            </w:pPr>
            <w:r>
              <w:rPr>
                <w:rFonts w:hint="eastAsia" w:eastAsia="方正黑体简体" w:cs="宋体"/>
                <w:b/>
                <w:szCs w:val="21"/>
              </w:rPr>
              <w:t>法律服务机构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黑体简体"/>
                <w:b/>
                <w:szCs w:val="21"/>
              </w:rPr>
            </w:pPr>
            <w:r>
              <w:rPr>
                <w:rFonts w:hint="eastAsia" w:eastAsia="方正黑体简体" w:cs="宋体"/>
                <w:b/>
                <w:szCs w:val="21"/>
              </w:rPr>
              <w:t>其他</w:t>
            </w:r>
          </w:p>
        </w:tc>
        <w:tc>
          <w:tcPr>
            <w:tcW w:w="52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rFonts w:eastAsia="方正仿宋简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宋体"/>
                <w:b/>
                <w:szCs w:val="21"/>
              </w:rPr>
              <w:t>一、本年新收政府信息公开申请数量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1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0 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宋体"/>
                <w:b/>
                <w:szCs w:val="21"/>
              </w:rPr>
              <w:t>二、上年结转政府信息公开申请数量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 w:cs="Calibri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宋体"/>
                <w:b/>
                <w:szCs w:val="21"/>
              </w:rPr>
              <w:t>三、本年度办理结果</w:t>
            </w: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宋体"/>
                <w:b/>
                <w:szCs w:val="21"/>
              </w:rPr>
              <w:t>（一）予以公开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1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 w:cs="Calibri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宋体"/>
                <w:b/>
                <w:szCs w:val="21"/>
              </w:rPr>
              <w:t>（二）部分公开</w:t>
            </w:r>
            <w:r>
              <w:rPr>
                <w:rFonts w:hint="eastAsia" w:eastAsia="方正仿宋简体" w:cs="楷体"/>
                <w:b/>
                <w:szCs w:val="21"/>
              </w:rPr>
              <w:t>（区分处理的，只计这一情形，不计其他情形）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 w:cs="Calibri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宋体"/>
                <w:b/>
                <w:szCs w:val="21"/>
              </w:rPr>
              <w:t>（三）不予公开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宋体"/>
                <w:b/>
                <w:szCs w:val="21"/>
              </w:rPr>
              <w:t>1.属于国家秘密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 w:cs="Calibri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宋体"/>
                <w:b/>
                <w:szCs w:val="21"/>
              </w:rPr>
              <w:t>2.其他法律行政法规禁止公开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宋体"/>
                <w:b/>
                <w:szCs w:val="21"/>
              </w:rPr>
              <w:t>3.危及“三安全一稳定”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宋体"/>
                <w:b/>
                <w:szCs w:val="21"/>
              </w:rPr>
              <w:t>4.保护第三方合法权益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宋体"/>
                <w:b/>
                <w:szCs w:val="21"/>
              </w:rPr>
              <w:t>5.属于三类内部事务信息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宋体"/>
                <w:b/>
                <w:szCs w:val="21"/>
              </w:rPr>
              <w:t>6.属于四类过程性信息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宋体"/>
                <w:b/>
                <w:szCs w:val="21"/>
              </w:rPr>
              <w:t>7.属于行政执法案卷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宋体"/>
                <w:b/>
                <w:szCs w:val="21"/>
              </w:rPr>
              <w:t>8.属于行政查询事项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宋体"/>
                <w:b/>
                <w:szCs w:val="21"/>
              </w:rPr>
              <w:t>（四）无法提供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宋体"/>
                <w:b/>
                <w:szCs w:val="21"/>
              </w:rPr>
              <w:t>1.本机关不掌握相关政府信息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宋体"/>
                <w:b/>
                <w:szCs w:val="21"/>
              </w:rPr>
              <w:t>2.没有现成信息需要另行制作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宋体"/>
                <w:b/>
                <w:szCs w:val="21"/>
              </w:rPr>
              <w:t>3.补正后申请内容仍不明确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宋体"/>
                <w:b/>
                <w:szCs w:val="21"/>
              </w:rPr>
              <w:t>（五）不予处理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宋体"/>
                <w:b/>
                <w:szCs w:val="21"/>
              </w:rPr>
              <w:t>1.信访举报投诉类申请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宋体"/>
                <w:b/>
                <w:szCs w:val="21"/>
              </w:rPr>
              <w:t>2.重复申请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 w:cs="Calibri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宋体"/>
                <w:b/>
                <w:szCs w:val="21"/>
              </w:rPr>
              <w:t>3.要求提供公开出版物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 w:cs="Calibri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宋体"/>
                <w:b/>
                <w:szCs w:val="21"/>
              </w:rPr>
              <w:t>4.无正当理由大量反复申请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宋体"/>
                <w:b/>
                <w:szCs w:val="21"/>
              </w:rPr>
              <w:t>5.要求行政机关确认或重新出具已获取信息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宋体"/>
                <w:b/>
                <w:szCs w:val="21"/>
              </w:rPr>
              <w:t>（六）其他处理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宋体"/>
                <w:b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宋体"/>
                <w:b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宋体"/>
                <w:b/>
                <w:szCs w:val="21"/>
              </w:rPr>
              <w:t>3.其他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宋体"/>
                <w:b/>
                <w:szCs w:val="21"/>
              </w:rPr>
              <w:t>（七）总计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1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宋体"/>
                <w:b/>
                <w:szCs w:val="21"/>
              </w:rPr>
              <w:t>四、结转下年度继续办理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 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 w:cs="Calibri"/>
                <w:b/>
                <w:szCs w:val="21"/>
              </w:rPr>
              <w:t>0</w:t>
            </w:r>
          </w:p>
        </w:tc>
      </w:tr>
    </w:tbl>
    <w:p>
      <w:pPr>
        <w:spacing w:line="588" w:lineRule="exact"/>
        <w:ind w:firstLine="643" w:firstLineChars="200"/>
        <w:rPr>
          <w:rFonts w:eastAsia="方正黑体简体"/>
          <w:b/>
          <w:sz w:val="32"/>
          <w:szCs w:val="32"/>
        </w:rPr>
      </w:pPr>
      <w:r>
        <w:rPr>
          <w:rFonts w:hint="eastAsia" w:eastAsia="方正黑体简体"/>
          <w:b/>
          <w:sz w:val="32"/>
          <w:szCs w:val="32"/>
        </w:rPr>
        <w:t>四、政府信息公开行政复议、行政诉讼情况</w:t>
      </w:r>
    </w:p>
    <w:tbl>
      <w:tblPr>
        <w:tblStyle w:val="5"/>
        <w:tblW w:w="883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57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黑体简体"/>
                <w:b/>
                <w:szCs w:val="21"/>
              </w:rPr>
            </w:pPr>
            <w:r>
              <w:rPr>
                <w:rFonts w:hint="eastAsia" w:eastAsia="方正黑体简体" w:cs="宋体"/>
                <w:b/>
                <w:szCs w:val="21"/>
              </w:rPr>
              <w:t>行政复议</w:t>
            </w:r>
          </w:p>
        </w:tc>
        <w:tc>
          <w:tcPr>
            <w:tcW w:w="5943" w:type="dxa"/>
            <w:gridSpan w:val="10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黑体简体"/>
                <w:b/>
                <w:szCs w:val="21"/>
              </w:rPr>
            </w:pPr>
            <w:r>
              <w:rPr>
                <w:rFonts w:hint="eastAsia" w:eastAsia="方正黑体简体" w:cs="宋体"/>
                <w:b/>
                <w:szCs w:val="21"/>
              </w:rPr>
              <w:t>行政诉讼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简体"/>
                <w:b/>
                <w:szCs w:val="21"/>
              </w:rPr>
            </w:pPr>
            <w:r>
              <w:rPr>
                <w:rFonts w:hint="eastAsia" w:eastAsia="方正黑体简体" w:cs="宋体"/>
                <w:b/>
                <w:szCs w:val="21"/>
              </w:rPr>
              <w:t>结果维持</w:t>
            </w:r>
          </w:p>
        </w:tc>
        <w:tc>
          <w:tcPr>
            <w:tcW w:w="621" w:type="dxa"/>
            <w:vMerge w:val="restar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简体" w:cs="宋体"/>
                <w:b/>
                <w:szCs w:val="21"/>
              </w:rPr>
            </w:pPr>
            <w:r>
              <w:rPr>
                <w:rFonts w:hint="eastAsia" w:eastAsia="方正黑体简体" w:cs="宋体"/>
                <w:b/>
                <w:szCs w:val="21"/>
              </w:rPr>
              <w:t>结果</w:t>
            </w:r>
          </w:p>
          <w:p>
            <w:pPr>
              <w:widowControl/>
              <w:spacing w:line="320" w:lineRule="exact"/>
              <w:jc w:val="center"/>
              <w:rPr>
                <w:rFonts w:eastAsia="方正黑体简体"/>
                <w:b/>
                <w:szCs w:val="21"/>
              </w:rPr>
            </w:pPr>
            <w:r>
              <w:rPr>
                <w:rFonts w:hint="eastAsia" w:eastAsia="方正黑体简体" w:cs="宋体"/>
                <w:b/>
                <w:szCs w:val="21"/>
              </w:rPr>
              <w:t>纠正</w:t>
            </w:r>
          </w:p>
        </w:tc>
        <w:tc>
          <w:tcPr>
            <w:tcW w:w="600" w:type="dxa"/>
            <w:vMerge w:val="restar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简体" w:cs="宋体"/>
                <w:b/>
                <w:szCs w:val="21"/>
              </w:rPr>
            </w:pPr>
            <w:r>
              <w:rPr>
                <w:rFonts w:hint="eastAsia" w:eastAsia="方正黑体简体" w:cs="宋体"/>
                <w:b/>
                <w:szCs w:val="21"/>
              </w:rPr>
              <w:t>其他</w:t>
            </w:r>
          </w:p>
          <w:p>
            <w:pPr>
              <w:widowControl/>
              <w:spacing w:line="320" w:lineRule="exact"/>
              <w:jc w:val="center"/>
              <w:rPr>
                <w:rFonts w:eastAsia="方正黑体简体"/>
                <w:b/>
                <w:szCs w:val="21"/>
              </w:rPr>
            </w:pPr>
            <w:r>
              <w:rPr>
                <w:rFonts w:hint="eastAsia" w:eastAsia="方正黑体简体" w:cs="宋体"/>
                <w:b/>
                <w:szCs w:val="21"/>
              </w:rPr>
              <w:t>结果</w:t>
            </w:r>
          </w:p>
        </w:tc>
        <w:tc>
          <w:tcPr>
            <w:tcW w:w="591" w:type="dxa"/>
            <w:vMerge w:val="restar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简体" w:cs="宋体"/>
                <w:b/>
                <w:szCs w:val="21"/>
              </w:rPr>
            </w:pPr>
            <w:r>
              <w:rPr>
                <w:rFonts w:hint="eastAsia" w:eastAsia="方正黑体简体" w:cs="宋体"/>
                <w:b/>
                <w:szCs w:val="21"/>
              </w:rPr>
              <w:t>尚未</w:t>
            </w:r>
          </w:p>
          <w:p>
            <w:pPr>
              <w:widowControl/>
              <w:spacing w:line="320" w:lineRule="exact"/>
              <w:jc w:val="center"/>
              <w:rPr>
                <w:rFonts w:eastAsia="方正黑体简体"/>
                <w:b/>
                <w:szCs w:val="21"/>
              </w:rPr>
            </w:pPr>
            <w:r>
              <w:rPr>
                <w:rFonts w:hint="eastAsia" w:eastAsia="方正黑体简体" w:cs="宋体"/>
                <w:b/>
                <w:szCs w:val="21"/>
              </w:rPr>
              <w:t>审结</w:t>
            </w:r>
          </w:p>
        </w:tc>
        <w:tc>
          <w:tcPr>
            <w:tcW w:w="461" w:type="dxa"/>
            <w:vMerge w:val="restar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简体"/>
                <w:b/>
                <w:szCs w:val="21"/>
              </w:rPr>
            </w:pPr>
            <w:r>
              <w:rPr>
                <w:rFonts w:hint="eastAsia" w:eastAsia="方正黑体简体" w:cs="宋体"/>
                <w:b/>
                <w:szCs w:val="21"/>
              </w:rPr>
              <w:t>总计</w:t>
            </w:r>
          </w:p>
        </w:tc>
        <w:tc>
          <w:tcPr>
            <w:tcW w:w="3031" w:type="dxa"/>
            <w:gridSpan w:val="5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简体"/>
                <w:b/>
                <w:szCs w:val="21"/>
              </w:rPr>
            </w:pPr>
            <w:r>
              <w:rPr>
                <w:rFonts w:hint="eastAsia" w:eastAsia="方正黑体简体" w:cs="宋体"/>
                <w:b/>
                <w:szCs w:val="21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简体"/>
                <w:b/>
                <w:szCs w:val="21"/>
              </w:rPr>
            </w:pPr>
            <w:r>
              <w:rPr>
                <w:rFonts w:hint="eastAsia" w:eastAsia="方正黑体简体" w:cs="宋体"/>
                <w:b/>
                <w:szCs w:val="21"/>
              </w:rPr>
              <w:t>复议后起诉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eastAsia="方正黑体简体"/>
                <w:b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eastAsia="方正黑体简体"/>
                <w:b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eastAsia="方正黑体简体"/>
                <w:b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eastAsia="方正黑体简体"/>
                <w:b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eastAsia="方正黑体简体"/>
                <w:b/>
                <w:szCs w:val="21"/>
              </w:rPr>
            </w:pPr>
          </w:p>
        </w:tc>
        <w:tc>
          <w:tcPr>
            <w:tcW w:w="649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简体" w:cs="宋体"/>
                <w:b/>
                <w:szCs w:val="21"/>
              </w:rPr>
            </w:pPr>
            <w:r>
              <w:rPr>
                <w:rFonts w:hint="eastAsia" w:eastAsia="方正黑体简体" w:cs="宋体"/>
                <w:b/>
                <w:szCs w:val="21"/>
              </w:rPr>
              <w:t>结果</w:t>
            </w:r>
          </w:p>
          <w:p>
            <w:pPr>
              <w:widowControl/>
              <w:spacing w:line="320" w:lineRule="exact"/>
              <w:jc w:val="center"/>
              <w:rPr>
                <w:rFonts w:eastAsia="方正黑体简体"/>
                <w:b/>
                <w:szCs w:val="21"/>
              </w:rPr>
            </w:pPr>
            <w:r>
              <w:rPr>
                <w:rFonts w:hint="eastAsia" w:eastAsia="方正黑体简体" w:cs="宋体"/>
                <w:b/>
                <w:szCs w:val="21"/>
              </w:rPr>
              <w:t>维持</w:t>
            </w:r>
          </w:p>
        </w:tc>
        <w:tc>
          <w:tcPr>
            <w:tcW w:w="649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简体" w:cs="宋体"/>
                <w:b/>
                <w:szCs w:val="21"/>
              </w:rPr>
            </w:pPr>
            <w:r>
              <w:rPr>
                <w:rFonts w:hint="eastAsia" w:eastAsia="方正黑体简体" w:cs="宋体"/>
                <w:b/>
                <w:szCs w:val="21"/>
              </w:rPr>
              <w:t>结果</w:t>
            </w:r>
          </w:p>
          <w:p>
            <w:pPr>
              <w:widowControl/>
              <w:spacing w:line="320" w:lineRule="exact"/>
              <w:jc w:val="center"/>
              <w:rPr>
                <w:rFonts w:eastAsia="方正黑体简体"/>
                <w:b/>
                <w:szCs w:val="21"/>
              </w:rPr>
            </w:pPr>
            <w:r>
              <w:rPr>
                <w:rFonts w:hint="eastAsia" w:eastAsia="方正黑体简体" w:cs="宋体"/>
                <w:b/>
                <w:szCs w:val="21"/>
              </w:rPr>
              <w:t>纠正</w:t>
            </w:r>
          </w:p>
        </w:tc>
        <w:tc>
          <w:tcPr>
            <w:tcW w:w="650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简体" w:cs="宋体"/>
                <w:b/>
                <w:szCs w:val="21"/>
              </w:rPr>
            </w:pPr>
            <w:r>
              <w:rPr>
                <w:rFonts w:hint="eastAsia" w:eastAsia="方正黑体简体" w:cs="宋体"/>
                <w:b/>
                <w:szCs w:val="21"/>
              </w:rPr>
              <w:t>其他</w:t>
            </w:r>
          </w:p>
          <w:p>
            <w:pPr>
              <w:widowControl/>
              <w:spacing w:line="320" w:lineRule="exact"/>
              <w:jc w:val="center"/>
              <w:rPr>
                <w:rFonts w:eastAsia="方正黑体简体"/>
                <w:b/>
                <w:szCs w:val="21"/>
              </w:rPr>
            </w:pPr>
            <w:r>
              <w:rPr>
                <w:rFonts w:hint="eastAsia" w:eastAsia="方正黑体简体" w:cs="宋体"/>
                <w:b/>
                <w:szCs w:val="21"/>
              </w:rPr>
              <w:t>结果</w:t>
            </w:r>
          </w:p>
        </w:tc>
        <w:tc>
          <w:tcPr>
            <w:tcW w:w="657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简体" w:cs="宋体"/>
                <w:b/>
                <w:szCs w:val="21"/>
              </w:rPr>
            </w:pPr>
            <w:r>
              <w:rPr>
                <w:rFonts w:hint="eastAsia" w:eastAsia="方正黑体简体" w:cs="宋体"/>
                <w:b/>
                <w:szCs w:val="21"/>
              </w:rPr>
              <w:t>尚未</w:t>
            </w:r>
          </w:p>
          <w:p>
            <w:pPr>
              <w:widowControl/>
              <w:spacing w:line="320" w:lineRule="exact"/>
              <w:jc w:val="center"/>
              <w:rPr>
                <w:rFonts w:eastAsia="方正黑体简体"/>
                <w:b/>
                <w:szCs w:val="21"/>
              </w:rPr>
            </w:pPr>
            <w:r>
              <w:rPr>
                <w:rFonts w:hint="eastAsia" w:eastAsia="方正黑体简体" w:cs="宋体"/>
                <w:b/>
                <w:szCs w:val="21"/>
              </w:rPr>
              <w:t>审结</w:t>
            </w:r>
          </w:p>
        </w:tc>
        <w:tc>
          <w:tcPr>
            <w:tcW w:w="426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简体"/>
                <w:b/>
                <w:szCs w:val="21"/>
              </w:rPr>
            </w:pPr>
            <w:r>
              <w:rPr>
                <w:rFonts w:hint="eastAsia" w:eastAsia="方正黑体简体" w:cs="宋体"/>
                <w:b/>
                <w:szCs w:val="21"/>
              </w:rPr>
              <w:t>总计</w:t>
            </w:r>
          </w:p>
        </w:tc>
        <w:tc>
          <w:tcPr>
            <w:tcW w:w="650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简体"/>
                <w:b/>
                <w:szCs w:val="21"/>
              </w:rPr>
            </w:pPr>
            <w:r>
              <w:rPr>
                <w:rFonts w:hint="eastAsia" w:eastAsia="方正黑体简体" w:cs="宋体"/>
                <w:b/>
                <w:szCs w:val="21"/>
              </w:rPr>
              <w:t>结果</w:t>
            </w:r>
            <w:r>
              <w:rPr>
                <w:rFonts w:hint="eastAsia" w:eastAsia="方正黑体简体" w:cs="宋体"/>
                <w:b/>
                <w:szCs w:val="21"/>
              </w:rPr>
              <w:br w:type="textWrapping"/>
            </w:r>
            <w:r>
              <w:rPr>
                <w:rFonts w:hint="eastAsia" w:eastAsia="方正黑体简体" w:cs="宋体"/>
                <w:b/>
                <w:szCs w:val="21"/>
              </w:rPr>
              <w:t>维持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简体"/>
                <w:b/>
                <w:szCs w:val="21"/>
              </w:rPr>
            </w:pPr>
            <w:r>
              <w:rPr>
                <w:rFonts w:hint="eastAsia" w:eastAsia="方正黑体简体" w:cs="宋体"/>
                <w:b/>
                <w:szCs w:val="21"/>
              </w:rPr>
              <w:t>结果</w:t>
            </w:r>
            <w:r>
              <w:rPr>
                <w:rFonts w:hint="eastAsia" w:eastAsia="方正黑体简体" w:cs="宋体"/>
                <w:b/>
                <w:szCs w:val="21"/>
              </w:rPr>
              <w:br w:type="textWrapping"/>
            </w:r>
            <w:r>
              <w:rPr>
                <w:rFonts w:hint="eastAsia" w:eastAsia="方正黑体简体" w:cs="宋体"/>
                <w:b/>
                <w:szCs w:val="21"/>
              </w:rPr>
              <w:t>纠正</w:t>
            </w:r>
          </w:p>
        </w:tc>
        <w:tc>
          <w:tcPr>
            <w:tcW w:w="650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简体"/>
                <w:b/>
                <w:szCs w:val="21"/>
              </w:rPr>
            </w:pPr>
            <w:r>
              <w:rPr>
                <w:rFonts w:hint="eastAsia" w:eastAsia="方正黑体简体" w:cs="宋体"/>
                <w:b/>
                <w:szCs w:val="21"/>
              </w:rPr>
              <w:t>其他</w:t>
            </w:r>
            <w:r>
              <w:rPr>
                <w:rFonts w:hint="eastAsia" w:eastAsia="方正黑体简体" w:cs="宋体"/>
                <w:b/>
                <w:szCs w:val="21"/>
              </w:rPr>
              <w:br w:type="textWrapping"/>
            </w:r>
            <w:r>
              <w:rPr>
                <w:rFonts w:hint="eastAsia" w:eastAsia="方正黑体简体" w:cs="宋体"/>
                <w:b/>
                <w:szCs w:val="21"/>
              </w:rPr>
              <w:t>结果</w:t>
            </w:r>
          </w:p>
        </w:tc>
        <w:tc>
          <w:tcPr>
            <w:tcW w:w="555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简体"/>
                <w:b/>
                <w:szCs w:val="21"/>
              </w:rPr>
            </w:pPr>
            <w:r>
              <w:rPr>
                <w:rFonts w:hint="eastAsia" w:eastAsia="方正黑体简体" w:cs="宋体"/>
                <w:b/>
                <w:szCs w:val="21"/>
              </w:rPr>
              <w:t>尚未</w:t>
            </w:r>
            <w:r>
              <w:rPr>
                <w:rFonts w:hint="eastAsia" w:eastAsia="方正黑体简体" w:cs="宋体"/>
                <w:b/>
                <w:szCs w:val="21"/>
              </w:rPr>
              <w:br w:type="textWrapping"/>
            </w:r>
            <w:r>
              <w:rPr>
                <w:rFonts w:hint="eastAsia" w:eastAsia="方正黑体简体" w:cs="宋体"/>
                <w:b/>
                <w:szCs w:val="21"/>
              </w:rPr>
              <w:t>审结</w:t>
            </w:r>
          </w:p>
        </w:tc>
        <w:tc>
          <w:tcPr>
            <w:tcW w:w="407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简体"/>
                <w:b/>
                <w:szCs w:val="21"/>
              </w:rPr>
            </w:pPr>
            <w:r>
              <w:rPr>
                <w:rFonts w:hint="eastAsia" w:eastAsia="方正黑体简体" w:cs="宋体"/>
                <w:b/>
                <w:szCs w:val="21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简体"/>
                <w:b/>
                <w:szCs w:val="21"/>
              </w:rPr>
            </w:pPr>
            <w:r>
              <w:rPr>
                <w:rFonts w:hint="eastAsia" w:eastAsia="方正黑体简体" w:cs="黑体"/>
                <w:b/>
                <w:szCs w:val="21"/>
              </w:rPr>
              <w:t xml:space="preserve"> 0</w:t>
            </w:r>
          </w:p>
        </w:tc>
        <w:tc>
          <w:tcPr>
            <w:tcW w:w="621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简体" w:cs="黑体"/>
                <w:b/>
                <w:szCs w:val="21"/>
              </w:rPr>
            </w:pPr>
            <w:r>
              <w:rPr>
                <w:rFonts w:hint="eastAsia" w:eastAsia="方正黑体简体" w:cs="黑体"/>
                <w:b/>
                <w:szCs w:val="21"/>
              </w:rPr>
              <w:t>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简体" w:cs="黑体"/>
                <w:b/>
                <w:szCs w:val="21"/>
              </w:rPr>
            </w:pPr>
            <w:r>
              <w:rPr>
                <w:rFonts w:hint="eastAsia" w:eastAsia="方正黑体简体" w:cs="黑体"/>
                <w:b/>
                <w:szCs w:val="21"/>
              </w:rPr>
              <w:t>0</w:t>
            </w:r>
          </w:p>
        </w:tc>
        <w:tc>
          <w:tcPr>
            <w:tcW w:w="591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简体" w:cs="黑体"/>
                <w:b/>
                <w:szCs w:val="21"/>
              </w:rPr>
            </w:pPr>
            <w:r>
              <w:rPr>
                <w:rFonts w:hint="eastAsia" w:eastAsia="方正黑体简体" w:cs="黑体"/>
                <w:b/>
                <w:szCs w:val="21"/>
              </w:rPr>
              <w:t>0</w:t>
            </w:r>
          </w:p>
        </w:tc>
        <w:tc>
          <w:tcPr>
            <w:tcW w:w="461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简体" w:cs="黑体"/>
                <w:b/>
                <w:szCs w:val="21"/>
              </w:rPr>
            </w:pPr>
            <w:r>
              <w:rPr>
                <w:rFonts w:hint="eastAsia" w:eastAsia="方正黑体简体" w:cs="黑体"/>
                <w:b/>
                <w:szCs w:val="21"/>
              </w:rPr>
              <w:t>0</w:t>
            </w:r>
          </w:p>
        </w:tc>
        <w:tc>
          <w:tcPr>
            <w:tcW w:w="649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简体" w:cs="黑体"/>
                <w:b/>
                <w:szCs w:val="21"/>
              </w:rPr>
            </w:pPr>
            <w:r>
              <w:rPr>
                <w:rFonts w:hint="eastAsia" w:eastAsia="方正黑体简体" w:cs="黑体"/>
                <w:b/>
                <w:szCs w:val="21"/>
              </w:rPr>
              <w:t>0</w:t>
            </w:r>
          </w:p>
        </w:tc>
        <w:tc>
          <w:tcPr>
            <w:tcW w:w="649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简体" w:cs="黑体"/>
                <w:b/>
                <w:szCs w:val="21"/>
              </w:rPr>
            </w:pPr>
            <w:r>
              <w:rPr>
                <w:rFonts w:hint="eastAsia" w:eastAsia="方正黑体简体" w:cs="黑体"/>
                <w:b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简体" w:cs="黑体"/>
                <w:b/>
                <w:szCs w:val="21"/>
              </w:rPr>
            </w:pPr>
            <w:r>
              <w:rPr>
                <w:rFonts w:hint="eastAsia" w:eastAsia="方正黑体简体" w:cs="黑体"/>
                <w:b/>
                <w:szCs w:val="21"/>
              </w:rPr>
              <w:t>0</w:t>
            </w:r>
          </w:p>
        </w:tc>
        <w:tc>
          <w:tcPr>
            <w:tcW w:w="657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简体" w:cs="黑体"/>
                <w:b/>
                <w:szCs w:val="21"/>
              </w:rPr>
            </w:pPr>
            <w:r>
              <w:rPr>
                <w:rFonts w:hint="eastAsia" w:eastAsia="方正黑体简体" w:cs="黑体"/>
                <w:b/>
                <w:szCs w:val="21"/>
              </w:rPr>
              <w:t>0</w:t>
            </w:r>
          </w:p>
        </w:tc>
        <w:tc>
          <w:tcPr>
            <w:tcW w:w="426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简体" w:cs="黑体"/>
                <w:b/>
                <w:szCs w:val="21"/>
              </w:rPr>
            </w:pPr>
            <w:r>
              <w:rPr>
                <w:rFonts w:hint="eastAsia" w:eastAsia="方正黑体简体" w:cs="黑体"/>
                <w:b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简体" w:cs="黑体"/>
                <w:b/>
                <w:szCs w:val="21"/>
              </w:rPr>
            </w:pPr>
            <w:r>
              <w:rPr>
                <w:rFonts w:hint="eastAsia" w:eastAsia="方正黑体简体" w:cs="黑体"/>
                <w:b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简体" w:cs="黑体"/>
                <w:b/>
                <w:szCs w:val="21"/>
              </w:rPr>
            </w:pPr>
            <w:r>
              <w:rPr>
                <w:rFonts w:hint="eastAsia" w:eastAsia="方正黑体简体" w:cs="黑体"/>
                <w:b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简体" w:cs="黑体"/>
                <w:b/>
                <w:szCs w:val="21"/>
              </w:rPr>
            </w:pPr>
            <w:r>
              <w:rPr>
                <w:rFonts w:hint="eastAsia" w:eastAsia="方正黑体简体" w:cs="黑体"/>
                <w:b/>
                <w:szCs w:val="21"/>
              </w:rPr>
              <w:t>0</w:t>
            </w:r>
          </w:p>
        </w:tc>
        <w:tc>
          <w:tcPr>
            <w:tcW w:w="555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简体" w:cs="黑体"/>
                <w:b/>
                <w:szCs w:val="21"/>
              </w:rPr>
            </w:pPr>
            <w:r>
              <w:rPr>
                <w:rFonts w:hint="eastAsia" w:eastAsia="方正黑体简体" w:cs="黑体"/>
                <w:b/>
                <w:szCs w:val="21"/>
              </w:rPr>
              <w:t>0</w:t>
            </w:r>
          </w:p>
        </w:tc>
        <w:tc>
          <w:tcPr>
            <w:tcW w:w="407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简体" w:cs="黑体"/>
                <w:b/>
                <w:szCs w:val="21"/>
              </w:rPr>
            </w:pPr>
            <w:r>
              <w:rPr>
                <w:rFonts w:hint="eastAsia" w:eastAsia="方正黑体简体" w:cs="黑体"/>
                <w:b/>
                <w:szCs w:val="21"/>
              </w:rPr>
              <w:t>0</w:t>
            </w:r>
          </w:p>
        </w:tc>
      </w:tr>
    </w:tbl>
    <w:p>
      <w:pPr>
        <w:spacing w:line="600" w:lineRule="exact"/>
        <w:ind w:firstLine="643" w:firstLineChars="200"/>
        <w:rPr>
          <w:rFonts w:eastAsia="方正黑体简体"/>
          <w:b/>
          <w:sz w:val="32"/>
          <w:szCs w:val="32"/>
        </w:rPr>
      </w:pPr>
      <w:r>
        <w:rPr>
          <w:rFonts w:hint="eastAsia" w:eastAsia="方正黑体简体"/>
          <w:b/>
          <w:sz w:val="32"/>
          <w:szCs w:val="32"/>
        </w:rPr>
        <w:t>五、存在的主要问题及改进情况</w:t>
      </w:r>
    </w:p>
    <w:p>
      <w:pPr>
        <w:spacing w:line="600" w:lineRule="exact"/>
        <w:ind w:firstLine="643" w:firstLineChars="200"/>
        <w:rPr>
          <w:rFonts w:eastAsia="方正仿宋简体"/>
          <w:b/>
          <w:color w:val="000000"/>
          <w:sz w:val="32"/>
          <w:szCs w:val="32"/>
        </w:rPr>
      </w:pPr>
      <w:r>
        <w:rPr>
          <w:rFonts w:hint="eastAsia" w:eastAsia="方正仿宋简体"/>
          <w:b/>
          <w:color w:val="000000"/>
          <w:sz w:val="32"/>
          <w:szCs w:val="32"/>
        </w:rPr>
        <w:t>一年来，县行政审批服务局在政务信息公开工作中虽然取得了一些成绩，但与其他单位以及上级要求相比还有一定差距，主要表现存在：一是信息公开渠道有待进一步拓宽完善，公开信息不够丰富，还不能完全满足社会公众的需求；二是政务信息公开专业化队伍不够稳定，有时公开内容不够全面，内容更新及时程度有待加强。</w:t>
      </w:r>
    </w:p>
    <w:p>
      <w:pPr>
        <w:spacing w:line="600" w:lineRule="exact"/>
        <w:ind w:firstLine="643" w:firstLineChars="200"/>
        <w:rPr>
          <w:rFonts w:eastAsia="方正仿宋简体"/>
          <w:b/>
          <w:color w:val="000000"/>
          <w:sz w:val="32"/>
          <w:szCs w:val="32"/>
        </w:rPr>
      </w:pPr>
      <w:r>
        <w:rPr>
          <w:rFonts w:hint="eastAsia" w:eastAsia="方正仿宋简体"/>
          <w:b/>
          <w:color w:val="000000"/>
          <w:sz w:val="32"/>
          <w:szCs w:val="32"/>
        </w:rPr>
        <w:t>下一步县行政审批服务局将从以下几个方面进行改进。加强政务公开队伍建设，选拔业务骨干担任政务公开工作，持续完善局政务公开信息上传维护流程，强化日常调度，建立科室定期报送机制，由办公室定期组织维护，确保政务信息及时更新，信息公开高效运作、公众查询方便快捷。强化方式创新，在发挥政府网站信息公开主渠道的同时，努力使政府信息公开渠道多元化，进一步抓好微信公众号等多媒体信息公开载体建设，以更加贴近公众、方便群众的形式向社会公布信息，提升信息发布数量和质量，提高群众知晓率。</w:t>
      </w:r>
    </w:p>
    <w:p>
      <w:pPr>
        <w:numPr>
          <w:ilvl w:val="0"/>
          <w:numId w:val="2"/>
        </w:numPr>
        <w:spacing w:line="600" w:lineRule="exact"/>
        <w:ind w:firstLine="643" w:firstLineChars="200"/>
        <w:rPr>
          <w:rFonts w:eastAsia="方正黑体简体"/>
          <w:b/>
          <w:sz w:val="32"/>
          <w:szCs w:val="32"/>
        </w:rPr>
      </w:pPr>
      <w:r>
        <w:rPr>
          <w:rFonts w:hint="eastAsia" w:eastAsia="方正黑体简体"/>
          <w:b/>
          <w:sz w:val="32"/>
          <w:szCs w:val="32"/>
        </w:rPr>
        <w:t>其他需要报告的事项</w:t>
      </w:r>
    </w:p>
    <w:p>
      <w:pPr>
        <w:numPr>
          <w:ilvl w:val="0"/>
          <w:numId w:val="3"/>
        </w:numPr>
        <w:spacing w:line="600" w:lineRule="exact"/>
        <w:ind w:firstLine="643" w:firstLineChars="200"/>
        <w:rPr>
          <w:rFonts w:ascii="方正楷体简体" w:hAnsi="方正楷体简体" w:eastAsia="方正楷体简体" w:cs="方正楷体简体"/>
          <w:b/>
          <w:color w:val="00000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color w:val="000000"/>
          <w:sz w:val="32"/>
          <w:szCs w:val="32"/>
        </w:rPr>
        <w:t>依据《政府信息公开信息处理费管理办法》收取信息处理费的情况</w:t>
      </w:r>
    </w:p>
    <w:p>
      <w:pPr>
        <w:spacing w:line="600" w:lineRule="exact"/>
        <w:ind w:firstLine="643" w:firstLineChars="200"/>
        <w:rPr>
          <w:rFonts w:eastAsia="方正仿宋简体"/>
          <w:b/>
          <w:color w:val="000000"/>
          <w:sz w:val="32"/>
          <w:szCs w:val="32"/>
        </w:rPr>
      </w:pPr>
      <w:r>
        <w:rPr>
          <w:rFonts w:hint="eastAsia" w:eastAsia="方正仿宋简体"/>
          <w:b/>
          <w:color w:val="000000"/>
          <w:sz w:val="32"/>
          <w:szCs w:val="32"/>
        </w:rPr>
        <w:t>2022年度县行政审批服务局未产生政府信息公开信息处理费用。</w:t>
      </w:r>
    </w:p>
    <w:p>
      <w:pPr>
        <w:numPr>
          <w:ilvl w:val="0"/>
          <w:numId w:val="3"/>
        </w:numPr>
        <w:spacing w:line="600" w:lineRule="exact"/>
        <w:ind w:firstLine="643" w:firstLineChars="200"/>
        <w:rPr>
          <w:rFonts w:ascii="方正楷体简体" w:hAnsi="方正楷体简体" w:eastAsia="方正楷体简体" w:cs="方正楷体简体"/>
          <w:b/>
          <w:color w:val="00000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color w:val="000000"/>
          <w:sz w:val="32"/>
          <w:szCs w:val="32"/>
        </w:rPr>
        <w:t>落实上级年度政务公开工作要点情况</w:t>
      </w:r>
    </w:p>
    <w:p>
      <w:pPr>
        <w:spacing w:line="600" w:lineRule="exact"/>
        <w:ind w:firstLine="643" w:firstLineChars="200"/>
        <w:rPr>
          <w:rFonts w:eastAsia="方正仿宋简体"/>
          <w:b/>
          <w:color w:val="000000"/>
          <w:sz w:val="32"/>
          <w:szCs w:val="32"/>
        </w:rPr>
      </w:pPr>
      <w:r>
        <w:rPr>
          <w:rFonts w:hint="eastAsia" w:eastAsia="方正仿宋简体"/>
          <w:b/>
          <w:color w:val="000000"/>
          <w:sz w:val="32"/>
          <w:szCs w:val="32"/>
        </w:rPr>
        <w:t>2022年，县行政审批服务局严格落实好国家、省、市、县各级政务公开工作要求，强化主动公开，多渠道公开局公示公告、政策法规、服务指南等信息，做好“放管服”改革优化营商环境领域各项利企便民新举措的公开工作，聚焦社会关切，密切关注涉及政务服务、营商环境、工程建设等方面的舆情动态并及时做好回应，切实提高人民群众对政策的知晓率。</w:t>
      </w:r>
    </w:p>
    <w:p>
      <w:pPr>
        <w:spacing w:line="600" w:lineRule="exact"/>
        <w:ind w:firstLine="643" w:firstLineChars="200"/>
        <w:rPr>
          <w:rFonts w:ascii="方正楷体简体" w:hAnsi="方正楷体简体" w:eastAsia="方正楷体简体" w:cs="方正楷体简体"/>
          <w:b/>
          <w:color w:val="00000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color w:val="000000"/>
          <w:sz w:val="32"/>
          <w:szCs w:val="32"/>
        </w:rPr>
        <w:t>（三）人大代表建议和政协提案办理结果公开情况</w:t>
      </w:r>
    </w:p>
    <w:p>
      <w:pPr>
        <w:spacing w:line="600" w:lineRule="exact"/>
        <w:ind w:firstLine="643" w:firstLineChars="200"/>
        <w:rPr>
          <w:rFonts w:eastAsia="方正仿宋简体"/>
          <w:b/>
          <w:color w:val="000000"/>
          <w:sz w:val="32"/>
          <w:szCs w:val="32"/>
        </w:rPr>
      </w:pPr>
      <w:r>
        <w:rPr>
          <w:rFonts w:hint="eastAsia" w:eastAsia="方正仿宋简体"/>
          <w:b/>
          <w:color w:val="000000"/>
          <w:sz w:val="32"/>
          <w:szCs w:val="32"/>
        </w:rPr>
        <w:t>2022年，县行政审批服务局共承办提案4件，所有提案均按要求进行办理并答复，相关政协委员对答复情况表示满意，满意度达100%。 </w:t>
      </w:r>
    </w:p>
    <w:p>
      <w:pPr>
        <w:spacing w:line="600" w:lineRule="exact"/>
        <w:ind w:firstLine="643" w:firstLineChars="200"/>
        <w:rPr>
          <w:rFonts w:ascii="方正楷体简体" w:hAnsi="方正楷体简体" w:eastAsia="方正楷体简体" w:cs="方正楷体简体"/>
          <w:b/>
          <w:color w:val="00000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color w:val="000000"/>
          <w:sz w:val="32"/>
          <w:szCs w:val="32"/>
        </w:rPr>
        <w:t>（四）年度政务公开工作创新情况</w:t>
      </w:r>
    </w:p>
    <w:p>
      <w:pPr>
        <w:spacing w:line="600" w:lineRule="exact"/>
        <w:ind w:firstLine="643" w:firstLineChars="200"/>
        <w:rPr>
          <w:rFonts w:eastAsia="方正仿宋简体"/>
          <w:b/>
          <w:color w:val="000000"/>
          <w:sz w:val="32"/>
          <w:szCs w:val="32"/>
        </w:rPr>
      </w:pPr>
      <w:r>
        <w:rPr>
          <w:rFonts w:hint="eastAsia" w:eastAsia="方正仿宋简体"/>
          <w:b/>
          <w:color w:val="000000"/>
          <w:sz w:val="32"/>
          <w:szCs w:val="32"/>
        </w:rPr>
        <w:t>创新公众号应用，网上政务大厅全面接入公众号，全面公示办事流程，公开事项办理的主体、内容、时限、方式等要素，1000余项依申请政务服务事项服务指南直接获取，办事进度可视可查，后台回复人员全工时在线，提供线上咨询解答服务，办事企业群众免接触、不见面便能获知反馈。</w:t>
      </w:r>
    </w:p>
    <w:p>
      <w:pPr>
        <w:spacing w:line="600" w:lineRule="exact"/>
        <w:ind w:firstLine="643" w:firstLineChars="200"/>
        <w:rPr>
          <w:rFonts w:eastAsia="方正仿宋简体"/>
          <w:b/>
          <w:color w:val="000000"/>
          <w:sz w:val="32"/>
          <w:szCs w:val="32"/>
        </w:rPr>
      </w:pPr>
    </w:p>
    <w:sectPr>
      <w:footerReference r:id="rId3" w:type="default"/>
      <w:pgSz w:w="11906" w:h="16838"/>
      <w:pgMar w:top="1871" w:right="1531" w:bottom="1531" w:left="1531" w:header="851" w:footer="1417" w:gutter="0"/>
      <w:pgNumType w:fmt="numberInDash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4D94B8"/>
    <w:multiLevelType w:val="singleLevel"/>
    <w:tmpl w:val="CA4D94B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C8A9867"/>
    <w:multiLevelType w:val="singleLevel"/>
    <w:tmpl w:val="CC8A9867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D105C6F8"/>
    <w:multiLevelType w:val="singleLevel"/>
    <w:tmpl w:val="D105C6F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8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ZjNjkzMzI0MWYyMjc2NWIxNWE2Nzk0NTgyZTlkMzgifQ=="/>
  </w:docVars>
  <w:rsids>
    <w:rsidRoot w:val="01085587"/>
    <w:rsid w:val="00220819"/>
    <w:rsid w:val="00435B43"/>
    <w:rsid w:val="004824BF"/>
    <w:rsid w:val="00864844"/>
    <w:rsid w:val="00E20562"/>
    <w:rsid w:val="00EA5636"/>
    <w:rsid w:val="01085587"/>
    <w:rsid w:val="05345CFD"/>
    <w:rsid w:val="0FED2E05"/>
    <w:rsid w:val="10765998"/>
    <w:rsid w:val="162F5423"/>
    <w:rsid w:val="1B424867"/>
    <w:rsid w:val="1CCB718E"/>
    <w:rsid w:val="1F9F7DDE"/>
    <w:rsid w:val="22AF4BFD"/>
    <w:rsid w:val="24273CD5"/>
    <w:rsid w:val="26155A48"/>
    <w:rsid w:val="266F47C9"/>
    <w:rsid w:val="268A18F6"/>
    <w:rsid w:val="26992058"/>
    <w:rsid w:val="275C62EC"/>
    <w:rsid w:val="2C041BAB"/>
    <w:rsid w:val="2EBA34AA"/>
    <w:rsid w:val="2F8F1FDD"/>
    <w:rsid w:val="307341AF"/>
    <w:rsid w:val="31C957AE"/>
    <w:rsid w:val="33092493"/>
    <w:rsid w:val="3743612C"/>
    <w:rsid w:val="380B2DD2"/>
    <w:rsid w:val="3C7A14D0"/>
    <w:rsid w:val="48C52E25"/>
    <w:rsid w:val="49DB39A3"/>
    <w:rsid w:val="4A095A14"/>
    <w:rsid w:val="4A977A06"/>
    <w:rsid w:val="4ACF58B4"/>
    <w:rsid w:val="527B354D"/>
    <w:rsid w:val="577B48A7"/>
    <w:rsid w:val="588924C2"/>
    <w:rsid w:val="5A6D2514"/>
    <w:rsid w:val="5E802C50"/>
    <w:rsid w:val="5EE953F2"/>
    <w:rsid w:val="614B497D"/>
    <w:rsid w:val="63984D36"/>
    <w:rsid w:val="65681BF4"/>
    <w:rsid w:val="6831364D"/>
    <w:rsid w:val="685F14A7"/>
    <w:rsid w:val="68990FF1"/>
    <w:rsid w:val="6AE61BCC"/>
    <w:rsid w:val="6E342655"/>
    <w:rsid w:val="6F063CDD"/>
    <w:rsid w:val="6F4A3380"/>
    <w:rsid w:val="7466202C"/>
    <w:rsid w:val="771A1973"/>
    <w:rsid w:val="79102FB2"/>
    <w:rsid w:val="7B186988"/>
    <w:rsid w:val="7C195991"/>
    <w:rsid w:val="7D02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主动公开情况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elete val="1"/>
          </c:dLbls>
          <c:cat>
            <c:strRef>
              <c:f>Sheet1!$A$2:$A$10</c:f>
              <c:strCache>
                <c:ptCount val="9"/>
                <c:pt idx="0">
                  <c:v>行政执法公示</c:v>
                </c:pt>
                <c:pt idx="1">
                  <c:v>公示公告</c:v>
                </c:pt>
                <c:pt idx="2">
                  <c:v>镇街部门文件</c:v>
                </c:pt>
                <c:pt idx="3">
                  <c:v>政府开放日</c:v>
                </c:pt>
                <c:pt idx="4">
                  <c:v>政策文件解读</c:v>
                </c:pt>
                <c:pt idx="5">
                  <c:v>重大建设项目</c:v>
                </c:pt>
                <c:pt idx="6">
                  <c:v>组织管理</c:v>
                </c:pt>
                <c:pt idx="7">
                  <c:v>法规规章</c:v>
                </c:pt>
                <c:pt idx="8">
                  <c:v>政府工作报告落实和民生实事项目落实</c:v>
                </c:pt>
              </c:strCache>
            </c:strRef>
          </c:cat>
          <c:val>
            <c:numRef>
              <c:f>Sheet1!$B$2:$B$10</c:f>
              <c:numCache>
                <c:formatCode>General</c:formatCode>
                <c:ptCount val="9"/>
                <c:pt idx="0">
                  <c:v>230</c:v>
                </c:pt>
                <c:pt idx="1">
                  <c:v>201</c:v>
                </c:pt>
                <c:pt idx="2">
                  <c:v>4</c:v>
                </c:pt>
                <c:pt idx="3">
                  <c:v>1</c:v>
                </c:pt>
                <c:pt idx="4">
                  <c:v>15</c:v>
                </c:pt>
                <c:pt idx="5">
                  <c:v>7</c:v>
                </c:pt>
                <c:pt idx="6">
                  <c:v>5</c:v>
                </c:pt>
                <c:pt idx="7">
                  <c:v>4</c:v>
                </c:pt>
                <c:pt idx="8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08333333333333"/>
          <c:y val="0.687001624796901"/>
          <c:w val="0.791666666666667"/>
          <c:h val="0.28125234345706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2899</Words>
  <Characters>3012</Characters>
  <Lines>25</Lines>
  <Paragraphs>7</Paragraphs>
  <TotalTime>10</TotalTime>
  <ScaleCrop>false</ScaleCrop>
  <LinksUpToDate>false</LinksUpToDate>
  <CharactersWithSpaces>3163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2023-02-06T02:12:00Z</dcterms:created>
  <dc:creator>涵熙</dc:creator>
  <cp:lastModifiedBy>slhhhh</cp:lastModifiedBy>
  <cp:lastPrinted>2023-02-02T07:47:00Z</cp:lastPrinted>
  <dcterms:modified xsi:type="dcterms:W3CDTF">2026-01-29T07:55:49Z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2787CB213CDC48CCA031066FCF866FA4</vt:lpwstr>
  </property>
</Properties>
</file>