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泗水县自然资源和规划局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2023年政府信息公开工作年度报告</w:t>
      </w:r>
    </w:p>
    <w:p>
      <w:pPr>
        <w:spacing w:line="580" w:lineRule="exact"/>
        <w:rPr>
          <w:rFonts w:ascii="方正仿宋简体" w:hAnsi="方正仿宋简体" w:eastAsia="方正仿宋简体" w:cs="方正仿宋简体"/>
          <w:sz w:val="32"/>
          <w:szCs w:val="32"/>
        </w:rPr>
      </w:pP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本报告由泗水县自然资源和规划局按照《中华人民共和国政府信息公开条例》（以下简称《条例》）和《中华人民共和国政府信息公开工作年度报告格式》（国办公开办函〔2021〕30号）要求编制。</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报告所列数据的统计期限自2023年1月1日起2023年12月31日止。本报告电子版可在“中国·泗水”政府门户网站（www.sishui.gov.cn）查阅或下载。如对本报告有疑问，请与泗水县自然资源和规划局联系（地址：泗水县中兴路39号，联系电话：0537-3235688）</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一、总体情况</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2023年，泗水县自然资源和规划局深入贯彻《中华人民共和国政府信息公开条例》等文件要求，始终把做好政务公开工作为切入点和重要抓手，紧紧围绕2023年泗水县政务公开重点工作任务，积极推进自然资源领域政府信息公开工作，全面提升政府信息公开的质量和实效，不断提升政务公开工作整体水平。</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（一）主动公开情况</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局紧紧围绕空间规划、土地征收、确权登记、自然资源出让、营商环境等重点领域，主动公开国土空间规划、征地预公告、补偿安置方案、征地公告、土地供应、行政执法等各类政府信息，主动公开本部门财政预决算信息，政务信息主动公开水平持续提高。截至2023年12月31日，我局积极主动公开政府信息约360余件。</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（二）依申请公开信息办理情况</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2023年，泗水县自然资源和规划局接到政府信息公开申请32件，从申请内容看，依旧主要涉及土地征收、规划管理、不动产登记等方面。所有公开申请均严格按照《政府信息公开条例》等有关规定进行办理和答复，不存在收费情况。2023年未发生因政府信息公开被行政复议、提起行政诉讼情况。</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（三）政府信息管理情况</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泗水县自然资源和规划局高度重视政府信息管理工作，严格贯彻执行信息公开保密审查制度，制定政务公开标准目录，推进政务信息公开工作制度化、规范化，确保了信息公开工作规范的有序开展，做到信息公开精准发布，方便群众公开查询。</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（四）政府信息公开平台建设情况</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将政府门户网站作为政府信息公开第一渠道，优化统一平台，完善网站建设，全力打造自然资源信息公开网络平台。结合工作实际，及时调整我局信息公开目录，完成政府门户网站的内容维护工作。充分发挥“泗水县自然资源和规划”“泗水县不动产登记中心”微信公众号的作用，优选精选政务信息并保持动态更新，不断扩大信息公开发布力度。</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（五）监督保障情况</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局政务公开工作领导小组负责该项工作组织实施，将政务公开重点工作任务细化分解落实到科室，压实各科室责任。着力提升监督保障能力，推动政务公开工作扎实有序开展。强化学习培训，提高信息公开工作人员的业务能力和水平。同时，我局定期对信息公开工作情况进行自查，对发现的问题立行立改，确保政府信息能及时、依法、有效地公开。</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二、主动公开政府信息情况</w:t>
      </w:r>
    </w:p>
    <w:tbl>
      <w:tblPr>
        <w:tblStyle w:val="5"/>
        <w:tblW w:w="8895" w:type="dxa"/>
        <w:tblCellSpacing w:w="0" w:type="dxa"/>
        <w:tblInd w:w="27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483"/>
        <w:gridCol w:w="2137"/>
        <w:gridCol w:w="2137"/>
        <w:gridCol w:w="21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trPr>
        <w:tc>
          <w:tcPr>
            <w:tcW w:w="0" w:type="auto"/>
            <w:gridSpan w:val="4"/>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第二十条第（一）项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信息内容</w:t>
            </w:r>
          </w:p>
        </w:tc>
        <w:tc>
          <w:tcPr>
            <w:tcW w:w="0" w:type="auto"/>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本年制发件数</w:t>
            </w:r>
          </w:p>
        </w:tc>
        <w:tc>
          <w:tcPr>
            <w:tcW w:w="0" w:type="auto"/>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本年废止件数</w:t>
            </w:r>
          </w:p>
        </w:tc>
        <w:tc>
          <w:tcPr>
            <w:tcW w:w="0" w:type="auto"/>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现行有效件数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规章</w:t>
            </w:r>
          </w:p>
        </w:tc>
        <w:tc>
          <w:tcPr>
            <w:tcW w:w="0" w:type="auto"/>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0</w:t>
            </w:r>
          </w:p>
        </w:tc>
        <w:tc>
          <w:tcPr>
            <w:tcW w:w="0" w:type="auto"/>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0</w:t>
            </w:r>
          </w:p>
        </w:tc>
        <w:tc>
          <w:tcPr>
            <w:tcW w:w="0" w:type="auto"/>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行政规范性文件</w:t>
            </w:r>
          </w:p>
        </w:tc>
        <w:tc>
          <w:tcPr>
            <w:tcW w:w="0" w:type="auto"/>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0</w:t>
            </w:r>
          </w:p>
        </w:tc>
        <w:tc>
          <w:tcPr>
            <w:tcW w:w="0" w:type="auto"/>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0</w:t>
            </w:r>
          </w:p>
        </w:tc>
        <w:tc>
          <w:tcPr>
            <w:tcW w:w="0" w:type="auto"/>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atLeast"/>
          <w:tblCellSpacing w:w="0" w:type="dxa"/>
        </w:trPr>
        <w:tc>
          <w:tcPr>
            <w:tcW w:w="0" w:type="auto"/>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第二十条第（五）项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信息内容</w:t>
            </w:r>
          </w:p>
        </w:tc>
        <w:tc>
          <w:tcPr>
            <w:tcW w:w="0" w:type="auto"/>
            <w:gridSpan w:val="3"/>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行政许可</w:t>
            </w:r>
          </w:p>
        </w:tc>
        <w:tc>
          <w:tcPr>
            <w:tcW w:w="0" w:type="auto"/>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trPr>
        <w:tc>
          <w:tcPr>
            <w:tcW w:w="0" w:type="auto"/>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第二十条第（六）项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信息内容</w:t>
            </w:r>
          </w:p>
        </w:tc>
        <w:tc>
          <w:tcPr>
            <w:tcW w:w="0" w:type="auto"/>
            <w:gridSpan w:val="3"/>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9" w:hRule="atLeast"/>
          <w:tblCellSpacing w:w="0" w:type="dxa"/>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行政处罚</w:t>
            </w:r>
          </w:p>
        </w:tc>
        <w:tc>
          <w:tcPr>
            <w:tcW w:w="0" w:type="auto"/>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rFonts w:hint="default" w:eastAsiaTheme="minorEastAsia"/>
                <w:color w:val="333333"/>
                <w:highlight w:val="red"/>
                <w:lang w:val="en-US" w:eastAsia="zh-CN"/>
              </w:rPr>
            </w:pPr>
            <w:r>
              <w:rPr>
                <w:rFonts w:hint="eastAsia"/>
                <w:color w:val="333333"/>
                <w:highlight w:val="none"/>
                <w:lang w:val="en-US" w:eastAsia="zh-CN"/>
              </w:rPr>
              <w:t>101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tblCellSpacing w:w="0" w:type="dxa"/>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行政强制</w:t>
            </w:r>
          </w:p>
        </w:tc>
        <w:tc>
          <w:tcPr>
            <w:tcW w:w="0" w:type="auto"/>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rFonts w:hint="eastAsia" w:eastAsiaTheme="minorEastAsia"/>
                <w:color w:val="333333"/>
                <w:highlight w:val="red"/>
                <w:lang w:eastAsia="zh-CN"/>
              </w:rPr>
            </w:pPr>
            <w:r>
              <w:rPr>
                <w:rFonts w:hint="eastAsia"/>
                <w:color w:val="333333"/>
                <w:highlight w:val="none"/>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1" w:hRule="atLeast"/>
          <w:tblCellSpacing w:w="0" w:type="dxa"/>
        </w:trPr>
        <w:tc>
          <w:tcPr>
            <w:tcW w:w="0" w:type="auto"/>
            <w:gridSpan w:val="4"/>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第二十条第（八）项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信息内容</w:t>
            </w:r>
          </w:p>
        </w:tc>
        <w:tc>
          <w:tcPr>
            <w:tcW w:w="0" w:type="auto"/>
            <w:gridSpan w:val="3"/>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本年收费金额（单位：万元）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trPr>
        <w:tc>
          <w:tcPr>
            <w:tcW w:w="0" w:type="auto"/>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color w:val="333333"/>
              </w:rPr>
              <w:t>行政事业性收费</w:t>
            </w:r>
          </w:p>
        </w:tc>
        <w:tc>
          <w:tcPr>
            <w:tcW w:w="0" w:type="auto"/>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tcPr>
          <w:p>
            <w:pPr>
              <w:pStyle w:val="4"/>
              <w:widowControl/>
              <w:spacing w:line="450" w:lineRule="atLeast"/>
              <w:jc w:val="center"/>
              <w:rPr>
                <w:color w:val="333333"/>
              </w:rPr>
            </w:pPr>
            <w:r>
              <w:rPr>
                <w:rFonts w:hint="eastAsia"/>
                <w:color w:val="333333"/>
              </w:rPr>
              <w:t>175.1580</w:t>
            </w:r>
          </w:p>
        </w:tc>
      </w:tr>
    </w:tbl>
    <w:p>
      <w:pPr>
        <w:pStyle w:val="4"/>
        <w:widowControl/>
        <w:wordWrap w:val="0"/>
        <w:spacing w:before="300" w:beforeAutospacing="0" w:line="450" w:lineRule="atLeast"/>
        <w:ind w:left="255" w:firstLine="420"/>
        <w:rPr>
          <w:color w:val="333333"/>
        </w:rPr>
      </w:pPr>
      <w:r>
        <w:rPr>
          <w:color w:val="333333"/>
        </w:rPr>
        <w:t>三、收到和处理政府信息公开申请情况</w:t>
      </w:r>
    </w:p>
    <w:tbl>
      <w:tblPr>
        <w:tblStyle w:val="5"/>
        <w:tblW w:w="8880" w:type="dxa"/>
        <w:tblCellSpacing w:w="0" w:type="dxa"/>
        <w:tblInd w:w="27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79"/>
        <w:gridCol w:w="945"/>
        <w:gridCol w:w="2678"/>
        <w:gridCol w:w="764"/>
        <w:gridCol w:w="659"/>
        <w:gridCol w:w="629"/>
        <w:gridCol w:w="599"/>
        <w:gridCol w:w="614"/>
        <w:gridCol w:w="599"/>
        <w:gridCol w:w="6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4395"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（本列数据的勾稽关系为：第一项加第二项之和，等于第三项加第四项之和）</w:t>
            </w:r>
          </w:p>
        </w:tc>
        <w:tc>
          <w:tcPr>
            <w:tcW w:w="4485" w:type="dxa"/>
            <w:gridSpan w:val="7"/>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439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765"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自然人</w:t>
            </w:r>
          </w:p>
        </w:tc>
        <w:tc>
          <w:tcPr>
            <w:tcW w:w="3105" w:type="dxa"/>
            <w:gridSpan w:val="5"/>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法人或其他组织</w:t>
            </w:r>
          </w:p>
        </w:tc>
        <w:tc>
          <w:tcPr>
            <w:tcW w:w="615" w:type="dxa"/>
            <w:vMerge w:val="restart"/>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55" w:hRule="atLeast"/>
          <w:tblCellSpacing w:w="0" w:type="dxa"/>
        </w:trPr>
        <w:tc>
          <w:tcPr>
            <w:tcW w:w="439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76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商业</w:t>
            </w:r>
          </w:p>
          <w:p>
            <w:pPr>
              <w:pStyle w:val="4"/>
              <w:widowControl/>
              <w:spacing w:line="450" w:lineRule="atLeast"/>
              <w:jc w:val="center"/>
              <w:rPr>
                <w:color w:val="333333"/>
              </w:rPr>
            </w:pPr>
            <w:r>
              <w:rPr>
                <w:color w:val="333333"/>
              </w:rPr>
              <w:t>企业</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科研</w:t>
            </w:r>
          </w:p>
          <w:p>
            <w:pPr>
              <w:pStyle w:val="4"/>
              <w:widowControl/>
              <w:spacing w:line="450" w:lineRule="atLeast"/>
              <w:jc w:val="center"/>
              <w:rPr>
                <w:color w:val="333333"/>
              </w:rPr>
            </w:pPr>
            <w:r>
              <w:rPr>
                <w:color w:val="333333"/>
              </w:rPr>
              <w:t>机构</w:t>
            </w:r>
          </w:p>
        </w:tc>
        <w:tc>
          <w:tcPr>
            <w:tcW w:w="60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社会公益组织</w:t>
            </w:r>
          </w:p>
        </w:tc>
        <w:tc>
          <w:tcPr>
            <w:tcW w:w="61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法律服务机构</w:t>
            </w:r>
          </w:p>
        </w:tc>
        <w:tc>
          <w:tcPr>
            <w:tcW w:w="60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其他</w:t>
            </w:r>
          </w:p>
        </w:tc>
        <w:tc>
          <w:tcPr>
            <w:tcW w:w="615" w:type="dxa"/>
            <w:vMerge w:val="continue"/>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4395"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一、本年新收政府信息公开申请数量</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rFonts w:hint="eastAsia"/>
                <w:color w:val="333333"/>
                <w:highlight w:val="none"/>
              </w:rPr>
              <w:t>32</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rFonts w:hint="eastAsia"/>
                <w:color w:val="333333"/>
                <w:highlight w:val="none"/>
              </w:rPr>
              <w:t>32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4395"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二、上年结转政府信息公开申请数量</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三、本年度办理结果</w:t>
            </w:r>
          </w:p>
        </w:tc>
        <w:tc>
          <w:tcPr>
            <w:tcW w:w="3630"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（一）予以公开</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rFonts w:hint="eastAsia"/>
                <w:color w:val="333333"/>
              </w:rPr>
              <w:t>32</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rFonts w:hint="eastAsia"/>
                <w:color w:val="333333"/>
              </w:rPr>
              <w:t>32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7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3630"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（二）部分公开（区分处理的，只计这一情形，不计其他情形）</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945"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（三）不予公开</w:t>
            </w: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1.属于国家秘密</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2.其他法律行政法规禁止公开</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3.危及“三安全一稳定”</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4.保护第三方合法权益</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5.属于三类内部事务信息</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6.属于四类过程性信息</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7.属于行政执法案卷</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8.属于行政查询事项</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945"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（四）无法提供</w:t>
            </w: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1.本机关不掌握相关政府信息</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2.没有现成信息需要另行制作</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3.补正后申请内容仍不明确</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widowControl/>
              <w:jc w:val="center"/>
            </w:pPr>
          </w:p>
        </w:tc>
        <w:tc>
          <w:tcPr>
            <w:tcW w:w="945"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（五）不予处理</w:t>
            </w: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1.信访举报投诉类申请</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jc w:val="cente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2.重复申请</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jc w:val="cente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3.要求提供公开出版物</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jc w:val="cente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4.无正当理由大量反复申请</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7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jc w:val="cente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5.要求行政机关确认或重新出具已获取信息</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5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jc w:val="center"/>
              <w:rPr>
                <w:rFonts w:ascii="宋体"/>
                <w:sz w:val="24"/>
              </w:rPr>
            </w:pPr>
          </w:p>
        </w:tc>
        <w:tc>
          <w:tcPr>
            <w:tcW w:w="945"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（六）其他处理</w:t>
            </w: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1.申请人无正当理由逾期不补正、行政机关不再处理其政府信息公开申请</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5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jc w:val="cente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2.申请人逾期未按收费通知要求缴纳费用、行政机关不再处理其政府信息公开申请</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jc w:val="center"/>
              <w:rPr>
                <w:rFonts w:ascii="宋体"/>
                <w:sz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ascii="宋体"/>
                <w:sz w:val="24"/>
              </w:rPr>
            </w:pPr>
          </w:p>
        </w:tc>
        <w:tc>
          <w:tcPr>
            <w:tcW w:w="26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3.其他</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jc w:val="center"/>
              <w:rPr>
                <w:rFonts w:ascii="宋体"/>
                <w:sz w:val="24"/>
              </w:rPr>
            </w:pPr>
          </w:p>
        </w:tc>
        <w:tc>
          <w:tcPr>
            <w:tcW w:w="3630"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（七）总计</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rFonts w:hint="default" w:eastAsiaTheme="minorEastAsia"/>
                <w:color w:val="333333"/>
                <w:lang w:val="en-US" w:eastAsia="zh-CN"/>
              </w:rPr>
            </w:pPr>
            <w:r>
              <w:rPr>
                <w:rFonts w:hint="eastAsia"/>
                <w:color w:val="333333"/>
                <w:lang w:val="en-US" w:eastAsia="zh-CN"/>
              </w:rPr>
              <w:t>32</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rFonts w:hint="eastAsia"/>
                <w:color w:val="333333"/>
              </w:rPr>
              <w:t>32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blCellSpacing w:w="0" w:type="dxa"/>
        </w:trPr>
        <w:tc>
          <w:tcPr>
            <w:tcW w:w="4395"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四、结转下年度继续办理</w:t>
            </w:r>
          </w:p>
        </w:tc>
        <w:tc>
          <w:tcPr>
            <w:tcW w:w="76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6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c>
          <w:tcPr>
            <w:tcW w:w="61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4"/>
              <w:widowControl/>
              <w:spacing w:line="450" w:lineRule="atLeast"/>
              <w:jc w:val="center"/>
              <w:rPr>
                <w:color w:val="333333"/>
              </w:rPr>
            </w:pPr>
            <w:r>
              <w:rPr>
                <w:color w:val="333333"/>
              </w:rPr>
              <w:t>0</w:t>
            </w:r>
          </w:p>
        </w:tc>
      </w:tr>
    </w:tbl>
    <w:p>
      <w:pPr>
        <w:pStyle w:val="4"/>
        <w:widowControl/>
        <w:wordWrap w:val="0"/>
        <w:spacing w:before="300" w:beforeAutospacing="0" w:line="450" w:lineRule="atLeast"/>
        <w:ind w:left="255" w:firstLine="420"/>
        <w:rPr>
          <w:color w:val="333333"/>
        </w:rPr>
      </w:pPr>
      <w:r>
        <w:rPr>
          <w:color w:val="333333"/>
        </w:rPr>
        <w:t>四、政府信息公开行政复议、行政诉讼情况</w:t>
      </w:r>
    </w:p>
    <w:tbl>
      <w:tblPr>
        <w:tblStyle w:val="5"/>
        <w:tblW w:w="8805" w:type="dxa"/>
        <w:tblCellSpacing w:w="0" w:type="dxa"/>
        <w:tblInd w:w="27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10"/>
        <w:gridCol w:w="609"/>
        <w:gridCol w:w="595"/>
        <w:gridCol w:w="580"/>
        <w:gridCol w:w="479"/>
        <w:gridCol w:w="638"/>
        <w:gridCol w:w="638"/>
        <w:gridCol w:w="638"/>
        <w:gridCol w:w="623"/>
        <w:gridCol w:w="465"/>
        <w:gridCol w:w="638"/>
        <w:gridCol w:w="638"/>
        <w:gridCol w:w="638"/>
        <w:gridCol w:w="551"/>
        <w:gridCol w:w="4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89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行政复议</w:t>
            </w:r>
          </w:p>
        </w:tc>
        <w:tc>
          <w:tcPr>
            <w:tcW w:w="5925"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61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结果维持</w:t>
            </w:r>
          </w:p>
        </w:tc>
        <w:tc>
          <w:tcPr>
            <w:tcW w:w="61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结果</w:t>
            </w:r>
            <w:bookmarkStart w:id="0" w:name="_GoBack"/>
            <w:bookmarkEnd w:id="0"/>
            <w:r>
              <w:rPr>
                <w:color w:val="333333"/>
              </w:rPr>
              <w:t>纠正</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其他</w:t>
            </w:r>
            <w:r>
              <w:rPr>
                <w:color w:val="333333"/>
              </w:rPr>
              <w:br w:type="textWrapping"/>
            </w:r>
            <w:r>
              <w:rPr>
                <w:color w:val="333333"/>
              </w:rPr>
              <w:t>结果</w:t>
            </w:r>
          </w:p>
        </w:tc>
        <w:tc>
          <w:tcPr>
            <w:tcW w:w="58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尚未</w:t>
            </w:r>
            <w:r>
              <w:rPr>
                <w:color w:val="333333"/>
              </w:rPr>
              <w:br w:type="textWrapping"/>
            </w:r>
            <w:r>
              <w:rPr>
                <w:color w:val="333333"/>
              </w:rPr>
              <w:t>审结</w:t>
            </w:r>
          </w:p>
        </w:tc>
        <w:tc>
          <w:tcPr>
            <w:tcW w:w="46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总计</w:t>
            </w:r>
          </w:p>
        </w:tc>
        <w:tc>
          <w:tcPr>
            <w:tcW w:w="3015"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未经复议直接起诉</w:t>
            </w:r>
          </w:p>
        </w:tc>
        <w:tc>
          <w:tcPr>
            <w:tcW w:w="291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61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58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46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结果</w:t>
            </w:r>
            <w:r>
              <w:rPr>
                <w:color w:val="333333"/>
              </w:rPr>
              <w:br w:type="textWrapping"/>
            </w:r>
            <w:r>
              <w:rPr>
                <w:color w:val="333333"/>
              </w:rPr>
              <w:t>维持</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结果</w:t>
            </w:r>
            <w:r>
              <w:rPr>
                <w:color w:val="333333"/>
              </w:rPr>
              <w:br w:type="textWrapping"/>
            </w:r>
            <w:r>
              <w:rPr>
                <w:color w:val="333333"/>
              </w:rP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其他</w:t>
            </w:r>
            <w:r>
              <w:rPr>
                <w:color w:val="333333"/>
              </w:rPr>
              <w:br w:type="textWrapping"/>
            </w:r>
            <w:r>
              <w:rPr>
                <w:color w:val="333333"/>
              </w:rPr>
              <w:t>结果</w:t>
            </w:r>
          </w:p>
        </w:tc>
        <w:tc>
          <w:tcPr>
            <w:tcW w:w="6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尚未</w:t>
            </w:r>
            <w:r>
              <w:rPr>
                <w:color w:val="333333"/>
              </w:rPr>
              <w:br w:type="textWrapping"/>
            </w:r>
            <w:r>
              <w:rPr>
                <w:color w:val="333333"/>
              </w:rPr>
              <w:t>审结</w:t>
            </w:r>
          </w:p>
        </w:tc>
        <w:tc>
          <w:tcPr>
            <w:tcW w:w="42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总计</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结果</w:t>
            </w:r>
            <w:r>
              <w:rPr>
                <w:color w:val="333333"/>
              </w:rPr>
              <w:br w:type="textWrapping"/>
            </w:r>
            <w:r>
              <w:rPr>
                <w:color w:val="333333"/>
              </w:rPr>
              <w:t>维持</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结果</w:t>
            </w:r>
            <w:r>
              <w:rPr>
                <w:color w:val="333333"/>
              </w:rPr>
              <w:br w:type="textWrapping"/>
            </w:r>
            <w:r>
              <w:rPr>
                <w:color w:val="333333"/>
              </w:rP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其他</w:t>
            </w:r>
            <w:r>
              <w:rPr>
                <w:color w:val="333333"/>
              </w:rPr>
              <w:br w:type="textWrapping"/>
            </w:r>
            <w:r>
              <w:rPr>
                <w:color w:val="333333"/>
              </w:rPr>
              <w:t>结果</w:t>
            </w:r>
          </w:p>
        </w:tc>
        <w:tc>
          <w:tcPr>
            <w:tcW w:w="55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尚未</w:t>
            </w:r>
            <w:r>
              <w:rPr>
                <w:color w:val="333333"/>
              </w:rPr>
              <w:br w:type="textWrapping"/>
            </w:r>
            <w:r>
              <w:rPr>
                <w:color w:val="333333"/>
              </w:rPr>
              <w:t>审结</w:t>
            </w:r>
          </w:p>
        </w:tc>
        <w:tc>
          <w:tcPr>
            <w:tcW w:w="4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blCellSpacing w:w="0" w:type="dxa"/>
        </w:trPr>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rFonts w:hint="eastAsia"/>
                <w:color w:val="333333"/>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0</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rFonts w:hint="eastAsia"/>
                <w:color w:val="333333"/>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0</w:t>
            </w:r>
          </w:p>
        </w:tc>
        <w:tc>
          <w:tcPr>
            <w:tcW w:w="4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color w:val="333333"/>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rFonts w:hint="eastAsia"/>
                <w:color w:val="333333"/>
              </w:rPr>
              <w:t>0</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widowControl/>
              <w:spacing w:line="450" w:lineRule="atLeast"/>
              <w:jc w:val="center"/>
              <w:rPr>
                <w:color w:val="333333"/>
              </w:rPr>
            </w:pPr>
            <w:r>
              <w:rPr>
                <w:rFonts w:hint="eastAsia"/>
                <w:color w:val="333333"/>
              </w:rPr>
              <w:t>0</w:t>
            </w:r>
          </w:p>
        </w:tc>
      </w:tr>
    </w:tbl>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五、存在的主要问题及改进情况</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（一）存在问题</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信息公开队伍的综合能力和业务水平还有待提高，相关科室主动报送信息的意识不强，信息报送质量和时效也有待于增强。公开渠道和形式需要进一步创新，公开内容不够深化、细化，重点领域信息公开需要进一步强化。政策解读形式单一，需进一步丰富，内容有待进一步深化。</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（二）改进措施</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是强化信息公开队伍建设与培训，各科室明确一名联络员，负责政府信息的撰写和报送，切实提高信息的质量和报送的时效性。强化政府信息公开工作业务培训，通过参加“自然资源大讲堂”等方式，不断提高工作人员的业务能力和水平。</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二是不断加大公开力度，围绕自然资源和规划中心工作，细化政府信息公开工作目录，着力强化重点领域信息公开力度，突出做好重点领域信息公开工作。</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是推动政策解读多元化，加大数字图文、音频、政风行风热线、新闻发布会等解读力度，提高社会各界对政策的理解程度。对专业性较强的政策，充分发挥专家学者的作用，进行专业解读，提升解读的深度和权威性。</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六、其他需要报告的事项</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2023年，泗水县自然资源和规划局严格落实《国务院办公厅关于印发&lt;政府信息公开信息处理费管理办法&gt;的通知》（国办函〔2020〕109号）和《山东省人民政府办公厅关于做好政府信息公开信息处理费管理工作有关事项的通知》（鲁政办字〔2020〕179号）规定，未向申请人收取任何费用。</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本行政机关落实上级年度政务公开工作要点情况：严格按照泗水县人民政府办公室《2023年泗水县政务公开重点工作任务分解表》通知要求，细化任务目标，落实责任分工，不断提升政务公开能力水平。对自然资源出让、土地征收等重点领域分栏目进行公开，对动态类栏目按时限进行公开。</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（三）本行政机关人大代表建议和政协提案办理结果公开情况：2023年泗水县自然资源和规划局共收到7件政协提案、15件人大建议，全部出具答复意见并在网站公开，实现了办理答复率、满意率100%。</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（四）本行政机关年度政务公开工作创新情况：无。</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（五）本行政机关政府信息公开工作年度报告数据统计需要说明的事项：无。</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（六）本行政机关认为需要报告的其他事项：无。</w:t>
      </w:r>
    </w:p>
    <w:p>
      <w:pPr>
        <w:spacing w:line="58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（七）其他有关文件专门要求通过政府信息公开工作年度报告予以报告的事项：无。</w:t>
      </w:r>
    </w:p>
    <w:p>
      <w:pPr>
        <w:spacing w:line="580" w:lineRule="exact"/>
        <w:ind w:firstLine="640" w:firstLineChars="200"/>
        <w:rPr>
          <w:rFonts w:ascii="方正仿宋简体" w:hAnsi="方正仿宋简体" w:eastAsia="方正仿宋简体" w:cs="方正仿宋简体"/>
          <w:sz w:val="32"/>
          <w:szCs w:val="32"/>
        </w:rPr>
      </w:pPr>
    </w:p>
    <w:p>
      <w:pPr>
        <w:spacing w:line="580" w:lineRule="exact"/>
        <w:ind w:firstLine="640" w:firstLineChars="200"/>
        <w:rPr>
          <w:rFonts w:ascii="方正仿宋简体" w:hAnsi="方正仿宋简体" w:eastAsia="方正仿宋简体" w:cs="方正仿宋简体"/>
          <w:sz w:val="32"/>
          <w:szCs w:val="32"/>
        </w:rPr>
      </w:pPr>
    </w:p>
    <w:p>
      <w:pPr>
        <w:spacing w:line="580" w:lineRule="exact"/>
        <w:ind w:firstLine="640" w:firstLineChars="200"/>
        <w:rPr>
          <w:rFonts w:ascii="方正仿宋简体" w:hAnsi="方正仿宋简体" w:eastAsia="方正仿宋简体" w:cs="方正仿宋简体"/>
          <w:sz w:val="32"/>
          <w:szCs w:val="32"/>
        </w:rPr>
      </w:pPr>
    </w:p>
    <w:p>
      <w:pPr>
        <w:spacing w:line="580" w:lineRule="exact"/>
        <w:rPr>
          <w:rFonts w:ascii="方正仿宋简体" w:hAnsi="方正仿宋简体" w:eastAsia="方正仿宋简体" w:cs="方正仿宋简体"/>
          <w:sz w:val="32"/>
          <w:szCs w:val="32"/>
        </w:rPr>
      </w:pPr>
    </w:p>
    <w:sectPr>
      <w:pgSz w:w="11906" w:h="16838"/>
      <w:pgMar w:top="1701" w:right="1531" w:bottom="170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Himalaya">
    <w:panose1 w:val="01010100010101010101"/>
    <w:charset w:val="00"/>
    <w:family w:val="auto"/>
    <w:pitch w:val="default"/>
    <w:sig w:usb0="80000003" w:usb1="00010000" w:usb2="0000004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ZTZkZjg1MDNkZGE0YTBhMmFjNzJlYjlhNGVlOTkifQ=="/>
  </w:docVars>
  <w:rsids>
    <w:rsidRoot w:val="003F08B5"/>
    <w:rsid w:val="002071A0"/>
    <w:rsid w:val="002B7F14"/>
    <w:rsid w:val="003F08B5"/>
    <w:rsid w:val="007B6086"/>
    <w:rsid w:val="009F7A3F"/>
    <w:rsid w:val="1B8E351D"/>
    <w:rsid w:val="1DA501CD"/>
    <w:rsid w:val="21A8172A"/>
    <w:rsid w:val="274A7814"/>
    <w:rsid w:val="2C206DAF"/>
    <w:rsid w:val="346B2FD0"/>
    <w:rsid w:val="44987CF2"/>
    <w:rsid w:val="7C8D3BF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qFormat/>
    <w:uiPriority w:val="0"/>
    <w:pPr>
      <w:tabs>
        <w:tab w:val="center" w:pos="4153"/>
        <w:tab w:val="right" w:pos="8306"/>
      </w:tabs>
      <w:snapToGrid w:val="0"/>
      <w:jc w:val="left"/>
    </w:pPr>
    <w:rPr>
      <w:sz w:val="18"/>
      <w:szCs w:val="18"/>
    </w:rPr>
  </w:style>
  <w:style w:type="paragraph" w:styleId="3">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Arial Unicode MS"/>
      <w:kern w:val="0"/>
      <w:sz w:val="24"/>
      <w:lang w:bidi="bo-CN"/>
    </w:rPr>
  </w:style>
  <w:style w:type="character" w:styleId="7">
    <w:name w:val="Strong"/>
    <w:basedOn w:val="6"/>
    <w:autoRedefine/>
    <w:qFormat/>
    <w:uiPriority w:val="0"/>
    <w:rPr>
      <w:b/>
      <w:bCs/>
    </w:rPr>
  </w:style>
  <w:style w:type="character" w:styleId="8">
    <w:name w:val="FollowedHyperlink"/>
    <w:basedOn w:val="6"/>
    <w:autoRedefine/>
    <w:qFormat/>
    <w:uiPriority w:val="0"/>
    <w:rPr>
      <w:color w:val="333333"/>
      <w:u w:val="none"/>
    </w:rPr>
  </w:style>
  <w:style w:type="character" w:styleId="9">
    <w:name w:val="Hyperlink"/>
    <w:basedOn w:val="6"/>
    <w:autoRedefine/>
    <w:qFormat/>
    <w:uiPriority w:val="0"/>
    <w:rPr>
      <w:color w:val="333333"/>
      <w:u w:val="none"/>
    </w:rPr>
  </w:style>
  <w:style w:type="character" w:customStyle="1" w:styleId="10">
    <w:name w:val="页眉 Char"/>
    <w:basedOn w:val="6"/>
    <w:link w:val="3"/>
    <w:autoRedefine/>
    <w:qFormat/>
    <w:uiPriority w:val="0"/>
    <w:rPr>
      <w:rFonts w:asciiTheme="minorHAnsi" w:hAnsiTheme="minorHAnsi" w:eastAsiaTheme="minorEastAsia" w:cstheme="minorBidi"/>
      <w:kern w:val="2"/>
      <w:sz w:val="18"/>
      <w:szCs w:val="18"/>
      <w:lang w:bidi="ar-SA"/>
    </w:rPr>
  </w:style>
  <w:style w:type="character" w:customStyle="1" w:styleId="11">
    <w:name w:val="页脚 Char"/>
    <w:basedOn w:val="6"/>
    <w:link w:val="2"/>
    <w:autoRedefine/>
    <w:qFormat/>
    <w:uiPriority w:val="0"/>
    <w:rPr>
      <w:rFonts w:asciiTheme="minorHAnsi" w:hAnsiTheme="minorHAnsi" w:eastAsiaTheme="minorEastAsia" w:cstheme="minorBidi"/>
      <w:kern w:val="2"/>
      <w:sz w:val="18"/>
      <w:szCs w:val="18"/>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524</Words>
  <Characters>2993</Characters>
  <Lines>24</Lines>
  <Paragraphs>7</Paragraphs>
  <TotalTime>42</TotalTime>
  <ScaleCrop>false</ScaleCrop>
  <LinksUpToDate>false</LinksUpToDate>
  <CharactersWithSpaces>3510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2022-10-21T10:45:00Z</dcterms:created>
  <dc:creator>Administrator</dc:creator>
  <cp:lastModifiedBy>不要再折腾</cp:lastModifiedBy>
  <dcterms:modified xsi:type="dcterms:W3CDTF">2024-01-26T02:25:43Z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DF239CDC043245F6AC7913B9333A6980</vt:lpwstr>
  </property>
</Properties>
</file>