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泗水县交通运输局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本报告由</w:t>
      </w:r>
      <w:r>
        <w:rPr>
          <w:rFonts w:hint="eastAsia" w:ascii="仿宋_GB2312" w:hAnsi="仿宋_GB2312" w:eastAsia="仿宋_GB2312" w:cs="仿宋_GB2312"/>
          <w:i w:val="0"/>
          <w:caps w:val="0"/>
          <w:color w:val="auto"/>
          <w:spacing w:val="0"/>
          <w:sz w:val="32"/>
          <w:szCs w:val="32"/>
          <w:lang w:eastAsia="zh-CN"/>
        </w:rPr>
        <w:t>县</w:t>
      </w:r>
      <w:r>
        <w:rPr>
          <w:rFonts w:hint="eastAsia" w:ascii="仿宋_GB2312" w:hAnsi="仿宋_GB2312" w:eastAsia="仿宋_GB2312" w:cs="仿宋_GB2312"/>
          <w:i w:val="0"/>
          <w:caps w:val="0"/>
          <w:color w:val="auto"/>
          <w:spacing w:val="0"/>
          <w:sz w:val="32"/>
          <w:szCs w:val="32"/>
        </w:rPr>
        <w:t>交通运输局按照《中华人民共和国政府信息公开条例》（以下简称《条例》）和《中华人民共和国政府信息公开工作年度报告格式》（国办公开办函〔2021〕30号）要求编制。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本报告内容包括交通运输局全年总体情况、主动公开政府信息情况、收到和处理政府信息公开申请情况、政府信息公开行政复议和行政诉讼情况、存在的主要问题及改进情况、其他需要报告的事项等六部分内容。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本报告所列数据的统计期限自202</w:t>
      </w: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rPr>
        <w:t>年1月1日起至202</w:t>
      </w: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rPr>
        <w:t>年12月31日止。本报告电子版可在“中国·泗水”政府门户网站（http://www.sishui.gov.cn/）查阅或下载。如对本报告有疑问，请与泗水县交通运输局联系（地址：泗水县中兴路10号，联系电话：0537-4221611）。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年以来，</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交通运输局深入贯彻学习落实《中华人民共和国政府信息公开条例》，按照《条例》和省、市、区有关信息公开工作的要求，规范公开形式、围绕公众关切，进一步规范，强化政府信息公开的规范运作，全面提升政府信息公开的档次和水平。严格落实区政府决策部署，健全机构，完善机制，大力推进交通政务公开工作有序开展。重点抓好以下几方面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（一） 扎实开展网站信息主动公开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县</w:t>
      </w:r>
      <w:r>
        <w:rPr>
          <w:rFonts w:hint="eastAsia" w:ascii="仿宋_GB2312" w:hAnsi="仿宋_GB2312" w:eastAsia="仿宋_GB2312" w:cs="仿宋_GB2312"/>
          <w:i w:val="0"/>
          <w:caps w:val="0"/>
          <w:color w:val="auto"/>
          <w:spacing w:val="0"/>
          <w:sz w:val="32"/>
          <w:szCs w:val="32"/>
        </w:rPr>
        <w:t>交通运输局将政务公开作为单位工作的基本制度，与业务工作同部署，制定了《</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交通运输局关于进一步推进政务工作实施方案》，并把政务公开作为单位目标管理考核的重要内容</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同时，不定期开展对政务公开推进过程中事项的督察</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将公开事项落实到位。同时按照政府信息公开工作的要求，202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年，通过网站主动公开政府信息共</w:t>
      </w:r>
      <w:r>
        <w:rPr>
          <w:rFonts w:hint="eastAsia" w:ascii="仿宋_GB2312" w:hAnsi="仿宋_GB2312" w:eastAsia="仿宋_GB2312" w:cs="仿宋_GB2312"/>
          <w:i w:val="0"/>
          <w:caps w:val="0"/>
          <w:color w:val="auto"/>
          <w:spacing w:val="0"/>
          <w:sz w:val="32"/>
          <w:szCs w:val="32"/>
          <w:lang w:val="en-US" w:eastAsia="zh-CN"/>
        </w:rPr>
        <w:t>79</w:t>
      </w:r>
      <w:r>
        <w:rPr>
          <w:rFonts w:hint="eastAsia" w:ascii="仿宋_GB2312" w:hAnsi="仿宋_GB2312" w:eastAsia="仿宋_GB2312" w:cs="仿宋_GB2312"/>
          <w:i w:val="0"/>
          <w:caps w:val="0"/>
          <w:color w:val="auto"/>
          <w:spacing w:val="0"/>
          <w:sz w:val="32"/>
          <w:szCs w:val="32"/>
        </w:rPr>
        <w:t>条，其中部门文件</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条，政策解读</w:t>
      </w:r>
      <w:r>
        <w:rPr>
          <w:rFonts w:hint="eastAsia" w:ascii="仿宋_GB2312" w:hAnsi="仿宋_GB2312" w:eastAsia="仿宋_GB2312" w:cs="仿宋_GB2312"/>
          <w:i w:val="0"/>
          <w:caps w:val="0"/>
          <w:color w:val="auto"/>
          <w:spacing w:val="0"/>
          <w:sz w:val="32"/>
          <w:szCs w:val="32"/>
          <w:lang w:val="en-US" w:eastAsia="zh-CN"/>
        </w:rPr>
        <w:t>5</w:t>
      </w:r>
      <w:r>
        <w:rPr>
          <w:rFonts w:hint="eastAsia" w:ascii="仿宋_GB2312" w:hAnsi="仿宋_GB2312" w:eastAsia="仿宋_GB2312" w:cs="仿宋_GB2312"/>
          <w:i w:val="0"/>
          <w:caps w:val="0"/>
          <w:color w:val="auto"/>
          <w:spacing w:val="0"/>
          <w:sz w:val="32"/>
          <w:szCs w:val="32"/>
        </w:rPr>
        <w:t>条，机构职能1条，领导信息1条，公示公告</w:t>
      </w:r>
      <w:r>
        <w:rPr>
          <w:rFonts w:hint="eastAsia" w:ascii="仿宋_GB2312" w:hAnsi="仿宋_GB2312" w:eastAsia="仿宋_GB2312" w:cs="仿宋_GB2312"/>
          <w:i w:val="0"/>
          <w:caps w:val="0"/>
          <w:color w:val="auto"/>
          <w:spacing w:val="0"/>
          <w:sz w:val="32"/>
          <w:szCs w:val="32"/>
          <w:lang w:val="en-US" w:eastAsia="zh-CN"/>
        </w:rPr>
        <w:t>7</w:t>
      </w:r>
      <w:r>
        <w:rPr>
          <w:rFonts w:hint="eastAsia" w:ascii="仿宋_GB2312" w:hAnsi="仿宋_GB2312" w:eastAsia="仿宋_GB2312" w:cs="仿宋_GB2312"/>
          <w:i w:val="0"/>
          <w:caps w:val="0"/>
          <w:color w:val="auto"/>
          <w:spacing w:val="0"/>
          <w:sz w:val="32"/>
          <w:szCs w:val="32"/>
        </w:rPr>
        <w:t>条，评估落实情况</w:t>
      </w:r>
      <w:r>
        <w:rPr>
          <w:rFonts w:hint="eastAsia" w:ascii="仿宋_GB2312" w:hAnsi="仿宋_GB2312" w:eastAsia="仿宋_GB2312" w:cs="仿宋_GB2312"/>
          <w:i w:val="0"/>
          <w:caps w:val="0"/>
          <w:color w:val="auto"/>
          <w:spacing w:val="0"/>
          <w:sz w:val="32"/>
          <w:szCs w:val="32"/>
          <w:lang w:val="en-US" w:eastAsia="zh-CN"/>
        </w:rPr>
        <w:t>2</w:t>
      </w:r>
      <w:r>
        <w:rPr>
          <w:rFonts w:hint="eastAsia" w:ascii="仿宋_GB2312" w:hAnsi="仿宋_GB2312" w:eastAsia="仿宋_GB2312" w:cs="仿宋_GB2312"/>
          <w:i w:val="0"/>
          <w:caps w:val="0"/>
          <w:color w:val="auto"/>
          <w:spacing w:val="0"/>
          <w:sz w:val="32"/>
          <w:szCs w:val="32"/>
        </w:rPr>
        <w:t>条，行政执法信息公示</w:t>
      </w:r>
      <w:r>
        <w:rPr>
          <w:rFonts w:hint="eastAsia" w:ascii="仿宋_GB2312" w:hAnsi="仿宋_GB2312" w:eastAsia="仿宋_GB2312" w:cs="仿宋_GB2312"/>
          <w:i w:val="0"/>
          <w:caps w:val="0"/>
          <w:color w:val="auto"/>
          <w:spacing w:val="0"/>
          <w:sz w:val="32"/>
          <w:szCs w:val="32"/>
          <w:lang w:val="en-US" w:eastAsia="zh-CN"/>
        </w:rPr>
        <w:t>48</w:t>
      </w:r>
      <w:r>
        <w:rPr>
          <w:rFonts w:hint="eastAsia" w:ascii="仿宋_GB2312" w:hAnsi="仿宋_GB2312" w:eastAsia="仿宋_GB2312" w:cs="仿宋_GB2312"/>
          <w:i w:val="0"/>
          <w:caps w:val="0"/>
          <w:color w:val="auto"/>
          <w:spacing w:val="0"/>
          <w:sz w:val="32"/>
          <w:szCs w:val="32"/>
        </w:rPr>
        <w:t>条，双随机一公开</w:t>
      </w:r>
      <w:r>
        <w:rPr>
          <w:rFonts w:hint="eastAsia" w:ascii="仿宋_GB2312" w:hAnsi="仿宋_GB2312" w:eastAsia="仿宋_GB2312" w:cs="仿宋_GB2312"/>
          <w:i w:val="0"/>
          <w:caps w:val="0"/>
          <w:color w:val="auto"/>
          <w:spacing w:val="0"/>
          <w:sz w:val="32"/>
          <w:szCs w:val="32"/>
          <w:lang w:val="en-US" w:eastAsia="zh-CN"/>
        </w:rPr>
        <w:t>10</w:t>
      </w:r>
      <w:r>
        <w:rPr>
          <w:rFonts w:hint="eastAsia" w:ascii="仿宋_GB2312" w:hAnsi="仿宋_GB2312" w:eastAsia="仿宋_GB2312" w:cs="仿宋_GB2312"/>
          <w:i w:val="0"/>
          <w:caps w:val="0"/>
          <w:color w:val="auto"/>
          <w:spacing w:val="0"/>
          <w:sz w:val="32"/>
          <w:szCs w:val="32"/>
        </w:rPr>
        <w:t>条，政府信息公开指南1条，政府信息公开年报1条。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仿宋_GB2312" w:hAnsi="仿宋_GB2312" w:eastAsia="仿宋_GB2312" w:cs="仿宋_GB2312"/>
          <w:i w:val="0"/>
          <w:caps w:val="0"/>
          <w:color w:val="auto"/>
          <w:spacing w:val="0"/>
          <w:sz w:val="32"/>
          <w:szCs w:val="32"/>
        </w:rPr>
      </w:pPr>
      <w:r>
        <w:drawing>
          <wp:inline distT="0" distB="0" distL="114300" distR="114300">
            <wp:extent cx="5272405" cy="3220720"/>
            <wp:effectExtent l="4445" t="4445" r="19050" b="13335"/>
            <wp:docPr id="104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（二）继续规范依申请公开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认真组织相关人员学习依申请公开法律法规，严格落实相关依申请公开流程，规范依申请公开答复，做到规范办理，确保政务信息公开工作制度化、规范化。202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年，我局依申请公开政府信息条数</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条，涉及</w:t>
      </w:r>
      <w:r>
        <w:rPr>
          <w:rFonts w:hint="eastAsia" w:ascii="仿宋_GB2312" w:hAnsi="仿宋_GB2312" w:eastAsia="仿宋_GB2312" w:cs="仿宋_GB2312"/>
          <w:i w:val="0"/>
          <w:caps w:val="0"/>
          <w:color w:val="auto"/>
          <w:spacing w:val="0"/>
          <w:sz w:val="32"/>
          <w:szCs w:val="32"/>
          <w:lang w:eastAsia="zh-CN"/>
        </w:rPr>
        <w:t>公交时刻表、道路维修施工等问题</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均</w:t>
      </w:r>
      <w:r>
        <w:rPr>
          <w:rFonts w:hint="eastAsia" w:ascii="仿宋_GB2312" w:hAnsi="仿宋_GB2312" w:eastAsia="仿宋_GB2312" w:cs="仿宋_GB2312"/>
          <w:i w:val="0"/>
          <w:caps w:val="0"/>
          <w:color w:val="auto"/>
          <w:spacing w:val="0"/>
          <w:sz w:val="32"/>
          <w:szCs w:val="32"/>
        </w:rPr>
        <w:t>已按时答复。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（三）政府信息管理的长期优化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我单位认真执行公文公开属性源头认定制度、政府信息公开保密审查办法、政府信息公开协调机制等，明确了职责分工、工作流程等，确保政府信息公开工作规范有序。着力提高政府信息和政务公开规范化水平，形成长效工作机制。完善政务公开工作机制，优化制发公文的公开审批程序，健全信息公开审核制度和发布台账。在符合保密要求的前提下，依法公开本机关的政务信息，做好公开内容表述、公开时机、公开方式的研判，及时制定更新主动公开基本目录。年内未发生信息发布失信、影响社会稳定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（四）有效提升政府信息公开平台建设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我局除了在</w:t>
      </w:r>
      <w:r>
        <w:rPr>
          <w:rFonts w:hint="eastAsia" w:ascii="仿宋_GB2312" w:hAnsi="仿宋_GB2312" w:eastAsia="仿宋_GB2312" w:cs="仿宋_GB2312"/>
          <w:i w:val="0"/>
          <w:caps w:val="0"/>
          <w:color w:val="auto"/>
          <w:spacing w:val="0"/>
          <w:sz w:val="32"/>
          <w:szCs w:val="32"/>
          <w:lang w:eastAsia="zh-CN"/>
        </w:rPr>
        <w:t>县</w:t>
      </w:r>
      <w:r>
        <w:rPr>
          <w:rFonts w:hint="eastAsia" w:ascii="仿宋_GB2312" w:hAnsi="仿宋_GB2312" w:eastAsia="仿宋_GB2312" w:cs="仿宋_GB2312"/>
          <w:i w:val="0"/>
          <w:caps w:val="0"/>
          <w:color w:val="auto"/>
          <w:spacing w:val="0"/>
          <w:sz w:val="32"/>
          <w:szCs w:val="32"/>
        </w:rPr>
        <w:t>政府门户网站公开政府信息外，还利用政风行风热线节目、出租车、公交车LED屏等多种渠道对我局工作职能、群众关心的热点难点问题、重大项目进展情况、</w:t>
      </w:r>
      <w:r>
        <w:rPr>
          <w:rFonts w:hint="eastAsia" w:ascii="仿宋_GB2312" w:hAnsi="仿宋_GB2312" w:eastAsia="仿宋_GB2312" w:cs="仿宋_GB2312"/>
          <w:i w:val="0"/>
          <w:caps w:val="0"/>
          <w:color w:val="auto"/>
          <w:spacing w:val="0"/>
          <w:sz w:val="32"/>
          <w:szCs w:val="32"/>
          <w:lang w:eastAsia="zh-CN"/>
        </w:rPr>
        <w:t>卫生县</w:t>
      </w:r>
      <w:r>
        <w:rPr>
          <w:rFonts w:hint="eastAsia" w:ascii="仿宋_GB2312" w:hAnsi="仿宋_GB2312" w:eastAsia="仿宋_GB2312" w:cs="仿宋_GB2312"/>
          <w:i w:val="0"/>
          <w:caps w:val="0"/>
          <w:color w:val="auto"/>
          <w:spacing w:val="0"/>
          <w:sz w:val="32"/>
          <w:szCs w:val="32"/>
        </w:rPr>
        <w:t>创建、大气污染防治等公开政府信息。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（五）着力加强监督保障机制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县交通运输局</w:t>
      </w:r>
      <w:r>
        <w:rPr>
          <w:rFonts w:hint="eastAsia" w:ascii="仿宋_GB2312" w:hAnsi="仿宋_GB2312" w:eastAsia="仿宋_GB2312" w:cs="仿宋_GB2312"/>
          <w:i w:val="0"/>
          <w:caps w:val="0"/>
          <w:color w:val="auto"/>
          <w:spacing w:val="0"/>
          <w:sz w:val="32"/>
          <w:szCs w:val="32"/>
        </w:rPr>
        <w:t>高度重视政务公开工作，加强组织领导。严格按照《条例》等有关制度规定开展工作，细化工作方法、明确工作流程、强化责任落实。成立了由局长任组长，其他党</w:t>
      </w:r>
      <w:r>
        <w:rPr>
          <w:rFonts w:hint="eastAsia" w:ascii="仿宋_GB2312" w:hAnsi="仿宋_GB2312" w:eastAsia="仿宋_GB2312" w:cs="仿宋_GB2312"/>
          <w:i w:val="0"/>
          <w:caps w:val="0"/>
          <w:color w:val="auto"/>
          <w:spacing w:val="0"/>
          <w:sz w:val="32"/>
          <w:szCs w:val="32"/>
          <w:lang w:eastAsia="zh-CN"/>
        </w:rPr>
        <w:t>组</w:t>
      </w:r>
      <w:r>
        <w:rPr>
          <w:rFonts w:hint="eastAsia" w:ascii="仿宋_GB2312" w:hAnsi="仿宋_GB2312" w:eastAsia="仿宋_GB2312" w:cs="仿宋_GB2312"/>
          <w:i w:val="0"/>
          <w:caps w:val="0"/>
          <w:color w:val="auto"/>
          <w:spacing w:val="0"/>
          <w:sz w:val="32"/>
          <w:szCs w:val="32"/>
        </w:rPr>
        <w:t>成员任副组长，各科室负责人为成员的政府信息公开工作领导小组，制定了进一步推进政务</w:t>
      </w:r>
      <w:r>
        <w:rPr>
          <w:rFonts w:hint="eastAsia" w:ascii="仿宋_GB2312" w:hAnsi="仿宋_GB2312" w:eastAsia="仿宋_GB2312" w:cs="仿宋_GB2312"/>
          <w:i w:val="0"/>
          <w:caps w:val="0"/>
          <w:color w:val="auto"/>
          <w:spacing w:val="0"/>
          <w:sz w:val="32"/>
          <w:szCs w:val="32"/>
          <w:lang w:eastAsia="zh-CN"/>
        </w:rPr>
        <w:t>公开</w:t>
      </w:r>
      <w:r>
        <w:rPr>
          <w:rFonts w:hint="eastAsia" w:ascii="仿宋_GB2312" w:hAnsi="仿宋_GB2312" w:eastAsia="仿宋_GB2312" w:cs="仿宋_GB2312"/>
          <w:i w:val="0"/>
          <w:caps w:val="0"/>
          <w:color w:val="auto"/>
          <w:spacing w:val="0"/>
          <w:sz w:val="32"/>
          <w:szCs w:val="32"/>
        </w:rPr>
        <w:t>工作实施方案，指定专人负责政府信息公开日常工作，依据政务信息公开原则和要求，进一步制定完善信息审核、备案、发布制度，及时更新工作信息和动态。认真抓好落实，促进政府信息公开工作有序开展。</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主动公开政府信息情况</w:t>
      </w:r>
    </w:p>
    <w:tbl>
      <w:tblPr>
        <w:tblStyle w:val="4"/>
        <w:tblW w:w="8424"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31"/>
        <w:gridCol w:w="2045"/>
        <w:gridCol w:w="213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本年制发件数</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本年废止件数</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规章</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行政规范性文件</w:t>
            </w:r>
          </w:p>
        </w:tc>
        <w:tc>
          <w:tcPr>
            <w:tcW w:w="2045"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21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宋体"/>
                <w:color w:val="auto"/>
                <w:sz w:val="21"/>
                <w:szCs w:val="21"/>
                <w:lang w:eastAsia="zh-CN"/>
              </w:rPr>
            </w:pPr>
            <w:r>
              <w:rPr>
                <w:rFonts w:hint="eastAsia" w:ascii="宋体" w:hAnsi="宋体" w:eastAsia="宋体" w:cs="宋体"/>
                <w:color w:val="auto"/>
                <w:sz w:val="24"/>
                <w:szCs w:val="24"/>
                <w:lang w:val="en-US" w:eastAsia="zh-CN"/>
              </w:rPr>
              <w:t>0</w:t>
            </w:r>
          </w:p>
        </w:tc>
        <w:tc>
          <w:tcPr>
            <w:tcW w:w="1917"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行政许可</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行政处罚</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default" w:eastAsia="宋体"/>
                <w:color w:val="auto"/>
                <w:sz w:val="21"/>
                <w:szCs w:val="21"/>
                <w:lang w:val="en-US" w:eastAsia="zh-CN"/>
              </w:rPr>
            </w:pPr>
            <w:r>
              <w:rPr>
                <w:rFonts w:hint="eastAsia"/>
                <w:color w:val="auto"/>
                <w:sz w:val="21"/>
                <w:szCs w:val="21"/>
                <w:lang w:val="en-US" w:eastAsia="zh-CN"/>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行政强制</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8424" w:type="dxa"/>
            <w:gridSpan w:val="4"/>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信息内容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2331" w:type="dxa"/>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行政事业性收费</w:t>
            </w:r>
          </w:p>
        </w:tc>
        <w:tc>
          <w:tcPr>
            <w:tcW w:w="6093" w:type="dxa"/>
            <w:gridSpan w:val="3"/>
            <w:shd w:val="clear" w:color="auto" w:fill="FFFFFF"/>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200" w:right="0" w:rightChars="0"/>
        <w:jc w:val="both"/>
        <w:textAlignment w:val="auto"/>
        <w:rPr>
          <w:rFonts w:hint="eastAsia" w:ascii="黑体" w:hAnsi="黑体" w:eastAsia="黑体" w:cs="黑体"/>
          <w:b/>
          <w:bCs/>
          <w:i w:val="0"/>
          <w:caps w:val="0"/>
          <w:color w:val="auto"/>
          <w:spacing w:val="0"/>
          <w:sz w:val="32"/>
          <w:szCs w:val="32"/>
        </w:rPr>
      </w:pP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收到和处理政府信息公开申请情况</w:t>
      </w:r>
    </w:p>
    <w:tbl>
      <w:tblPr>
        <w:tblStyle w:val="4"/>
        <w:tblW w:w="8466"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2"/>
        <w:gridCol w:w="937"/>
        <w:gridCol w:w="2684"/>
        <w:gridCol w:w="759"/>
        <w:gridCol w:w="581"/>
        <w:gridCol w:w="567"/>
        <w:gridCol w:w="581"/>
        <w:gridCol w:w="553"/>
        <w:gridCol w:w="540"/>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（本列数据的勾稽关系为：第一项加第二项之和，等于第三项加第四项之和）</w:t>
            </w:r>
          </w:p>
        </w:tc>
        <w:tc>
          <w:tcPr>
            <w:tcW w:w="4093" w:type="dxa"/>
            <w:gridSpan w:val="7"/>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vMerge w:val="continue"/>
            <w:tcMar>
              <w:top w:w="0" w:type="dxa"/>
              <w:left w:w="105" w:type="dxa"/>
              <w:bottom w:w="0" w:type="dxa"/>
              <w:right w:w="105" w:type="dxa"/>
            </w:tcMar>
            <w:vAlign w:val="center"/>
          </w:tcPr>
          <w:p>
            <w:pPr>
              <w:rPr>
                <w:rFonts w:hint="eastAsia" w:ascii="宋体"/>
                <w:color w:val="auto"/>
                <w:sz w:val="24"/>
                <w:szCs w:val="24"/>
              </w:rPr>
            </w:pPr>
          </w:p>
        </w:tc>
        <w:tc>
          <w:tcPr>
            <w:tcW w:w="759"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自然人</w:t>
            </w:r>
          </w:p>
        </w:tc>
        <w:tc>
          <w:tcPr>
            <w:tcW w:w="2822" w:type="dxa"/>
            <w:gridSpan w:val="5"/>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法人或其他组织</w:t>
            </w:r>
          </w:p>
        </w:tc>
        <w:tc>
          <w:tcPr>
            <w:tcW w:w="512"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0" w:type="dxa"/>
          <w:jc w:val="center"/>
        </w:trPr>
        <w:tc>
          <w:tcPr>
            <w:tcW w:w="4373" w:type="dxa"/>
            <w:gridSpan w:val="3"/>
            <w:vMerge w:val="continue"/>
            <w:tcMar>
              <w:top w:w="0" w:type="dxa"/>
              <w:left w:w="105" w:type="dxa"/>
              <w:bottom w:w="0" w:type="dxa"/>
              <w:right w:w="105" w:type="dxa"/>
            </w:tcMar>
            <w:vAlign w:val="center"/>
          </w:tcPr>
          <w:p>
            <w:pPr>
              <w:rPr>
                <w:rFonts w:hint="eastAsia" w:ascii="宋体"/>
                <w:color w:val="auto"/>
                <w:sz w:val="24"/>
                <w:szCs w:val="24"/>
              </w:rPr>
            </w:pPr>
          </w:p>
        </w:tc>
        <w:tc>
          <w:tcPr>
            <w:tcW w:w="759" w:type="dxa"/>
            <w:vMerge w:val="continue"/>
            <w:tcMar>
              <w:top w:w="0" w:type="dxa"/>
              <w:left w:w="60" w:type="dxa"/>
              <w:bottom w:w="0" w:type="dxa"/>
              <w:right w:w="60" w:type="dxa"/>
            </w:tcMar>
            <w:vAlign w:val="center"/>
          </w:tcPr>
          <w:p>
            <w:pPr>
              <w:rPr>
                <w:rFonts w:hint="eastAsia" w:ascii="宋体"/>
                <w:color w:val="auto"/>
                <w:sz w:val="24"/>
                <w:szCs w:val="24"/>
              </w:rPr>
            </w:pP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商业</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企业</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科研</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机构</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社会公益组织</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法律服务机构</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w:t>
            </w:r>
          </w:p>
        </w:tc>
        <w:tc>
          <w:tcPr>
            <w:tcW w:w="512" w:type="dxa"/>
            <w:vMerge w:val="continue"/>
            <w:tcMar>
              <w:top w:w="0" w:type="dxa"/>
              <w:left w:w="60" w:type="dxa"/>
              <w:bottom w:w="0" w:type="dxa"/>
              <w:right w:w="60" w:type="dxa"/>
            </w:tcMar>
            <w:vAlign w:val="center"/>
          </w:tcPr>
          <w:p>
            <w:pPr>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一、本年新收政府信息公开申请数量</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3</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二、上年结转政府信息公开申请数量</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三、本年度办理结果</w:t>
            </w: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（一）予以公开</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3</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0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（二）部分公开（区分处理的，只计这一情形，不计其他情形）</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（三）不予公开</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1.属于国家秘密</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2.其他法律行政法规禁止公开</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3.危及“三安全一稳定”</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4.保护第三方合法权益</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5.属于三类内部事务信息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6.属于四类过程性信息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7.属于行政执法案卷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8.属于行政查询事项</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（四）无法提供</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1.本机关不掌握相关政府信息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2.没有现成信息需要另行制作</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3.补正后申请内容仍不明确</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restart"/>
            <w:tcMar>
              <w:top w:w="0" w:type="dxa"/>
              <w:left w:w="60" w:type="dxa"/>
              <w:bottom w:w="0" w:type="dxa"/>
              <w:right w:w="60" w:type="dxa"/>
            </w:tcMar>
            <w:vAlign w:val="center"/>
          </w:tcPr>
          <w:p>
            <w:pPr>
              <w:keepNext w:val="0"/>
              <w:keepLines w:val="0"/>
              <w:widowControl/>
              <w:suppressLineNumbers w:val="0"/>
              <w:jc w:val="left"/>
              <w:rPr>
                <w:color w:val="auto"/>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（五）不予处理</w:t>
            </w: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1.信访举报投诉类申请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2.重复申请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3.要求提供公开出版物</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top"/>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4.无正当理由大量反复申请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5.要求行政机关确认或重新出具已获取信息</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restart"/>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（六）其他处理</w:t>
            </w: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1.申请人无正当理由逾期不补正、行政机关不再处理其政府信息公开申请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2.申请人逾期未按收费通知要求缴纳费用、行政机关不再处理其政府信息公开申请</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937" w:type="dxa"/>
            <w:vMerge w:val="continue"/>
            <w:tcMar>
              <w:top w:w="0" w:type="dxa"/>
              <w:left w:w="60" w:type="dxa"/>
              <w:bottom w:w="0" w:type="dxa"/>
              <w:right w:w="60" w:type="dxa"/>
            </w:tcMar>
            <w:vAlign w:val="center"/>
          </w:tcPr>
          <w:p>
            <w:pPr>
              <w:rPr>
                <w:rFonts w:hint="eastAsia" w:ascii="宋体"/>
                <w:color w:val="auto"/>
                <w:sz w:val="24"/>
                <w:szCs w:val="24"/>
              </w:rPr>
            </w:pPr>
          </w:p>
        </w:tc>
        <w:tc>
          <w:tcPr>
            <w:tcW w:w="2684"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3.其他</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752" w:type="dxa"/>
            <w:vMerge w:val="continue"/>
            <w:tcMar>
              <w:top w:w="0" w:type="dxa"/>
              <w:left w:w="60" w:type="dxa"/>
              <w:bottom w:w="0" w:type="dxa"/>
              <w:right w:w="60" w:type="dxa"/>
            </w:tcMar>
            <w:vAlign w:val="center"/>
          </w:tcPr>
          <w:p>
            <w:pPr>
              <w:rPr>
                <w:rFonts w:hint="eastAsia" w:ascii="宋体"/>
                <w:color w:val="auto"/>
                <w:sz w:val="24"/>
                <w:szCs w:val="24"/>
              </w:rPr>
            </w:pPr>
          </w:p>
        </w:tc>
        <w:tc>
          <w:tcPr>
            <w:tcW w:w="3621" w:type="dxa"/>
            <w:gridSpan w:val="2"/>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（七）总计</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4373" w:type="dxa"/>
            <w:gridSpan w:val="3"/>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rPr>
                <w:color w:val="auto"/>
                <w:sz w:val="21"/>
                <w:szCs w:val="21"/>
              </w:rPr>
            </w:pPr>
            <w:r>
              <w:rPr>
                <w:rFonts w:hint="eastAsia" w:ascii="宋体" w:hAnsi="宋体" w:eastAsia="宋体" w:cs="宋体"/>
                <w:color w:val="auto"/>
                <w:sz w:val="24"/>
                <w:szCs w:val="24"/>
              </w:rPr>
              <w:t>四、结转下年度继续办理</w:t>
            </w:r>
          </w:p>
        </w:tc>
        <w:tc>
          <w:tcPr>
            <w:tcW w:w="759"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67"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1"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3"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40"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12" w:type="dxa"/>
            <w:tcMar>
              <w:top w:w="0" w:type="dxa"/>
              <w:left w:w="60" w:type="dxa"/>
              <w:bottom w:w="0" w:type="dxa"/>
              <w:right w:w="60"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caps w:val="0"/>
          <w:color w:val="auto"/>
          <w:spacing w:val="0"/>
          <w:sz w:val="32"/>
          <w:szCs w:val="32"/>
        </w:rPr>
      </w:pP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政府信息公开行政复议、行政诉讼情况</w:t>
      </w:r>
    </w:p>
    <w:tbl>
      <w:tblPr>
        <w:tblStyle w:val="4"/>
        <w:tblW w:w="8516" w:type="dxa"/>
        <w:jc w:val="center"/>
        <w:tblCellSpacing w:w="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585"/>
        <w:gridCol w:w="572"/>
        <w:gridCol w:w="558"/>
        <w:gridCol w:w="472"/>
        <w:gridCol w:w="612"/>
        <w:gridCol w:w="612"/>
        <w:gridCol w:w="612"/>
        <w:gridCol w:w="599"/>
        <w:gridCol w:w="472"/>
        <w:gridCol w:w="612"/>
        <w:gridCol w:w="612"/>
        <w:gridCol w:w="612"/>
        <w:gridCol w:w="529"/>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2772"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行政复议</w:t>
            </w:r>
          </w:p>
        </w:tc>
        <w:tc>
          <w:tcPr>
            <w:tcW w:w="5744" w:type="dxa"/>
            <w:gridSpan w:val="10"/>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585"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585"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w:t>
            </w:r>
          </w:p>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纠正</w:t>
            </w:r>
          </w:p>
        </w:tc>
        <w:tc>
          <w:tcPr>
            <w:tcW w:w="572"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58"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vMerge w:val="restart"/>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c>
          <w:tcPr>
            <w:tcW w:w="2907"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未经复议直接起诉</w:t>
            </w:r>
          </w:p>
        </w:tc>
        <w:tc>
          <w:tcPr>
            <w:tcW w:w="2837" w:type="dxa"/>
            <w:gridSpan w:val="5"/>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jc w:val="center"/>
        </w:trPr>
        <w:tc>
          <w:tcPr>
            <w:tcW w:w="585" w:type="dxa"/>
            <w:vMerge w:val="continue"/>
            <w:tcMar>
              <w:top w:w="0" w:type="dxa"/>
              <w:left w:w="105" w:type="dxa"/>
              <w:bottom w:w="0" w:type="dxa"/>
              <w:right w:w="105" w:type="dxa"/>
            </w:tcMar>
            <w:vAlign w:val="center"/>
          </w:tcPr>
          <w:p>
            <w:pPr>
              <w:rPr>
                <w:rFonts w:hint="eastAsia" w:ascii="宋体"/>
                <w:color w:val="auto"/>
                <w:sz w:val="24"/>
                <w:szCs w:val="24"/>
              </w:rPr>
            </w:pPr>
          </w:p>
        </w:tc>
        <w:tc>
          <w:tcPr>
            <w:tcW w:w="585" w:type="dxa"/>
            <w:vMerge w:val="continue"/>
            <w:tcMar>
              <w:top w:w="0" w:type="dxa"/>
              <w:left w:w="105" w:type="dxa"/>
              <w:bottom w:w="0" w:type="dxa"/>
              <w:right w:w="105" w:type="dxa"/>
            </w:tcMar>
            <w:vAlign w:val="center"/>
          </w:tcPr>
          <w:p>
            <w:pPr>
              <w:rPr>
                <w:rFonts w:hint="eastAsia" w:ascii="宋体"/>
                <w:color w:val="auto"/>
                <w:sz w:val="24"/>
                <w:szCs w:val="24"/>
              </w:rPr>
            </w:pPr>
          </w:p>
        </w:tc>
        <w:tc>
          <w:tcPr>
            <w:tcW w:w="572" w:type="dxa"/>
            <w:vMerge w:val="continue"/>
            <w:tcMar>
              <w:top w:w="0" w:type="dxa"/>
              <w:left w:w="105" w:type="dxa"/>
              <w:bottom w:w="0" w:type="dxa"/>
              <w:right w:w="105" w:type="dxa"/>
            </w:tcMar>
            <w:vAlign w:val="center"/>
          </w:tcPr>
          <w:p>
            <w:pPr>
              <w:rPr>
                <w:rFonts w:hint="eastAsia" w:ascii="宋体"/>
                <w:color w:val="auto"/>
                <w:sz w:val="24"/>
                <w:szCs w:val="24"/>
              </w:rPr>
            </w:pPr>
          </w:p>
        </w:tc>
        <w:tc>
          <w:tcPr>
            <w:tcW w:w="558" w:type="dxa"/>
            <w:vMerge w:val="continue"/>
            <w:tcMar>
              <w:top w:w="0" w:type="dxa"/>
              <w:left w:w="105" w:type="dxa"/>
              <w:bottom w:w="0" w:type="dxa"/>
              <w:right w:w="105" w:type="dxa"/>
            </w:tcMar>
            <w:vAlign w:val="center"/>
          </w:tcPr>
          <w:p>
            <w:pPr>
              <w:rPr>
                <w:rFonts w:hint="eastAsia" w:ascii="宋体"/>
                <w:color w:val="auto"/>
                <w:sz w:val="24"/>
                <w:szCs w:val="24"/>
              </w:rPr>
            </w:pPr>
          </w:p>
        </w:tc>
        <w:tc>
          <w:tcPr>
            <w:tcW w:w="472" w:type="dxa"/>
            <w:vMerge w:val="continue"/>
            <w:tcMar>
              <w:top w:w="0" w:type="dxa"/>
              <w:left w:w="105" w:type="dxa"/>
              <w:bottom w:w="0" w:type="dxa"/>
              <w:right w:w="105" w:type="dxa"/>
            </w:tcMar>
            <w:vAlign w:val="center"/>
          </w:tcPr>
          <w:p>
            <w:pPr>
              <w:rPr>
                <w:rFonts w:hint="eastAsia" w:ascii="宋体"/>
                <w:color w:val="auto"/>
                <w:sz w:val="24"/>
                <w:szCs w:val="24"/>
              </w:rPr>
            </w:pP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结果纠正</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9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结果维持</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结果纠正</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其他结果</w:t>
            </w:r>
          </w:p>
        </w:tc>
        <w:tc>
          <w:tcPr>
            <w:tcW w:w="52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尚未审结</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5" w:hRule="atLeast"/>
          <w:tblCellSpacing w:w="0" w:type="dxa"/>
          <w:jc w:val="center"/>
        </w:trPr>
        <w:tc>
          <w:tcPr>
            <w:tcW w:w="585"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85"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58"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1</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rFonts w:hint="eastAsia" w:eastAsiaTheme="minorEastAsia"/>
                <w:color w:val="auto"/>
                <w:sz w:val="21"/>
                <w:szCs w:val="21"/>
                <w:lang w:eastAsia="zh-CN"/>
              </w:rPr>
            </w:pPr>
            <w:r>
              <w:rPr>
                <w:rFonts w:hint="eastAsia" w:ascii="宋体" w:hAnsi="宋体" w:eastAsia="宋体" w:cs="宋体"/>
                <w:color w:val="auto"/>
                <w:sz w:val="24"/>
                <w:szCs w:val="24"/>
                <w:lang w:val="en-US" w:eastAsia="zh-CN"/>
              </w:rPr>
              <w:t>1</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9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61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529"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c>
          <w:tcPr>
            <w:tcW w:w="472" w:type="dxa"/>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line="315" w:lineRule="atLeast"/>
              <w:jc w:val="center"/>
              <w:rPr>
                <w:color w:val="auto"/>
                <w:sz w:val="21"/>
                <w:szCs w:val="21"/>
              </w:rPr>
            </w:pPr>
            <w:r>
              <w:rPr>
                <w:rFonts w:hint="eastAsia" w:ascii="宋体" w:hAnsi="宋体" w:eastAsia="宋体" w:cs="宋体"/>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黑体" w:hAnsi="黑体" w:eastAsia="黑体" w:cs="黑体"/>
          <w:b/>
          <w:bCs/>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黑体" w:hAnsi="黑体" w:eastAsia="黑体" w:cs="黑体"/>
          <w:b/>
          <w:bCs/>
          <w:i w:val="0"/>
          <w:caps w:val="0"/>
          <w:color w:val="333333"/>
          <w:spacing w:val="0"/>
          <w:sz w:val="32"/>
          <w:szCs w:val="32"/>
        </w:rPr>
      </w:pPr>
      <w:r>
        <w:rPr>
          <w:rFonts w:hint="eastAsia" w:ascii="黑体" w:hAnsi="黑体" w:eastAsia="黑体" w:cs="黑体"/>
          <w:b/>
          <w:bCs/>
          <w:i w:val="0"/>
          <w:caps w:val="0"/>
          <w:color w:val="auto"/>
          <w:spacing w:val="0"/>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政务公开工作取得一定成效，局机关各科室主动公开信息的意识不断增强，但还存在信息发布不够及时，信息内容不够全面、等问题。针对以上不足，将在以下几个方面做好改进工作：一是加强学习培训。举办培训班，对机关各科室进行专题业务培训，继续深入学习贯彻《条例》，不断提升机关工作人员的公开意识和业务水平。二是进一步完善政府信息公开工作制度。对公开的形式、内容、时限、程序、监督和运行机制等进一步规范，强化政府信息公开的规范运作，全面提升政府信息公开的档次和水平。三是及时提供最新的政务公开信息，重点推进群众关注度高的重点领域信息公开。四是进一步加大政府信息公开力度。全面推进政府部门办事规定、程序、过程和结果公开，接受社会和群众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（一）依据《政府信息公开信息处理费管理办法》收取信息处理费的情况：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年我局在政务公开工作中未收取信息公开信息处理费。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（二）本行政机关落实上级年度政务公开工作要点情况：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本行政机关落实上级年度政务公开工作要点情况。我局高度重视政府信息公开工作，为更好地提供政府信息公开服务，方便公民、法人和其他组织获得相关政府信息，明确了专门人员具体负责政府信息公开的日常工作。按照公开要求，应公开的及时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（三）本行政机关人大代表建议和政协提案办理结果公开情况：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年共承办人大议案</w:t>
      </w:r>
      <w:r>
        <w:rPr>
          <w:rFonts w:hint="eastAsia" w:ascii="仿宋_GB2312" w:hAnsi="仿宋_GB2312" w:eastAsia="仿宋_GB2312" w:cs="仿宋_GB2312"/>
          <w:i w:val="0"/>
          <w:caps w:val="0"/>
          <w:color w:val="auto"/>
          <w:spacing w:val="0"/>
          <w:sz w:val="32"/>
          <w:szCs w:val="32"/>
          <w:lang w:val="en-US" w:eastAsia="zh-CN"/>
        </w:rPr>
        <w:t>19</w:t>
      </w:r>
      <w:r>
        <w:rPr>
          <w:rFonts w:hint="eastAsia" w:ascii="仿宋_GB2312" w:hAnsi="仿宋_GB2312" w:eastAsia="仿宋_GB2312" w:cs="仿宋_GB2312"/>
          <w:i w:val="0"/>
          <w:caps w:val="0"/>
          <w:color w:val="auto"/>
          <w:spacing w:val="0"/>
          <w:sz w:val="32"/>
          <w:szCs w:val="32"/>
        </w:rPr>
        <w:t>件，政协提案</w:t>
      </w:r>
      <w:r>
        <w:rPr>
          <w:rFonts w:hint="eastAsia" w:ascii="仿宋_GB2312" w:hAnsi="仿宋_GB2312" w:eastAsia="仿宋_GB2312" w:cs="仿宋_GB2312"/>
          <w:i w:val="0"/>
          <w:caps w:val="0"/>
          <w:color w:val="auto"/>
          <w:spacing w:val="0"/>
          <w:sz w:val="32"/>
          <w:szCs w:val="32"/>
          <w:lang w:val="en-US" w:eastAsia="zh-CN"/>
        </w:rPr>
        <w:t>7</w:t>
      </w:r>
      <w:r>
        <w:rPr>
          <w:rFonts w:hint="eastAsia" w:ascii="仿宋_GB2312" w:hAnsi="仿宋_GB2312" w:eastAsia="仿宋_GB2312" w:cs="仿宋_GB2312"/>
          <w:i w:val="0"/>
          <w:caps w:val="0"/>
          <w:color w:val="auto"/>
          <w:spacing w:val="0"/>
          <w:sz w:val="32"/>
          <w:szCs w:val="32"/>
        </w:rPr>
        <w:t>件，收到建议议案提案后，我局高度重视，及时召开会议研究部署，制定办理工作方案，明确分管领导和责任人，逐件分解到承办科室、单位，确保每一件提案办理工作得到有效落实。</w:t>
      </w:r>
      <w:r>
        <w:rPr>
          <w:rFonts w:hint="eastAsia" w:ascii="仿宋_GB2312" w:hAnsi="仿宋_GB2312" w:eastAsia="仿宋_GB2312" w:cs="仿宋_GB2312"/>
          <w:i w:val="0"/>
          <w:caps w:val="0"/>
          <w:color w:val="auto"/>
          <w:spacing w:val="0"/>
          <w:sz w:val="32"/>
          <w:szCs w:val="32"/>
          <w:shd w:val="clear" w:color="auto" w:fill="FFFFFF"/>
        </w:rPr>
        <w:t>均按时办结回复，</w:t>
      </w:r>
      <w:r>
        <w:rPr>
          <w:rFonts w:hint="eastAsia" w:ascii="仿宋_GB2312" w:hAnsi="仿宋_GB2312" w:eastAsia="仿宋_GB2312" w:cs="仿宋_GB2312"/>
          <w:i w:val="0"/>
          <w:caps w:val="0"/>
          <w:color w:val="auto"/>
          <w:spacing w:val="0"/>
          <w:sz w:val="32"/>
          <w:szCs w:val="32"/>
        </w:rPr>
        <w:t>答复满意率为100%。并及时在</w:t>
      </w:r>
      <w:r>
        <w:rPr>
          <w:rFonts w:hint="eastAsia" w:ascii="仿宋_GB2312" w:hAnsi="仿宋_GB2312" w:eastAsia="仿宋_GB2312" w:cs="仿宋_GB2312"/>
          <w:i w:val="0"/>
          <w:caps w:val="0"/>
          <w:color w:val="auto"/>
          <w:spacing w:val="0"/>
          <w:sz w:val="32"/>
          <w:szCs w:val="32"/>
          <w:lang w:eastAsia="zh-CN"/>
        </w:rPr>
        <w:t>泗水县</w:t>
      </w:r>
      <w:r>
        <w:rPr>
          <w:rFonts w:hint="eastAsia" w:ascii="仿宋_GB2312" w:hAnsi="仿宋_GB2312" w:eastAsia="仿宋_GB2312" w:cs="仿宋_GB2312"/>
          <w:i w:val="0"/>
          <w:caps w:val="0"/>
          <w:color w:val="auto"/>
          <w:spacing w:val="0"/>
          <w:sz w:val="32"/>
          <w:szCs w:val="32"/>
        </w:rPr>
        <w:t>政府门户网站“建议提案办理结果”专栏公开</w:t>
      </w:r>
      <w:r>
        <w:rPr>
          <w:rFonts w:hint="eastAsia" w:ascii="仿宋_GB2312" w:hAnsi="仿宋_GB2312" w:eastAsia="仿宋_GB2312" w:cs="仿宋_GB2312"/>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（四）本行政机关年度政务公开工作创新情况：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我局在进一步坚持和完善政府信息公开栏通用载体的基础上，认真创新政府信息公开的载体，使政府信息公开的形式呈现灵活多样，充分利用各级媒体、广播、微信公众号等的宣传作用，让不同层次的群众通过不同渠道获取信息，自觉接受群众的监督</w:t>
      </w:r>
      <w:r>
        <w:rPr>
          <w:rFonts w:hint="eastAsia" w:ascii="仿宋_GB2312" w:hAnsi="仿宋_GB2312" w:eastAsia="仿宋_GB2312" w:cs="仿宋_GB2312"/>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（五）本行政机关政府信息公开工作年度报告数据统计需要说明的事项：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年我局共召开政府信息公开工作会议和专题会议</w:t>
      </w:r>
      <w:r>
        <w:rPr>
          <w:rFonts w:hint="eastAsia" w:ascii="仿宋_GB2312" w:hAnsi="仿宋_GB2312" w:eastAsia="仿宋_GB2312" w:cs="仿宋_GB2312"/>
          <w:i w:val="0"/>
          <w:caps w:val="0"/>
          <w:color w:val="auto"/>
          <w:spacing w:val="0"/>
          <w:sz w:val="32"/>
          <w:szCs w:val="32"/>
          <w:lang w:val="en-US" w:eastAsia="zh-CN"/>
        </w:rPr>
        <w:t>5</w:t>
      </w:r>
      <w:r>
        <w:rPr>
          <w:rFonts w:hint="eastAsia" w:ascii="仿宋_GB2312" w:hAnsi="仿宋_GB2312" w:eastAsia="仿宋_GB2312" w:cs="仿宋_GB2312"/>
          <w:i w:val="0"/>
          <w:caps w:val="0"/>
          <w:color w:val="auto"/>
          <w:spacing w:val="0"/>
          <w:sz w:val="32"/>
          <w:szCs w:val="32"/>
        </w:rPr>
        <w:t>次，举办各类培训班4次，培训人数100余人次</w:t>
      </w:r>
      <w:r>
        <w:rPr>
          <w:rFonts w:hint="eastAsia" w:ascii="仿宋_GB2312" w:hAnsi="仿宋_GB2312" w:eastAsia="仿宋_GB2312" w:cs="仿宋_GB2312"/>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（六）本行政机关认为需要报告的其他事项：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年我局暂无需要其他报告的事项；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（七）其他有关文件专门要求通过政府信息公开工作年度报告予以报告的事项：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年我局未收到其他有关文件专门要求通过政府信息公开工作年度报告予以报告的事项。</w:t>
      </w:r>
    </w:p>
    <w:p>
      <w:pPr>
        <w:rPr>
          <w:rFonts w:hint="default" w:ascii="微软雅黑" w:hAnsi="微软雅黑" w:eastAsia="微软雅黑" w:cs="微软雅黑"/>
          <w:i w:val="0"/>
          <w:caps w:val="0"/>
          <w:color w:val="333333"/>
          <w:spacing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456C"/>
    <w:multiLevelType w:val="singleLevel"/>
    <w:tmpl w:val="5C6445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137A1"/>
    <w:rsid w:val="003B1002"/>
    <w:rsid w:val="01501168"/>
    <w:rsid w:val="01A279B4"/>
    <w:rsid w:val="02A02136"/>
    <w:rsid w:val="03182367"/>
    <w:rsid w:val="03E80C1D"/>
    <w:rsid w:val="04A24D25"/>
    <w:rsid w:val="053147B0"/>
    <w:rsid w:val="06614F29"/>
    <w:rsid w:val="06663947"/>
    <w:rsid w:val="068F2B08"/>
    <w:rsid w:val="072A7087"/>
    <w:rsid w:val="075B1ABC"/>
    <w:rsid w:val="07B21DCE"/>
    <w:rsid w:val="08126F7B"/>
    <w:rsid w:val="089B57BA"/>
    <w:rsid w:val="092651FA"/>
    <w:rsid w:val="0AB0509D"/>
    <w:rsid w:val="0B60116B"/>
    <w:rsid w:val="0B6E385B"/>
    <w:rsid w:val="0B842DF4"/>
    <w:rsid w:val="0D6F2595"/>
    <w:rsid w:val="0F223D0F"/>
    <w:rsid w:val="0F4767BB"/>
    <w:rsid w:val="1009675A"/>
    <w:rsid w:val="10BF42F6"/>
    <w:rsid w:val="129862B9"/>
    <w:rsid w:val="12E85D23"/>
    <w:rsid w:val="13FC629D"/>
    <w:rsid w:val="148C65FA"/>
    <w:rsid w:val="15111D87"/>
    <w:rsid w:val="153C066C"/>
    <w:rsid w:val="15DC36B9"/>
    <w:rsid w:val="160B7034"/>
    <w:rsid w:val="163313CE"/>
    <w:rsid w:val="1747285B"/>
    <w:rsid w:val="19662DC6"/>
    <w:rsid w:val="1B0B727A"/>
    <w:rsid w:val="1BB55BCE"/>
    <w:rsid w:val="1BE04C49"/>
    <w:rsid w:val="1C9C307B"/>
    <w:rsid w:val="1EB9345F"/>
    <w:rsid w:val="203264BB"/>
    <w:rsid w:val="21677FBF"/>
    <w:rsid w:val="21A81414"/>
    <w:rsid w:val="21AF2379"/>
    <w:rsid w:val="21EB1E8E"/>
    <w:rsid w:val="21F95218"/>
    <w:rsid w:val="22062247"/>
    <w:rsid w:val="229306A8"/>
    <w:rsid w:val="23034A76"/>
    <w:rsid w:val="23420FA9"/>
    <w:rsid w:val="24A9078A"/>
    <w:rsid w:val="26650204"/>
    <w:rsid w:val="277C6032"/>
    <w:rsid w:val="297A1DE7"/>
    <w:rsid w:val="29ED11EB"/>
    <w:rsid w:val="2B106681"/>
    <w:rsid w:val="2B257116"/>
    <w:rsid w:val="2B3137A1"/>
    <w:rsid w:val="2DEA45EC"/>
    <w:rsid w:val="2ECD3FA8"/>
    <w:rsid w:val="2EE30751"/>
    <w:rsid w:val="2F720A20"/>
    <w:rsid w:val="2F912174"/>
    <w:rsid w:val="2FCD5E15"/>
    <w:rsid w:val="30B11278"/>
    <w:rsid w:val="30F912BD"/>
    <w:rsid w:val="311C67EE"/>
    <w:rsid w:val="31B9708C"/>
    <w:rsid w:val="31E17817"/>
    <w:rsid w:val="327114B8"/>
    <w:rsid w:val="32AF716A"/>
    <w:rsid w:val="32E86F55"/>
    <w:rsid w:val="343A30FF"/>
    <w:rsid w:val="3445348A"/>
    <w:rsid w:val="354C2B59"/>
    <w:rsid w:val="364F7DC6"/>
    <w:rsid w:val="37247304"/>
    <w:rsid w:val="37E67FE8"/>
    <w:rsid w:val="386D03F6"/>
    <w:rsid w:val="38E67F2C"/>
    <w:rsid w:val="3B0B7E5B"/>
    <w:rsid w:val="3B8F0449"/>
    <w:rsid w:val="3BE00939"/>
    <w:rsid w:val="3CB46D8D"/>
    <w:rsid w:val="3CD65390"/>
    <w:rsid w:val="3CF01715"/>
    <w:rsid w:val="3D540E05"/>
    <w:rsid w:val="3E4B54A8"/>
    <w:rsid w:val="3FDB7A63"/>
    <w:rsid w:val="40683A2D"/>
    <w:rsid w:val="40806787"/>
    <w:rsid w:val="418876D1"/>
    <w:rsid w:val="43917729"/>
    <w:rsid w:val="4534670D"/>
    <w:rsid w:val="453F1095"/>
    <w:rsid w:val="45B54E58"/>
    <w:rsid w:val="45EF7D18"/>
    <w:rsid w:val="467B662A"/>
    <w:rsid w:val="468A49CA"/>
    <w:rsid w:val="46B052F8"/>
    <w:rsid w:val="46EA78E2"/>
    <w:rsid w:val="47485946"/>
    <w:rsid w:val="475E60F2"/>
    <w:rsid w:val="4820736C"/>
    <w:rsid w:val="4933028C"/>
    <w:rsid w:val="4AEF02AC"/>
    <w:rsid w:val="4AF0321B"/>
    <w:rsid w:val="4BA82A19"/>
    <w:rsid w:val="4BDF6F74"/>
    <w:rsid w:val="4C28036F"/>
    <w:rsid w:val="4CF350C2"/>
    <w:rsid w:val="4D585D79"/>
    <w:rsid w:val="50164C74"/>
    <w:rsid w:val="50354C77"/>
    <w:rsid w:val="514C1571"/>
    <w:rsid w:val="514E5D3E"/>
    <w:rsid w:val="529630CE"/>
    <w:rsid w:val="535847FC"/>
    <w:rsid w:val="53ED52F0"/>
    <w:rsid w:val="53FC2A40"/>
    <w:rsid w:val="540D178C"/>
    <w:rsid w:val="56284BCA"/>
    <w:rsid w:val="565B19E3"/>
    <w:rsid w:val="56926CC6"/>
    <w:rsid w:val="57CA29E8"/>
    <w:rsid w:val="580466AE"/>
    <w:rsid w:val="585D0627"/>
    <w:rsid w:val="599B7B8D"/>
    <w:rsid w:val="59D67B4A"/>
    <w:rsid w:val="5A0E4961"/>
    <w:rsid w:val="5A415080"/>
    <w:rsid w:val="5ACA70DD"/>
    <w:rsid w:val="5D5E76CE"/>
    <w:rsid w:val="5E0B4B6B"/>
    <w:rsid w:val="5E0C5B17"/>
    <w:rsid w:val="5F2F79A2"/>
    <w:rsid w:val="5FC06A48"/>
    <w:rsid w:val="600C22B3"/>
    <w:rsid w:val="6138323B"/>
    <w:rsid w:val="61A2617A"/>
    <w:rsid w:val="63611FDB"/>
    <w:rsid w:val="63B00D0C"/>
    <w:rsid w:val="64024AA0"/>
    <w:rsid w:val="65333B86"/>
    <w:rsid w:val="664B7CA9"/>
    <w:rsid w:val="6674301B"/>
    <w:rsid w:val="668404A4"/>
    <w:rsid w:val="66D83257"/>
    <w:rsid w:val="67EB7217"/>
    <w:rsid w:val="68257ACB"/>
    <w:rsid w:val="68E16877"/>
    <w:rsid w:val="6A326F9F"/>
    <w:rsid w:val="6A372B34"/>
    <w:rsid w:val="6BCC5AB5"/>
    <w:rsid w:val="6BFE58A3"/>
    <w:rsid w:val="6C1C7AD2"/>
    <w:rsid w:val="6C6D5068"/>
    <w:rsid w:val="6D7C4A84"/>
    <w:rsid w:val="6DEC5701"/>
    <w:rsid w:val="6E2F2A59"/>
    <w:rsid w:val="6EDA7046"/>
    <w:rsid w:val="6F4316ED"/>
    <w:rsid w:val="6F6B1EFD"/>
    <w:rsid w:val="70FA0A95"/>
    <w:rsid w:val="7106579F"/>
    <w:rsid w:val="71537C4A"/>
    <w:rsid w:val="72E22A98"/>
    <w:rsid w:val="73C0345F"/>
    <w:rsid w:val="73E122AF"/>
    <w:rsid w:val="746563E1"/>
    <w:rsid w:val="74C35890"/>
    <w:rsid w:val="75045006"/>
    <w:rsid w:val="757545D6"/>
    <w:rsid w:val="779615A8"/>
    <w:rsid w:val="78497F42"/>
    <w:rsid w:val="7B4106E0"/>
    <w:rsid w:val="7D185062"/>
    <w:rsid w:val="7E772C0A"/>
    <w:rsid w:val="7EEB29BF"/>
    <w:rsid w:val="7FA20D20"/>
    <w:rsid w:val="7FC2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ocuments\WeChat%20Files\ssjtzh\FileStorage\File\2024-01\&#26032;&#24314;%20XLS%20&#24037;&#20316;&#349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chemeClr val="accent3"/>
              </a:solidFill>
              <a:ln>
                <a:solidFill>
                  <a:schemeClr val="bg1"/>
                </a:solidFill>
              </a:ln>
              <a:effectLst/>
            </c:spPr>
          </c:dPt>
          <c:dPt>
            <c:idx val="3"/>
            <c:bubble3D val="0"/>
            <c:explosion val="0"/>
            <c:spPr>
              <a:solidFill>
                <a:schemeClr val="accent4"/>
              </a:solidFill>
              <a:ln>
                <a:solidFill>
                  <a:schemeClr val="bg1"/>
                </a:solidFill>
              </a:ln>
              <a:effectLst/>
            </c:spPr>
          </c:dPt>
          <c:dPt>
            <c:idx val="4"/>
            <c:bubble3D val="0"/>
            <c:explosion val="0"/>
            <c:spPr>
              <a:solidFill>
                <a:schemeClr val="accent5"/>
              </a:solidFill>
              <a:ln>
                <a:solidFill>
                  <a:schemeClr val="bg1"/>
                </a:solidFill>
              </a:ln>
              <a:effectLst/>
            </c:spPr>
          </c:dPt>
          <c:dPt>
            <c:idx val="5"/>
            <c:bubble3D val="0"/>
            <c:explosion val="0"/>
            <c:spPr>
              <a:solidFill>
                <a:schemeClr val="accent6"/>
              </a:solidFill>
              <a:ln>
                <a:solidFill>
                  <a:schemeClr val="bg1"/>
                </a:solidFill>
              </a:ln>
              <a:effectLst/>
            </c:spPr>
          </c:dPt>
          <c:dPt>
            <c:idx val="6"/>
            <c:bubble3D val="0"/>
            <c:explosion val="0"/>
            <c:spPr>
              <a:solidFill>
                <a:schemeClr val="accent1">
                  <a:lumMod val="60000"/>
                </a:schemeClr>
              </a:solidFill>
              <a:ln>
                <a:solidFill>
                  <a:schemeClr val="bg1"/>
                </a:solidFill>
              </a:ln>
              <a:effectLst/>
            </c:spPr>
          </c:dPt>
          <c:dPt>
            <c:idx val="7"/>
            <c:bubble3D val="0"/>
            <c:explosion val="0"/>
            <c:spPr>
              <a:solidFill>
                <a:schemeClr val="accent2">
                  <a:lumMod val="60000"/>
                </a:schemeClr>
              </a:solidFill>
              <a:ln>
                <a:solidFill>
                  <a:schemeClr val="bg1"/>
                </a:solidFill>
              </a:ln>
              <a:effectLst/>
            </c:spPr>
          </c:dPt>
          <c:dPt>
            <c:idx val="8"/>
            <c:bubble3D val="0"/>
            <c:explosion val="0"/>
            <c:spPr>
              <a:solidFill>
                <a:schemeClr val="accent3">
                  <a:lumMod val="60000"/>
                </a:schemeClr>
              </a:solidFill>
              <a:ln>
                <a:solidFill>
                  <a:schemeClr val="bg1"/>
                </a:solidFill>
              </a:ln>
              <a:effectLst/>
            </c:spPr>
          </c:dPt>
          <c:dPt>
            <c:idx val="9"/>
            <c:bubble3D val="0"/>
            <c:explosion val="0"/>
            <c:spPr>
              <a:solidFill>
                <a:schemeClr val="accent4">
                  <a:lumMod val="60000"/>
                </a:schemeClr>
              </a:solidFill>
              <a:ln>
                <a:solidFill>
                  <a:schemeClr val="bg1"/>
                </a:solidFill>
              </a:ln>
              <a:effectLst/>
            </c:spPr>
          </c:dPt>
          <c:dLbls>
            <c:delete val="1"/>
          </c:dLbls>
          <c:cat>
            <c:strRef>
              <c:f>'[新建 XLS 工作表(1).xls]Sheet1'!$A$1:$A$10</c:f>
              <c:strCache>
                <c:ptCount val="10"/>
                <c:pt idx="0">
                  <c:v>部门文件</c:v>
                </c:pt>
                <c:pt idx="1">
                  <c:v>政策解读</c:v>
                </c:pt>
                <c:pt idx="2">
                  <c:v>机构职能</c:v>
                </c:pt>
                <c:pt idx="3">
                  <c:v>领导信息</c:v>
                </c:pt>
                <c:pt idx="4">
                  <c:v>公示公告</c:v>
                </c:pt>
                <c:pt idx="5">
                  <c:v>评估落实情况</c:v>
                </c:pt>
                <c:pt idx="6">
                  <c:v>行政执法信息公示</c:v>
                </c:pt>
                <c:pt idx="7">
                  <c:v>双随机一公开</c:v>
                </c:pt>
                <c:pt idx="8">
                  <c:v>政府信息公开指南</c:v>
                </c:pt>
                <c:pt idx="9">
                  <c:v>政府信息公开年报</c:v>
                </c:pt>
              </c:strCache>
            </c:strRef>
          </c:cat>
          <c:val>
            <c:numRef>
              <c:f>'[新建 XLS 工作表(1).xls]Sheet1'!$B$1:$B$10</c:f>
              <c:numCache>
                <c:formatCode>General</c:formatCode>
                <c:ptCount val="10"/>
                <c:pt idx="0">
                  <c:v>3</c:v>
                </c:pt>
                <c:pt idx="1">
                  <c:v>5</c:v>
                </c:pt>
                <c:pt idx="2">
                  <c:v>1</c:v>
                </c:pt>
                <c:pt idx="3">
                  <c:v>1</c:v>
                </c:pt>
                <c:pt idx="4">
                  <c:v>7</c:v>
                </c:pt>
                <c:pt idx="5">
                  <c:v>2</c:v>
                </c:pt>
                <c:pt idx="6">
                  <c:v>48</c:v>
                </c:pt>
                <c:pt idx="7">
                  <c:v>10</c:v>
                </c:pt>
                <c:pt idx="8">
                  <c:v>1</c:v>
                </c:pt>
                <c:pt idx="9">
                  <c:v>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2024-01-23T02:16:00Z</dcterms:created>
  <dc:creator>Administrator</dc:creator>
  <cp:lastModifiedBy>Administrator</cp:lastModifiedBy>
  <dcterms:modified xsi:type="dcterms:W3CDTF">2024-01-25T06:28:26Z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