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700" w:lineRule="exact"/>
        <w:ind w:firstLine="0"/>
        <w:jc w:val="center"/>
        <w:textAlignment w:val="auto"/>
        <w:rPr>
          <w:rFonts w:hint="eastAsia" w:ascii="Times New Roman" w:hAnsi="Times New Roman" w:eastAsia="方正小标宋简体" w:cs="方正小标宋简体"/>
          <w:b/>
          <w:bCs w:val="0"/>
          <w:color w:val="000000"/>
          <w:sz w:val="44"/>
          <w:szCs w:val="44"/>
          <w:lang w:val="en-US" w:eastAsia="zh-CN"/>
        </w:rPr>
      </w:pPr>
    </w:p>
    <w:p>
      <w:pPr>
        <w:pStyle w:val="5"/>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700" w:lineRule="exact"/>
        <w:ind w:firstLine="0"/>
        <w:jc w:val="center"/>
        <w:textAlignment w:val="auto"/>
        <w:rPr>
          <w:rFonts w:hint="eastAsia" w:ascii="Times New Roman" w:hAnsi="Times New Roman" w:eastAsia="方正小标宋简体" w:cs="方正小标宋简体"/>
          <w:b/>
          <w:bCs w:val="0"/>
          <w:color w:val="000000"/>
          <w:sz w:val="44"/>
          <w:szCs w:val="44"/>
        </w:rPr>
      </w:pPr>
      <w:r>
        <w:rPr>
          <w:rFonts w:hint="eastAsia" w:ascii="Times New Roman" w:hAnsi="Times New Roman" w:eastAsia="方正小标宋简体" w:cs="方正小标宋简体"/>
          <w:b/>
          <w:bCs w:val="0"/>
          <w:color w:val="000000"/>
          <w:sz w:val="44"/>
          <w:szCs w:val="44"/>
          <w:lang w:val="en-US" w:eastAsia="zh-CN"/>
        </w:rPr>
        <w:t>泗水县财政局</w:t>
      </w:r>
      <w:r>
        <w:rPr>
          <w:rFonts w:hint="eastAsia" w:ascii="Times New Roman" w:hAnsi="Times New Roman" w:eastAsia="方正小标宋简体" w:cs="方正小标宋简体"/>
          <w:b/>
          <w:bCs w:val="0"/>
          <w:color w:val="000000"/>
          <w:sz w:val="44"/>
          <w:szCs w:val="44"/>
        </w:rPr>
        <w:t>202</w:t>
      </w:r>
      <w:r>
        <w:rPr>
          <w:rFonts w:hint="eastAsia" w:ascii="Times New Roman" w:hAnsi="Times New Roman" w:eastAsia="方正小标宋简体" w:cs="方正小标宋简体"/>
          <w:b/>
          <w:bCs w:val="0"/>
          <w:color w:val="000000"/>
          <w:sz w:val="44"/>
          <w:szCs w:val="44"/>
          <w:lang w:val="en-US" w:eastAsia="zh-CN"/>
        </w:rPr>
        <w:t>4</w:t>
      </w:r>
      <w:r>
        <w:rPr>
          <w:rFonts w:hint="eastAsia" w:ascii="Times New Roman" w:hAnsi="Times New Roman" w:eastAsia="方正小标宋简体" w:cs="方正小标宋简体"/>
          <w:b/>
          <w:bCs w:val="0"/>
          <w:color w:val="000000"/>
          <w:sz w:val="44"/>
          <w:szCs w:val="44"/>
        </w:rPr>
        <w:t>年政府信息公开工作</w:t>
      </w:r>
    </w:p>
    <w:p>
      <w:pPr>
        <w:pStyle w:val="5"/>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700" w:lineRule="exact"/>
        <w:ind w:firstLine="0"/>
        <w:jc w:val="center"/>
        <w:textAlignment w:val="auto"/>
        <w:rPr>
          <w:rFonts w:hint="eastAsia" w:ascii="Times New Roman" w:hAnsi="Times New Roman" w:eastAsia="方正小标宋简体" w:cs="方正小标宋简体"/>
          <w:b/>
          <w:bCs w:val="0"/>
          <w:color w:val="000000"/>
          <w:sz w:val="44"/>
          <w:szCs w:val="44"/>
          <w:lang w:eastAsia="zh-CN"/>
        </w:rPr>
      </w:pPr>
      <w:r>
        <w:rPr>
          <w:rFonts w:hint="eastAsia" w:ascii="Times New Roman" w:hAnsi="Times New Roman" w:eastAsia="方正小标宋简体" w:cs="方正小标宋简体"/>
          <w:b/>
          <w:bCs w:val="0"/>
          <w:color w:val="000000"/>
          <w:sz w:val="44"/>
          <w:szCs w:val="44"/>
        </w:rPr>
        <w:t>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Times New Roman" w:hAnsi="Times New Roman" w:eastAsia="方正仿宋简体" w:cs="方正仿宋简体"/>
          <w:b/>
          <w:bCs w:val="0"/>
          <w:i w:val="0"/>
          <w:iCs w:val="0"/>
          <w:caps w:val="0"/>
          <w:color w:val="000000"/>
          <w:spacing w:val="0"/>
          <w:sz w:val="44"/>
          <w:szCs w:val="44"/>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8"/>
          <w:rFonts w:hint="eastAsia" w:ascii="Times New Roman" w:hAnsi="Times New Roman" w:eastAsia="方正仿宋简体" w:cs="方正仿宋简体"/>
          <w:b/>
          <w:bCs w:val="0"/>
          <w:i w:val="0"/>
          <w:iCs w:val="0"/>
          <w:caps w:val="0"/>
          <w:color w:val="000000"/>
          <w:spacing w:val="0"/>
          <w:sz w:val="32"/>
          <w:szCs w:val="32"/>
        </w:rPr>
      </w:pPr>
      <w:r>
        <w:rPr>
          <w:rStyle w:val="8"/>
          <w:rFonts w:hint="eastAsia" w:ascii="Times New Roman" w:hAnsi="Times New Roman" w:eastAsia="方正仿宋简体" w:cs="方正仿宋简体"/>
          <w:b/>
          <w:bCs w:val="0"/>
          <w:i w:val="0"/>
          <w:iCs w:val="0"/>
          <w:caps w:val="0"/>
          <w:color w:val="000000"/>
          <w:spacing w:val="0"/>
          <w:kern w:val="2"/>
          <w:sz w:val="32"/>
          <w:szCs w:val="32"/>
          <w:lang w:bidi="ar-SA"/>
        </w:rPr>
        <w:t>本报告由</w:t>
      </w:r>
      <w:r>
        <w:rPr>
          <w:rStyle w:val="8"/>
          <w:rFonts w:hint="eastAsia" w:ascii="Times New Roman" w:hAnsi="Times New Roman" w:eastAsia="方正仿宋简体" w:cs="方正仿宋简体"/>
          <w:b/>
          <w:bCs w:val="0"/>
          <w:i w:val="0"/>
          <w:iCs w:val="0"/>
          <w:caps w:val="0"/>
          <w:color w:val="000000"/>
          <w:spacing w:val="0"/>
          <w:kern w:val="2"/>
          <w:sz w:val="32"/>
          <w:szCs w:val="32"/>
          <w:u w:val="none"/>
          <w:lang w:val="en-US" w:eastAsia="zh-CN" w:bidi="ar-SA"/>
        </w:rPr>
        <w:t>泗水县财政局</w:t>
      </w:r>
      <w:r>
        <w:rPr>
          <w:rStyle w:val="8"/>
          <w:rFonts w:hint="eastAsia" w:ascii="Times New Roman" w:hAnsi="Times New Roman" w:eastAsia="方正仿宋简体" w:cs="方正仿宋简体"/>
          <w:b/>
          <w:bCs w:val="0"/>
          <w:i w:val="0"/>
          <w:iCs w:val="0"/>
          <w:caps w:val="0"/>
          <w:color w:val="000000"/>
          <w:spacing w:val="0"/>
          <w:kern w:val="2"/>
          <w:sz w:val="32"/>
          <w:szCs w:val="32"/>
          <w:lang w:bidi="ar-SA"/>
        </w:rPr>
        <w:t>按照《中华人民共和国政府信息公开条例》（以下简称《条例》）和《中华人民共和国政府信息公开工作年度报告格式》（国办公开办函〔2021〕30号）要求编制。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val="0"/>
          <w:i w:val="0"/>
          <w:iCs w:val="0"/>
          <w:caps w:val="0"/>
          <w:color w:val="000000"/>
          <w:spacing w:val="0"/>
          <w:sz w:val="32"/>
          <w:szCs w:val="32"/>
        </w:rPr>
      </w:pPr>
      <w:r>
        <w:rPr>
          <w:rStyle w:val="8"/>
          <w:rFonts w:hint="eastAsia" w:ascii="Times New Roman" w:hAnsi="Times New Roman" w:eastAsia="方正仿宋简体" w:cs="方正仿宋简体"/>
          <w:b/>
          <w:bCs w:val="0"/>
          <w:i w:val="0"/>
          <w:iCs w:val="0"/>
          <w:caps w:val="0"/>
          <w:color w:val="000000"/>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val="0"/>
          <w:i w:val="0"/>
          <w:iCs w:val="0"/>
          <w:caps w:val="0"/>
          <w:color w:val="000000"/>
          <w:spacing w:val="0"/>
          <w:sz w:val="32"/>
          <w:szCs w:val="32"/>
        </w:rPr>
      </w:pPr>
      <w:r>
        <w:rPr>
          <w:rStyle w:val="8"/>
          <w:rFonts w:hint="eastAsia" w:ascii="Times New Roman" w:hAnsi="Times New Roman" w:eastAsia="方正仿宋简体" w:cs="方正仿宋简体"/>
          <w:b/>
          <w:bCs w:val="0"/>
          <w:i w:val="0"/>
          <w:iCs w:val="0"/>
          <w:caps w:val="0"/>
          <w:color w:val="000000"/>
          <w:spacing w:val="0"/>
          <w:kern w:val="2"/>
          <w:sz w:val="32"/>
          <w:szCs w:val="32"/>
          <w:lang w:bidi="ar-SA"/>
        </w:rPr>
        <w:t>本报告所列数据的统计期限自202</w:t>
      </w:r>
      <w:r>
        <w:rPr>
          <w:rStyle w:val="8"/>
          <w:rFonts w:hint="eastAsia" w:ascii="Times New Roman" w:hAnsi="Times New Roman" w:eastAsia="方正仿宋简体" w:cs="方正仿宋简体"/>
          <w:b/>
          <w:bCs w:val="0"/>
          <w:i w:val="0"/>
          <w:iCs w:val="0"/>
          <w:caps w:val="0"/>
          <w:color w:val="000000"/>
          <w:spacing w:val="0"/>
          <w:kern w:val="2"/>
          <w:sz w:val="32"/>
          <w:szCs w:val="32"/>
          <w:lang w:val="en-US" w:eastAsia="zh-CN" w:bidi="ar-SA"/>
        </w:rPr>
        <w:t>4</w:t>
      </w:r>
      <w:r>
        <w:rPr>
          <w:rStyle w:val="8"/>
          <w:rFonts w:hint="eastAsia" w:ascii="Times New Roman" w:hAnsi="Times New Roman" w:eastAsia="方正仿宋简体" w:cs="方正仿宋简体"/>
          <w:b/>
          <w:bCs w:val="0"/>
          <w:i w:val="0"/>
          <w:iCs w:val="0"/>
          <w:caps w:val="0"/>
          <w:color w:val="000000"/>
          <w:spacing w:val="0"/>
          <w:kern w:val="2"/>
          <w:sz w:val="32"/>
          <w:szCs w:val="32"/>
          <w:lang w:bidi="ar-SA"/>
        </w:rPr>
        <w:t>年1月1日起至202</w:t>
      </w:r>
      <w:r>
        <w:rPr>
          <w:rStyle w:val="8"/>
          <w:rFonts w:hint="eastAsia" w:ascii="Times New Roman" w:hAnsi="Times New Roman" w:eastAsia="方正仿宋简体" w:cs="方正仿宋简体"/>
          <w:b/>
          <w:bCs w:val="0"/>
          <w:i w:val="0"/>
          <w:iCs w:val="0"/>
          <w:caps w:val="0"/>
          <w:color w:val="000000"/>
          <w:spacing w:val="0"/>
          <w:kern w:val="2"/>
          <w:sz w:val="32"/>
          <w:szCs w:val="32"/>
          <w:lang w:val="en-US" w:eastAsia="zh-CN" w:bidi="ar-SA"/>
        </w:rPr>
        <w:t>4</w:t>
      </w:r>
      <w:r>
        <w:rPr>
          <w:rStyle w:val="8"/>
          <w:rFonts w:hint="eastAsia" w:ascii="Times New Roman" w:hAnsi="Times New Roman" w:eastAsia="方正仿宋简体" w:cs="方正仿宋简体"/>
          <w:b/>
          <w:bCs w:val="0"/>
          <w:i w:val="0"/>
          <w:iCs w:val="0"/>
          <w:caps w:val="0"/>
          <w:color w:val="000000"/>
          <w:spacing w:val="0"/>
          <w:kern w:val="2"/>
          <w:sz w:val="32"/>
          <w:szCs w:val="32"/>
          <w:lang w:bidi="ar-SA"/>
        </w:rPr>
        <w:t>年12月31日止。</w:t>
      </w:r>
      <w:r>
        <w:rPr>
          <w:rFonts w:hint="eastAsia" w:ascii="Times New Roman" w:hAnsi="Times New Roman" w:eastAsia="方正仿宋简体" w:cs="方正仿宋简体"/>
          <w:b/>
          <w:bCs/>
          <w:color w:val="000000"/>
          <w:sz w:val="32"/>
          <w:szCs w:val="32"/>
        </w:rPr>
        <w:t>本报告电子版可在泗水县政府门户网站（</w:t>
      </w:r>
      <w:r>
        <w:rPr>
          <w:rStyle w:val="8"/>
          <w:rFonts w:hint="eastAsia" w:ascii="Times New Roman" w:hAnsi="Times New Roman" w:eastAsia="方正仿宋简体" w:cs="方正仿宋简体"/>
          <w:b/>
          <w:bCs w:val="0"/>
          <w:i w:val="0"/>
          <w:iCs w:val="0"/>
          <w:caps w:val="0"/>
          <w:color w:val="000000"/>
          <w:spacing w:val="0"/>
          <w:kern w:val="2"/>
          <w:sz w:val="32"/>
          <w:szCs w:val="32"/>
          <w:lang w:bidi="ar-SA"/>
        </w:rPr>
        <w:t>www.sishui.gov.cn/</w:t>
      </w:r>
      <w:r>
        <w:rPr>
          <w:rFonts w:hint="eastAsia" w:ascii="Times New Roman" w:hAnsi="Times New Roman" w:eastAsia="方正仿宋简体" w:cs="方正仿宋简体"/>
          <w:b/>
          <w:bCs/>
          <w:color w:val="000000"/>
          <w:sz w:val="32"/>
          <w:szCs w:val="32"/>
        </w:rPr>
        <w:t>）查阅和下载</w:t>
      </w:r>
      <w:r>
        <w:rPr>
          <w:rStyle w:val="8"/>
          <w:rFonts w:hint="eastAsia" w:ascii="Times New Roman" w:hAnsi="Times New Roman" w:eastAsia="方正仿宋简体" w:cs="方正仿宋简体"/>
          <w:b/>
          <w:bCs w:val="0"/>
          <w:i w:val="0"/>
          <w:iCs w:val="0"/>
          <w:caps w:val="0"/>
          <w:color w:val="000000"/>
          <w:spacing w:val="0"/>
          <w:kern w:val="2"/>
          <w:sz w:val="32"/>
          <w:szCs w:val="32"/>
          <w:lang w:bidi="ar-SA"/>
        </w:rPr>
        <w:t>。</w:t>
      </w:r>
      <w:r>
        <w:rPr>
          <w:rFonts w:hint="eastAsia" w:ascii="Times New Roman" w:hAnsi="Times New Roman" w:eastAsia="方正仿宋简体" w:cs="方正仿宋简体"/>
          <w:b/>
          <w:bCs w:val="0"/>
          <w:i w:val="0"/>
          <w:iCs w:val="0"/>
          <w:caps w:val="0"/>
          <w:color w:val="000000"/>
          <w:spacing w:val="0"/>
          <w:sz w:val="32"/>
          <w:szCs w:val="32"/>
          <w:shd w:val="clear" w:color="auto" w:fill="FFFFFF"/>
        </w:rPr>
        <w:t>如对本报告有疑问，请与</w:t>
      </w:r>
      <w:r>
        <w:rPr>
          <w:rFonts w:hint="eastAsia" w:ascii="Times New Roman" w:hAnsi="Times New Roman" w:eastAsia="方正仿宋简体" w:cs="方正仿宋简体"/>
          <w:b/>
          <w:bCs/>
          <w:color w:val="000000"/>
          <w:sz w:val="32"/>
          <w:szCs w:val="32"/>
        </w:rPr>
        <w:t>泗水县财政局</w:t>
      </w:r>
      <w:r>
        <w:rPr>
          <w:rFonts w:hint="eastAsia" w:ascii="Times New Roman" w:hAnsi="Times New Roman" w:eastAsia="方正仿宋简体" w:cs="方正仿宋简体"/>
          <w:b/>
          <w:bCs w:val="0"/>
          <w:i w:val="0"/>
          <w:iCs w:val="0"/>
          <w:caps w:val="0"/>
          <w:color w:val="000000"/>
          <w:spacing w:val="0"/>
          <w:sz w:val="32"/>
          <w:szCs w:val="32"/>
          <w:shd w:val="clear" w:color="auto" w:fill="FFFFFF"/>
        </w:rPr>
        <w:t>联系（地址：</w:t>
      </w:r>
      <w:r>
        <w:rPr>
          <w:rFonts w:hint="eastAsia" w:ascii="Times New Roman" w:hAnsi="Times New Roman" w:eastAsia="方正仿宋简体" w:cs="方正仿宋简体"/>
          <w:b/>
          <w:bCs/>
          <w:color w:val="000000"/>
          <w:sz w:val="32"/>
          <w:szCs w:val="32"/>
        </w:rPr>
        <w:t>济宁市泗水县中兴路</w:t>
      </w:r>
      <w:r>
        <w:rPr>
          <w:rStyle w:val="8"/>
          <w:rFonts w:hint="eastAsia" w:ascii="Times New Roman" w:hAnsi="Times New Roman" w:eastAsia="方正仿宋简体" w:cs="方正仿宋简体"/>
          <w:b/>
          <w:bCs w:val="0"/>
          <w:i w:val="0"/>
          <w:iCs w:val="0"/>
          <w:caps w:val="0"/>
          <w:color w:val="000000"/>
          <w:spacing w:val="0"/>
          <w:kern w:val="2"/>
          <w:sz w:val="32"/>
          <w:szCs w:val="32"/>
          <w:lang w:bidi="ar-SA"/>
        </w:rPr>
        <w:t>10</w:t>
      </w:r>
      <w:r>
        <w:rPr>
          <w:rFonts w:hint="eastAsia" w:ascii="Times New Roman" w:hAnsi="Times New Roman" w:eastAsia="方正仿宋简体" w:cs="方正仿宋简体"/>
          <w:b/>
          <w:bCs/>
          <w:color w:val="000000"/>
          <w:sz w:val="32"/>
          <w:szCs w:val="32"/>
        </w:rPr>
        <w:t>号</w:t>
      </w:r>
      <w:r>
        <w:rPr>
          <w:rFonts w:hint="eastAsia" w:ascii="Times New Roman" w:hAnsi="Times New Roman" w:eastAsia="方正仿宋简体" w:cs="方正仿宋简体"/>
          <w:b/>
          <w:bCs w:val="0"/>
          <w:i w:val="0"/>
          <w:iCs w:val="0"/>
          <w:caps w:val="0"/>
          <w:color w:val="000000"/>
          <w:spacing w:val="0"/>
          <w:sz w:val="32"/>
          <w:szCs w:val="32"/>
          <w:shd w:val="clear" w:color="auto" w:fill="FFFFFF"/>
        </w:rPr>
        <w:t>，联系电话：</w:t>
      </w:r>
      <w:r>
        <w:rPr>
          <w:rStyle w:val="8"/>
          <w:rFonts w:hint="eastAsia" w:ascii="Times New Roman" w:hAnsi="Times New Roman" w:eastAsia="方正仿宋简体" w:cs="方正仿宋简体"/>
          <w:b/>
          <w:bCs w:val="0"/>
          <w:i w:val="0"/>
          <w:iCs w:val="0"/>
          <w:caps w:val="0"/>
          <w:color w:val="000000"/>
          <w:spacing w:val="0"/>
          <w:kern w:val="2"/>
          <w:sz w:val="32"/>
          <w:szCs w:val="32"/>
          <w:lang w:bidi="ar-SA"/>
        </w:rPr>
        <w:t>0537-</w:t>
      </w:r>
      <w:r>
        <w:rPr>
          <w:rStyle w:val="8"/>
          <w:rFonts w:hint="eastAsia" w:ascii="Times New Roman" w:hAnsi="Times New Roman" w:eastAsia="方正仿宋简体" w:cs="方正仿宋简体"/>
          <w:b/>
          <w:bCs w:val="0"/>
          <w:i w:val="0"/>
          <w:iCs w:val="0"/>
          <w:caps w:val="0"/>
          <w:color w:val="000000"/>
          <w:spacing w:val="0"/>
          <w:kern w:val="2"/>
          <w:sz w:val="32"/>
          <w:szCs w:val="32"/>
          <w:lang w:val="en-US" w:eastAsia="zh-CN" w:bidi="ar-SA"/>
        </w:rPr>
        <w:t>4221597</w:t>
      </w:r>
      <w:r>
        <w:rPr>
          <w:rFonts w:hint="eastAsia" w:ascii="Times New Roman" w:hAnsi="Times New Roman" w:eastAsia="方正仿宋简体" w:cs="方正仿宋简体"/>
          <w:b/>
          <w:bCs w:val="0"/>
          <w:i w:val="0"/>
          <w:iCs w:val="0"/>
          <w:caps w:val="0"/>
          <w:color w:val="000000"/>
          <w:spacing w:val="0"/>
          <w:sz w:val="32"/>
          <w:szCs w:val="32"/>
          <w:shd w:val="clear" w:color="auto" w:fill="FFFFFF"/>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黑体简体" w:cs="方正黑体简体"/>
          <w:b/>
          <w:bCs w:val="0"/>
          <w:i w:val="0"/>
          <w:iCs w:val="0"/>
          <w:caps w:val="0"/>
          <w:color w:val="000000"/>
          <w:spacing w:val="0"/>
          <w:sz w:val="32"/>
          <w:szCs w:val="32"/>
          <w:shd w:val="clear" w:color="auto" w:fill="FFFFFF"/>
        </w:rPr>
      </w:pPr>
      <w:r>
        <w:rPr>
          <w:rFonts w:hint="eastAsia" w:ascii="Times New Roman" w:hAnsi="Times New Roman" w:eastAsia="方正黑体简体" w:cs="方正黑体简体"/>
          <w:b/>
          <w:bCs w:val="0"/>
          <w:i w:val="0"/>
          <w:iCs w:val="0"/>
          <w:caps w:val="0"/>
          <w:color w:val="000000"/>
          <w:spacing w:val="0"/>
          <w:sz w:val="32"/>
          <w:szCs w:val="32"/>
          <w:shd w:val="clear" w:color="auto" w:fill="FFFFFF"/>
        </w:rPr>
        <w:t>一、总体情况</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Times New Roman" w:hAnsi="Times New Roman" w:eastAsia="方正仿宋简体" w:cs="方正仿宋简体"/>
          <w:b/>
          <w:bCs/>
          <w:color w:val="000000"/>
          <w:kern w:val="0"/>
          <w:sz w:val="32"/>
          <w:szCs w:val="32"/>
          <w:lang w:val="en-US" w:eastAsia="zh-CN" w:bidi="ar-SA"/>
        </w:rPr>
      </w:pPr>
      <w:r>
        <w:rPr>
          <w:rStyle w:val="8"/>
          <w:rFonts w:hint="eastAsia" w:ascii="Times New Roman" w:hAnsi="Times New Roman" w:eastAsia="方正仿宋简体" w:cs="方正仿宋简体"/>
          <w:b/>
          <w:bCs w:val="0"/>
          <w:i w:val="0"/>
          <w:iCs w:val="0"/>
          <w:caps w:val="0"/>
          <w:color w:val="000000"/>
          <w:spacing w:val="0"/>
          <w:kern w:val="2"/>
          <w:sz w:val="32"/>
          <w:szCs w:val="32"/>
          <w:lang w:val="en-US" w:eastAsia="zh-CN" w:bidi="ar-SA"/>
        </w:rPr>
        <w:t>2024</w:t>
      </w:r>
      <w:r>
        <w:rPr>
          <w:rFonts w:hint="eastAsia" w:ascii="Times New Roman" w:hAnsi="Times New Roman" w:eastAsia="方正仿宋简体" w:cs="方正仿宋简体"/>
          <w:b/>
          <w:bCs/>
          <w:color w:val="000000"/>
          <w:kern w:val="0"/>
          <w:sz w:val="32"/>
          <w:szCs w:val="32"/>
          <w:lang w:val="en-US" w:eastAsia="zh-CN" w:bidi="ar-SA"/>
        </w:rPr>
        <w:t>年，泗水县财政局坚持以习近平新时代中国特色社会主义思想为指导，认真贯彻落实《中华人民共和国政府信息公开条例》以及省市信息公开有关规定，不断推进政府信息公开工作扩量提质。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Style w:val="8"/>
          <w:rFonts w:hint="eastAsia" w:ascii="Times New Roman" w:hAnsi="Times New Roman" w:eastAsia="方正楷体简体" w:cs="方正楷体简体"/>
          <w:b/>
          <w:bCs w:val="0"/>
          <w:i w:val="0"/>
          <w:iCs w:val="0"/>
          <w:caps w:val="0"/>
          <w:color w:val="000000"/>
          <w:spacing w:val="0"/>
          <w:sz w:val="32"/>
          <w:szCs w:val="32"/>
        </w:rPr>
      </w:pPr>
      <w:r>
        <w:rPr>
          <w:rFonts w:hint="eastAsia" w:ascii="Times New Roman" w:hAnsi="Times New Roman" w:eastAsia="方正楷体简体" w:cs="方正楷体简体"/>
          <w:b/>
          <w:bCs w:val="0"/>
          <w:i w:val="0"/>
          <w:iCs w:val="0"/>
          <w:caps w:val="0"/>
          <w:color w:val="000000"/>
          <w:spacing w:val="0"/>
          <w:kern w:val="2"/>
          <w:sz w:val="32"/>
          <w:szCs w:val="32"/>
          <w:lang w:val="en-US" w:eastAsia="zh-CN" w:bidi="ar-SA"/>
        </w:rPr>
        <w:t>（一）</w:t>
      </w:r>
      <w:r>
        <w:rPr>
          <w:rStyle w:val="8"/>
          <w:rFonts w:hint="eastAsia" w:ascii="Times New Roman" w:hAnsi="Times New Roman" w:eastAsia="方正楷体简体" w:cs="方正楷体简体"/>
          <w:b/>
          <w:bCs w:val="0"/>
          <w:i w:val="0"/>
          <w:iCs w:val="0"/>
          <w:caps w:val="0"/>
          <w:color w:val="000000"/>
          <w:spacing w:val="0"/>
          <w:sz w:val="32"/>
          <w:szCs w:val="32"/>
          <w:lang w:eastAsia="zh-CN"/>
        </w:rPr>
        <w:t>主动公开</w:t>
      </w:r>
      <w:r>
        <w:rPr>
          <w:rStyle w:val="8"/>
          <w:rFonts w:hint="eastAsia" w:ascii="Times New Roman" w:hAnsi="Times New Roman" w:eastAsia="方正楷体简体" w:cs="方正楷体简体"/>
          <w:b/>
          <w:bCs w:val="0"/>
          <w:i w:val="0"/>
          <w:iCs w:val="0"/>
          <w:caps w:val="0"/>
          <w:color w:val="000000"/>
          <w:spacing w:val="0"/>
          <w:sz w:val="32"/>
          <w:szCs w:val="32"/>
        </w:rPr>
        <w:t>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kern w:val="0"/>
          <w:sz w:val="32"/>
          <w:szCs w:val="32"/>
        </w:rPr>
      </w:pPr>
      <w:bookmarkStart w:id="0" w:name="OLE_LINK1"/>
      <w:r>
        <w:rPr>
          <w:rFonts w:hint="eastAsia" w:ascii="Times New Roman" w:hAnsi="Times New Roman" w:eastAsia="方正仿宋简体" w:cs="方正仿宋简体"/>
          <w:b/>
          <w:bCs/>
          <w:color w:val="000000"/>
          <w:kern w:val="0"/>
          <w:sz w:val="32"/>
          <w:szCs w:val="32"/>
        </w:rPr>
        <w:t>202</w:t>
      </w:r>
      <w:r>
        <w:rPr>
          <w:rFonts w:hint="eastAsia" w:ascii="Times New Roman" w:hAnsi="Times New Roman" w:eastAsia="方正仿宋简体" w:cs="方正仿宋简体"/>
          <w:b/>
          <w:bCs/>
          <w:color w:val="000000"/>
          <w:kern w:val="0"/>
          <w:sz w:val="32"/>
          <w:szCs w:val="32"/>
          <w:lang w:val="en-US" w:eastAsia="zh-CN"/>
        </w:rPr>
        <w:t>4</w:t>
      </w:r>
      <w:r>
        <w:rPr>
          <w:rFonts w:hint="eastAsia" w:ascii="Times New Roman" w:hAnsi="Times New Roman" w:eastAsia="方正仿宋简体" w:cs="方正仿宋简体"/>
          <w:b/>
          <w:bCs/>
          <w:color w:val="000000"/>
          <w:kern w:val="0"/>
          <w:sz w:val="32"/>
          <w:szCs w:val="32"/>
        </w:rPr>
        <w:t>年</w:t>
      </w:r>
      <w:r>
        <w:rPr>
          <w:rFonts w:hint="eastAsia" w:ascii="Times New Roman" w:hAnsi="Times New Roman" w:eastAsia="方正仿宋简体" w:cs="方正仿宋简体"/>
          <w:b/>
          <w:bCs/>
          <w:color w:val="000000"/>
          <w:kern w:val="0"/>
          <w:sz w:val="32"/>
          <w:szCs w:val="32"/>
          <w:lang w:eastAsia="zh-CN"/>
        </w:rPr>
        <w:t>，</w:t>
      </w:r>
      <w:r>
        <w:rPr>
          <w:rFonts w:hint="eastAsia" w:ascii="Times New Roman" w:hAnsi="Times New Roman" w:eastAsia="方正仿宋简体" w:cs="方正仿宋简体"/>
          <w:b/>
          <w:bCs/>
          <w:color w:val="000000"/>
          <w:kern w:val="0"/>
          <w:sz w:val="32"/>
          <w:szCs w:val="32"/>
          <w:lang w:val="en-US" w:eastAsia="zh-CN"/>
        </w:rPr>
        <w:t>泗水</w:t>
      </w:r>
      <w:r>
        <w:rPr>
          <w:rFonts w:hint="eastAsia" w:ascii="Times New Roman" w:hAnsi="Times New Roman" w:eastAsia="方正仿宋简体" w:cs="方正仿宋简体"/>
          <w:b/>
          <w:bCs/>
          <w:color w:val="000000"/>
          <w:kern w:val="0"/>
          <w:sz w:val="32"/>
          <w:szCs w:val="32"/>
        </w:rPr>
        <w:t>县财政局通过泗水县政府门户网站累计发布各类信息</w:t>
      </w:r>
      <w:r>
        <w:rPr>
          <w:rFonts w:hint="eastAsia" w:ascii="Times New Roman" w:hAnsi="Times New Roman" w:eastAsia="方正仿宋简体" w:cs="方正仿宋简体"/>
          <w:b/>
          <w:bCs/>
          <w:color w:val="000000"/>
          <w:kern w:val="0"/>
          <w:sz w:val="32"/>
          <w:szCs w:val="32"/>
          <w:lang w:val="en-US" w:eastAsia="zh-CN"/>
        </w:rPr>
        <w:t>569</w:t>
      </w:r>
      <w:r>
        <w:rPr>
          <w:rFonts w:hint="eastAsia" w:ascii="Times New Roman" w:hAnsi="Times New Roman" w:eastAsia="方正仿宋简体" w:cs="方正仿宋简体"/>
          <w:b/>
          <w:bCs/>
          <w:color w:val="000000"/>
          <w:kern w:val="0"/>
          <w:sz w:val="32"/>
          <w:szCs w:val="32"/>
        </w:rPr>
        <w:t>条</w:t>
      </w:r>
      <w:bookmarkEnd w:id="0"/>
      <w:r>
        <w:rPr>
          <w:rFonts w:hint="eastAsia" w:ascii="Times New Roman" w:hAnsi="Times New Roman" w:eastAsia="方正仿宋简体" w:cs="方正仿宋简体"/>
          <w:b/>
          <w:bCs/>
          <w:color w:val="000000"/>
          <w:kern w:val="0"/>
          <w:sz w:val="32"/>
          <w:szCs w:val="32"/>
        </w:rPr>
        <w:t>，</w:t>
      </w:r>
      <w:r>
        <w:rPr>
          <w:rFonts w:hint="eastAsia" w:ascii="Times New Roman" w:hAnsi="Times New Roman" w:eastAsia="方正仿宋简体" w:cs="方正仿宋简体"/>
          <w:b/>
          <w:bCs/>
          <w:color w:val="000000"/>
          <w:kern w:val="0"/>
          <w:sz w:val="32"/>
          <w:szCs w:val="32"/>
          <w:lang w:val="en-US" w:eastAsia="zh-CN"/>
        </w:rPr>
        <w:t>其中：</w:t>
      </w:r>
      <w:bookmarkStart w:id="1" w:name="OLE_LINK2"/>
      <w:r>
        <w:rPr>
          <w:rFonts w:hint="eastAsia" w:ascii="Times New Roman" w:hAnsi="Times New Roman" w:eastAsia="方正仿宋简体" w:cs="方正仿宋简体"/>
          <w:b/>
          <w:bCs/>
          <w:color w:val="000000"/>
          <w:kern w:val="0"/>
          <w:sz w:val="32"/>
          <w:szCs w:val="32"/>
          <w:lang w:val="en-US" w:eastAsia="zh-CN"/>
        </w:rPr>
        <w:t>财政预算信息263条；财政决算信息153条；财政资金直达基层信息12条；价格与收费信息12条；政府采购信息18条；</w:t>
      </w:r>
      <w:bookmarkEnd w:id="1"/>
      <w:r>
        <w:rPr>
          <w:rFonts w:hint="eastAsia" w:ascii="Times New Roman" w:hAnsi="Times New Roman" w:eastAsia="方正仿宋简体" w:cs="方正仿宋简体"/>
          <w:b/>
          <w:bCs/>
          <w:color w:val="000000"/>
          <w:kern w:val="0"/>
          <w:sz w:val="32"/>
          <w:szCs w:val="32"/>
          <w:lang w:val="en-US" w:eastAsia="zh-CN"/>
        </w:rPr>
        <w:t>其他信息111条</w:t>
      </w:r>
      <w:r>
        <w:rPr>
          <w:rFonts w:hint="eastAsia" w:ascii="Times New Roman" w:hAnsi="Times New Roman" w:eastAsia="方正仿宋简体" w:cs="方正仿宋简体"/>
          <w:b/>
          <w:bCs/>
          <w:color w:val="000000"/>
          <w:kern w:val="0"/>
          <w:sz w:val="32"/>
          <w:szCs w:val="32"/>
        </w:rPr>
        <w:t>。</w:t>
      </w:r>
    </w:p>
    <w:p>
      <w:pPr>
        <w:numPr>
          <w:ilvl w:val="0"/>
          <w:numId w:val="0"/>
        </w:numPr>
        <w:shd w:val="clear" w:color="auto" w:fill="auto"/>
        <w:ind w:firstLine="420" w:firstLineChars="200"/>
        <w:jc w:val="center"/>
        <w:rPr>
          <w:rStyle w:val="8"/>
          <w:rFonts w:hint="eastAsia" w:ascii="Times New Roman" w:hAnsi="Times New Roman" w:eastAsia="方正仿宋简体" w:cs="方正仿宋简体"/>
          <w:b/>
          <w:bCs w:val="0"/>
          <w:i w:val="0"/>
          <w:iCs w:val="0"/>
          <w:caps w:val="0"/>
          <w:color w:val="000000"/>
          <w:spacing w:val="0"/>
          <w:sz w:val="32"/>
          <w:szCs w:val="32"/>
          <w:lang w:eastAsia="zh-CN"/>
        </w:rPr>
      </w:pPr>
      <w:r>
        <w:rPr>
          <w:rFonts w:hint="eastAsia" w:ascii="Times New Roman" w:hAnsi="Times New Roman" w:eastAsia="方正仿宋简体" w:cs="方正仿宋简体"/>
          <w:color w:val="000000"/>
        </w:rPr>
        <w:drawing>
          <wp:inline distT="0" distB="0" distL="114300" distR="114300">
            <wp:extent cx="4953000" cy="3943350"/>
            <wp:effectExtent l="4445" t="4445" r="1460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val="0"/>
          <w:i w:val="0"/>
          <w:iCs w:val="0"/>
          <w:caps w:val="0"/>
          <w:color w:val="000000"/>
          <w:spacing w:val="0"/>
          <w:kern w:val="2"/>
          <w:sz w:val="32"/>
          <w:szCs w:val="32"/>
          <w:lang w:val="en-US" w:eastAsia="zh-CN" w:bidi="ar-SA"/>
        </w:rPr>
      </w:pPr>
      <w:r>
        <w:rPr>
          <w:rFonts w:hint="eastAsia" w:ascii="Times New Roman" w:hAnsi="Times New Roman" w:eastAsia="方正楷体简体" w:cs="方正楷体简体"/>
          <w:b/>
          <w:bCs w:val="0"/>
          <w:i w:val="0"/>
          <w:iCs w:val="0"/>
          <w:caps w:val="0"/>
          <w:color w:val="000000"/>
          <w:spacing w:val="0"/>
          <w:kern w:val="2"/>
          <w:sz w:val="32"/>
          <w:szCs w:val="32"/>
          <w:lang w:val="en-US" w:eastAsia="zh-CN" w:bidi="ar-SA"/>
        </w:rPr>
        <w:t>（二）依申请公开情况。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Style w:val="8"/>
          <w:rFonts w:hint="eastAsia" w:ascii="Times New Roman" w:hAnsi="Times New Roman" w:eastAsia="方正仿宋简体" w:cs="方正仿宋简体"/>
          <w:b/>
          <w:bCs w:val="0"/>
          <w:i w:val="0"/>
          <w:iCs w:val="0"/>
          <w:caps w:val="0"/>
          <w:color w:val="000000"/>
          <w:spacing w:val="0"/>
          <w:sz w:val="32"/>
          <w:szCs w:val="32"/>
          <w:lang w:eastAsia="zh-CN"/>
        </w:rPr>
      </w:pPr>
      <w:r>
        <w:rPr>
          <w:rFonts w:hint="eastAsia" w:ascii="Times New Roman" w:hAnsi="Times New Roman" w:eastAsia="方正仿宋简体" w:cs="方正仿宋简体"/>
          <w:b/>
          <w:bCs/>
          <w:color w:val="000000"/>
          <w:kern w:val="0"/>
          <w:sz w:val="32"/>
          <w:szCs w:val="32"/>
          <w:lang w:eastAsia="zh-CN"/>
        </w:rPr>
        <w:t>202</w:t>
      </w:r>
      <w:r>
        <w:rPr>
          <w:rFonts w:hint="eastAsia" w:ascii="Times New Roman" w:hAnsi="Times New Roman" w:eastAsia="方正仿宋简体" w:cs="方正仿宋简体"/>
          <w:b/>
          <w:bCs/>
          <w:color w:val="000000"/>
          <w:kern w:val="0"/>
          <w:sz w:val="32"/>
          <w:szCs w:val="32"/>
          <w:lang w:val="en-US" w:eastAsia="zh-CN"/>
        </w:rPr>
        <w:t>4</w:t>
      </w:r>
      <w:r>
        <w:rPr>
          <w:rFonts w:hint="eastAsia" w:ascii="Times New Roman" w:hAnsi="Times New Roman" w:eastAsia="方正仿宋简体" w:cs="方正仿宋简体"/>
          <w:b/>
          <w:bCs/>
          <w:color w:val="000000"/>
          <w:kern w:val="0"/>
          <w:sz w:val="32"/>
          <w:szCs w:val="32"/>
        </w:rPr>
        <w:t>年</w:t>
      </w:r>
      <w:r>
        <w:rPr>
          <w:rFonts w:hint="eastAsia" w:ascii="Times New Roman" w:hAnsi="Times New Roman" w:eastAsia="方正仿宋简体" w:cs="方正仿宋简体"/>
          <w:b/>
          <w:bCs/>
          <w:color w:val="000000"/>
          <w:kern w:val="0"/>
          <w:sz w:val="32"/>
          <w:szCs w:val="32"/>
          <w:lang w:eastAsia="zh-CN"/>
        </w:rPr>
        <w:t>，</w:t>
      </w:r>
      <w:r>
        <w:rPr>
          <w:rFonts w:hint="eastAsia" w:ascii="Times New Roman" w:hAnsi="Times New Roman" w:eastAsia="方正仿宋简体" w:cs="方正仿宋简体"/>
          <w:b/>
          <w:bCs/>
          <w:color w:val="000000"/>
          <w:kern w:val="0"/>
          <w:sz w:val="32"/>
          <w:szCs w:val="32"/>
          <w:lang w:val="en-US" w:eastAsia="zh-CN"/>
        </w:rPr>
        <w:t>泗水</w:t>
      </w:r>
      <w:r>
        <w:rPr>
          <w:rFonts w:hint="eastAsia" w:ascii="Times New Roman" w:hAnsi="Times New Roman" w:eastAsia="方正仿宋简体" w:cs="方正仿宋简体"/>
          <w:b/>
          <w:bCs/>
          <w:color w:val="000000"/>
          <w:kern w:val="0"/>
          <w:sz w:val="32"/>
          <w:szCs w:val="32"/>
        </w:rPr>
        <w:t>县财政局收到</w:t>
      </w:r>
      <w:r>
        <w:rPr>
          <w:rFonts w:hint="eastAsia" w:ascii="Times New Roman" w:hAnsi="Times New Roman" w:eastAsia="方正仿宋简体" w:cs="方正仿宋简体"/>
          <w:b/>
          <w:bCs/>
          <w:color w:val="000000"/>
          <w:kern w:val="0"/>
          <w:sz w:val="32"/>
          <w:szCs w:val="32"/>
          <w:lang w:val="en-US" w:eastAsia="zh-CN"/>
        </w:rPr>
        <w:t>1</w:t>
      </w:r>
      <w:r>
        <w:rPr>
          <w:rFonts w:hint="eastAsia" w:ascii="Times New Roman" w:hAnsi="Times New Roman" w:eastAsia="方正仿宋简体" w:cs="方正仿宋简体"/>
          <w:b/>
          <w:bCs/>
          <w:color w:val="000000"/>
          <w:kern w:val="0"/>
          <w:sz w:val="32"/>
          <w:szCs w:val="32"/>
        </w:rPr>
        <w:t>条依申请公开政府信息，未收取任何费用。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val="0"/>
          <w:i w:val="0"/>
          <w:iCs w:val="0"/>
          <w:caps w:val="0"/>
          <w:color w:val="000000"/>
          <w:spacing w:val="0"/>
          <w:kern w:val="2"/>
          <w:sz w:val="32"/>
          <w:szCs w:val="32"/>
          <w:lang w:val="en-US" w:eastAsia="zh-CN" w:bidi="ar-SA"/>
        </w:rPr>
      </w:pPr>
      <w:r>
        <w:rPr>
          <w:rFonts w:hint="eastAsia" w:ascii="Times New Roman" w:hAnsi="Times New Roman" w:eastAsia="方正楷体简体" w:cs="方正楷体简体"/>
          <w:b/>
          <w:bCs w:val="0"/>
          <w:i w:val="0"/>
          <w:iCs w:val="0"/>
          <w:caps w:val="0"/>
          <w:color w:val="000000"/>
          <w:spacing w:val="0"/>
          <w:kern w:val="2"/>
          <w:sz w:val="32"/>
          <w:szCs w:val="32"/>
          <w:lang w:val="en-US" w:eastAsia="zh-CN" w:bidi="ar-SA"/>
        </w:rPr>
        <w:t>（三）政府信息管理情况。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kern w:val="0"/>
          <w:sz w:val="32"/>
          <w:szCs w:val="32"/>
          <w:lang w:val="en-US" w:eastAsia="zh-CN"/>
        </w:rPr>
      </w:pPr>
      <w:r>
        <w:rPr>
          <w:rFonts w:hint="eastAsia" w:ascii="Times New Roman" w:hAnsi="Times New Roman" w:eastAsia="方正仿宋简体" w:cs="方正仿宋简体"/>
          <w:b/>
          <w:bCs/>
          <w:color w:val="000000"/>
          <w:kern w:val="0"/>
          <w:sz w:val="32"/>
          <w:szCs w:val="32"/>
          <w:lang w:val="en-US" w:eastAsia="zh-CN"/>
        </w:rPr>
        <w:t>明确信息公开时限要求，确保信息上传及时、避免出现空白栏目，扎实做好信息上传维护工作。优化公开质量，更好回应社会关切，为人民群众提供更多便利。</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val="0"/>
          <w:i w:val="0"/>
          <w:iCs w:val="0"/>
          <w:caps w:val="0"/>
          <w:color w:val="000000"/>
          <w:spacing w:val="0"/>
          <w:kern w:val="2"/>
          <w:sz w:val="32"/>
          <w:szCs w:val="32"/>
          <w:lang w:val="en-US" w:eastAsia="zh-CN" w:bidi="ar-SA"/>
        </w:rPr>
      </w:pPr>
      <w:r>
        <w:rPr>
          <w:rFonts w:hint="eastAsia" w:ascii="Times New Roman" w:hAnsi="Times New Roman" w:eastAsia="方正楷体简体" w:cs="方正楷体简体"/>
          <w:b/>
          <w:bCs w:val="0"/>
          <w:i w:val="0"/>
          <w:iCs w:val="0"/>
          <w:caps w:val="0"/>
          <w:color w:val="000000"/>
          <w:spacing w:val="0"/>
          <w:kern w:val="2"/>
          <w:sz w:val="32"/>
          <w:szCs w:val="32"/>
          <w:lang w:val="en-US" w:eastAsia="zh-CN" w:bidi="ar-SA"/>
        </w:rPr>
        <w:t>（四）政府信息公开平台建设情况。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kern w:val="0"/>
          <w:sz w:val="32"/>
          <w:szCs w:val="32"/>
          <w:lang w:val="en-US" w:eastAsia="zh-CN"/>
        </w:rPr>
      </w:pPr>
      <w:r>
        <w:rPr>
          <w:rFonts w:hint="eastAsia" w:ascii="Times New Roman" w:hAnsi="Times New Roman" w:eastAsia="方正仿宋简体" w:cs="方正仿宋简体"/>
          <w:b/>
          <w:bCs/>
          <w:color w:val="000000"/>
          <w:kern w:val="0"/>
          <w:sz w:val="32"/>
          <w:szCs w:val="32"/>
          <w:lang w:val="en-US" w:eastAsia="zh-CN"/>
        </w:rPr>
        <w:t>泗水县财政局严格落实信息内容发布审核制度，坚持分级分类审核、先审后发，明确审核主体、审核流程，严把政治关、法律关、政策关、保密关、文字关、图片关、音视频关、舆情关，确保内容安全，切实防范网络意识形态风险。</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楷体简体" w:cs="方正楷体简体"/>
          <w:b/>
          <w:bCs w:val="0"/>
          <w:i w:val="0"/>
          <w:iCs w:val="0"/>
          <w:caps w:val="0"/>
          <w:color w:val="000000"/>
          <w:spacing w:val="0"/>
          <w:kern w:val="2"/>
          <w:sz w:val="32"/>
          <w:szCs w:val="32"/>
          <w:lang w:val="en-US" w:eastAsia="zh-CN" w:bidi="ar-SA"/>
        </w:rPr>
      </w:pPr>
      <w:r>
        <w:rPr>
          <w:rFonts w:hint="eastAsia" w:ascii="Times New Roman" w:hAnsi="Times New Roman" w:eastAsia="方正楷体简体" w:cs="方正楷体简体"/>
          <w:b/>
          <w:bCs w:val="0"/>
          <w:i w:val="0"/>
          <w:iCs w:val="0"/>
          <w:caps w:val="0"/>
          <w:color w:val="000000"/>
          <w:spacing w:val="0"/>
          <w:kern w:val="2"/>
          <w:sz w:val="32"/>
          <w:szCs w:val="32"/>
          <w:lang w:val="en-US" w:eastAsia="zh-CN" w:bidi="ar-SA"/>
        </w:rPr>
        <w:t>（五）监督保障情况。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方正仿宋简体" w:cs="方正仿宋简体"/>
          <w:b/>
          <w:bCs/>
          <w:color w:val="000000"/>
          <w:kern w:val="0"/>
          <w:sz w:val="32"/>
          <w:szCs w:val="32"/>
          <w:lang w:val="en-US" w:eastAsia="zh-CN"/>
        </w:rPr>
      </w:pPr>
      <w:r>
        <w:rPr>
          <w:rFonts w:hint="eastAsia" w:ascii="Times New Roman" w:hAnsi="Times New Roman" w:eastAsia="方正仿宋简体" w:cs="方正仿宋简体"/>
          <w:b/>
          <w:bCs/>
          <w:color w:val="000000"/>
          <w:kern w:val="0"/>
          <w:sz w:val="32"/>
          <w:szCs w:val="32"/>
          <w:lang w:val="en-US" w:eastAsia="zh-CN"/>
        </w:rPr>
        <w:t>强化政务公开队伍建设，动态调整局政务公开领导小组成员，确保工作职责落实到人。对省市县政务公开办公室及第三方测评机构反馈的问题清单，立即整改，及时反馈。召开局政务公开工作推进会，统筹部署重点工作，分析差距和不足，制定强化落实措施，持续巩固提升政务公开工作水平。</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Times New Roman" w:hAnsi="Times New Roman" w:eastAsia="方正黑体简体" w:cs="方正黑体简体"/>
          <w:b/>
          <w:bCs w:val="0"/>
          <w:i w:val="0"/>
          <w:iCs w:val="0"/>
          <w:caps w:val="0"/>
          <w:color w:val="000000"/>
          <w:spacing w:val="0"/>
          <w:sz w:val="32"/>
          <w:szCs w:val="32"/>
          <w:shd w:val="clear" w:color="auto" w:fill="FFFFFF"/>
        </w:rPr>
      </w:pPr>
      <w:r>
        <w:rPr>
          <w:rFonts w:hint="eastAsia" w:ascii="Times New Roman" w:hAnsi="Times New Roman" w:eastAsia="方正黑体简体" w:cs="方正黑体简体"/>
          <w:b/>
          <w:bCs w:val="0"/>
          <w:i w:val="0"/>
          <w:iCs w:val="0"/>
          <w:caps w:val="0"/>
          <w:color w:val="000000"/>
          <w:spacing w:val="0"/>
          <w:kern w:val="0"/>
          <w:sz w:val="32"/>
          <w:szCs w:val="32"/>
          <w:shd w:val="clear" w:fill="FFFFFF"/>
          <w:lang w:val="en-US" w:eastAsia="zh-CN" w:bidi="ar"/>
        </w:rPr>
        <w:t>二、</w:t>
      </w:r>
      <w:r>
        <w:rPr>
          <w:rFonts w:hint="eastAsia" w:ascii="Times New Roman" w:hAnsi="Times New Roman" w:eastAsia="方正黑体简体" w:cs="方正黑体简体"/>
          <w:b/>
          <w:bCs w:val="0"/>
          <w:i w:val="0"/>
          <w:iCs w:val="0"/>
          <w:caps w:val="0"/>
          <w:color w:val="000000"/>
          <w:spacing w:val="0"/>
          <w:sz w:val="32"/>
          <w:szCs w:val="32"/>
          <w:shd w:val="clear" w:color="auto" w:fill="FFFFFF"/>
        </w:rPr>
        <w:t>主动公开政府信息情况</w:t>
      </w:r>
    </w:p>
    <w:tbl>
      <w:tblPr>
        <w:tblStyle w:val="6"/>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11"/>
        <w:gridCol w:w="2211"/>
        <w:gridCol w:w="2211"/>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Borders>
              <w:tl2br w:val="nil"/>
              <w:tr2bl w:val="nil"/>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第二十条第（一）项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信息内容</w:t>
            </w:r>
          </w:p>
        </w:tc>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本年制发件数</w:t>
            </w:r>
          </w:p>
        </w:tc>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本年废止件数</w:t>
            </w:r>
          </w:p>
        </w:tc>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现行有效件数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规章</w:t>
            </w:r>
          </w:p>
        </w:tc>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lang w:val="en-US"/>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lang w:val="en-US"/>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lang w:val="en-US"/>
              </w:rPr>
            </w:pPr>
            <w:r>
              <w:rPr>
                <w:rFonts w:hint="eastAsia" w:ascii="方正黑体简体" w:hAnsi="方正黑体简体" w:eastAsia="方正黑体简体" w:cs="方正黑体简体"/>
                <w:b w:val="0"/>
                <w:bCs/>
                <w:color w:val="000000"/>
                <w:kern w:val="0"/>
                <w:sz w:val="28"/>
                <w:szCs w:val="28"/>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行政规范性文件</w:t>
            </w:r>
          </w:p>
        </w:tc>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lang w:val="en-US"/>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lang w:val="en-US"/>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lang w:val="en-US"/>
              </w:rPr>
            </w:pPr>
            <w:r>
              <w:rPr>
                <w:rFonts w:hint="eastAsia" w:ascii="方正黑体简体" w:hAnsi="方正黑体简体" w:eastAsia="方正黑体简体" w:cs="方正黑体简体"/>
                <w:b w:val="0"/>
                <w:bCs/>
                <w:color w:val="000000"/>
                <w:kern w:val="0"/>
                <w:sz w:val="28"/>
                <w:szCs w:val="28"/>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Borders>
              <w:tl2br w:val="nil"/>
              <w:tr2bl w:val="nil"/>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第二十条第（五）项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信息内容</w:t>
            </w:r>
          </w:p>
        </w:tc>
        <w:tc>
          <w:tcPr>
            <w:tcW w:w="7305" w:type="dxa"/>
            <w:gridSpan w:val="3"/>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本年处理决定数量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行政许可</w:t>
            </w:r>
          </w:p>
        </w:tc>
        <w:tc>
          <w:tcPr>
            <w:tcW w:w="7305" w:type="dxa"/>
            <w:gridSpan w:val="3"/>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lang w:val="en-US"/>
              </w:rPr>
            </w:pPr>
            <w:r>
              <w:rPr>
                <w:rFonts w:hint="eastAsia" w:ascii="方正黑体简体" w:hAnsi="方正黑体简体" w:eastAsia="方正黑体简体" w:cs="方正黑体简体"/>
                <w:b w:val="0"/>
                <w:bCs/>
                <w:color w:val="000000"/>
                <w:kern w:val="0"/>
                <w:sz w:val="28"/>
                <w:szCs w:val="28"/>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Borders>
              <w:tl2br w:val="nil"/>
              <w:tr2bl w:val="nil"/>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第二十条第（六）项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信息内容</w:t>
            </w:r>
          </w:p>
        </w:tc>
        <w:tc>
          <w:tcPr>
            <w:tcW w:w="7305" w:type="dxa"/>
            <w:gridSpan w:val="3"/>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本年处理决定数量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行政处罚</w:t>
            </w:r>
          </w:p>
        </w:tc>
        <w:tc>
          <w:tcPr>
            <w:tcW w:w="7305" w:type="dxa"/>
            <w:gridSpan w:val="3"/>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lang w:val="en-US"/>
              </w:rPr>
            </w:pPr>
            <w:r>
              <w:rPr>
                <w:rFonts w:hint="eastAsia" w:ascii="方正黑体简体" w:hAnsi="方正黑体简体" w:eastAsia="方正黑体简体" w:cs="方正黑体简体"/>
                <w:b w:val="0"/>
                <w:bCs/>
                <w:color w:val="000000"/>
                <w:kern w:val="0"/>
                <w:sz w:val="28"/>
                <w:szCs w:val="28"/>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行政强制</w:t>
            </w:r>
          </w:p>
        </w:tc>
        <w:tc>
          <w:tcPr>
            <w:tcW w:w="7305" w:type="dxa"/>
            <w:gridSpan w:val="3"/>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lang w:val="en-US"/>
              </w:rPr>
            </w:pPr>
            <w:r>
              <w:rPr>
                <w:rFonts w:hint="eastAsia" w:ascii="方正黑体简体" w:hAnsi="方正黑体简体" w:eastAsia="方正黑体简体" w:cs="方正黑体简体"/>
                <w:b w:val="0"/>
                <w:bCs/>
                <w:color w:val="000000"/>
                <w:kern w:val="0"/>
                <w:sz w:val="28"/>
                <w:szCs w:val="28"/>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Borders>
              <w:tl2br w:val="nil"/>
              <w:tr2bl w:val="nil"/>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第二十条第（八）项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信息内容</w:t>
            </w:r>
          </w:p>
        </w:tc>
        <w:tc>
          <w:tcPr>
            <w:tcW w:w="7305" w:type="dxa"/>
            <w:gridSpan w:val="3"/>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本年收费金额（单位：万元）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Borders>
              <w:tl2br w:val="nil"/>
              <w:tr2bl w:val="nil"/>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行政事业性收费</w:t>
            </w:r>
          </w:p>
        </w:tc>
        <w:tc>
          <w:tcPr>
            <w:tcW w:w="7305" w:type="dxa"/>
            <w:gridSpan w:val="3"/>
            <w:tcBorders>
              <w:tl2br w:val="nil"/>
              <w:tr2bl w:val="nil"/>
            </w:tcBorders>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jc w:val="center"/>
              <w:textAlignment w:val="auto"/>
              <w:rPr>
                <w:rFonts w:hint="eastAsia" w:ascii="方正黑体简体" w:hAnsi="方正黑体简体" w:eastAsia="方正黑体简体" w:cs="方正黑体简体"/>
                <w:b w:val="0"/>
                <w:bCs/>
                <w:color w:val="000000"/>
                <w:sz w:val="28"/>
                <w:szCs w:val="28"/>
                <w:lang w:val="en-US" w:eastAsia="zh-CN"/>
              </w:rPr>
            </w:pPr>
            <w:r>
              <w:rPr>
                <w:rFonts w:hint="eastAsia" w:ascii="方正黑体简体" w:hAnsi="方正黑体简体" w:eastAsia="方正黑体简体" w:cs="方正黑体简体"/>
                <w:b w:val="0"/>
                <w:bCs/>
                <w:color w:val="000000"/>
                <w:sz w:val="28"/>
                <w:szCs w:val="28"/>
                <w:lang w:val="en-US" w:eastAsia="zh-CN"/>
              </w:rPr>
              <w:t>0</w:t>
            </w:r>
          </w:p>
        </w:tc>
      </w:tr>
    </w:tbl>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Times New Roman" w:hAnsi="Times New Roman" w:eastAsia="方正黑体简体" w:cs="方正黑体简体"/>
          <w:b/>
          <w:bCs w:val="0"/>
          <w:i w:val="0"/>
          <w:iCs w:val="0"/>
          <w:caps w:val="0"/>
          <w:color w:val="000000"/>
          <w:spacing w:val="0"/>
          <w:sz w:val="32"/>
          <w:szCs w:val="32"/>
          <w:shd w:val="clear" w:color="auto" w:fill="FFFFFF"/>
        </w:rPr>
      </w:pPr>
      <w:r>
        <w:rPr>
          <w:rFonts w:hint="eastAsia" w:ascii="Times New Roman" w:hAnsi="Times New Roman" w:eastAsia="方正黑体简体" w:cs="方正黑体简体"/>
          <w:b/>
          <w:bCs w:val="0"/>
          <w:i w:val="0"/>
          <w:iCs w:val="0"/>
          <w:caps w:val="0"/>
          <w:color w:val="000000"/>
          <w:spacing w:val="0"/>
          <w:kern w:val="0"/>
          <w:sz w:val="32"/>
          <w:szCs w:val="32"/>
          <w:shd w:val="clear" w:fill="FFFFFF"/>
          <w:lang w:val="en-US" w:eastAsia="zh-CN" w:bidi="ar"/>
        </w:rPr>
        <w:t>三、</w:t>
      </w:r>
      <w:r>
        <w:rPr>
          <w:rFonts w:hint="eastAsia" w:ascii="Times New Roman" w:hAnsi="Times New Roman" w:eastAsia="方正黑体简体" w:cs="方正黑体简体"/>
          <w:b/>
          <w:bCs w:val="0"/>
          <w:i w:val="0"/>
          <w:iCs w:val="0"/>
          <w:caps w:val="0"/>
          <w:color w:val="000000"/>
          <w:spacing w:val="0"/>
          <w:sz w:val="32"/>
          <w:szCs w:val="32"/>
          <w:shd w:val="clear" w:color="auto" w:fill="FFFFFF"/>
        </w:rPr>
        <w:t>收到和处理政府信息公开申请情况</w:t>
      </w:r>
    </w:p>
    <w:tbl>
      <w:tblPr>
        <w:tblStyle w:val="6"/>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99"/>
        <w:gridCol w:w="686"/>
        <w:gridCol w:w="3061"/>
        <w:gridCol w:w="628"/>
        <w:gridCol w:w="628"/>
        <w:gridCol w:w="628"/>
        <w:gridCol w:w="628"/>
        <w:gridCol w:w="628"/>
        <w:gridCol w:w="629"/>
        <w:gridCol w:w="6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446" w:type="dxa"/>
            <w:gridSpan w:val="3"/>
            <w:vMerge w:val="restart"/>
            <w:tcBorders>
              <w:top w:val="single" w:color="72A7BB" w:sz="12" w:space="0"/>
              <w:left w:val="single" w:color="72A7BB" w:sz="12" w:space="0"/>
              <w:bottom w:val="single" w:color="72A7BB" w:sz="4" w:space="0"/>
              <w:right w:val="single" w:color="72A7BB" w:sz="4" w:space="0"/>
              <w:tl2br w:val="nil"/>
              <w:tr2bl w:val="nil"/>
            </w:tcBorders>
            <w:shd w:val="clear" w:color="auto" w:fill="CEE1E8"/>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bookmarkStart w:id="2" w:name="_GoBack"/>
            <w:bookmarkEnd w:id="2"/>
            <w:r>
              <w:rPr>
                <w:rFonts w:hint="eastAsia" w:ascii="方正黑体简体" w:hAnsi="方正黑体简体" w:eastAsia="方正黑体简体" w:cs="方正黑体简体"/>
                <w:b w:val="0"/>
                <w:bCs/>
                <w:color w:val="000000"/>
                <w:kern w:val="0"/>
                <w:sz w:val="21"/>
                <w:szCs w:val="21"/>
                <w:lang w:val="en-US" w:eastAsia="zh-CN" w:bidi="ar"/>
              </w:rPr>
              <w:t>（本列数据的勾稽关系为：第一项加第二项之和，等于第三项加第四项之和）</w:t>
            </w:r>
          </w:p>
        </w:tc>
        <w:tc>
          <w:tcPr>
            <w:tcW w:w="4398" w:type="dxa"/>
            <w:gridSpan w:val="7"/>
            <w:tcBorders>
              <w:top w:val="single" w:color="72A7BB" w:sz="12" w:space="0"/>
              <w:left w:val="single" w:color="72A7BB" w:sz="4" w:space="0"/>
              <w:bottom w:val="single" w:color="72A7BB" w:sz="4" w:space="0"/>
              <w:right w:val="single" w:color="72A7BB" w:sz="12" w:space="0"/>
              <w:tl2br w:val="nil"/>
              <w:tr2bl w:val="nil"/>
            </w:tcBorders>
            <w:shd w:val="clear" w:color="auto" w:fill="CEE1E8"/>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申请人情况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446" w:type="dxa"/>
            <w:gridSpan w:val="3"/>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108" w:type="dxa"/>
              <w:right w:w="108"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28" w:type="dxa"/>
            <w:vMerge w:val="restart"/>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自然人</w:t>
            </w:r>
          </w:p>
        </w:tc>
        <w:tc>
          <w:tcPr>
            <w:tcW w:w="3141" w:type="dxa"/>
            <w:gridSpan w:val="5"/>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法人或其他组织</w:t>
            </w:r>
          </w:p>
        </w:tc>
        <w:tc>
          <w:tcPr>
            <w:tcW w:w="629" w:type="dxa"/>
            <w:vMerge w:val="restart"/>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446" w:type="dxa"/>
            <w:gridSpan w:val="3"/>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108" w:type="dxa"/>
              <w:right w:w="108"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28"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企业</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机构</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社会公益组织</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法律服务机构</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其他</w:t>
            </w:r>
          </w:p>
        </w:tc>
        <w:tc>
          <w:tcPr>
            <w:tcW w:w="629" w:type="dxa"/>
            <w:vMerge w:val="continue"/>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446" w:type="dxa"/>
            <w:gridSpan w:val="3"/>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一、本年新收政府信息公开申请数量</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1</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446" w:type="dxa"/>
            <w:gridSpan w:val="3"/>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二、上年结转政府信息公开申请数量</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99" w:type="dxa"/>
            <w:vMerge w:val="restart"/>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三、本年度办理结果</w:t>
            </w:r>
          </w:p>
        </w:tc>
        <w:tc>
          <w:tcPr>
            <w:tcW w:w="3747" w:type="dxa"/>
            <w:gridSpan w:val="2"/>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（一）予以公开</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1</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747" w:type="dxa"/>
            <w:gridSpan w:val="2"/>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（二）部分公开（区分处理的，只计这一情形，不计其他情形）</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restart"/>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（三）不予公开</w:t>
            </w: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1.属于国家秘密</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2.其他法律行政法规禁止公开</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3.危及“三安全一稳定”</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eastAsia="zh-CN"/>
              </w:rPr>
            </w:pPr>
            <w:r>
              <w:rPr>
                <w:rFonts w:hint="eastAsia" w:ascii="方正黑体简体" w:hAnsi="方正黑体简体" w:eastAsia="方正黑体简体" w:cs="方正黑体简体"/>
                <w:b w:val="0"/>
                <w:bCs/>
                <w:color w:val="000000"/>
                <w:sz w:val="21"/>
                <w:szCs w:val="21"/>
                <w:lang w:val="en-US" w:eastAsia="zh-CN"/>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eastAsia="zh-CN"/>
              </w:rPr>
            </w:pPr>
            <w:r>
              <w:rPr>
                <w:rFonts w:hint="eastAsia" w:ascii="方正黑体简体" w:hAnsi="方正黑体简体" w:eastAsia="方正黑体简体" w:cs="方正黑体简体"/>
                <w:b w:val="0"/>
                <w:bCs/>
                <w:color w:val="000000"/>
                <w:sz w:val="21"/>
                <w:szCs w:val="21"/>
                <w:lang w:val="en-US" w:eastAsia="zh-CN"/>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eastAsia="zh-CN"/>
              </w:rPr>
            </w:pPr>
            <w:r>
              <w:rPr>
                <w:rFonts w:hint="eastAsia" w:ascii="方正黑体简体" w:hAnsi="方正黑体简体" w:eastAsia="方正黑体简体" w:cs="方正黑体简体"/>
                <w:b w:val="0"/>
                <w:bCs/>
                <w:color w:val="000000"/>
                <w:sz w:val="21"/>
                <w:szCs w:val="21"/>
                <w:lang w:val="en-US" w:eastAsia="zh-CN"/>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eastAsia="zh-CN"/>
              </w:rPr>
            </w:pPr>
            <w:r>
              <w:rPr>
                <w:rFonts w:hint="eastAsia" w:ascii="方正黑体简体" w:hAnsi="方正黑体简体" w:eastAsia="方正黑体简体" w:cs="方正黑体简体"/>
                <w:b w:val="0"/>
                <w:bCs/>
                <w:color w:val="000000"/>
                <w:sz w:val="21"/>
                <w:szCs w:val="21"/>
                <w:lang w:val="en-US" w:eastAsia="zh-CN"/>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eastAsia="zh-CN"/>
              </w:rPr>
            </w:pPr>
            <w:r>
              <w:rPr>
                <w:rFonts w:hint="eastAsia" w:ascii="方正黑体简体" w:hAnsi="方正黑体简体" w:eastAsia="方正黑体简体" w:cs="方正黑体简体"/>
                <w:b w:val="0"/>
                <w:bCs/>
                <w:color w:val="000000"/>
                <w:sz w:val="21"/>
                <w:szCs w:val="21"/>
                <w:lang w:val="en-US" w:eastAsia="zh-CN"/>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eastAsia="zh-CN"/>
              </w:rPr>
            </w:pPr>
            <w:r>
              <w:rPr>
                <w:rFonts w:hint="eastAsia" w:ascii="方正黑体简体" w:hAnsi="方正黑体简体" w:eastAsia="方正黑体简体" w:cs="方正黑体简体"/>
                <w:b w:val="0"/>
                <w:bCs/>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4.保护第三方合法权益</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5.属于三类内部事务信息</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6.属于四类过程性信息</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7.属于行政执法案卷</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8.属于行政查询事项</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restart"/>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（四）无法提供</w:t>
            </w: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1.本机关不掌握相关政府信息</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2.没有现成信息需要另行制作</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3.补正后申请内容仍不明确</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86" w:type="dxa"/>
            <w:vMerge w:val="restart"/>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（五）不予处理</w:t>
            </w: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1.信访举报投诉类申请</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2.重复申请</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3.要求提供公开出版物</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right="0" w:firstLine="0" w:firstLineChars="0"/>
              <w:jc w:val="center"/>
              <w:textAlignment w:val="auto"/>
              <w:rPr>
                <w:rFonts w:hint="eastAsia" w:ascii="方正黑体简体" w:hAnsi="方正黑体简体" w:eastAsia="方正黑体简体" w:cs="方正黑体简体"/>
                <w:b w:val="0"/>
                <w:bCs/>
                <w:color w:val="000000"/>
                <w:sz w:val="21"/>
                <w:szCs w:val="21"/>
                <w:lang w:val="en-US" w:eastAsia="zh-CN"/>
              </w:rPr>
            </w:pPr>
            <w:r>
              <w:rPr>
                <w:rFonts w:hint="eastAsia" w:ascii="方正黑体简体" w:hAnsi="方正黑体简体" w:eastAsia="方正黑体简体" w:cs="方正黑体简体"/>
                <w:b w:val="0"/>
                <w:bCs/>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4.无正当理由大量反复申请</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5.要求行政机关确认或重新出具已获取信息</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86" w:type="dxa"/>
            <w:vMerge w:val="restart"/>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（六）其他处理</w:t>
            </w: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1.申请人无正当理由逾期不补正、行政机关不再处理其政府信息公开申请</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lang w:val="en-US"/>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2.申请人逾期未按收费通知要求缴纳费用、行政机关不再处理其政府信息公开申请</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shd w:val="clear" w:color="auto" w:fill="auto"/>
              <w:kinsoku/>
              <w:wordWrap/>
              <w:overflowPunct/>
              <w:topLinePunct w:val="0"/>
              <w:autoSpaceDE/>
              <w:autoSpaceDN/>
              <w:bidi w:val="0"/>
              <w:adjustRightInd/>
              <w:snapToGrid/>
              <w:spacing w:line="260" w:lineRule="exact"/>
              <w:ind w:firstLine="0" w:firstLineChars="0"/>
              <w:jc w:val="center"/>
              <w:textAlignment w:val="auto"/>
              <w:rPr>
                <w:rFonts w:hint="eastAsia" w:ascii="方正黑体简体" w:hAnsi="方正黑体简体" w:eastAsia="方正黑体简体" w:cs="方正黑体简体"/>
                <w:b w:val="0"/>
                <w:bCs/>
                <w:color w:val="000000"/>
                <w:sz w:val="21"/>
                <w:szCs w:val="21"/>
              </w:rPr>
            </w:pPr>
          </w:p>
        </w:tc>
        <w:tc>
          <w:tcPr>
            <w:tcW w:w="686" w:type="dxa"/>
            <w:vMerge w:val="continue"/>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061"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both"/>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3.其他</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99" w:type="dxa"/>
            <w:vMerge w:val="continue"/>
            <w:tcBorders>
              <w:top w:val="single" w:color="72A7BB" w:sz="4" w:space="0"/>
              <w:left w:val="single" w:color="72A7BB" w:sz="12"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p>
        </w:tc>
        <w:tc>
          <w:tcPr>
            <w:tcW w:w="3747" w:type="dxa"/>
            <w:gridSpan w:val="2"/>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（七）总计</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1</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4"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4" w:space="0"/>
              <w:right w:val="single" w:color="72A7BB" w:sz="12"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446" w:type="dxa"/>
            <w:gridSpan w:val="3"/>
            <w:tcBorders>
              <w:top w:val="single" w:color="72A7BB" w:sz="4" w:space="0"/>
              <w:left w:val="single" w:color="72A7BB" w:sz="12" w:space="0"/>
              <w:bottom w:val="single" w:color="72A7BB" w:sz="12"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1"/>
                <w:szCs w:val="21"/>
                <w:lang w:val="en-US" w:eastAsia="zh-CN" w:bidi="ar"/>
              </w:rPr>
            </w:pPr>
            <w:r>
              <w:rPr>
                <w:rFonts w:hint="eastAsia" w:ascii="方正黑体简体" w:hAnsi="方正黑体简体" w:eastAsia="方正黑体简体" w:cs="方正黑体简体"/>
                <w:b w:val="0"/>
                <w:bCs/>
                <w:color w:val="000000"/>
                <w:kern w:val="0"/>
                <w:sz w:val="21"/>
                <w:szCs w:val="21"/>
                <w:lang w:val="en-US" w:eastAsia="zh-CN" w:bidi="ar"/>
              </w:rPr>
              <w:t>四、结转下年度继续办理</w:t>
            </w:r>
          </w:p>
        </w:tc>
        <w:tc>
          <w:tcPr>
            <w:tcW w:w="628" w:type="dxa"/>
            <w:tcBorders>
              <w:top w:val="single" w:color="72A7BB" w:sz="4" w:space="0"/>
              <w:left w:val="single" w:color="72A7BB" w:sz="4" w:space="0"/>
              <w:bottom w:val="single" w:color="72A7BB" w:sz="12"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12"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12"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12"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8" w:type="dxa"/>
            <w:tcBorders>
              <w:top w:val="single" w:color="72A7BB" w:sz="4" w:space="0"/>
              <w:left w:val="single" w:color="72A7BB" w:sz="4" w:space="0"/>
              <w:bottom w:val="single" w:color="72A7BB" w:sz="12" w:space="0"/>
              <w:right w:val="single" w:color="72A7BB" w:sz="4"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12" w:space="0"/>
              <w:right w:val="single" w:color="72A7BB" w:sz="4" w:space="0"/>
              <w:tl2br w:val="nil"/>
              <w:tr2bl w:val="nil"/>
            </w:tcBorders>
            <w:shd w:val="clear" w:color="auto" w:fill="FEFEF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c>
          <w:tcPr>
            <w:tcW w:w="629" w:type="dxa"/>
            <w:tcBorders>
              <w:top w:val="single" w:color="72A7BB" w:sz="4" w:space="0"/>
              <w:left w:val="single" w:color="72A7BB" w:sz="4" w:space="0"/>
              <w:bottom w:val="single" w:color="72A7BB" w:sz="12" w:space="0"/>
              <w:right w:val="single" w:color="72A7BB" w:sz="12" w:space="0"/>
              <w:tl2br w:val="nil"/>
              <w:tr2bl w:val="nil"/>
            </w:tcBorders>
            <w:shd w:val="clear" w:color="auto" w:fill="F0F0F0"/>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1"/>
                <w:szCs w:val="21"/>
              </w:rPr>
            </w:pPr>
            <w:r>
              <w:rPr>
                <w:rFonts w:hint="eastAsia" w:ascii="方正黑体简体" w:hAnsi="方正黑体简体" w:eastAsia="方正黑体简体" w:cs="方正黑体简体"/>
                <w:b w:val="0"/>
                <w:bCs/>
                <w:color w:val="000000"/>
                <w:kern w:val="0"/>
                <w:sz w:val="21"/>
                <w:szCs w:val="21"/>
                <w:lang w:val="en-US" w:eastAsia="zh-CN" w:bidi="ar"/>
              </w:rPr>
              <w:t>0</w:t>
            </w:r>
          </w:p>
        </w:tc>
      </w:tr>
    </w:tbl>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黑体简体" w:cs="方正黑体简体"/>
          <w:b/>
          <w:bCs w:val="0"/>
          <w:i w:val="0"/>
          <w:iCs w:val="0"/>
          <w:caps w:val="0"/>
          <w:color w:val="000000"/>
          <w:spacing w:val="0"/>
          <w:sz w:val="32"/>
          <w:szCs w:val="32"/>
          <w:shd w:val="clear" w:color="auto" w:fill="FFFFFF"/>
        </w:rPr>
      </w:pPr>
      <w:r>
        <w:rPr>
          <w:rFonts w:hint="eastAsia" w:ascii="Times New Roman" w:hAnsi="Times New Roman" w:eastAsia="方正黑体简体" w:cs="方正黑体简体"/>
          <w:b/>
          <w:bCs w:val="0"/>
          <w:i w:val="0"/>
          <w:iCs w:val="0"/>
          <w:caps w:val="0"/>
          <w:color w:val="000000"/>
          <w:spacing w:val="0"/>
          <w:sz w:val="32"/>
          <w:szCs w:val="32"/>
          <w:shd w:val="clear" w:color="auto" w:fill="FFFFFF"/>
        </w:rPr>
        <w:t>四、政府信息公开行政复议、行政诉讼情况</w:t>
      </w:r>
    </w:p>
    <w:tbl>
      <w:tblPr>
        <w:tblStyle w:val="6"/>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88"/>
        <w:gridCol w:w="588"/>
        <w:gridCol w:w="588"/>
        <w:gridCol w:w="588"/>
        <w:gridCol w:w="589"/>
        <w:gridCol w:w="589"/>
        <w:gridCol w:w="589"/>
        <w:gridCol w:w="590"/>
        <w:gridCol w:w="590"/>
        <w:gridCol w:w="590"/>
        <w:gridCol w:w="591"/>
        <w:gridCol w:w="591"/>
        <w:gridCol w:w="591"/>
        <w:gridCol w:w="591"/>
        <w:gridCol w:w="5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245" w:type="dxa"/>
            <w:gridSpan w:val="5"/>
            <w:tcBorders>
              <w:top w:val="single" w:color="FCFCFC" w:sz="12" w:space="0"/>
              <w:left w:val="single" w:color="FCFCFC" w:sz="12" w:space="0"/>
              <w:bottom w:val="single" w:color="FCFCFC" w:sz="4" w:space="0"/>
              <w:right w:val="single" w:color="FCFCFC" w:sz="4" w:space="0"/>
              <w:tl2br w:val="nil"/>
              <w:tr2bl w:val="nil"/>
            </w:tcBorders>
            <w:shd w:val="clear" w:color="auto" w:fill="BAB99B"/>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行政复议</w:t>
            </w:r>
          </w:p>
        </w:tc>
        <w:tc>
          <w:tcPr>
            <w:tcW w:w="6503" w:type="dxa"/>
            <w:gridSpan w:val="10"/>
            <w:tcBorders>
              <w:top w:val="single" w:color="FCFCFC" w:sz="12" w:space="0"/>
              <w:left w:val="single" w:color="FCFCFC" w:sz="4" w:space="0"/>
              <w:bottom w:val="single" w:color="FCFCFC" w:sz="4" w:space="0"/>
              <w:right w:val="single" w:color="FCFCFC" w:sz="12" w:space="0"/>
              <w:tl2br w:val="nil"/>
              <w:tr2bl w:val="nil"/>
            </w:tcBorders>
            <w:shd w:val="clear" w:color="auto" w:fill="BAB99B"/>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行政诉讼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49" w:type="dxa"/>
            <w:vMerge w:val="restart"/>
            <w:tcBorders>
              <w:top w:val="single" w:color="FCFCFC" w:sz="4" w:space="0"/>
              <w:left w:val="single" w:color="FCFCFC" w:sz="12" w:space="0"/>
              <w:bottom w:val="single" w:color="FCFCFC"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结果维持</w:t>
            </w:r>
          </w:p>
        </w:tc>
        <w:tc>
          <w:tcPr>
            <w:tcW w:w="649" w:type="dxa"/>
            <w:vMerge w:val="restart"/>
            <w:tcBorders>
              <w:top w:val="single" w:color="FCFCFC" w:sz="4" w:space="0"/>
              <w:left w:val="single" w:color="FCFCFC" w:sz="4" w:space="0"/>
              <w:bottom w:val="single" w:color="FCFCFC"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结果纠正</w:t>
            </w:r>
          </w:p>
        </w:tc>
        <w:tc>
          <w:tcPr>
            <w:tcW w:w="649" w:type="dxa"/>
            <w:vMerge w:val="restart"/>
            <w:tcBorders>
              <w:top w:val="single" w:color="FCFCFC" w:sz="4" w:space="0"/>
              <w:left w:val="single" w:color="FCFCFC" w:sz="4" w:space="0"/>
              <w:bottom w:val="single" w:color="FCFCFC"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其他结果</w:t>
            </w:r>
          </w:p>
        </w:tc>
        <w:tc>
          <w:tcPr>
            <w:tcW w:w="649" w:type="dxa"/>
            <w:vMerge w:val="restart"/>
            <w:tcBorders>
              <w:top w:val="single" w:color="FCFCFC" w:sz="4" w:space="0"/>
              <w:left w:val="single" w:color="FCFCFC" w:sz="4" w:space="0"/>
              <w:bottom w:val="single" w:color="FCFCFC"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尚未审结</w:t>
            </w:r>
          </w:p>
        </w:tc>
        <w:tc>
          <w:tcPr>
            <w:tcW w:w="649" w:type="dxa"/>
            <w:vMerge w:val="restart"/>
            <w:tcBorders>
              <w:top w:val="single" w:color="FCFCFC" w:sz="4" w:space="0"/>
              <w:left w:val="single" w:color="FCFCFC" w:sz="4" w:space="0"/>
              <w:bottom w:val="single" w:color="FCFCFC"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总计</w:t>
            </w:r>
          </w:p>
        </w:tc>
        <w:tc>
          <w:tcPr>
            <w:tcW w:w="3248" w:type="dxa"/>
            <w:gridSpan w:val="5"/>
            <w:tcBorders>
              <w:top w:val="single" w:color="FCFCFC" w:sz="4" w:space="0"/>
              <w:left w:val="single" w:color="FCFCFC" w:sz="4" w:space="0"/>
              <w:bottom w:val="single" w:color="FCFCFC"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未经复议直接起诉</w:t>
            </w:r>
          </w:p>
        </w:tc>
        <w:tc>
          <w:tcPr>
            <w:tcW w:w="3255" w:type="dxa"/>
            <w:gridSpan w:val="5"/>
            <w:tcBorders>
              <w:top w:val="single" w:color="FCFCFC" w:sz="4" w:space="0"/>
              <w:left w:val="single" w:color="FCFCFC" w:sz="4" w:space="0"/>
              <w:bottom w:val="single" w:color="FCFCFC" w:sz="4" w:space="0"/>
              <w:right w:val="single" w:color="FCFCFC" w:sz="12"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复议后起诉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984" w:hRule="atLeast"/>
          <w:jc w:val="center"/>
        </w:trPr>
        <w:tc>
          <w:tcPr>
            <w:tcW w:w="649" w:type="dxa"/>
            <w:vMerge w:val="continue"/>
            <w:tcBorders>
              <w:top w:val="single" w:color="FCFCFC" w:sz="4" w:space="0"/>
              <w:left w:val="single" w:color="FCFCFC" w:sz="12"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p>
        </w:tc>
        <w:tc>
          <w:tcPr>
            <w:tcW w:w="649" w:type="dxa"/>
            <w:vMerge w:val="continue"/>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p>
        </w:tc>
        <w:tc>
          <w:tcPr>
            <w:tcW w:w="649" w:type="dxa"/>
            <w:vMerge w:val="continue"/>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p>
        </w:tc>
        <w:tc>
          <w:tcPr>
            <w:tcW w:w="649" w:type="dxa"/>
            <w:vMerge w:val="continue"/>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p>
        </w:tc>
        <w:tc>
          <w:tcPr>
            <w:tcW w:w="649" w:type="dxa"/>
            <w:vMerge w:val="continue"/>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p>
        </w:tc>
        <w:tc>
          <w:tcPr>
            <w:tcW w:w="649" w:type="dxa"/>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结果维持</w:t>
            </w:r>
          </w:p>
        </w:tc>
        <w:tc>
          <w:tcPr>
            <w:tcW w:w="649" w:type="dxa"/>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结果纠正</w:t>
            </w:r>
          </w:p>
        </w:tc>
        <w:tc>
          <w:tcPr>
            <w:tcW w:w="650" w:type="dxa"/>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其他结果</w:t>
            </w:r>
          </w:p>
        </w:tc>
        <w:tc>
          <w:tcPr>
            <w:tcW w:w="650" w:type="dxa"/>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尚未审结</w:t>
            </w:r>
          </w:p>
        </w:tc>
        <w:tc>
          <w:tcPr>
            <w:tcW w:w="650" w:type="dxa"/>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总计</w:t>
            </w:r>
          </w:p>
        </w:tc>
        <w:tc>
          <w:tcPr>
            <w:tcW w:w="651" w:type="dxa"/>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结果维持</w:t>
            </w:r>
          </w:p>
        </w:tc>
        <w:tc>
          <w:tcPr>
            <w:tcW w:w="651" w:type="dxa"/>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结果纠正</w:t>
            </w:r>
          </w:p>
        </w:tc>
        <w:tc>
          <w:tcPr>
            <w:tcW w:w="651" w:type="dxa"/>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其他结果</w:t>
            </w:r>
          </w:p>
        </w:tc>
        <w:tc>
          <w:tcPr>
            <w:tcW w:w="651" w:type="dxa"/>
            <w:tcBorders>
              <w:top w:val="single" w:color="FCFCFC" w:sz="4" w:space="0"/>
              <w:left w:val="single" w:color="FCFCFC" w:sz="4" w:space="0"/>
              <w:bottom w:val="single" w:color="BAB99B" w:sz="4" w:space="0"/>
              <w:right w:val="single" w:color="FCFCFC" w:sz="4"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尚未审结</w:t>
            </w:r>
          </w:p>
        </w:tc>
        <w:tc>
          <w:tcPr>
            <w:tcW w:w="651" w:type="dxa"/>
            <w:tcBorders>
              <w:top w:val="single" w:color="FCFCFC" w:sz="4" w:space="0"/>
              <w:left w:val="single" w:color="FCFCFC" w:sz="4" w:space="0"/>
              <w:bottom w:val="single" w:color="BAB99B" w:sz="4" w:space="0"/>
              <w:right w:val="single" w:color="FCFCFC" w:sz="12" w:space="0"/>
              <w:tl2br w:val="nil"/>
              <w:tr2bl w:val="nil"/>
            </w:tcBorders>
            <w:shd w:val="clear" w:color="auto" w:fill="F0F0F0"/>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黑体简体" w:hAnsi="方正黑体简体" w:eastAsia="方正黑体简体" w:cs="方正黑体简体"/>
                <w:b w:val="0"/>
                <w:bCs/>
                <w:color w:val="000000"/>
                <w:kern w:val="0"/>
                <w:sz w:val="28"/>
                <w:szCs w:val="28"/>
                <w:lang w:val="en-US" w:eastAsia="zh-CN" w:bidi="ar"/>
              </w:rPr>
            </w:pPr>
            <w:r>
              <w:rPr>
                <w:rFonts w:hint="eastAsia" w:ascii="方正黑体简体" w:hAnsi="方正黑体简体" w:eastAsia="方正黑体简体" w:cs="方正黑体简体"/>
                <w:b w:val="0"/>
                <w:bCs/>
                <w:color w:val="000000"/>
                <w:kern w:val="0"/>
                <w:sz w:val="28"/>
                <w:szCs w:val="28"/>
                <w:lang w:val="en-US" w:eastAsia="zh-CN" w:bidi="ar"/>
              </w:rPr>
              <w:t>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49" w:type="dxa"/>
            <w:tcBorders>
              <w:top w:val="single" w:color="BAB99B" w:sz="4" w:space="0"/>
              <w:left w:val="single" w:color="FCFCFC" w:sz="12"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49"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49"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49"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49"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49"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49"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50"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50"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50"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51"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51"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51"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51" w:type="dxa"/>
            <w:tcBorders>
              <w:top w:val="single" w:color="BAB99B" w:sz="4" w:space="0"/>
              <w:left w:val="single" w:color="FCFCFC" w:sz="4" w:space="0"/>
              <w:bottom w:val="single" w:color="FCFCFC" w:sz="12" w:space="0"/>
              <w:right w:val="single" w:color="FCFCFC" w:sz="4" w:space="0"/>
              <w:tl2br w:val="nil"/>
              <w:tr2bl w:val="nil"/>
            </w:tcBorders>
            <w:shd w:val="clear" w:color="auto" w:fill="FCFCFC"/>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方正黑体简体" w:hAnsi="方正黑体简体" w:eastAsia="方正黑体简体" w:cs="方正黑体简体"/>
                <w:b w:val="0"/>
                <w:bCs/>
                <w:color w:val="000000"/>
                <w:sz w:val="28"/>
                <w:szCs w:val="28"/>
              </w:rPr>
            </w:pPr>
            <w:r>
              <w:rPr>
                <w:rFonts w:hint="eastAsia" w:ascii="方正黑体简体" w:hAnsi="方正黑体简体" w:eastAsia="方正黑体简体" w:cs="方正黑体简体"/>
                <w:b w:val="0"/>
                <w:bCs/>
                <w:color w:val="000000"/>
                <w:kern w:val="0"/>
                <w:sz w:val="28"/>
                <w:szCs w:val="28"/>
                <w:lang w:val="en-US" w:eastAsia="zh-CN" w:bidi="ar"/>
              </w:rPr>
              <w:t>0</w:t>
            </w:r>
          </w:p>
        </w:tc>
        <w:tc>
          <w:tcPr>
            <w:tcW w:w="651" w:type="dxa"/>
            <w:tcBorders>
              <w:top w:val="single" w:color="BAB99B" w:sz="4" w:space="0"/>
              <w:left w:val="single" w:color="FCFCFC" w:sz="4" w:space="0"/>
              <w:bottom w:val="single" w:color="FCFCFC" w:sz="12" w:space="0"/>
              <w:right w:val="single" w:color="FCFCFC" w:sz="12" w:space="0"/>
              <w:tl2br w:val="nil"/>
              <w:tr2bl w:val="nil"/>
            </w:tcBorders>
            <w:shd w:val="clear" w:color="auto" w:fill="FCFCFC"/>
            <w:noWrap w:val="0"/>
            <w:tcMar>
              <w:left w:w="108" w:type="dxa"/>
              <w:right w:w="108" w:type="dxa"/>
            </w:tcMar>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ind w:firstLine="0" w:firstLineChars="0"/>
              <w:jc w:val="center"/>
              <w:textAlignment w:val="auto"/>
              <w:rPr>
                <w:rFonts w:hint="eastAsia" w:ascii="方正黑体简体" w:hAnsi="方正黑体简体" w:eastAsia="方正黑体简体" w:cs="方正黑体简体"/>
                <w:b w:val="0"/>
                <w:bCs/>
                <w:color w:val="000000"/>
                <w:sz w:val="28"/>
                <w:szCs w:val="28"/>
                <w:lang w:val="en-US" w:eastAsia="zh-CN"/>
              </w:rPr>
            </w:pPr>
            <w:r>
              <w:rPr>
                <w:rFonts w:hint="eastAsia" w:ascii="方正黑体简体" w:hAnsi="方正黑体简体" w:eastAsia="方正黑体简体" w:cs="方正黑体简体"/>
                <w:b w:val="0"/>
                <w:bCs/>
                <w:color w:val="000000"/>
                <w:sz w:val="28"/>
                <w:szCs w:val="28"/>
                <w:lang w:val="en-US" w:eastAsia="zh-CN"/>
              </w:rPr>
              <w:t>0</w:t>
            </w:r>
          </w:p>
        </w:tc>
      </w:tr>
    </w:tbl>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黑体简体" w:cs="方正黑体简体"/>
          <w:b/>
          <w:bCs w:val="0"/>
          <w:i w:val="0"/>
          <w:iCs w:val="0"/>
          <w:caps w:val="0"/>
          <w:color w:val="000000"/>
          <w:spacing w:val="0"/>
          <w:sz w:val="32"/>
          <w:szCs w:val="32"/>
          <w:shd w:val="clear" w:color="auto" w:fill="FFFFFF"/>
        </w:rPr>
      </w:pPr>
      <w:r>
        <w:rPr>
          <w:rFonts w:hint="eastAsia" w:ascii="Times New Roman" w:hAnsi="Times New Roman" w:eastAsia="方正黑体简体" w:cs="方正黑体简体"/>
          <w:b/>
          <w:bCs w:val="0"/>
          <w:i w:val="0"/>
          <w:iCs w:val="0"/>
          <w:caps w:val="0"/>
          <w:color w:val="000000"/>
          <w:spacing w:val="0"/>
          <w:sz w:val="32"/>
          <w:szCs w:val="32"/>
          <w:shd w:val="clear" w:color="auto" w:fill="FFFFFF"/>
        </w:rPr>
        <w:t>五、存在的主要问题及改进情况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仿宋简体" w:cs="方正仿宋简体"/>
          <w:b/>
          <w:bCs/>
          <w:color w:val="000000"/>
          <w:kern w:val="0"/>
          <w:sz w:val="32"/>
          <w:szCs w:val="32"/>
          <w:lang w:val="en-US" w:eastAsia="zh-CN"/>
        </w:rPr>
      </w:pPr>
      <w:r>
        <w:rPr>
          <w:rFonts w:hint="eastAsia" w:ascii="Times New Roman" w:hAnsi="Times New Roman" w:eastAsia="方正仿宋简体" w:cs="方正仿宋简体"/>
          <w:b/>
          <w:bCs/>
          <w:color w:val="000000"/>
          <w:kern w:val="0"/>
          <w:sz w:val="32"/>
          <w:szCs w:val="32"/>
          <w:lang w:val="en-US" w:eastAsia="zh-CN" w:bidi="ar-SA"/>
        </w:rPr>
        <w:t>2024</w:t>
      </w:r>
      <w:r>
        <w:rPr>
          <w:rFonts w:hint="eastAsia" w:ascii="Times New Roman" w:hAnsi="Times New Roman" w:eastAsia="方正仿宋简体" w:cs="方正仿宋简体"/>
          <w:b/>
          <w:bCs/>
          <w:color w:val="000000"/>
          <w:kern w:val="0"/>
          <w:sz w:val="32"/>
          <w:szCs w:val="32"/>
          <w:lang w:val="en-US" w:eastAsia="zh-CN"/>
        </w:rPr>
        <w:t>年，在上级业务部门和县政府办公室的指导下，泗水县财政局政府信息公开工作更加规范化、制度化，但也存在一些问题和不足：重点领域信息公开的及时性和内容的全面性有待提升。下一步将重点做好以下几个方面。一是不断提升业务能力水平，主动向政府办请教学习，向政务公开做的比较好的兄弟单位学习，化被动为主动，拓宽学习途径，完善重点领域信息公开目录，建立动态更新机制，确保政府采购、政府债务、年度预决算等重点领域信息及时公开。二是按照政府信息公开主动公开基本目录的公开时限要求，及时、准确、规范的公开政府信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Times New Roman" w:hAnsi="Times New Roman" w:eastAsia="方正黑体简体" w:cs="方正黑体简体"/>
          <w:b/>
          <w:bCs w:val="0"/>
          <w:i w:val="0"/>
          <w:iCs w:val="0"/>
          <w:caps w:val="0"/>
          <w:color w:val="000000"/>
          <w:spacing w:val="0"/>
          <w:sz w:val="32"/>
          <w:szCs w:val="32"/>
          <w:shd w:val="clear" w:color="auto" w:fill="FFFFFF"/>
        </w:rPr>
      </w:pPr>
      <w:r>
        <w:rPr>
          <w:rFonts w:hint="eastAsia" w:ascii="Times New Roman" w:hAnsi="Times New Roman" w:eastAsia="方正黑体简体" w:cs="方正黑体简体"/>
          <w:b/>
          <w:bCs w:val="0"/>
          <w:i w:val="0"/>
          <w:iCs w:val="0"/>
          <w:caps w:val="0"/>
          <w:color w:val="000000"/>
          <w:spacing w:val="0"/>
          <w:sz w:val="32"/>
          <w:szCs w:val="32"/>
          <w:shd w:val="clear" w:color="auto" w:fill="FFFFFF"/>
        </w:rPr>
        <w:t>六、其他需要报告的事项</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firstLine="643" w:firstLineChars="200"/>
        <w:jc w:val="both"/>
        <w:textAlignment w:val="auto"/>
        <w:rPr>
          <w:rFonts w:hint="eastAsia" w:ascii="Times New Roman" w:hAnsi="Times New Roman" w:eastAsia="方正仿宋简体" w:cs="方正仿宋简体"/>
          <w:b/>
          <w:bCs w:val="0"/>
          <w:color w:val="000000"/>
          <w:sz w:val="32"/>
          <w:szCs w:val="32"/>
          <w:lang w:eastAsia="zh-CN"/>
        </w:rPr>
      </w:pPr>
      <w:r>
        <w:rPr>
          <w:rFonts w:hint="eastAsia" w:ascii="Times New Roman" w:hAnsi="Times New Roman" w:eastAsia="方正仿宋简体" w:cs="方正仿宋简体"/>
          <w:b/>
          <w:bCs w:val="0"/>
          <w:color w:val="000000"/>
          <w:sz w:val="32"/>
          <w:szCs w:val="32"/>
          <w:lang w:eastAsia="zh-CN"/>
        </w:rPr>
        <w:t>（一）</w:t>
      </w:r>
      <w:r>
        <w:rPr>
          <w:rFonts w:hint="eastAsia" w:ascii="Times New Roman" w:hAnsi="Times New Roman" w:eastAsia="方正仿宋简体" w:cs="方正仿宋简体"/>
          <w:b/>
          <w:bCs w:val="0"/>
          <w:color w:val="000000"/>
          <w:sz w:val="32"/>
          <w:szCs w:val="32"/>
        </w:rPr>
        <w:t>依据《政府信息公开信息处理费管理办法》收取信息处理费的情况需在此专门报告</w:t>
      </w:r>
      <w:r>
        <w:rPr>
          <w:rFonts w:hint="eastAsia" w:ascii="Times New Roman" w:hAnsi="Times New Roman" w:eastAsia="方正仿宋简体" w:cs="方正仿宋简体"/>
          <w:b/>
          <w:bCs w:val="0"/>
          <w:color w:val="000000"/>
          <w:sz w:val="32"/>
          <w:szCs w:val="32"/>
          <w:lang w:eastAsia="zh-CN"/>
        </w:rPr>
        <w:t>；</w:t>
      </w:r>
      <w:r>
        <w:rPr>
          <w:rFonts w:hint="eastAsia" w:ascii="Times New Roman" w:hAnsi="Times New Roman" w:eastAsia="方正仿宋简体" w:cs="方正仿宋简体"/>
          <w:b/>
          <w:bCs/>
          <w:color w:val="000000"/>
          <w:kern w:val="0"/>
          <w:sz w:val="32"/>
          <w:szCs w:val="32"/>
          <w:lang w:val="en-US" w:eastAsia="zh-CN"/>
        </w:rPr>
        <w:t>泗水县财政局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Times New Roman" w:hAnsi="Times New Roman" w:eastAsia="方正仿宋简体" w:cs="方正仿宋简体"/>
          <w:b/>
          <w:bCs w:val="0"/>
          <w:color w:val="000000"/>
          <w:sz w:val="32"/>
          <w:szCs w:val="32"/>
        </w:rPr>
      </w:pPr>
      <w:r>
        <w:rPr>
          <w:rFonts w:hint="eastAsia" w:ascii="Times New Roman" w:hAnsi="Times New Roman" w:eastAsia="方正仿宋简体" w:cs="方正仿宋简体"/>
          <w:b/>
          <w:bCs w:val="0"/>
          <w:color w:val="000000"/>
          <w:sz w:val="32"/>
          <w:szCs w:val="32"/>
          <w:lang w:eastAsia="zh-CN"/>
        </w:rPr>
        <w:t>（二）</w:t>
      </w:r>
      <w:r>
        <w:rPr>
          <w:rFonts w:hint="eastAsia" w:ascii="Times New Roman" w:hAnsi="Times New Roman" w:eastAsia="方正仿宋简体" w:cs="方正仿宋简体"/>
          <w:b/>
          <w:bCs w:val="0"/>
          <w:color w:val="000000"/>
          <w:sz w:val="32"/>
          <w:szCs w:val="32"/>
        </w:rPr>
        <w:t>本行政机关落实上级年度政务公开工作要点情况；</w:t>
      </w:r>
      <w:r>
        <w:rPr>
          <w:rFonts w:hint="eastAsia" w:ascii="Times New Roman" w:hAnsi="Times New Roman" w:eastAsia="方正仿宋简体" w:cs="方正仿宋简体"/>
          <w:b/>
          <w:bCs/>
          <w:color w:val="000000"/>
          <w:kern w:val="0"/>
          <w:sz w:val="32"/>
          <w:szCs w:val="32"/>
          <w:lang w:val="en-US" w:eastAsia="zh-CN"/>
        </w:rPr>
        <w:t>泗水县财政局认真落实上级年度政务公开工作要点，取得显著成效。一是明确公开原则、内容等，确保常规性工作定期公开，阶段性工作随时公开，固定性工作长期公开。二是突出重点领域信息公开，规范推进财政预决算、“三公”经费预决算等信息公开，细化到支出功能分类的项级科目，专项转移支付预决算细化到具体项目；按月公开财政收支情况，解读收支增减变化及原因；公开政府集中采购项目目录、标准和实施情况。三是加强政策解读与回应关切，建立健全政策解读机制，通过多种形式对财政相关法规、规范性文件及重要政策进行宣传解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Times New Roman" w:hAnsi="Times New Roman" w:eastAsia="方正仿宋简体" w:cs="方正仿宋简体"/>
          <w:b/>
          <w:bCs w:val="0"/>
          <w:color w:val="000000"/>
          <w:sz w:val="32"/>
          <w:szCs w:val="32"/>
        </w:rPr>
      </w:pPr>
      <w:r>
        <w:rPr>
          <w:rFonts w:hint="eastAsia" w:ascii="Times New Roman" w:hAnsi="Times New Roman" w:eastAsia="方正仿宋简体" w:cs="方正仿宋简体"/>
          <w:b/>
          <w:bCs w:val="0"/>
          <w:color w:val="000000"/>
          <w:sz w:val="32"/>
          <w:szCs w:val="32"/>
          <w:lang w:eastAsia="zh-CN"/>
        </w:rPr>
        <w:t>（三）</w:t>
      </w:r>
      <w:r>
        <w:rPr>
          <w:rFonts w:hint="eastAsia" w:ascii="Times New Roman" w:hAnsi="Times New Roman" w:eastAsia="方正仿宋简体" w:cs="方正仿宋简体"/>
          <w:b/>
          <w:bCs w:val="0"/>
          <w:color w:val="000000"/>
          <w:sz w:val="32"/>
          <w:szCs w:val="32"/>
        </w:rPr>
        <w:t>本行政机关人大代表建议和政协提案办理结果公开情况；</w:t>
      </w:r>
      <w:r>
        <w:rPr>
          <w:rFonts w:hint="eastAsia" w:ascii="Times New Roman" w:hAnsi="Times New Roman" w:eastAsia="方正仿宋简体" w:cs="方正仿宋简体"/>
          <w:b/>
          <w:bCs/>
          <w:color w:val="000000"/>
          <w:kern w:val="0"/>
          <w:sz w:val="32"/>
          <w:szCs w:val="32"/>
          <w:lang w:val="en-US" w:eastAsia="zh-CN"/>
        </w:rPr>
        <w:t>2024年，泗水县财政局收到人大代表建议议案3件，政协委员提案0件，内容涉及减少企业增值税、尧王线资金扶持、西音义村村危桥资金支持等三方面，均已办结回复，办结率、满意率均为100%。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Times New Roman" w:hAnsi="Times New Roman" w:eastAsia="方正仿宋简体" w:cs="方正仿宋简体"/>
          <w:b/>
          <w:bCs/>
          <w:color w:val="000000"/>
          <w:kern w:val="0"/>
          <w:sz w:val="32"/>
          <w:szCs w:val="32"/>
          <w:lang w:val="en-US" w:eastAsia="zh-CN"/>
        </w:rPr>
      </w:pPr>
      <w:r>
        <w:rPr>
          <w:rFonts w:hint="eastAsia" w:ascii="Times New Roman" w:hAnsi="Times New Roman" w:eastAsia="方正仿宋简体" w:cs="方正仿宋简体"/>
          <w:b/>
          <w:bCs w:val="0"/>
          <w:color w:val="000000"/>
          <w:sz w:val="32"/>
          <w:szCs w:val="32"/>
          <w:lang w:eastAsia="zh-CN"/>
        </w:rPr>
        <w:t>（四）</w:t>
      </w:r>
      <w:r>
        <w:rPr>
          <w:rFonts w:hint="eastAsia" w:ascii="Times New Roman" w:hAnsi="Times New Roman" w:eastAsia="方正仿宋简体" w:cs="方正仿宋简体"/>
          <w:b/>
          <w:bCs w:val="0"/>
          <w:color w:val="000000"/>
          <w:sz w:val="32"/>
          <w:szCs w:val="32"/>
        </w:rPr>
        <w:t>本行政机关年度政务公开工作创新情况</w:t>
      </w:r>
      <w:r>
        <w:rPr>
          <w:rFonts w:hint="eastAsia" w:ascii="Times New Roman" w:hAnsi="Times New Roman" w:eastAsia="方正仿宋简体" w:cs="方正仿宋简体"/>
          <w:b/>
          <w:bCs w:val="0"/>
          <w:color w:val="000000"/>
          <w:sz w:val="32"/>
          <w:szCs w:val="32"/>
          <w:lang w:eastAsia="zh-CN"/>
        </w:rPr>
        <w:t>；</w:t>
      </w:r>
      <w:r>
        <w:rPr>
          <w:rFonts w:hint="eastAsia" w:ascii="Times New Roman" w:hAnsi="Times New Roman" w:eastAsia="方正仿宋简体" w:cs="方正仿宋简体"/>
          <w:b/>
          <w:bCs/>
          <w:color w:val="000000"/>
          <w:kern w:val="0"/>
          <w:sz w:val="32"/>
          <w:szCs w:val="32"/>
          <w:lang w:val="en-US" w:eastAsia="zh-CN"/>
        </w:rPr>
        <w:t>一是完善机制，形成合力。成立政务公开工作领导小组，明确公开原则、内容等，做到各类工作按时公开。二是突出重点，体现特色。加强政府采购和政府预决算信息公开，规范操作规程，保障公开全面性和时效性，预决算公开率达100%。三是创新平台，拓展路径。优化预决算公开方式和流程；利用“政府开放日”等活动，多方位宣传解读财政政策，提升公众知晓率。</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方正仿宋简体"/>
          <w:b/>
          <w:bCs w:val="0"/>
          <w:color w:val="00000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简体" w:cs="方正仿宋简体"/>
          <w:b/>
          <w:bCs w:val="0"/>
          <w:color w:val="00000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方正仿宋简体"/>
          <w:color w:val="000000"/>
          <w:sz w:val="32"/>
          <w:szCs w:val="32"/>
        </w:rPr>
      </w:pPr>
    </w:p>
    <w:p>
      <w:pPr>
        <w:rPr>
          <w:rFonts w:hint="eastAsia" w:eastAsiaTheme="minorEastAsia"/>
          <w:lang w:eastAsia="zh-CN"/>
        </w:rPr>
      </w:pPr>
    </w:p>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A209006-4091-46BE-ACE1-250E7F8F689F}"/>
  </w:font>
  <w:font w:name="方正小标宋简体">
    <w:panose1 w:val="03000509000000000000"/>
    <w:charset w:val="86"/>
    <w:family w:val="script"/>
    <w:pitch w:val="default"/>
    <w:sig w:usb0="00000001" w:usb1="080E0000" w:usb2="00000000" w:usb3="00000000" w:csb0="00040000" w:csb1="00000000"/>
    <w:embedRegular r:id="rId2" w:fontKey="{91A3A264-7800-4762-AED1-24048D2D0E57}"/>
  </w:font>
  <w:font w:name="方正仿宋简体">
    <w:panose1 w:val="03000509000000000000"/>
    <w:charset w:val="86"/>
    <w:family w:val="auto"/>
    <w:pitch w:val="default"/>
    <w:sig w:usb0="00000001" w:usb1="080E0000" w:usb2="00000000" w:usb3="00000000" w:csb0="00040000" w:csb1="00000000"/>
    <w:embedRegular r:id="rId3" w:fontKey="{67A0F32B-E4B5-43EB-8384-96D1C160D4BA}"/>
  </w:font>
  <w:font w:name="方正黑体简体">
    <w:panose1 w:val="03000509000000000000"/>
    <w:charset w:val="86"/>
    <w:family w:val="auto"/>
    <w:pitch w:val="default"/>
    <w:sig w:usb0="00000001" w:usb1="080E0000" w:usb2="00000000" w:usb3="00000000" w:csb0="00040000" w:csb1="00000000"/>
    <w:embedRegular r:id="rId4" w:fontKey="{3E480B0C-4584-4C7B-BC35-5053F5DAB329}"/>
  </w:font>
  <w:font w:name="方正楷体简体">
    <w:panose1 w:val="03000509000000000000"/>
    <w:charset w:val="86"/>
    <w:family w:val="auto"/>
    <w:pitch w:val="default"/>
    <w:sig w:usb0="00000001" w:usb1="080E0000" w:usb2="00000000" w:usb3="00000000" w:csb0="00040000" w:csb1="00000000"/>
    <w:embedRegular r:id="rId5" w:fontKey="{05322F0D-153A-43D5-86A1-AD244ED109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 w:name="KSO_WPS_MARK_KEY" w:val="25a3990d-c412-404a-a1dc-f06bc7218c5b"/>
  </w:docVars>
  <w:rsids>
    <w:rsidRoot w:val="5B794167"/>
    <w:rsid w:val="030875FC"/>
    <w:rsid w:val="10DB7C56"/>
    <w:rsid w:val="215B4DF2"/>
    <w:rsid w:val="476105A6"/>
    <w:rsid w:val="5B157F2A"/>
    <w:rsid w:val="5B794167"/>
    <w:rsid w:val="664E451E"/>
    <w:rsid w:val="6C4C04D0"/>
    <w:rsid w:val="780C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toc 1"/>
    <w:basedOn w:val="1"/>
    <w:next w:val="1"/>
    <w:uiPriority w:val="0"/>
    <w:pPr>
      <w:widowControl w:val="0"/>
      <w:tabs>
        <w:tab w:val="right" w:leader="dot" w:pos="7820"/>
      </w:tabs>
      <w:ind w:right="0" w:rightChars="0" w:firstLine="580" w:firstLineChars="200"/>
      <w:jc w:val="both"/>
    </w:pPr>
    <w:rPr>
      <w:rFonts w:ascii="Times New Roman" w:hAnsi="Times New Roman" w:eastAsia="黑体" w:cs="Times New Roman"/>
      <w:spacing w:val="-5"/>
      <w:sz w:val="30"/>
    </w:rPr>
  </w:style>
  <w:style w:type="paragraph" w:styleId="4">
    <w:name w:val="toc 2"/>
    <w:basedOn w:val="1"/>
    <w:next w:val="1"/>
    <w:link w:val="9"/>
    <w:uiPriority w:val="0"/>
    <w:pPr>
      <w:widowControl w:val="0"/>
      <w:tabs>
        <w:tab w:val="right" w:leader="dot" w:pos="7820"/>
      </w:tabs>
      <w:ind w:left="0" w:right="0" w:rightChars="0" w:firstLine="580" w:firstLineChars="200"/>
      <w:jc w:val="both"/>
    </w:pPr>
    <w:rPr>
      <w:rFonts w:ascii="Times New Roman" w:hAnsi="Times New Roman" w:eastAsia="黑体" w:cs="Times New Roman"/>
      <w:spacing w:val="-5"/>
      <w:sz w:val="30"/>
    </w:rPr>
  </w:style>
  <w:style w:type="paragraph" w:styleId="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Strong"/>
    <w:qFormat/>
    <w:uiPriority w:val="0"/>
    <w:rPr>
      <w:b/>
    </w:rPr>
  </w:style>
  <w:style w:type="character" w:customStyle="1" w:styleId="9">
    <w:name w:val="目录 2 Char"/>
    <w:link w:val="4"/>
    <w:qFormat/>
    <w:uiPriority w:val="39"/>
    <w:rPr>
      <w:rFonts w:ascii="Times New Roman" w:hAnsi="Times New Roman" w:eastAsia="黑体" w:cs="Times New Roman"/>
      <w:spacing w:val="-5"/>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25919;&#21153;&#20844;&#24320;\&#27863;&#27700;&#21439;&#36130;&#25919;&#23616;2024&#24180;&#25919;&#24220;&#20449;&#24687;&#20844;&#24320;&#24037;&#20316;&#24180;&#24230;&#25253;&#21578;\&#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baseline="0">
                <a:solidFill>
                  <a:srgbClr val="595959">
                    <a:lumMod val="65000"/>
                    <a:lumOff val="35000"/>
                  </a:srgbClr>
                </a:solidFill>
                <a:latin typeface="+mn-lt"/>
                <a:ea typeface="+mn-ea"/>
                <a:cs typeface="+mn-cs"/>
              </a:defRPr>
            </a:pPr>
            <a:r>
              <a:rPr altLang="en-US" sz="1600" b="1"/>
              <a:t>信息公开数据</a:t>
            </a:r>
            <a:endParaRPr lang="en-US" altLang="zh-CN" sz="16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doughnut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Pt>
            <c:idx val="3"/>
            <c:bubble3D val="0"/>
            <c:explosion val="0"/>
            <c:spPr>
              <a:solidFill>
                <a:srgbClr val="8064A2"/>
              </a:solidFill>
              <a:ln w="19050">
                <a:solidFill>
                  <a:srgbClr val="FFFFFF"/>
                </a:solidFill>
              </a:ln>
              <a:effectLst/>
            </c:spPr>
          </c:dPt>
          <c:dPt>
            <c:idx val="4"/>
            <c:bubble3D val="0"/>
            <c:explosion val="0"/>
            <c:spPr>
              <a:solidFill>
                <a:srgbClr val="4BACC6"/>
              </a:solidFill>
              <a:ln w="19050">
                <a:solidFill>
                  <a:srgbClr val="FFFFFF"/>
                </a:solidFill>
              </a:ln>
              <a:effectLst/>
            </c:spPr>
          </c:dPt>
          <c:dPt>
            <c:idx val="5"/>
            <c:bubble3D val="0"/>
            <c:explosion val="0"/>
            <c:spPr>
              <a:solidFill>
                <a:srgbClr val="F79646"/>
              </a:solidFill>
              <a:ln w="19050">
                <a:solidFill>
                  <a:srgbClr val="FFFFFF"/>
                </a:solidFill>
              </a:ln>
              <a:effectLst/>
            </c:spPr>
          </c:dPt>
          <c:dLbls>
            <c:delete val="1"/>
          </c:dLbls>
          <c:cat>
            <c:strRef>
              <c:f>'[新建 XLS 工作表.xls]Sheet1'!$B$3:$B$8</c:f>
              <c:strCache>
                <c:ptCount val="6"/>
                <c:pt idx="0">
                  <c:v>财政预算信息</c:v>
                </c:pt>
                <c:pt idx="1">
                  <c:v>财政决算信息</c:v>
                </c:pt>
                <c:pt idx="2">
                  <c:v>财政资金直达信息</c:v>
                </c:pt>
                <c:pt idx="3">
                  <c:v>价格与收费信息</c:v>
                </c:pt>
                <c:pt idx="4">
                  <c:v>政府采购信息</c:v>
                </c:pt>
                <c:pt idx="5">
                  <c:v>其他</c:v>
                </c:pt>
              </c:strCache>
            </c:strRef>
          </c:cat>
          <c:val>
            <c:numRef>
              <c:f>'[新建 XLS 工作表.xls]Sheet1'!$C$3:$C$8</c:f>
              <c:numCache>
                <c:formatCode>0%</c:formatCode>
                <c:ptCount val="6"/>
                <c:pt idx="0">
                  <c:v>0.462214411247803</c:v>
                </c:pt>
                <c:pt idx="1">
                  <c:v>0.268892794376098</c:v>
                </c:pt>
                <c:pt idx="2">
                  <c:v>0.0210896309314587</c:v>
                </c:pt>
                <c:pt idx="3">
                  <c:v>0.0210896309314587</c:v>
                </c:pt>
                <c:pt idx="4">
                  <c:v>0.031634446397188</c:v>
                </c:pt>
                <c:pt idx="5">
                  <c:v>0.195079086115993</c:v>
                </c:pt>
              </c:numCache>
            </c:numRef>
          </c:val>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legendEntry>
      <c:legendEntry>
        <c:idx val="2"/>
        <c:txPr>
          <a:bodyPr rot="0" spcFirstLastPara="0" vertOverflow="ellipsis" vert="horz"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legendEntry>
      <c:legendEntry>
        <c:idx val="3"/>
        <c:txPr>
          <a:bodyPr rot="0" spcFirstLastPara="0" vertOverflow="ellipsis" vert="horz"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legendEntry>
      <c:legendEntry>
        <c:idx val="4"/>
        <c:txPr>
          <a:bodyPr rot="0" spcFirstLastPara="0" vertOverflow="ellipsis" vert="horz"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legendEntry>
      <c:legendEntry>
        <c:idx val="5"/>
        <c:txPr>
          <a:bodyPr rot="0" spcFirstLastPara="0" vertOverflow="ellipsis" vert="horz"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legendEntry>
      <c:layout>
        <c:manualLayout>
          <c:xMode val="edge"/>
          <c:yMode val="edge"/>
          <c:x val="0.146051622795809"/>
          <c:y val="0.824828509285595"/>
          <c:w val="0.769997444416049"/>
          <c:h val="0.165300317885227"/>
        </c:manualLayout>
      </c:layout>
      <c:overlay val="0"/>
      <c:spPr>
        <a:noFill/>
        <a:ln>
          <a:noFill/>
        </a:ln>
        <a:effectLst/>
      </c:spPr>
      <c:txPr>
        <a:bodyPr rot="0" spcFirstLastPara="0" vertOverflow="ellipsis" vert="horz"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sz="1000" b="1"/>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2735</Words>
  <Characters>2840</Characters>
  <Lines>0</Lines>
  <Paragraphs>0</Paragraphs>
  <TotalTime>59</TotalTime>
  <ScaleCrop>false</ScaleCrop>
  <LinksUpToDate>false</LinksUpToDate>
  <CharactersWithSpaces>2840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2025-01-21T06:38:00Z</dcterms:created>
  <dc:creator>WPS_1661510369</dc:creator>
  <cp:lastModifiedBy>WPS_1661510369</cp:lastModifiedBy>
  <dcterms:modified xsi:type="dcterms:W3CDTF">2025-01-21T07:40:23Z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96A2A52A5EDA4837A80C614CF7C866E8_11</vt:lpwstr>
  </property>
</Properties>
</file>