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59E5">
      <w:pPr>
        <w:wordWrap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3E0DC67">
      <w:pPr>
        <w:wordWrap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7FDD37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泗水县泗张镇人民政府</w:t>
      </w:r>
      <w:r>
        <w:rPr>
          <w:rFonts w:hint="eastAsia" w:ascii="方正小标宋简体" w:eastAsia="方正小标宋简体"/>
          <w:sz w:val="44"/>
          <w:szCs w:val="44"/>
        </w:rPr>
        <w:t>主动公开事项目录（202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年版）</w:t>
      </w:r>
    </w:p>
    <w:p w14:paraId="230D646B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28"/>
        <w:gridCol w:w="4303"/>
        <w:gridCol w:w="1287"/>
        <w:gridCol w:w="2578"/>
        <w:gridCol w:w="1868"/>
        <w:gridCol w:w="1300"/>
        <w:gridCol w:w="6167"/>
        <w:gridCol w:w="1287"/>
      </w:tblGrid>
      <w:tr w14:paraId="2F32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1" w:type="pct"/>
            <w:gridSpan w:val="2"/>
            <w:shd w:val="clear" w:color="auto" w:fill="auto"/>
            <w:vAlign w:val="center"/>
          </w:tcPr>
          <w:p w14:paraId="1C41F34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公开事项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0E28246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公开内容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5FAA8B4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公开主体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</w:tcPr>
          <w:p w14:paraId="5DBC8B1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公开依据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61A1E6A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公开时限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3A00FA08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公开方式</w:t>
            </w:r>
          </w:p>
        </w:tc>
        <w:tc>
          <w:tcPr>
            <w:tcW w:w="1433" w:type="pct"/>
            <w:vMerge w:val="restart"/>
            <w:shd w:val="clear" w:color="auto" w:fill="auto"/>
            <w:vAlign w:val="center"/>
          </w:tcPr>
          <w:p w14:paraId="359328E6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公开渠道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14:paraId="7DED541A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公开责任</w:t>
            </w:r>
          </w:p>
        </w:tc>
      </w:tr>
      <w:tr w14:paraId="7B0D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2CD381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一级事项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9E3412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二级事项</w:t>
            </w: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 w14:paraId="6F4D1D3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 w14:paraId="45B361C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shd w:val="clear" w:color="auto" w:fill="auto"/>
            <w:vAlign w:val="center"/>
          </w:tcPr>
          <w:p w14:paraId="600C0C9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Merge w:val="continue"/>
            <w:shd w:val="clear" w:color="auto" w:fill="auto"/>
            <w:vAlign w:val="center"/>
          </w:tcPr>
          <w:p w14:paraId="2BD2055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Merge w:val="continue"/>
            <w:shd w:val="clear" w:color="auto" w:fill="auto"/>
            <w:vAlign w:val="center"/>
          </w:tcPr>
          <w:p w14:paraId="4488F73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3" w:type="pct"/>
            <w:vMerge w:val="continue"/>
            <w:shd w:val="clear" w:color="auto" w:fill="auto"/>
            <w:vAlign w:val="center"/>
          </w:tcPr>
          <w:p w14:paraId="267AC74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 w14:paraId="5D0D154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1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299" w:type="pct"/>
            <w:vMerge w:val="restart"/>
            <w:shd w:val="clear" w:color="auto" w:fill="auto"/>
            <w:vAlign w:val="center"/>
          </w:tcPr>
          <w:p w14:paraId="5DC63A7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机关简介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DF6E6A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0354C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1.机关职能：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机构编制部门批复的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工作职责以及法律法规或上级机关设定的工作职责；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2.办公地址：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现在的办公具体地址；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3.办公时间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的正式办公时间；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4.联系方式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：代表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对外联系的电话。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822ACA2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C761459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《政府信息公开条例》第二十条（二）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D2741C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C7813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29140037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E3DD1D3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党建办公室</w:t>
            </w:r>
          </w:p>
        </w:tc>
      </w:tr>
      <w:tr w14:paraId="51B2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299" w:type="pct"/>
            <w:vMerge w:val="continue"/>
            <w:vAlign w:val="center"/>
          </w:tcPr>
          <w:p w14:paraId="1FE4361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DD438C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领导信息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0981EB1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领导的姓名、现任职务职级、性别、民族、出生年月、学历学位、政治面貌、照片等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9531FD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A75984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《政府信息公开条例》第二十条（二）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9C8B4A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B94BB0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43D3BC1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7CA87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党建办公室</w:t>
            </w:r>
          </w:p>
        </w:tc>
      </w:tr>
      <w:tr w14:paraId="5757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299" w:type="pct"/>
            <w:vMerge w:val="continue"/>
            <w:vAlign w:val="center"/>
          </w:tcPr>
          <w:p w14:paraId="59D0E9A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74F0FE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机构设置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F87E4F">
            <w:pPr>
              <w:widowControl/>
              <w:jc w:val="left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的内设机构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和主要职责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9162CF6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2CC93FE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《政府信息公开条例》第二十条（二）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026D73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自该政府信息形成或者变更之日起5个工作日内；长期公示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745068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52CE8F9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1F34AB4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党建办公室</w:t>
            </w:r>
          </w:p>
        </w:tc>
      </w:tr>
      <w:tr w14:paraId="7FFC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5B6204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履职依据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5C6C4F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A0EBF36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1.以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名义印发的行政规范性文件的索引号、主题分类、文件标题、成文日期、发布日期、发布机构、统一编号、有效性、发文字号、正文、附件以及相关解读材料；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2.作出清理决定后，公布废止和宣布失效的规范性文件名称、文号等。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AB8D3E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0687A50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《政府信息公开条例》第二十条（一）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《山东省行政规范性文件制定和监督管理办法》第四十条、第五十七条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5E7C3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自该政府信息形成或者变更之日起20个工作日内公开；长期公示，定期清理；自行政规范性文件宣布废止、失效之日起1个工作日内更新有效性标注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76632C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3E6DE9A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72ED38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</w:tr>
      <w:tr w14:paraId="25D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04675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财政预决算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B5BC2F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44C19AF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1.部门收支总体情况：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原则上至少公开3张报表，包括部门收支总体情况表、部门收入总体情况表和部门支出总体情况表。一般公共预算支出情况表公开到功能分类项级科目；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2.财政拨款收支情况：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一般公共预算、政府性基金预算、国有资本经营预算拨款收支情况，原则上至少公开5张报表，包括：财政拨款收支总体情况表、一般公共预算支出情况表、一般公共预算基本支出情况表、一般公共预算“三公”经费支出情况表、政府性基金预算支出情况表。没有数据的表格应当列出空表并说明；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泗张镇人民政府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的职责、机构设置情况、预决算收支增减变化、机关运行经费安排以及政府采购等情况的说明，并对专业性较强的名词进行解释；国有资产占用、重点项目预算的绩效目标和绩效评价结果等情况。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决算公开原则上参照预算公开的范围、体例和内容。其中，“三公”经费决算公开要细化说明因公出国（境）团组数及人数，公务用车购置数及保有量，国内公务接待的批次、人数、经费总额，以及“三公”经费增减变化原因等信息。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AFCC4A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B99AFB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《政府信息公开条例》第二十条（七）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《中华人民共和国预算法》第十四条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《中华人民共和国预算法实施条例》第六条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489709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在本级政府财政部门批复后20日内向社会公开；长期公示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03CB32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4AFCEAE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036DE8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办公室</w:t>
            </w:r>
          </w:p>
        </w:tc>
      </w:tr>
      <w:tr w14:paraId="670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8725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其他法定内容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E3EB98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人大代表建议、政协提案办理结果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81540EA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人大代表建议办理答复结果；政协提案办理结果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A43C899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FA77E1C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《政府信息公开条例》第二十条（十五）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《山东省人民代表大会代表建议、批评和意见办理工作条例》第二十八条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《政协山东省委员会提案工作条例》第二十三条、第二十五条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D2E040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在答复建议和提案提出人的1个月内；定期清理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871868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全社会范围主动公开</w:t>
            </w:r>
          </w:p>
        </w:tc>
        <w:tc>
          <w:tcPr>
            <w:tcW w:w="1433" w:type="pct"/>
            <w:shd w:val="clear" w:color="auto" w:fill="auto"/>
            <w:vAlign w:val="center"/>
          </w:tcPr>
          <w:p w14:paraId="4166A47D"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政府网站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政府公报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政务新媒体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广播电视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纸质媒体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实体公开栏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政务公开专区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获取权限可控的信息平台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办事大厅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便民服务窗口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国家档案馆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公共图书馆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Wingdings" w:hAnsi="Wingdings" w:eastAsia="仿宋_GB2312" w:cs="宋体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71103BE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人大、政协联络室</w:t>
            </w:r>
            <w:bookmarkStart w:id="0" w:name="_GoBack"/>
            <w:bookmarkEnd w:id="0"/>
          </w:p>
        </w:tc>
      </w:tr>
    </w:tbl>
    <w:p w14:paraId="6FC12127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23811" w:h="16838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9792FFC-F174-4A4A-9EBA-099F75F993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F5591D-634B-4AFE-B0B3-7086EEE10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E8CA29D-EACB-4092-B720-D543866F511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4F33222-51F8-4CB6-A2C2-49D9ADBFC7A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1ADC540-ED43-482D-928C-F80165444BE0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367856E8-357D-49B7-9403-CE760EBE69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387872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81E45C4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NzJjZWEzMGExZGJhMGU5ZGRhM2M5ZTVlZWNhZmUifQ=="/>
  </w:docVars>
  <w:rsids>
    <w:rsidRoot w:val="0098394E"/>
    <w:rsid w:val="0000169A"/>
    <w:rsid w:val="00117150"/>
    <w:rsid w:val="0016125D"/>
    <w:rsid w:val="00193BF5"/>
    <w:rsid w:val="001B4AD7"/>
    <w:rsid w:val="003C02B1"/>
    <w:rsid w:val="004D2779"/>
    <w:rsid w:val="004F2B22"/>
    <w:rsid w:val="005279C0"/>
    <w:rsid w:val="00677BB3"/>
    <w:rsid w:val="00733381"/>
    <w:rsid w:val="00800BAF"/>
    <w:rsid w:val="00837AC5"/>
    <w:rsid w:val="008565E6"/>
    <w:rsid w:val="008837B9"/>
    <w:rsid w:val="00924AEF"/>
    <w:rsid w:val="0098394E"/>
    <w:rsid w:val="00B479BF"/>
    <w:rsid w:val="00BC2822"/>
    <w:rsid w:val="00BF3CC5"/>
    <w:rsid w:val="00C43A2D"/>
    <w:rsid w:val="00E05B2E"/>
    <w:rsid w:val="00E61A79"/>
    <w:rsid w:val="00E64524"/>
    <w:rsid w:val="00E83A5C"/>
    <w:rsid w:val="00EC0FE2"/>
    <w:rsid w:val="00EE4A52"/>
    <w:rsid w:val="00F132D4"/>
    <w:rsid w:val="00F51FB5"/>
    <w:rsid w:val="02267693"/>
    <w:rsid w:val="05682F48"/>
    <w:rsid w:val="08BA0844"/>
    <w:rsid w:val="08C16272"/>
    <w:rsid w:val="0B071D3B"/>
    <w:rsid w:val="0BE36304"/>
    <w:rsid w:val="0D4C7ED9"/>
    <w:rsid w:val="141E6ADB"/>
    <w:rsid w:val="178926B9"/>
    <w:rsid w:val="1D1A7363"/>
    <w:rsid w:val="2F190180"/>
    <w:rsid w:val="2F2B1BEC"/>
    <w:rsid w:val="32E14A9C"/>
    <w:rsid w:val="33BC1065"/>
    <w:rsid w:val="34F72BCA"/>
    <w:rsid w:val="35D82035"/>
    <w:rsid w:val="3A324A06"/>
    <w:rsid w:val="432B3B11"/>
    <w:rsid w:val="45BA7E41"/>
    <w:rsid w:val="4D634CAC"/>
    <w:rsid w:val="4FF01433"/>
    <w:rsid w:val="53B6E85B"/>
    <w:rsid w:val="5453081C"/>
    <w:rsid w:val="54CB5262"/>
    <w:rsid w:val="55525CEC"/>
    <w:rsid w:val="57EE7D12"/>
    <w:rsid w:val="59164907"/>
    <w:rsid w:val="5A6B2D19"/>
    <w:rsid w:val="5B024912"/>
    <w:rsid w:val="5D4D6706"/>
    <w:rsid w:val="60A70AE4"/>
    <w:rsid w:val="6214430D"/>
    <w:rsid w:val="62B334AF"/>
    <w:rsid w:val="648D66EF"/>
    <w:rsid w:val="66A906B8"/>
    <w:rsid w:val="6A3B17D5"/>
    <w:rsid w:val="6E9340DE"/>
    <w:rsid w:val="6F6B5112"/>
    <w:rsid w:val="703F45D4"/>
    <w:rsid w:val="70776CBE"/>
    <w:rsid w:val="74381A66"/>
    <w:rsid w:val="776A1A51"/>
    <w:rsid w:val="79C618C2"/>
    <w:rsid w:val="7E2B43EA"/>
    <w:rsid w:val="7FE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1807</Words>
  <Characters>1821</Characters>
  <Lines>34</Lines>
  <Paragraphs>9</Paragraphs>
  <TotalTime>2</TotalTime>
  <ScaleCrop>false</ScaleCrop>
  <LinksUpToDate>false</LinksUpToDate>
  <CharactersWithSpaces>2260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2024-09-10T10:20:00Z</dcterms:created>
  <dc:creator>元华 戚</dc:creator>
  <cp:lastModifiedBy>a</cp:lastModifiedBy>
  <cp:lastPrinted>2024-11-28T09:37:00Z</cp:lastPrinted>
  <dcterms:modified xsi:type="dcterms:W3CDTF">2025-03-04T03:34:44Z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F4945817B7034BE5848EE159ADF3744F_13</vt:lpwstr>
  </property>
  <property fmtid="{D5CDD505-2E9C-101B-9397-08002B2CF9AE}" pid="4" name="KSOTemplateDocerSaveRecord">
    <vt:lpwstr>eyJoZGlkIjoiNzczMjU0ZjA1NWIzMmY2MzYxZjAxZWRlMDdhMDhhNjkifQ==</vt:lpwstr>
  </property>
</Properties>
</file>