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eastAsia="zh-CN"/>
        </w:rPr>
      </w:pPr>
      <w:r>
        <w:rPr>
          <w:rFonts w:hint="eastAsia" w:ascii="方正小标宋简体" w:eastAsia="方正小标宋简体"/>
          <w:spacing w:val="60"/>
          <w:sz w:val="74"/>
          <w:lang w:eastAsia="zh-CN"/>
        </w:rPr>
        <w:t>济宁市公共资源交易啊服务中心泗水分中心</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spacing w:afterLines="50" w:line="580" w:lineRule="exact"/>
        <w:rPr>
          <w:rFonts w:ascii="方正小标宋简体" w:eastAsia="方正小标宋简体"/>
          <w:sz w:val="44"/>
          <w:szCs w:val="44"/>
        </w:rPr>
      </w:pPr>
    </w:p>
    <w:p>
      <w:pPr>
        <w:spacing w:afterLines="50"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一、部门职责</w:t>
      </w:r>
      <w:r>
        <w:rPr>
          <w:rFonts w:hint="eastAsia" w:ascii="仿宋_GB2312" w:eastAsia="仿宋_GB2312"/>
          <w:sz w:val="32"/>
          <w:szCs w:val="32"/>
          <w:lang w:val="en-US" w:eastAsia="zh-CN"/>
        </w:rPr>
        <w:t>.....................................5</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二、机构设</w:t>
      </w:r>
      <w:r>
        <w:rPr>
          <w:rFonts w:hint="eastAsia" w:ascii="仿宋_GB2312" w:eastAsia="仿宋_GB2312"/>
          <w:sz w:val="32"/>
          <w:szCs w:val="32"/>
          <w:lang w:eastAsia="zh-CN"/>
        </w:rPr>
        <w:t>置</w:t>
      </w:r>
      <w:r>
        <w:rPr>
          <w:rFonts w:hint="eastAsia" w:ascii="仿宋_GB2312" w:eastAsia="仿宋_GB2312"/>
          <w:sz w:val="32"/>
          <w:szCs w:val="32"/>
          <w:lang w:val="en-US" w:eastAsia="zh-CN"/>
        </w:rPr>
        <w:t>.....................................5</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2020年度部门决算表</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lang w:val="en-US" w:eastAsia="zh-CN"/>
        </w:rPr>
        <w:t>.............................7</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lang w:val="en-US" w:eastAsia="zh-CN"/>
        </w:rPr>
        <w:t>...................................8</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lang w:val="en-US" w:eastAsia="zh-CN"/>
        </w:rPr>
        <w:t>...................................9</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lang w:val="en-US" w:eastAsia="zh-CN"/>
        </w:rPr>
        <w:t>....................10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五、一般公共预算财政拨款支出决算表</w:t>
      </w:r>
      <w:r>
        <w:rPr>
          <w:rFonts w:hint="eastAsia" w:ascii="仿宋_GB2312" w:eastAsia="仿宋_GB2312"/>
          <w:sz w:val="32"/>
          <w:szCs w:val="32"/>
          <w:lang w:val="en-US" w:eastAsia="zh-CN"/>
        </w:rPr>
        <w:t>..............11</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六、一般公共预算财政拨款基本支出决算表</w:t>
      </w:r>
      <w:r>
        <w:rPr>
          <w:rFonts w:hint="eastAsia" w:ascii="仿宋_GB2312" w:eastAsia="仿宋_GB2312"/>
          <w:sz w:val="32"/>
          <w:szCs w:val="32"/>
          <w:lang w:val="en-US" w:eastAsia="zh-CN"/>
        </w:rPr>
        <w:t>.......12-13</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七、一般公共预算财政拨款“三公”经费支出决算表</w:t>
      </w:r>
      <w:r>
        <w:rPr>
          <w:rFonts w:hint="eastAsia" w:ascii="仿宋_GB2312" w:eastAsia="仿宋_GB2312"/>
          <w:sz w:val="32"/>
          <w:szCs w:val="32"/>
          <w:lang w:val="en-US" w:eastAsia="zh-CN"/>
        </w:rPr>
        <w:t>..14</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八、政府性基金预算财政拨款收入支出决算表</w:t>
      </w:r>
      <w:r>
        <w:rPr>
          <w:rFonts w:hint="eastAsia" w:ascii="仿宋_GB2312" w:eastAsia="仿宋_GB2312"/>
          <w:sz w:val="32"/>
          <w:szCs w:val="32"/>
          <w:lang w:val="en-US" w:eastAsia="zh-CN"/>
        </w:rPr>
        <w:t>........15</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..16.17</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2020年度部门决算情况说明</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lang w:val="en-US" w:eastAsia="zh-CN"/>
        </w:rPr>
        <w:t>...................19</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lang w:val="en-US" w:eastAsia="zh-CN"/>
        </w:rPr>
        <w:t>...........................19</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lang w:val="en-US" w:eastAsia="zh-CN"/>
        </w:rPr>
        <w:t>...........................20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lang w:val="en-US" w:eastAsia="zh-CN"/>
        </w:rPr>
        <w:t>...........20</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lang w:val="en-US" w:eastAsia="zh-CN"/>
        </w:rPr>
        <w:t>.......21</w:t>
      </w:r>
    </w:p>
    <w:p>
      <w:pPr>
        <w:spacing w:line="580" w:lineRule="exact"/>
        <w:ind w:firstLine="632" w:firstLineChars="200"/>
        <w:rPr>
          <w:rFonts w:hint="eastAsia"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lang w:val="en-US" w:eastAsia="zh-CN"/>
        </w:rPr>
        <w:t>...22</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七、一般公共预算财政拨款“三公”经费支出决算情况说明</w:t>
      </w:r>
      <w:r>
        <w:rPr>
          <w:rFonts w:hint="eastAsia" w:ascii="仿宋_GB2312" w:eastAsia="仿宋_GB2312"/>
          <w:sz w:val="32"/>
          <w:szCs w:val="32"/>
          <w:lang w:val="en-US" w:eastAsia="zh-CN"/>
        </w:rPr>
        <w:t>...............................................22-23</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八、政府性基金预算财政拨款收入支出决算情况说明</w:t>
      </w:r>
      <w:r>
        <w:rPr>
          <w:rFonts w:hint="eastAsia" w:ascii="仿宋_GB2312" w:eastAsia="仿宋_GB2312"/>
          <w:sz w:val="32"/>
          <w:szCs w:val="32"/>
          <w:lang w:val="en-US" w:eastAsia="zh-CN"/>
        </w:rPr>
        <w:t>..23</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..23</w:t>
      </w:r>
    </w:p>
    <w:p>
      <w:pPr>
        <w:spacing w:line="580" w:lineRule="exact"/>
        <w:ind w:firstLine="632" w:firstLineChars="200"/>
        <w:rPr>
          <w:rFonts w:hint="default" w:ascii="仿宋_GB2312" w:eastAsia="仿宋_GB2312"/>
          <w:sz w:val="32"/>
          <w:szCs w:val="32"/>
          <w:lang w:val="en-US" w:eastAsia="zh-CN"/>
        </w:rPr>
      </w:pPr>
      <w:r>
        <w:rPr>
          <w:rFonts w:hint="eastAsia" w:ascii="仿宋_GB2312" w:eastAsia="仿宋_GB2312"/>
          <w:sz w:val="32"/>
          <w:szCs w:val="32"/>
        </w:rPr>
        <w:t>十、重要事项情况说明</w:t>
      </w:r>
      <w:r>
        <w:rPr>
          <w:rFonts w:hint="eastAsia" w:ascii="仿宋_GB2312" w:eastAsia="仿宋_GB2312"/>
          <w:sz w:val="32"/>
          <w:szCs w:val="32"/>
          <w:lang w:val="en-US" w:eastAsia="zh-CN"/>
        </w:rPr>
        <w:t>.........................23-24</w:t>
      </w:r>
    </w:p>
    <w:p>
      <w:pPr>
        <w:spacing w:line="580" w:lineRule="exact"/>
        <w:ind w:firstLine="316" w:firstLineChars="100"/>
        <w:rPr>
          <w:rFonts w:hint="default" w:ascii="黑体" w:hAnsi="黑体" w:eastAsia="黑体"/>
          <w:sz w:val="32"/>
          <w:szCs w:val="32"/>
          <w:lang w:val="en-US" w:eastAsia="zh-CN"/>
        </w:rPr>
      </w:pPr>
      <w:r>
        <w:rPr>
          <w:rFonts w:hint="eastAsia" w:ascii="黑体" w:hAnsi="黑体" w:eastAsia="黑体"/>
          <w:sz w:val="32"/>
          <w:szCs w:val="32"/>
        </w:rPr>
        <w:t>第四部分  名词解释</w:t>
      </w:r>
      <w:r>
        <w:rPr>
          <w:rFonts w:hint="eastAsia" w:ascii="黑体" w:hAnsi="黑体" w:eastAsia="黑体"/>
          <w:sz w:val="32"/>
          <w:szCs w:val="32"/>
          <w:lang w:val="en-US" w:eastAsia="zh-CN"/>
        </w:rPr>
        <w:t>.............................25-27</w:t>
      </w:r>
    </w:p>
    <w:p>
      <w:pPr>
        <w:spacing w:line="580" w:lineRule="exact"/>
        <w:ind w:firstLine="316" w:firstLineChars="100"/>
        <w:rPr>
          <w:rFonts w:hint="default" w:ascii="黑体" w:hAnsi="黑体" w:eastAsia="黑体"/>
          <w:sz w:val="32"/>
          <w:szCs w:val="32"/>
          <w:lang w:val="en-US" w:eastAsia="zh-CN"/>
        </w:rPr>
      </w:pPr>
      <w:r>
        <w:rPr>
          <w:rFonts w:hint="eastAsia" w:ascii="黑体" w:hAnsi="黑体" w:eastAsia="黑体"/>
          <w:sz w:val="32"/>
          <w:szCs w:val="32"/>
        </w:rPr>
        <w:t xml:space="preserve">第五部分  附件 </w:t>
      </w:r>
      <w:r>
        <w:rPr>
          <w:rFonts w:hint="eastAsia" w:ascii="黑体" w:hAnsi="黑体" w:eastAsia="黑体"/>
          <w:sz w:val="32"/>
          <w:szCs w:val="32"/>
          <w:lang w:val="en-US" w:eastAsia="zh-CN"/>
        </w:rPr>
        <w:t>................................28-30</w:t>
      </w: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p>
    <w:p>
      <w:pPr>
        <w:rPr>
          <w:rFonts w:hint="eastAsia" w:ascii="方正小标宋简体" w:eastAsia="方正小标宋简体"/>
          <w:spacing w:val="60"/>
          <w:sz w:val="42"/>
        </w:rPr>
      </w:pPr>
      <w:r>
        <w:rPr>
          <w:rFonts w:hint="eastAsia" w:ascii="方正小标宋简体" w:eastAsia="方正小标宋简体"/>
          <w:spacing w:val="60"/>
          <w:sz w:val="42"/>
        </w:rPr>
        <w:t>第一部分</w:t>
      </w:r>
    </w:p>
    <w:p>
      <w:pPr>
        <w:rPr>
          <w:rFonts w:hint="eastAsia" w:ascii="仿宋_GB2312" w:eastAsia="方正小标宋简体"/>
          <w:lang w:eastAsia="zh-CN"/>
        </w:rPr>
        <w:sectPr>
          <w:headerReference r:id="rId3" w:type="default"/>
          <w:footerReference r:id="rId4" w:type="default"/>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部门概</w:t>
      </w:r>
      <w:r>
        <w:rPr>
          <w:rFonts w:hint="eastAsia" w:ascii="方正小标宋简体" w:eastAsia="方正小标宋简体"/>
          <w:spacing w:val="60"/>
          <w:sz w:val="48"/>
          <w:lang w:eastAsia="zh-CN"/>
        </w:rPr>
        <w:t>况</w:t>
      </w:r>
    </w:p>
    <w:p>
      <w:pPr>
        <w:rPr>
          <w:rFonts w:ascii="黑体" w:hAnsi="黑体" w:eastAsia="黑体"/>
          <w:sz w:val="32"/>
          <w:szCs w:val="32"/>
        </w:rPr>
      </w:pPr>
      <w:r>
        <w:rPr>
          <w:rFonts w:hint="eastAsia" w:ascii="黑体" w:hAnsi="黑体" w:eastAsia="黑体"/>
          <w:sz w:val="32"/>
          <w:szCs w:val="32"/>
        </w:rPr>
        <w:t>一、部门职责</w:t>
      </w:r>
    </w:p>
    <w:p>
      <w:pPr>
        <w:spacing w:line="580" w:lineRule="exact"/>
        <w:ind w:firstLine="632" w:firstLineChars="200"/>
        <w:rPr>
          <w:rFonts w:ascii="仿宋_GB2312" w:hAnsi="宋体" w:eastAsia="仿宋_GB2312" w:cs="Courier New"/>
          <w:sz w:val="32"/>
          <w:szCs w:val="32"/>
        </w:rPr>
      </w:pPr>
      <w:r>
        <w:rPr>
          <w:rFonts w:ascii="仿宋_GB2312" w:hAnsi="宋体" w:eastAsia="仿宋_GB2312" w:cs="Courier New"/>
          <w:sz w:val="32"/>
          <w:szCs w:val="32"/>
        </w:rPr>
        <w:t>济宁市公共资源交易服务中心泗水分中心（挂泗水县政府采购中心牌子），简称：市公资泗水分中心。为正科级公益一类事业单位，隶属县政府管理，接受济宁市公共资源交易中心的业务指导，经费来源为全额财政拨款，主要职责：负责辖区内公共资源交易平台的建设、对接、管理和维护；为公共资源交易活动提供场所、设施和服务；提出公共资源交易管理制度、交易规则建议方案；受委托或授权实施公共资源交易目录范围内的交易工作；收集、发布和存储各类公共资源交易信息，建立公共资源交易信用档案，为公共资源交易的综合管理、行政监管、监察审计提供支持。</w:t>
      </w:r>
    </w:p>
    <w:p>
      <w:pPr>
        <w:ind w:firstLine="316" w:firstLineChars="100"/>
        <w:rPr>
          <w:rFonts w:ascii="黑体" w:hAnsi="黑体" w:eastAsia="黑体"/>
          <w:sz w:val="32"/>
          <w:szCs w:val="32"/>
        </w:rPr>
      </w:pPr>
      <w:r>
        <w:rPr>
          <w:rFonts w:hint="eastAsia" w:ascii="黑体" w:hAnsi="黑体" w:eastAsia="黑体"/>
          <w:sz w:val="32"/>
          <w:szCs w:val="32"/>
        </w:rPr>
        <w:t>二、机构设置</w:t>
      </w:r>
    </w:p>
    <w:p>
      <w:pPr>
        <w:spacing w:line="580" w:lineRule="exact"/>
        <w:rPr>
          <w:rFonts w:ascii="方正小标宋简体" w:eastAsia="方正小标宋简体"/>
          <w:sz w:val="42"/>
        </w:rPr>
      </w:pPr>
      <w:r>
        <w:rPr>
          <w:rFonts w:hint="eastAsia" w:ascii="仿宋_GB2312" w:hAnsi="宋体" w:eastAsia="仿宋_GB2312" w:cs="Courier New"/>
          <w:sz w:val="32"/>
          <w:szCs w:val="32"/>
        </w:rPr>
        <w:t>从决算单位构成看，</w:t>
      </w:r>
      <w:r>
        <w:rPr>
          <w:rFonts w:ascii="仿宋_GB2312" w:hAnsi="宋体" w:eastAsia="仿宋_GB2312" w:cs="Courier New"/>
          <w:sz w:val="32"/>
          <w:szCs w:val="32"/>
        </w:rPr>
        <w:t>济宁市公共资源交易服务中心泗水分中心</w:t>
      </w:r>
      <w:r>
        <w:rPr>
          <w:rFonts w:hint="eastAsia" w:ascii="仿宋_GB2312" w:hAnsi="宋体" w:eastAsia="仿宋_GB2312" w:cs="Courier New"/>
          <w:sz w:val="32"/>
          <w:szCs w:val="32"/>
        </w:rPr>
        <w:t>部门决算包括：局本级决算。</w:t>
      </w:r>
    </w:p>
    <w:p>
      <w:pPr>
        <w:jc w:val="center"/>
        <w:rPr>
          <w:rFonts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tabs>
                <w:tab w:val="left" w:pos="387"/>
              </w:tabs>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145.12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一、一般公共服务支出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143.85</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145.12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143.85</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3.68</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4.95</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rPr>
              <w:t>148.8</w:t>
            </w: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rPr>
              <w:t>148.8</w:t>
            </w:r>
            <w:r>
              <w:rPr>
                <w:rFonts w:hint="eastAsia" w:ascii="仿宋_GB2312" w:eastAsia="仿宋_GB2312"/>
                <w:sz w:val="18"/>
                <w:szCs w:val="18"/>
                <w:lang w:val="en-US" w:eastAsia="zh-CN"/>
              </w:rPr>
              <w:t>0</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1065"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1517"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145.12</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1517"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145.12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145.12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344"/>
        <w:gridCol w:w="57"/>
        <w:gridCol w:w="1401"/>
        <w:gridCol w:w="1762"/>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143.85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143.85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60" w:hRule="atLeast"/>
          <w:jc w:val="center"/>
        </w:trPr>
        <w:tc>
          <w:tcPr>
            <w:tcW w:w="1344" w:type="dxa"/>
            <w:tcBorders>
              <w:top w:val="single" w:color="auto" w:sz="4" w:space="0"/>
              <w:left w:val="single" w:color="auto" w:sz="4" w:space="0"/>
              <w:bottom w:val="single" w:color="auto" w:sz="4" w:space="0"/>
              <w:right w:val="nil"/>
            </w:tcBorders>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14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一般公共服务支出</w:t>
            </w:r>
          </w:p>
        </w:tc>
        <w:tc>
          <w:tcPr>
            <w:tcW w:w="1762" w:type="dxa"/>
            <w:tcBorders>
              <w:top w:val="single" w:color="auto" w:sz="4" w:space="0"/>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　</w:t>
            </w:r>
          </w:p>
        </w:tc>
        <w:tc>
          <w:tcPr>
            <w:tcW w:w="1763"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1110"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145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145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143.85</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hint="eastAsia" w:ascii="宋体" w:hAnsi="宋体" w:eastAsia="宋体" w:cs="宋体"/>
                <w:kern w:val="0"/>
                <w:sz w:val="22"/>
              </w:rPr>
            </w:pPr>
          </w:p>
        </w:tc>
        <w:tc>
          <w:tcPr>
            <w:tcW w:w="145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2"/>
              </w:rPr>
            </w:pP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                                                                                单位：万元</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145.12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143.85</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143.85</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145.12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143.85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143.85</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3.68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4.95</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4.95</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center" w:pos="648"/>
                <w:tab w:val="right" w:pos="1631"/>
              </w:tabs>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eastAsia="zh-CN"/>
              </w:rPr>
              <w:tab/>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lang w:eastAsia="zh-CN"/>
              </w:rPr>
              <w:t>3.68</w:t>
            </w:r>
            <w:r>
              <w:rPr>
                <w:rFonts w:hint="eastAsia" w:ascii="仿宋_GB2312" w:hAnsi="宋体" w:eastAsia="仿宋_GB2312" w:cs="宋体"/>
                <w:kern w:val="0"/>
                <w:sz w:val="22"/>
                <w:lang w:eastAsia="zh-CN"/>
              </w:rPr>
              <w:tab/>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148.8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148.8</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148.8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143.85</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143.85</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201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一般公共服务支出</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20103</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政府办公厅（室）及相关机构事务</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2010301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行政运行</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143.85</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136.85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7</w:t>
            </w:r>
            <w:r>
              <w:rPr>
                <w:rFonts w:hint="eastAsia" w:ascii="仿宋_GB2312" w:hAnsi="宋体" w:eastAsia="仿宋_GB2312" w:cs="宋体"/>
                <w:color w:val="000000"/>
                <w:kern w:val="0"/>
                <w:sz w:val="20"/>
                <w:szCs w:val="20"/>
                <w:lang w:val="en-US" w:eastAsia="zh-CN"/>
              </w:rPr>
              <w:t>.00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38.35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0.6</w:t>
            </w: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16.27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0.45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7.01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0.53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0.98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136.85</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7.00</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3.00</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3.00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0.38</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0.38</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rPr>
          <w:rFonts w:ascii="仿宋_GB2312" w:hAnsi="宋体" w:eastAsia="仿宋_GB2312" w:cs="宋体"/>
          <w:kern w:val="0"/>
          <w:szCs w:val="21"/>
        </w:rPr>
      </w:pPr>
      <w:r>
        <w:rPr>
          <w:rFonts w:ascii="仿宋_GB2312" w:hAnsi="宋体" w:eastAsia="仿宋_GB2312" w:cs="Courier New"/>
          <w:b/>
          <w:bCs/>
          <w:sz w:val="32"/>
          <w:szCs w:val="32"/>
        </w:rPr>
        <w:t>济宁市公共资源交易服务中心泗水分中心</w:t>
      </w:r>
      <w:r>
        <w:rPr>
          <w:rFonts w:hint="eastAsia" w:ascii="仿宋_GB2312" w:eastAsia="仿宋_GB2312"/>
          <w:b/>
          <w:sz w:val="32"/>
          <w:szCs w:val="32"/>
        </w:rPr>
        <w:t>没有政府性基金收入，也没有使用政府性基金安排的支出，故本表无数据。</w:t>
      </w:r>
    </w:p>
    <w:p>
      <w:pPr>
        <w:rPr>
          <w:rFonts w:ascii="仿宋_GB2312" w:hAnsi="宋体" w:eastAsia="仿宋_GB2312"/>
          <w:sz w:val="24"/>
          <w:szCs w:val="24"/>
        </w:rPr>
        <w:sectPr>
          <w:pgSz w:w="16838" w:h="11906" w:orient="landscape"/>
          <w:pgMar w:top="1531" w:right="1701" w:bottom="1531" w:left="1701" w:header="0" w:footer="1418" w:gutter="0"/>
          <w:cols w:space="720" w:num="1"/>
          <w:docGrid w:type="linesAndChars" w:linePitch="610" w:charSpace="-849"/>
        </w:sectPr>
      </w:pPr>
    </w:p>
    <w:p>
      <w:pPr>
        <w:rPr>
          <w:rFonts w:ascii="仿宋_GB2312" w:hAnsi="宋体" w:eastAsia="仿宋_GB2312"/>
          <w:sz w:val="22"/>
        </w:rPr>
      </w:pPr>
    </w:p>
    <w:p>
      <w:pPr>
        <w:rPr>
          <w:rFonts w:ascii="仿宋_GB2312" w:hAnsi="宋体" w:eastAsia="仿宋_GB2312"/>
          <w:sz w:val="22"/>
        </w:rPr>
      </w:pPr>
    </w:p>
    <w:tbl>
      <w:tblPr>
        <w:tblStyle w:val="11"/>
        <w:tblW w:w="13202" w:type="dxa"/>
        <w:tblInd w:w="89" w:type="dxa"/>
        <w:tblLayout w:type="autofit"/>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单位：万元</w:t>
            </w:r>
          </w:p>
          <w:tbl>
            <w:tblPr>
              <w:tblStyle w:val="11"/>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rPr>
                <w:rFonts w:ascii="华文中宋" w:hAnsi="华文中宋" w:eastAsia="华文中宋" w:cs="宋体"/>
                <w:kern w:val="0"/>
                <w:sz w:val="32"/>
                <w:szCs w:val="32"/>
              </w:rPr>
            </w:pPr>
            <w:r>
              <w:rPr>
                <w:rFonts w:hint="eastAsia" w:ascii="仿宋_GB2312" w:eastAsia="仿宋_GB2312"/>
                <w:b/>
                <w:sz w:val="32"/>
                <w:szCs w:val="32"/>
                <w:highlight w:val="lightGray"/>
              </w:rPr>
              <w:t>本部门没有国有资本经营预算收入，也没有使用国有资本经营预算安排的支出，故本表无数据。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both"/>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rPr>
        <w:t>2020年度收、支总计</w:t>
      </w:r>
      <w:r>
        <w:rPr>
          <w:rFonts w:hint="eastAsia" w:ascii="仿宋_GB2312" w:eastAsia="仿宋_GB2312"/>
          <w:sz w:val="32"/>
          <w:szCs w:val="32"/>
          <w:highlight w:val="yellow"/>
        </w:rPr>
        <w:t xml:space="preserve"> 148.8</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万元</w:t>
      </w:r>
      <w:r>
        <w:rPr>
          <w:rFonts w:hint="eastAsia" w:ascii="仿宋_GB2312" w:eastAsia="仿宋_GB2312"/>
          <w:sz w:val="32"/>
          <w:szCs w:val="32"/>
        </w:rPr>
        <w:t>。与2019年相比，收、支总计各</w:t>
      </w:r>
      <w:r>
        <w:rPr>
          <w:rFonts w:hint="eastAsia" w:ascii="仿宋_GB2312" w:eastAsia="仿宋_GB2312"/>
          <w:sz w:val="32"/>
          <w:szCs w:val="32"/>
          <w:highlight w:val="yellow"/>
        </w:rPr>
        <w:t>增加</w:t>
      </w:r>
      <w:r>
        <w:rPr>
          <w:rFonts w:hint="eastAsia" w:ascii="仿宋_GB2312" w:eastAsia="仿宋_GB2312"/>
          <w:sz w:val="32"/>
          <w:szCs w:val="32"/>
          <w:highlight w:val="yellow"/>
          <w:lang w:val="en-US" w:eastAsia="zh-CN"/>
        </w:rPr>
        <w:t>21.2</w:t>
      </w:r>
      <w:r>
        <w:rPr>
          <w:rFonts w:hint="eastAsia" w:ascii="仿宋_GB2312" w:eastAsia="仿宋_GB2312"/>
          <w:sz w:val="32"/>
          <w:szCs w:val="32"/>
        </w:rPr>
        <w:t>万元，</w:t>
      </w:r>
      <w:r>
        <w:rPr>
          <w:rFonts w:hint="eastAsia" w:ascii="仿宋_GB2312" w:eastAsia="仿宋_GB2312"/>
          <w:sz w:val="32"/>
          <w:szCs w:val="32"/>
          <w:highlight w:val="yellow"/>
        </w:rPr>
        <w:t>增长</w:t>
      </w:r>
      <w:r>
        <w:rPr>
          <w:rFonts w:hint="eastAsia" w:ascii="仿宋_GB2312" w:eastAsia="仿宋_GB2312"/>
          <w:sz w:val="32"/>
          <w:szCs w:val="32"/>
          <w:highlight w:val="yellow"/>
          <w:lang w:val="en-US" w:eastAsia="zh-CN"/>
        </w:rPr>
        <w:t>14.25</w:t>
      </w:r>
      <w:r>
        <w:rPr>
          <w:rFonts w:hint="eastAsia" w:ascii="仿宋_GB2312" w:eastAsia="仿宋_GB2312"/>
          <w:sz w:val="32"/>
          <w:szCs w:val="32"/>
        </w:rPr>
        <w:t>%。主要是人员增加工资增多。</w:t>
      </w:r>
    </w:p>
    <w:p>
      <w:pPr>
        <w:ind w:firstLine="643" w:firstLineChars="200"/>
        <w:rPr>
          <w:rFonts w:ascii="仿宋_GB2312" w:eastAsia="仿宋_GB2312"/>
          <w:sz w:val="32"/>
          <w:szCs w:val="32"/>
        </w:rPr>
      </w:pPr>
      <w:r>
        <w:rPr>
          <w:rFonts w:ascii="仿宋_GB2312" w:eastAsia="仿宋_GB2312"/>
          <w:b/>
          <w:color w:val="FF0000"/>
          <w:sz w:val="32"/>
          <w:szCs w:val="32"/>
        </w:rPr>
        <w:drawing>
          <wp:inline distT="0" distB="0" distL="0" distR="0">
            <wp:extent cx="3676650" cy="18669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145.12</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145.12</w:t>
      </w:r>
      <w:r>
        <w:rPr>
          <w:rFonts w:hint="eastAsia" w:ascii="仿宋_GB2312" w:eastAsia="仿宋_GB2312"/>
          <w:sz w:val="32"/>
          <w:szCs w:val="32"/>
        </w:rPr>
        <w:t>万元，</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事业收入0万元，占0%；经营收入0万元，占0%；附属单位上缴收入0万元，占0%；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drawing>
          <wp:inline distT="0" distB="0" distL="0" distR="0">
            <wp:extent cx="2219325" cy="1390650"/>
            <wp:effectExtent l="4445" t="4445" r="5080"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本年支出合计143.85万元，其中：基本支出143.85万元，</w:t>
      </w:r>
      <w:r>
        <w:rPr>
          <w:rFonts w:hint="eastAsia" w:ascii="仿宋_GB2312" w:eastAsia="仿宋_GB2312"/>
          <w:sz w:val="32"/>
          <w:szCs w:val="32"/>
          <w:lang w:val="en-US" w:eastAsia="zh-CN"/>
        </w:rPr>
        <w:t>100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上缴上级支出0万元，占0%；经营支出0万元，占0%；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 xml:space="preserve"> </w:t>
      </w:r>
      <w:r>
        <w:rPr>
          <w:rFonts w:ascii="仿宋_GB2312" w:eastAsia="仿宋_GB2312"/>
          <w:sz w:val="32"/>
          <w:szCs w:val="32"/>
        </w:rPr>
        <w:drawing>
          <wp:inline distT="0" distB="0" distL="0" distR="0">
            <wp:extent cx="2352675" cy="1381125"/>
            <wp:effectExtent l="4445" t="4445" r="508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2020年度财政拨款收、支总计145.12万元。与2019年相比，财政拨款收、支总计各增加</w:t>
      </w:r>
      <w:r>
        <w:rPr>
          <w:rFonts w:hint="eastAsia" w:ascii="仿宋_GB2312" w:eastAsia="仿宋_GB2312"/>
          <w:color w:val="000000" w:themeColor="text1"/>
          <w:sz w:val="32"/>
          <w:szCs w:val="32"/>
          <w:highlight w:val="none"/>
          <w:lang w:val="en-US" w:eastAsia="zh-CN"/>
          <w14:textFill>
            <w14:solidFill>
              <w14:schemeClr w14:val="tx1"/>
            </w14:solidFill>
          </w14:textFill>
        </w:rPr>
        <w:t>17.52</w:t>
      </w:r>
      <w:r>
        <w:rPr>
          <w:rFonts w:hint="eastAsia" w:ascii="仿宋_GB2312" w:eastAsia="仿宋_GB2312"/>
          <w:color w:val="000000" w:themeColor="text1"/>
          <w:sz w:val="32"/>
          <w:szCs w:val="32"/>
          <w:highlight w:val="none"/>
          <w14:textFill>
            <w14:solidFill>
              <w14:schemeClr w14:val="tx1"/>
            </w14:solidFill>
          </w14:textFill>
        </w:rPr>
        <w:t>万元，增长</w:t>
      </w:r>
      <w:r>
        <w:rPr>
          <w:rFonts w:hint="eastAsia" w:ascii="仿宋_GB2312" w:eastAsia="仿宋_GB2312"/>
          <w:color w:val="000000" w:themeColor="text1"/>
          <w:sz w:val="32"/>
          <w:szCs w:val="32"/>
          <w:highlight w:val="none"/>
          <w:lang w:val="en-US" w:eastAsia="zh-CN"/>
          <w14:textFill>
            <w14:solidFill>
              <w14:schemeClr w14:val="tx1"/>
            </w14:solidFill>
          </w14:textFill>
        </w:rPr>
        <w:t>12.07</w:t>
      </w:r>
      <w:r>
        <w:rPr>
          <w:rFonts w:hint="eastAsia" w:ascii="仿宋_GB2312" w:eastAsia="仿宋_GB2312"/>
          <w:color w:val="000000" w:themeColor="text1"/>
          <w:sz w:val="32"/>
          <w:szCs w:val="32"/>
          <w:highlight w:val="none"/>
          <w14:textFill>
            <w14:solidFill>
              <w14:schemeClr w14:val="tx1"/>
            </w14:solidFill>
          </w14:textFill>
        </w:rPr>
        <w:t>%。主要是人员增加工资增多。</w:t>
      </w:r>
    </w:p>
    <w:p>
      <w:pPr>
        <w:ind w:firstLine="640" w:firstLineChars="200"/>
        <w:rPr>
          <w:rFonts w:ascii="仿宋_GB2312" w:eastAsia="仿宋_GB2312"/>
          <w:sz w:val="32"/>
          <w:szCs w:val="32"/>
        </w:rPr>
      </w:pPr>
      <w:r>
        <w:rPr>
          <w:rFonts w:ascii="仿宋_GB2312" w:eastAsia="仿宋_GB2312"/>
          <w:sz w:val="32"/>
          <w:szCs w:val="32"/>
        </w:rPr>
        <w:drawing>
          <wp:inline distT="0" distB="0" distL="0" distR="0">
            <wp:extent cx="3676650" cy="18669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highlight w:val="none"/>
        </w:rPr>
      </w:pPr>
      <w:r>
        <w:rPr>
          <w:rFonts w:hint="eastAsia" w:ascii="楷体_GB2312" w:eastAsia="楷体_GB2312"/>
          <w:sz w:val="32"/>
          <w:szCs w:val="32"/>
          <w:highlight w:val="none"/>
        </w:rPr>
        <w:t>（一）一般公共预算财政拨款支出决算总体情况</w:t>
      </w:r>
    </w:p>
    <w:p>
      <w:pPr>
        <w:ind w:firstLine="640" w:firstLineChars="200"/>
        <w:rPr>
          <w:rFonts w:hint="eastAsia" w:ascii="楷体_GB2312" w:eastAsia="楷体_GB2312"/>
          <w:sz w:val="32"/>
          <w:szCs w:val="32"/>
          <w:highlight w:val="none"/>
          <w:lang w:val="en-US" w:eastAsia="zh-CN"/>
        </w:rPr>
      </w:pPr>
      <w:r>
        <w:rPr>
          <w:rFonts w:hint="eastAsia" w:ascii="仿宋_GB2312" w:eastAsia="仿宋_GB2312"/>
          <w:sz w:val="32"/>
          <w:szCs w:val="32"/>
          <w:highlight w:val="none"/>
        </w:rPr>
        <w:t>2020年度一般公共预算财政拨款支出143.85万元，占本年支出合计的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%。与2019年相比，一般公共预算财政拨款支出增加</w:t>
      </w:r>
      <w:r>
        <w:rPr>
          <w:rFonts w:hint="eastAsia" w:ascii="仿宋_GB2312" w:eastAsia="仿宋_GB2312"/>
          <w:sz w:val="32"/>
          <w:szCs w:val="32"/>
          <w:highlight w:val="none"/>
          <w:lang w:val="en-US" w:eastAsia="zh-CN"/>
        </w:rPr>
        <w:t>19.93</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13.85</w:t>
      </w:r>
      <w:r>
        <w:rPr>
          <w:rFonts w:hint="eastAsia" w:ascii="仿宋_GB2312" w:eastAsia="仿宋_GB2312"/>
          <w:sz w:val="32"/>
          <w:szCs w:val="32"/>
          <w:highlight w:val="none"/>
        </w:rPr>
        <w:t>%。主要是人员增加工资增多。</w:t>
      </w:r>
      <w:r>
        <w:rPr>
          <w:rFonts w:hint="eastAsia" w:ascii="楷体_GB2312" w:eastAsia="楷体_GB2312"/>
          <w:sz w:val="32"/>
          <w:szCs w:val="32"/>
          <w:highlight w:val="none"/>
          <w:lang w:val="en-US" w:eastAsia="zh-CN"/>
        </w:rPr>
        <w:t xml:space="preserve">     </w:t>
      </w:r>
    </w:p>
    <w:p>
      <w:pPr>
        <w:rPr>
          <w:rFonts w:ascii="楷体_GB2312" w:eastAsia="楷体_GB2312"/>
          <w:sz w:val="32"/>
          <w:szCs w:val="32"/>
          <w:highlight w:val="none"/>
        </w:rPr>
      </w:pPr>
      <w:r>
        <w:rPr>
          <w:rFonts w:hint="eastAsia" w:ascii="楷体_GB2312" w:eastAsia="楷体_GB2312"/>
          <w:sz w:val="32"/>
          <w:szCs w:val="32"/>
          <w:highlight w:val="none"/>
        </w:rPr>
        <w:t>（二）一般公共预算财政拨款支出决算结构情况</w:t>
      </w:r>
    </w:p>
    <w:p>
      <w:pPr>
        <w:ind w:firstLine="640" w:firstLineChars="200"/>
        <w:rPr>
          <w:rFonts w:hint="eastAsia" w:ascii="仿宋_GB2312" w:eastAsia="仿宋_GB2312"/>
          <w:sz w:val="32"/>
          <w:szCs w:val="32"/>
        </w:rPr>
      </w:pPr>
      <w:r>
        <w:rPr>
          <w:rFonts w:hint="eastAsia" w:ascii="仿宋_GB2312" w:eastAsia="仿宋_GB2312"/>
          <w:sz w:val="32"/>
          <w:szCs w:val="32"/>
          <w:highlight w:val="none"/>
        </w:rPr>
        <w:t>2020年度一般公共预算财政拨款支出143.85万元，主要用于以下方面：一般公共服务（类）支出143.85万元，占</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w:t>
      </w:r>
      <w:r>
        <w:rPr>
          <w:rFonts w:hint="eastAsia" w:ascii="仿宋_GB2312" w:eastAsia="仿宋_GB2312"/>
          <w:sz w:val="32"/>
          <w:szCs w:val="32"/>
        </w:rPr>
        <w:t>；</w:t>
      </w:r>
    </w:p>
    <w:p>
      <w:pPr>
        <w:ind w:firstLine="640" w:firstLineChars="200"/>
        <w:jc w:val="center"/>
        <w:rPr>
          <w:rFonts w:hint="eastAsia" w:ascii="仿宋_GB2312" w:eastAsia="仿宋_GB2312"/>
          <w:sz w:val="32"/>
          <w:szCs w:val="32"/>
        </w:rPr>
      </w:pPr>
      <w:r>
        <w:rPr>
          <w:rFonts w:ascii="仿宋_GB2312" w:eastAsia="仿宋_GB2312"/>
          <w:sz w:val="32"/>
          <w:szCs w:val="32"/>
        </w:rPr>
        <w:drawing>
          <wp:anchor distT="0" distB="0" distL="0" distR="0" simplePos="0" relativeHeight="251659264" behindDoc="0" locked="0" layoutInCell="1" allowOverlap="1">
            <wp:simplePos x="0" y="0"/>
            <wp:positionH relativeFrom="column">
              <wp:posOffset>1110615</wp:posOffset>
            </wp:positionH>
            <wp:positionV relativeFrom="paragraph">
              <wp:posOffset>412750</wp:posOffset>
            </wp:positionV>
            <wp:extent cx="2807970" cy="1381125"/>
            <wp:effectExtent l="4445" t="4445" r="6985"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640" w:firstLineChars="200"/>
        <w:rPr>
          <w:rFonts w:hint="default" w:ascii="楷体_GB2312" w:eastAsia="楷体_GB2312"/>
          <w:sz w:val="32"/>
          <w:szCs w:val="32"/>
          <w:lang w:val="en-US" w:eastAsia="zh-CN"/>
        </w:rPr>
      </w:pPr>
      <w:r>
        <w:rPr>
          <w:rFonts w:hint="eastAsia" w:ascii="楷体_GB2312" w:eastAsia="楷体_GB2312"/>
          <w:sz w:val="32"/>
          <w:szCs w:val="32"/>
          <w:lang w:val="en-US" w:eastAsia="zh-CN"/>
        </w:rPr>
        <w:t xml:space="preserve">         </w:t>
      </w:r>
    </w:p>
    <w:p>
      <w:pPr>
        <w:ind w:firstLine="640" w:firstLineChars="200"/>
        <w:rPr>
          <w:rFonts w:hint="eastAsia" w:ascii="楷体_GB2312" w:eastAsia="楷体_GB2312"/>
          <w:sz w:val="32"/>
          <w:szCs w:val="32"/>
        </w:rPr>
      </w:pPr>
    </w:p>
    <w:p>
      <w:pPr>
        <w:ind w:firstLine="640" w:firstLineChars="200"/>
        <w:rPr>
          <w:rFonts w:hint="eastAsia" w:ascii="楷体_GB2312" w:eastAsia="楷体_GB2312"/>
          <w:sz w:val="32"/>
          <w:szCs w:val="32"/>
        </w:rPr>
      </w:pPr>
    </w:p>
    <w:p>
      <w:pPr>
        <w:ind w:firstLine="640" w:firstLineChars="200"/>
        <w:rPr>
          <w:rFonts w:hint="eastAsia" w:ascii="楷体_GB2312" w:eastAsia="楷体_GB2312"/>
          <w:sz w:val="32"/>
          <w:szCs w:val="32"/>
        </w:rPr>
      </w:pP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135.08</w:t>
      </w:r>
      <w:r>
        <w:rPr>
          <w:rFonts w:hint="eastAsia" w:ascii="仿宋_GB2312" w:eastAsia="仿宋_GB2312"/>
          <w:sz w:val="32"/>
          <w:szCs w:val="32"/>
        </w:rPr>
        <w:t>万元，支出决算为</w:t>
      </w:r>
      <w:r>
        <w:rPr>
          <w:rFonts w:hint="eastAsia" w:ascii="仿宋_GB2312" w:eastAsia="仿宋_GB2312"/>
          <w:sz w:val="32"/>
          <w:szCs w:val="32"/>
          <w:lang w:val="en-US" w:eastAsia="zh-CN"/>
        </w:rPr>
        <w:t>143.85</w:t>
      </w:r>
      <w:r>
        <w:rPr>
          <w:rFonts w:hint="eastAsia" w:ascii="仿宋_GB2312" w:eastAsia="仿宋_GB2312"/>
          <w:sz w:val="32"/>
          <w:szCs w:val="32"/>
        </w:rPr>
        <w:t>万元，完成年初预算的</w:t>
      </w:r>
      <w:r>
        <w:rPr>
          <w:rFonts w:hint="eastAsia" w:ascii="仿宋_GB2312" w:eastAsia="仿宋_GB2312"/>
          <w:sz w:val="32"/>
          <w:szCs w:val="32"/>
          <w:lang w:val="en-US" w:eastAsia="zh-CN"/>
        </w:rPr>
        <w:t>6.49</w:t>
      </w:r>
      <w:r>
        <w:rPr>
          <w:rFonts w:hint="eastAsia" w:ascii="仿宋_GB2312" w:eastAsia="仿宋_GB2312"/>
          <w:sz w:val="32"/>
          <w:szCs w:val="32"/>
        </w:rPr>
        <w:t>%。决算数大于年初预算数的主要原因人员增多工资增加。其中：</w:t>
      </w:r>
    </w:p>
    <w:p>
      <w:pPr>
        <w:ind w:firstLine="640" w:firstLineChars="200"/>
        <w:rPr>
          <w:rFonts w:ascii="仿宋_GB2312" w:eastAsia="仿宋_GB2312"/>
          <w:sz w:val="32"/>
          <w:szCs w:val="32"/>
        </w:rPr>
      </w:pPr>
      <w:r>
        <w:rPr>
          <w:rFonts w:hint="eastAsia" w:ascii="仿宋_GB2312" w:eastAsia="仿宋_GB2312"/>
          <w:sz w:val="32"/>
          <w:szCs w:val="32"/>
        </w:rPr>
        <w:t>1、一般公共服务支出（类）财政事务（款）行政运行（项）。主要反映用于</w:t>
      </w:r>
      <w:r>
        <w:rPr>
          <w:rFonts w:hint="eastAsia" w:ascii="仿宋_GB2312" w:eastAsia="仿宋_GB2312"/>
          <w:sz w:val="32"/>
          <w:szCs w:val="32"/>
          <w:lang w:eastAsia="zh-CN"/>
        </w:rPr>
        <w:t>工资</w:t>
      </w:r>
      <w:r>
        <w:rPr>
          <w:rFonts w:hint="eastAsia" w:ascii="仿宋_GB2312" w:eastAsia="仿宋_GB2312"/>
          <w:sz w:val="32"/>
          <w:szCs w:val="32"/>
        </w:rPr>
        <w:t>支出。年初预算为</w:t>
      </w:r>
      <w:r>
        <w:rPr>
          <w:rFonts w:hint="eastAsia" w:ascii="仿宋_GB2312" w:eastAsia="仿宋_GB2312"/>
          <w:sz w:val="32"/>
          <w:szCs w:val="32"/>
          <w:lang w:val="en-US" w:eastAsia="zh-CN"/>
        </w:rPr>
        <w:t>135.08</w:t>
      </w:r>
      <w:r>
        <w:rPr>
          <w:rFonts w:hint="eastAsia" w:ascii="仿宋_GB2312" w:eastAsia="仿宋_GB2312"/>
          <w:sz w:val="32"/>
          <w:szCs w:val="32"/>
        </w:rPr>
        <w:t>万元，支出决算为</w:t>
      </w:r>
      <w:r>
        <w:rPr>
          <w:rFonts w:hint="eastAsia" w:ascii="仿宋_GB2312" w:eastAsia="仿宋_GB2312"/>
          <w:sz w:val="32"/>
          <w:szCs w:val="32"/>
          <w:lang w:val="en-US" w:eastAsia="zh-CN"/>
        </w:rPr>
        <w:t>143.85</w:t>
      </w:r>
      <w:r>
        <w:rPr>
          <w:rFonts w:hint="eastAsia" w:ascii="仿宋_GB2312" w:eastAsia="仿宋_GB2312"/>
          <w:sz w:val="32"/>
          <w:szCs w:val="32"/>
        </w:rPr>
        <w:t>万元，完成年初预算的</w:t>
      </w:r>
      <w:r>
        <w:rPr>
          <w:rFonts w:hint="eastAsia" w:ascii="仿宋_GB2312" w:eastAsia="仿宋_GB2312"/>
          <w:sz w:val="32"/>
          <w:szCs w:val="32"/>
          <w:lang w:val="en-US" w:eastAsia="zh-CN"/>
        </w:rPr>
        <w:t>6.49</w:t>
      </w:r>
      <w:r>
        <w:rPr>
          <w:rFonts w:hint="eastAsia" w:ascii="仿宋_GB2312" w:eastAsia="仿宋_GB2312"/>
          <w:sz w:val="32"/>
          <w:szCs w:val="32"/>
        </w:rPr>
        <w:t>%。决算数大于年初预算数主要原因是人员增多工资增加。</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143.85</w:t>
      </w:r>
      <w:r>
        <w:rPr>
          <w:rFonts w:hint="eastAsia" w:ascii="仿宋_GB2312" w:eastAsia="仿宋_GB2312"/>
          <w:sz w:val="32"/>
          <w:szCs w:val="32"/>
        </w:rPr>
        <w:t>万元，包括人员经费和公用经费，支出具体情况如下：</w:t>
      </w:r>
    </w:p>
    <w:p>
      <w:pPr>
        <w:ind w:firstLine="640" w:firstLineChars="200"/>
        <w:rPr>
          <w:rFonts w:ascii="仿宋_GB2312" w:eastAsia="仿宋_GB2312"/>
          <w:sz w:val="32"/>
          <w:szCs w:val="32"/>
          <w:highlight w:val="yellow"/>
        </w:rPr>
      </w:pPr>
      <w:r>
        <w:rPr>
          <w:rFonts w:hint="eastAsia" w:ascii="仿宋_GB2312" w:eastAsia="仿宋_GB2312"/>
          <w:sz w:val="32"/>
          <w:szCs w:val="32"/>
          <w:highlight w:val="none"/>
        </w:rPr>
        <w:t>人员经费</w:t>
      </w:r>
      <w:r>
        <w:rPr>
          <w:rFonts w:hint="eastAsia" w:ascii="仿宋_GB2312" w:eastAsia="仿宋_GB2312"/>
          <w:sz w:val="32"/>
          <w:szCs w:val="32"/>
          <w:lang w:val="en-US" w:eastAsia="zh-CN"/>
        </w:rPr>
        <w:t>136.85</w:t>
      </w:r>
      <w:r>
        <w:rPr>
          <w:rFonts w:hint="eastAsia" w:ascii="仿宋_GB2312" w:eastAsia="仿宋_GB2312"/>
          <w:sz w:val="32"/>
          <w:szCs w:val="32"/>
        </w:rPr>
        <w:t>万元，主要包括：基本工资、津贴补贴、奖金、绩效工资、机关事业单位养老保险费、其他社会保障缴费、职业年金缴费、职工基本医疗保险缴费、住房公积金、其他工资福利支出等。</w:t>
      </w:r>
    </w:p>
    <w:p>
      <w:pPr>
        <w:ind w:firstLine="640" w:firstLineChars="200"/>
        <w:rPr>
          <w:rFonts w:hint="eastAsia" w:ascii="仿宋_GB2312" w:eastAsia="仿宋_GB2312"/>
          <w:sz w:val="32"/>
          <w:szCs w:val="32"/>
          <w:lang w:eastAsia="zh-CN"/>
        </w:rPr>
      </w:pPr>
      <w:bookmarkStart w:id="0" w:name="_GoBack"/>
      <w:r>
        <w:rPr>
          <w:rFonts w:hint="eastAsia" w:ascii="仿宋_GB2312" w:eastAsia="仿宋_GB2312"/>
          <w:sz w:val="32"/>
          <w:szCs w:val="32"/>
          <w:highlight w:val="none"/>
        </w:rPr>
        <w:t>公用经费</w:t>
      </w:r>
      <w:bookmarkEnd w:id="0"/>
      <w:r>
        <w:rPr>
          <w:rFonts w:hint="eastAsia" w:ascii="仿宋_GB2312" w:eastAsia="仿宋_GB2312"/>
          <w:sz w:val="32"/>
          <w:szCs w:val="32"/>
          <w:lang w:val="en-US" w:eastAsia="zh-CN"/>
        </w:rPr>
        <w:t>7</w:t>
      </w:r>
      <w:r>
        <w:rPr>
          <w:rFonts w:hint="eastAsia" w:ascii="仿宋_GB2312" w:eastAsia="仿宋_GB2312"/>
          <w:sz w:val="32"/>
          <w:szCs w:val="32"/>
        </w:rPr>
        <w:t>万元，主要包括：办公费、印刷费、邮电费、取暖费、差旅费、培训费、公务接待费、公务用车运行维护费、其他交通费用、其他商品和服务支出等</w:t>
      </w:r>
      <w:r>
        <w:rPr>
          <w:rFonts w:hint="eastAsia" w:ascii="仿宋_GB2312" w:eastAsia="仿宋_GB2312"/>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w:t>
      </w:r>
      <w:r>
        <w:rPr>
          <w:rFonts w:hint="eastAsia" w:ascii="仿宋_GB2312" w:hAnsi="宋体" w:eastAsia="仿宋_GB2312" w:cs="Courier New"/>
          <w:sz w:val="32"/>
          <w:szCs w:val="32"/>
          <w:lang w:eastAsia="zh-CN"/>
        </w:rPr>
        <w:t>济宁市公共资源交易服务中心泗水分中心本级</w:t>
      </w:r>
      <w:r>
        <w:rPr>
          <w:rFonts w:hint="eastAsia" w:ascii="仿宋_GB2312" w:hAnsi="宋体" w:eastAsia="仿宋_GB2312" w:cs="Courier New"/>
          <w:sz w:val="32"/>
          <w:szCs w:val="32"/>
        </w:rPr>
        <w:t>，共</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个预算单位。</w:t>
      </w:r>
      <w:r>
        <w:rPr>
          <w:rFonts w:hint="eastAsia" w:ascii="仿宋_GB2312" w:eastAsia="仿宋_GB2312"/>
          <w:sz w:val="32"/>
          <w:szCs w:val="32"/>
        </w:rPr>
        <w:t>2020年度一般公共预算财政拨款“三公”经费决算数为</w:t>
      </w:r>
      <w:r>
        <w:rPr>
          <w:rFonts w:hint="eastAsia" w:ascii="仿宋_GB2312" w:eastAsia="仿宋_GB2312"/>
          <w:sz w:val="32"/>
          <w:szCs w:val="32"/>
          <w:lang w:val="en-US" w:eastAsia="zh-CN"/>
        </w:rPr>
        <w:t>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%，其中：因公出国（境）费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w:t>
      </w:r>
      <w:r>
        <w:rPr>
          <w:rFonts w:hint="eastAsia" w:ascii="仿宋_GB2312" w:eastAsia="仿宋_GB2312"/>
          <w:sz w:val="32"/>
          <w:szCs w:val="32"/>
          <w:lang w:val="en-US" w:eastAsia="zh-CN"/>
        </w:rPr>
        <w:t>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%；公务接待费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2020年“三公”经费决算比年初预算数减少</w:t>
      </w:r>
      <w:r>
        <w:rPr>
          <w:rFonts w:hint="eastAsia" w:ascii="仿宋_GB2312" w:eastAsia="仿宋_GB2312"/>
          <w:sz w:val="32"/>
          <w:szCs w:val="32"/>
          <w:lang w:val="en-US" w:eastAsia="zh-CN"/>
        </w:rPr>
        <w:t>1.24</w:t>
      </w:r>
      <w:r>
        <w:rPr>
          <w:rFonts w:hint="eastAsia" w:ascii="仿宋_GB2312" w:eastAsia="仿宋_GB2312"/>
          <w:sz w:val="32"/>
          <w:szCs w:val="32"/>
        </w:rPr>
        <w:t>万元，主要原因是</w:t>
      </w:r>
      <w:r>
        <w:rPr>
          <w:rFonts w:hint="eastAsia" w:ascii="仿宋_GB2312" w:eastAsia="仿宋_GB2312"/>
          <w:sz w:val="32"/>
          <w:szCs w:val="32"/>
          <w:lang w:eastAsia="zh-CN"/>
        </w:rPr>
        <w:t>五公务接待支出</w:t>
      </w:r>
      <w:r>
        <w:rPr>
          <w:rFonts w:hint="eastAsia" w:ascii="仿宋_GB2312" w:eastAsia="仿宋_GB2312"/>
          <w:sz w:val="32"/>
          <w:szCs w:val="32"/>
        </w:rPr>
        <w:t>。其中：因公出国（境）费与2020年预算基本持平</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万元、公务用车购置及运行费与2020年预算基本持平</w:t>
      </w:r>
      <w:r>
        <w:rPr>
          <w:rFonts w:hint="eastAsia" w:ascii="仿宋_GB2312" w:eastAsia="仿宋_GB2312"/>
          <w:sz w:val="32"/>
          <w:szCs w:val="32"/>
          <w:lang w:val="en-US" w:eastAsia="zh-CN"/>
        </w:rPr>
        <w:t>3</w:t>
      </w:r>
      <w:r>
        <w:rPr>
          <w:rFonts w:hint="eastAsia" w:ascii="仿宋_GB2312" w:eastAsia="仿宋_GB2312"/>
          <w:sz w:val="32"/>
          <w:szCs w:val="32"/>
        </w:rPr>
        <w:t>万元、公务接待费2020年预算基本持平</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1、因公出国（境）费决算数为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2020年没有因公出国（境）费，因公出国（境）团组0个，累计0人次。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w:t>
      </w:r>
      <w:r>
        <w:rPr>
          <w:rFonts w:hint="eastAsia" w:ascii="仿宋_GB2312" w:eastAsia="仿宋_GB2312"/>
          <w:sz w:val="32"/>
          <w:szCs w:val="32"/>
          <w:lang w:val="en-US" w:eastAsia="zh-CN"/>
        </w:rPr>
        <w:t>3</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100</w:t>
      </w:r>
      <w:r>
        <w:rPr>
          <w:rFonts w:hint="eastAsia" w:ascii="仿宋_GB2312" w:eastAsia="仿宋_GB2312"/>
          <w:sz w:val="32"/>
          <w:szCs w:val="32"/>
        </w:rPr>
        <w:t>%。其中：公务用车购置费支出</w:t>
      </w:r>
      <w:r>
        <w:rPr>
          <w:rFonts w:hint="eastAsia" w:ascii="仿宋_GB2312" w:eastAsia="仿宋_GB2312"/>
          <w:sz w:val="32"/>
          <w:szCs w:val="32"/>
          <w:lang w:val="en-US" w:eastAsia="zh-CN"/>
        </w:rPr>
        <w:t>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万元，主要用于公务用车使用维护保养。2020年XXX等单位财政拨款开支运行维护费的公务用车保有量为</w:t>
      </w:r>
      <w:r>
        <w:rPr>
          <w:rFonts w:hint="eastAsia" w:ascii="仿宋_GB2312" w:eastAsia="仿宋_GB2312"/>
          <w:sz w:val="32"/>
          <w:szCs w:val="32"/>
          <w:lang w:val="en-US" w:eastAsia="zh-CN"/>
        </w:rPr>
        <w:t>1</w:t>
      </w:r>
      <w:r>
        <w:rPr>
          <w:rFonts w:hint="eastAsia" w:ascii="仿宋_GB2312" w:eastAsia="仿宋_GB2312"/>
          <w:sz w:val="32"/>
          <w:szCs w:val="32"/>
        </w:rPr>
        <w:t>辆。</w:t>
      </w:r>
    </w:p>
    <w:p>
      <w:pPr>
        <w:ind w:firstLine="640" w:firstLineChars="200"/>
        <w:jc w:val="left"/>
        <w:rPr>
          <w:rFonts w:hint="default" w:ascii="仿宋_GB2312" w:eastAsia="仿宋_GB2312"/>
          <w:b/>
          <w:color w:val="FF0000"/>
          <w:sz w:val="32"/>
          <w:szCs w:val="32"/>
          <w:lang w:val="en-US" w:eastAsia="zh-CN"/>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2020年无公务接待费，共计接待0批次、0人次。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本部门没有政府性基金财政拨款收支。</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九、国有资本经营预算财政拨款收入支出决算情况说明</w:t>
      </w:r>
    </w:p>
    <w:p>
      <w:pPr>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3" w:firstLineChars="200"/>
        <w:rPr>
          <w:rFonts w:ascii="仿宋_GB2312" w:eastAsia="仿宋_GB2312"/>
          <w:b/>
          <w:sz w:val="32"/>
          <w:szCs w:val="32"/>
        </w:rPr>
      </w:pPr>
      <w:r>
        <w:rPr>
          <w:rFonts w:hint="eastAsia" w:ascii="仿宋_GB2312" w:eastAsia="仿宋_GB2312"/>
          <w:b/>
          <w:sz w:val="32"/>
          <w:szCs w:val="32"/>
        </w:rPr>
        <w:t>本部门所属预算单位全部为事业单位，无机关运行经费支出。</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3" w:firstLineChars="200"/>
        <w:rPr>
          <w:rFonts w:hint="eastAsia" w:ascii="仿宋_GB2312" w:eastAsia="仿宋_GB2312"/>
          <w:b/>
          <w:sz w:val="32"/>
          <w:szCs w:val="32"/>
          <w:highlight w:val="none"/>
          <w:lang w:eastAsia="zh-CN"/>
        </w:rPr>
      </w:pPr>
      <w:r>
        <w:rPr>
          <w:rFonts w:hint="eastAsia" w:ascii="仿宋_GB2312" w:eastAsia="仿宋_GB2312"/>
          <w:b/>
          <w:sz w:val="32"/>
          <w:szCs w:val="32"/>
          <w:highlight w:val="none"/>
        </w:rPr>
        <w:t>2020年度政府采购支出总额0万元，其中：政府采购货物支出0万元、政府采购工程支出0万元、政府采购服务支出0万元。授予中小企业合同金额0万元，其中：授予小微企业合同金额0万元。</w:t>
      </w:r>
      <w:r>
        <w:rPr>
          <w:rFonts w:hint="eastAsia" w:ascii="仿宋_GB2312" w:eastAsia="仿宋_GB2312"/>
          <w:b/>
          <w:sz w:val="32"/>
          <w:szCs w:val="32"/>
          <w:highlight w:val="none"/>
          <w:lang w:eastAsia="zh-CN"/>
        </w:rPr>
        <w:t>）</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w:t>
      </w:r>
      <w:r>
        <w:rPr>
          <w:rFonts w:hint="eastAsia" w:ascii="仿宋_GB2312" w:hAnsi="宋体" w:eastAsia="仿宋_GB2312" w:cs="Courier New"/>
          <w:sz w:val="32"/>
          <w:szCs w:val="32"/>
          <w:lang w:eastAsia="zh-CN"/>
        </w:rPr>
        <w:t>中心</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ind w:firstLine="643" w:firstLineChars="200"/>
        <w:rPr>
          <w:rFonts w:hint="eastAsia" w:ascii="仿宋_GB2312" w:eastAsia="仿宋_GB2312"/>
          <w:b/>
          <w:bCs/>
          <w:kern w:val="0"/>
          <w:sz w:val="32"/>
          <w:szCs w:val="32"/>
        </w:rPr>
      </w:pPr>
      <w:r>
        <w:rPr>
          <w:rFonts w:hint="eastAsia" w:ascii="仿宋_GB2312" w:eastAsia="仿宋_GB2312"/>
          <w:b/>
          <w:bCs/>
          <w:kern w:val="0"/>
          <w:sz w:val="32"/>
          <w:szCs w:val="32"/>
        </w:rPr>
        <w:t>1、预算绩效管理工作开展情况。</w:t>
      </w:r>
    </w:p>
    <w:p>
      <w:pPr>
        <w:ind w:firstLine="643" w:firstLineChars="200"/>
        <w:rPr>
          <w:rFonts w:hint="eastAsia" w:ascii="仿宋_GB2312" w:eastAsia="仿宋_GB2312"/>
          <w:b/>
          <w:bCs/>
          <w:kern w:val="0"/>
          <w:sz w:val="32"/>
          <w:szCs w:val="32"/>
        </w:rPr>
      </w:pPr>
      <w:r>
        <w:rPr>
          <w:rFonts w:hint="eastAsia" w:ascii="仿宋_GB2312" w:eastAsia="仿宋_GB2312"/>
          <w:b/>
          <w:color w:val="000000" w:themeColor="text1"/>
          <w:kern w:val="0"/>
          <w:sz w:val="32"/>
          <w:szCs w:val="32"/>
          <w:highlight w:val="none"/>
          <w:u w:val="single"/>
          <w14:textFill>
            <w14:solidFill>
              <w14:schemeClr w14:val="tx1"/>
            </w14:solidFill>
          </w14:textFill>
        </w:rPr>
        <w:t>本部门无部门评价项目</w:t>
      </w:r>
    </w:p>
    <w:p>
      <w:pPr>
        <w:numPr>
          <w:ilvl w:val="0"/>
          <w:numId w:val="1"/>
        </w:numPr>
        <w:spacing w:line="600" w:lineRule="exact"/>
        <w:ind w:firstLine="643" w:firstLineChars="200"/>
        <w:rPr>
          <w:rFonts w:hint="eastAsia" w:ascii="仿宋_GB2312" w:eastAsia="仿宋_GB2312"/>
          <w:b/>
          <w:bCs/>
          <w:kern w:val="0"/>
          <w:sz w:val="32"/>
          <w:szCs w:val="32"/>
        </w:rPr>
      </w:pPr>
      <w:r>
        <w:rPr>
          <w:rFonts w:hint="eastAsia" w:ascii="仿宋_GB2312" w:eastAsia="仿宋_GB2312"/>
          <w:b/>
          <w:bCs/>
          <w:kern w:val="0"/>
          <w:sz w:val="32"/>
          <w:szCs w:val="32"/>
        </w:rPr>
        <w:t>部门决算中项目绩效自评结果。</w:t>
      </w:r>
    </w:p>
    <w:p>
      <w:pPr>
        <w:numPr>
          <w:ilvl w:val="0"/>
          <w:numId w:val="0"/>
        </w:numPr>
        <w:spacing w:line="600" w:lineRule="exact"/>
        <w:ind w:firstLine="643" w:firstLineChars="200"/>
        <w:rPr>
          <w:rFonts w:ascii="仿宋_GB2312" w:eastAsia="仿宋_GB2312"/>
          <w:sz w:val="32"/>
          <w:szCs w:val="32"/>
          <w:u w:val="single"/>
        </w:rPr>
      </w:pPr>
      <w:r>
        <w:rPr>
          <w:rFonts w:hint="eastAsia" w:ascii="仿宋_GB2312" w:eastAsia="仿宋_GB2312"/>
          <w:b/>
          <w:kern w:val="0"/>
          <w:sz w:val="32"/>
          <w:szCs w:val="32"/>
          <w:highlight w:val="none"/>
          <w:u w:val="single"/>
        </w:rPr>
        <w:t>本部门无部门评价项目</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ind w:firstLine="643" w:firstLineChars="200"/>
        <w:rPr>
          <w:rFonts w:ascii="方正小标宋简体" w:eastAsia="方正小标宋简体"/>
          <w:sz w:val="42"/>
          <w:highlight w:val="none"/>
        </w:rPr>
      </w:pPr>
      <w:r>
        <w:rPr>
          <w:rFonts w:hint="eastAsia" w:ascii="仿宋_GB2312" w:eastAsia="仿宋_GB2312"/>
          <w:b/>
          <w:kern w:val="0"/>
          <w:sz w:val="32"/>
          <w:szCs w:val="32"/>
          <w:highlight w:val="none"/>
          <w:u w:val="single"/>
        </w:rPr>
        <w:t>本部门无部门评价项目</w:t>
      </w: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ind w:firstLine="3000" w:firstLineChars="500"/>
        <w:jc w:val="both"/>
        <w:rPr>
          <w:rFonts w:ascii="方正小标宋简体" w:eastAsia="方正小标宋简体"/>
          <w:spacing w:val="60"/>
          <w:sz w:val="48"/>
        </w:rPr>
      </w:pPr>
      <w:r>
        <w:rPr>
          <w:rFonts w:hint="eastAsia" w:ascii="方正小标宋简体" w:eastAsia="方正小标宋简体"/>
          <w:spacing w:val="60"/>
          <w:sz w:val="48"/>
        </w:rPr>
        <w:t>名词解释</w:t>
      </w:r>
    </w:p>
    <w:p>
      <w:pPr>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w:t>
      </w:r>
      <w:r>
        <w:rPr>
          <w:rFonts w:hint="eastAsia" w:ascii="仿宋_GB2312" w:eastAsia="仿宋_GB2312"/>
          <w:sz w:val="32"/>
          <w:szCs w:val="32"/>
          <w:lang w:val="en-US" w:eastAsia="zh-CN"/>
        </w:rPr>
        <w:t>县</w:t>
      </w:r>
      <w:r>
        <w:rPr>
          <w:rFonts w:hint="eastAsia" w:ascii="仿宋_GB2312" w:eastAsia="仿宋_GB2312"/>
          <w:sz w:val="32"/>
          <w:szCs w:val="32"/>
        </w:rPr>
        <w:t>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w:t>
      </w:r>
      <w:r>
        <w:rPr>
          <w:rFonts w:hint="eastAsia" w:ascii="仿宋_GB2312" w:eastAsia="仿宋_GB2312"/>
          <w:sz w:val="32"/>
          <w:szCs w:val="32"/>
          <w:lang w:val="en-US" w:eastAsia="zh-CN"/>
        </w:rPr>
        <w:t>县</w:t>
      </w:r>
      <w:r>
        <w:rPr>
          <w:rFonts w:hint="eastAsia" w:ascii="仿宋_GB2312" w:eastAsia="仿宋_GB2312"/>
          <w:sz w:val="32"/>
          <w:szCs w:val="32"/>
        </w:rPr>
        <w:t>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sz w:val="32"/>
          <w:szCs w:val="32"/>
          <w:highlight w:val="none"/>
        </w:rPr>
      </w:pPr>
      <w:r>
        <w:rPr>
          <w:rFonts w:hint="eastAsia" w:ascii="黑体" w:hAnsi="黑体" w:eastAsia="黑体"/>
          <w:sz w:val="32"/>
          <w:szCs w:val="32"/>
          <w:highlight w:val="none"/>
        </w:rPr>
        <w:t>十六、一般公共服务支出（类）财政事务（款）行政运行（项）：</w:t>
      </w:r>
      <w:r>
        <w:rPr>
          <w:rFonts w:hint="eastAsia" w:ascii="仿宋_GB2312" w:eastAsia="仿宋_GB2312"/>
          <w:sz w:val="32"/>
          <w:szCs w:val="32"/>
          <w:highlight w:val="none"/>
        </w:rPr>
        <w:t>反映行政单位（包括实行公务员管理的事业单位）的基本支出。</w:t>
      </w: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w:t>
      </w:r>
      <w:r>
        <w:rPr>
          <w:rFonts w:hint="eastAsia" w:ascii="方正小标宋简体" w:hAnsi="方正小标宋简体" w:eastAsia="方正小标宋简体" w:cs="方正小标宋简体"/>
          <w:sz w:val="44"/>
          <w:szCs w:val="44"/>
          <w:lang w:val="en-US" w:eastAsia="zh-CN"/>
        </w:rPr>
        <w:t>泗水县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*（单位名）</w:t>
      </w:r>
      <w:r>
        <w:rPr>
          <w:rFonts w:hint="eastAsia" w:ascii="方正小标宋简体" w:hAnsi="方正小标宋简体" w:eastAsia="方正小标宋简体" w:cs="方正小标宋简体"/>
          <w:sz w:val="44"/>
          <w:szCs w:val="44"/>
        </w:rPr>
        <w:t>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1"/>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68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5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78"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1"/>
        <w:tblW w:w="9358" w:type="dxa"/>
        <w:jc w:val="center"/>
        <w:tblLayout w:type="fixed"/>
        <w:tblCellMar>
          <w:top w:w="0" w:type="dxa"/>
          <w:left w:w="108" w:type="dxa"/>
          <w:bottom w:w="0" w:type="dxa"/>
          <w:right w:w="108" w:type="dxa"/>
        </w:tblCellMar>
      </w:tblPr>
      <w:tblGrid>
        <w:gridCol w:w="419"/>
        <w:gridCol w:w="827"/>
        <w:gridCol w:w="1240"/>
        <w:gridCol w:w="284"/>
        <w:gridCol w:w="1482"/>
        <w:gridCol w:w="382"/>
        <w:gridCol w:w="1020"/>
        <w:gridCol w:w="893"/>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64"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2020年度</w:t>
      </w:r>
      <w:r>
        <w:rPr>
          <w:rFonts w:hint="eastAsia" w:ascii="方正小标宋简体" w:eastAsia="方正小标宋简体"/>
          <w:sz w:val="44"/>
          <w:szCs w:val="44"/>
        </w:rPr>
        <w:t>xx绩效评价报告</w:t>
      </w:r>
    </w:p>
    <w:p>
      <w:pPr>
        <w:jc w:val="center"/>
        <w:rPr>
          <w:rFonts w:ascii="仿宋_GB2312" w:eastAsia="仿宋_GB2312"/>
          <w:sz w:val="32"/>
          <w:szCs w:val="32"/>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17675"/>
    <w:multiLevelType w:val="singleLevel"/>
    <w:tmpl w:val="4ED1767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0"/>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60B53"/>
    <w:rsid w:val="00B641F1"/>
    <w:rsid w:val="00B64536"/>
    <w:rsid w:val="00B740D0"/>
    <w:rsid w:val="00B83A79"/>
    <w:rsid w:val="00B9411C"/>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53C7605"/>
    <w:rsid w:val="11253183"/>
    <w:rsid w:val="13CD2B8C"/>
    <w:rsid w:val="17FC5430"/>
    <w:rsid w:val="1B2F3D22"/>
    <w:rsid w:val="1CB24C9A"/>
    <w:rsid w:val="25834093"/>
    <w:rsid w:val="2BFD6FEE"/>
    <w:rsid w:val="2D0D6B3E"/>
    <w:rsid w:val="2D9E050B"/>
    <w:rsid w:val="33664842"/>
    <w:rsid w:val="374215BA"/>
    <w:rsid w:val="40E128FA"/>
    <w:rsid w:val="45436651"/>
    <w:rsid w:val="48704822"/>
    <w:rsid w:val="49624118"/>
    <w:rsid w:val="499B3B5C"/>
    <w:rsid w:val="56C550EA"/>
    <w:rsid w:val="5AAE5BB6"/>
    <w:rsid w:val="5C454B66"/>
    <w:rsid w:val="5F2968CA"/>
    <w:rsid w:val="609F75BA"/>
    <w:rsid w:val="628F6E56"/>
    <w:rsid w:val="64232AC7"/>
    <w:rsid w:val="642E007C"/>
    <w:rsid w:val="67F54545"/>
    <w:rsid w:val="684966B7"/>
    <w:rsid w:val="6E696A04"/>
    <w:rsid w:val="6F5E3B6F"/>
    <w:rsid w:val="6FB50910"/>
    <w:rsid w:val="79227B55"/>
    <w:rsid w:val="79AB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qFormat/>
    <w:uiPriority w:val="0"/>
    <w:rPr>
      <w:rFonts w:ascii="宋体"/>
      <w:sz w:val="18"/>
      <w:szCs w:val="18"/>
    </w:rPr>
  </w:style>
  <w:style w:type="paragraph" w:styleId="3">
    <w:name w:val="Body Text"/>
    <w:basedOn w:val="1"/>
    <w:link w:val="18"/>
    <w:qFormat/>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31"/>
    <w:qFormat/>
    <w:uiPriority w:val="0"/>
    <w:pPr>
      <w:ind w:firstLine="640" w:firstLineChars="200"/>
    </w:pPr>
    <w:rPr>
      <w:rFonts w:ascii="楷体_GB2312" w:hAnsi="Courier New" w:eastAsia="楷体_GB2312"/>
      <w:sz w:val="32"/>
    </w:rPr>
  </w:style>
  <w:style w:type="paragraph" w:styleId="6">
    <w:name w:val="Balloon Text"/>
    <w:basedOn w:val="1"/>
    <w:link w:val="19"/>
    <w:semiHidden/>
    <w:unhideWhenUsed/>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页眉 Char"/>
    <w:basedOn w:val="13"/>
    <w:link w:val="8"/>
    <w:qFormat/>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qFormat/>
    <w:uiPriority w:val="0"/>
    <w:rPr>
      <w:rFonts w:ascii="Cambria" w:hAnsi="Cambria"/>
      <w:b/>
      <w:bCs/>
      <w:sz w:val="32"/>
      <w:szCs w:val="32"/>
    </w:rPr>
  </w:style>
  <w:style w:type="character" w:customStyle="1" w:styleId="27">
    <w:name w:val="文档结构图 Char"/>
    <w:link w:val="2"/>
    <w:qFormat/>
    <w:uiPriority w:val="0"/>
    <w:rPr>
      <w:rFonts w:ascii="宋体"/>
      <w:sz w:val="18"/>
      <w:szCs w:val="18"/>
    </w:rPr>
  </w:style>
  <w:style w:type="character" w:customStyle="1" w:styleId="28">
    <w:name w:val="副标题 Char"/>
    <w:link w:val="9"/>
    <w:qFormat/>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qFormat/>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qFormat/>
    <w:uiPriority w:val="10"/>
    <w:rPr>
      <w:rFonts w:eastAsia="宋体" w:asciiTheme="majorHAnsi" w:hAnsiTheme="majorHAnsi" w:cstheme="majorBidi"/>
      <w:b/>
      <w:bCs/>
      <w:sz w:val="32"/>
      <w:szCs w:val="32"/>
    </w:rPr>
  </w:style>
  <w:style w:type="character" w:customStyle="1" w:styleId="33">
    <w:name w:val="副标题 Char1"/>
    <w:basedOn w:val="13"/>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overlay val="0"/>
    </c:title>
    <c:autoTitleDeleted val="0"/>
    <c:plotArea>
      <c:layout/>
      <c:barChart>
        <c:barDir val="col"/>
        <c:grouping val="clustered"/>
        <c:varyColors val="0"/>
        <c:ser>
          <c:idx val="0"/>
          <c:order val="0"/>
          <c:tx>
            <c:strRef>
              <c:f>Sheet1!$B$1</c:f>
              <c:strCache>
                <c:ptCount val="1"/>
                <c:pt idx="0">
                  <c:v>收、支决算总计（单位：万元）</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127.6</c:v>
                </c:pt>
                <c:pt idx="1">
                  <c:v>148.8</c:v>
                </c:pt>
              </c:numCache>
            </c:numRef>
          </c:val>
        </c:ser>
        <c:dLbls>
          <c:showLegendKey val="0"/>
          <c:showVal val="0"/>
          <c:showCatName val="0"/>
          <c:showSerName val="0"/>
          <c:showPercent val="0"/>
          <c:showBubbleSize val="0"/>
        </c:dLbls>
        <c:gapWidth val="150"/>
        <c:axId val="226380800"/>
        <c:axId val="256398080"/>
      </c:barChart>
      <c:catAx>
        <c:axId val="2263808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6398080"/>
        <c:crosses val="autoZero"/>
        <c:auto val="1"/>
        <c:lblAlgn val="ctr"/>
        <c:lblOffset val="100"/>
        <c:noMultiLvlLbl val="0"/>
      </c:catAx>
      <c:valAx>
        <c:axId val="256398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63808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本年收入决算结构图</a:t>
            </a:r>
            <a:endParaRPr lang="zh-CN" altLang="en-US" sz="1200"/>
          </a:p>
        </c:rich>
      </c:tx>
      <c:layout/>
      <c:overlay val="0"/>
    </c:title>
    <c:autoTitleDeleted val="0"/>
    <c:plotArea>
      <c:layout/>
      <c:pieChart>
        <c:varyColors val="1"/>
        <c:ser>
          <c:idx val="0"/>
          <c:order val="0"/>
          <c:tx>
            <c:strRef>
              <c:f>Sheet1!$B$1</c:f>
              <c:strCache>
                <c:ptCount val="1"/>
                <c:pt idx="0">
                  <c:v>2019年本年收入</c:v>
                </c:pt>
              </c:strCache>
            </c:strRef>
          </c:tx>
          <c:explosion val="26"/>
          <c:dPt>
            <c:idx val="0"/>
            <c:bubble3D val="0"/>
          </c:dPt>
          <c:dLbls>
            <c:delete val="1"/>
          </c:dLbls>
          <c:cat>
            <c:strRef>
              <c:f>Sheet1!$A$2</c:f>
              <c:strCache>
                <c:ptCount val="1"/>
                <c:pt idx="0">
                  <c:v>财政拨款收入</c:v>
                </c:pt>
              </c:strCache>
            </c:strRef>
          </c:cat>
          <c:val>
            <c:numRef>
              <c:f>Sheet1!$B$2</c:f>
              <c:numCache>
                <c:formatCode>General</c:formatCode>
                <c:ptCount val="1"/>
                <c:pt idx="0">
                  <c:v>127.6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本年支出决算结构图</a:t>
            </a:r>
            <a:endParaRPr lang="zh-CN" altLang="en-US" sz="1200"/>
          </a:p>
        </c:rich>
      </c:tx>
      <c:layout/>
      <c:overlay val="0"/>
    </c:title>
    <c:autoTitleDeleted val="0"/>
    <c:plotArea>
      <c:layout/>
      <c:pieChart>
        <c:varyColors val="1"/>
        <c:ser>
          <c:idx val="0"/>
          <c:order val="0"/>
          <c:tx>
            <c:strRef>
              <c:f>Sheet1!$B$1</c:f>
              <c:strCache>
                <c:ptCount val="1"/>
                <c:pt idx="0">
                  <c:v>2019年本年收入</c:v>
                </c:pt>
              </c:strCache>
            </c:strRef>
          </c:tx>
          <c:explosion val="26"/>
          <c:dPt>
            <c:idx val="0"/>
            <c:bubble3D val="0"/>
          </c:dPt>
          <c:dLbls>
            <c:delete val="1"/>
          </c:dLbls>
          <c:cat>
            <c:strRef>
              <c:f>Sheet1!$A$2</c:f>
              <c:strCache>
                <c:ptCount val="1"/>
                <c:pt idx="0">
                  <c:v>基本支出</c:v>
                </c:pt>
              </c:strCache>
            </c:strRef>
          </c:cat>
          <c:val>
            <c:numRef>
              <c:f>Sheet1!$B$2</c:f>
              <c:numCache>
                <c:formatCode>General</c:formatCode>
                <c:ptCount val="1"/>
                <c:pt idx="0">
                  <c:v>127.6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财政拨款收、支决算总计                    （单位：万元）</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127.6</c:v>
                </c:pt>
                <c:pt idx="1">
                  <c:v>145.12</c:v>
                </c:pt>
              </c:numCache>
            </c:numRef>
          </c:val>
        </c:ser>
        <c:dLbls>
          <c:showLegendKey val="0"/>
          <c:showVal val="0"/>
          <c:showCatName val="0"/>
          <c:showSerName val="0"/>
          <c:showPercent val="0"/>
          <c:showBubbleSize val="0"/>
        </c:dLbls>
        <c:gapWidth val="150"/>
        <c:axId val="342467712"/>
        <c:axId val="342469248"/>
      </c:barChart>
      <c:catAx>
        <c:axId val="3424677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2469248"/>
        <c:crosses val="autoZero"/>
        <c:auto val="1"/>
        <c:lblAlgn val="ctr"/>
        <c:lblOffset val="100"/>
        <c:noMultiLvlLbl val="0"/>
      </c:catAx>
      <c:valAx>
        <c:axId val="3424692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24677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b="1"/>
              <a:t>一般公共预算支出决算结构图</a:t>
            </a:r>
            <a:endParaRPr lang="zh-CN" altLang="en-US" sz="1200" b="1"/>
          </a:p>
        </c:rich>
      </c:tx>
      <c:layout>
        <c:manualLayout>
          <c:xMode val="edge"/>
          <c:yMode val="edge"/>
          <c:x val="0.123586612392583"/>
          <c:y val="0.139770114942529"/>
        </c:manualLayout>
      </c:layout>
      <c:overlay val="0"/>
    </c:title>
    <c:autoTitleDeleted val="0"/>
    <c:plotArea>
      <c:layout/>
      <c:pieChart>
        <c:varyColors val="1"/>
        <c:ser>
          <c:idx val="0"/>
          <c:order val="0"/>
          <c:tx>
            <c:strRef>
              <c:f>Sheet1!$B$1</c:f>
              <c:strCache>
                <c:ptCount val="1"/>
                <c:pt idx="0">
                  <c:v>2019年本年收入</c:v>
                </c:pt>
              </c:strCache>
            </c:strRef>
          </c:tx>
          <c:explosion val="26"/>
          <c:dPt>
            <c:idx val="0"/>
            <c:bubble3D val="0"/>
          </c:dPt>
          <c:dLbls>
            <c:delete val="1"/>
          </c:dLbls>
          <c:cat>
            <c:strRef>
              <c:f>Sheet1!$A$2</c:f>
              <c:strCache>
                <c:ptCount val="1"/>
                <c:pt idx="0">
                  <c:v>一般公共服务（类）</c:v>
                </c:pt>
              </c:strCache>
            </c:strRef>
          </c:cat>
          <c:val>
            <c:numRef>
              <c:f>Sheet1!$B$2</c:f>
              <c:numCache>
                <c:formatCode>General</c:formatCode>
                <c:ptCount val="1"/>
                <c:pt idx="0">
                  <c:v>127.6</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b="1"/>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20349</Characters>
  <Lines>169</Lines>
  <Paragraphs>47</Paragraphs>
  <TotalTime>17</TotalTime>
  <ScaleCrop>false</ScaleCrop>
  <LinksUpToDate>false</LinksUpToDate>
  <CharactersWithSpaces>23872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Administrator</cp:lastModifiedBy>
  <cp:lastPrinted>2021-07-08T06:35:00Z</cp:lastPrinted>
  <dcterms:modified xsi:type="dcterms:W3CDTF">2021-09-10T08:57:57Z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BEF4051F0BC1435F85F39FCF56F133C4</vt:lpwstr>
  </property>
</Properties>
</file>