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  <w:highlight w:val="none"/>
        </w:rPr>
      </w:pPr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  <w:highlight w:val="none"/>
        </w:rPr>
      </w:pPr>
      <w:bookmarkStart w:id="0" w:name="_GoBack"/>
      <w:bookmarkEnd w:id="0"/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宋体" w:hAnsi="宋体" w:eastAsia="仿宋_GB2312" w:cs="宋体"/>
          <w:kern w:val="0"/>
          <w:sz w:val="32"/>
          <w:szCs w:val="32"/>
          <w:highlight w:val="none"/>
        </w:rPr>
        <w:t>泗政办字〔</w:t>
      </w:r>
      <w:r>
        <w:rPr>
          <w:rFonts w:hint="eastAsia" w:ascii="宋体" w:hAnsi="宋体" w:cs="宋体"/>
          <w:kern w:val="0"/>
          <w:sz w:val="32"/>
          <w:szCs w:val="32"/>
          <w:highlight w:val="none"/>
        </w:rPr>
        <w:t>20</w:t>
      </w:r>
      <w:r>
        <w:rPr>
          <w:rFonts w:hint="eastAsia" w:ascii="宋体" w:hAnsi="宋体" w:cs="宋体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宋体" w:hAnsi="宋体" w:eastAsia="仿宋_GB2312" w:cs="宋体"/>
          <w:kern w:val="0"/>
          <w:sz w:val="32"/>
          <w:szCs w:val="32"/>
          <w:highlight w:val="none"/>
        </w:rPr>
        <w:t>〕</w:t>
      </w:r>
      <w:r>
        <w:rPr>
          <w:rFonts w:hint="eastAsia" w:ascii="宋体" w:hAnsi="宋体" w:eastAsia="仿宋_GB2312" w:cs="宋体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仿宋_GB2312" w:cs="宋体"/>
          <w:kern w:val="0"/>
          <w:sz w:val="32"/>
          <w:szCs w:val="32"/>
          <w:highlight w:val="none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方正小标宋简体" w:cs="AdobeHeitiStd-Regular,Bold"/>
          <w:bCs/>
          <w:kern w:val="0"/>
          <w:sz w:val="44"/>
          <w:szCs w:val="44"/>
          <w:highlight w:val="none"/>
        </w:rPr>
      </w:pPr>
      <w:r>
        <w:rPr>
          <w:rFonts w:hint="eastAsia" w:ascii="宋体" w:hAnsi="宋体" w:eastAsia="方正小标宋简体" w:cs="AdobeHeitiStd-Regular,Bold"/>
          <w:bCs/>
          <w:spacing w:val="14"/>
          <w:kern w:val="0"/>
          <w:sz w:val="44"/>
          <w:szCs w:val="44"/>
          <w:highlight w:val="none"/>
        </w:rPr>
        <w:t>泗水县人民政府办公</w:t>
      </w:r>
      <w:r>
        <w:rPr>
          <w:rFonts w:hint="eastAsia" w:ascii="宋体" w:hAnsi="宋体" w:eastAsia="方正小标宋简体" w:cs="AdobeHeitiStd-Regular,Bold"/>
          <w:bCs/>
          <w:kern w:val="0"/>
          <w:sz w:val="44"/>
          <w:szCs w:val="44"/>
          <w:highlight w:val="none"/>
        </w:rPr>
        <w:t>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方正小标宋简体"/>
          <w:b w:val="0"/>
          <w:bCs w:val="0"/>
          <w:sz w:val="44"/>
          <w:szCs w:val="44"/>
          <w:highlight w:val="none"/>
        </w:rPr>
      </w:pPr>
      <w:r>
        <w:rPr>
          <w:rFonts w:ascii="宋体" w:hAnsi="宋体" w:eastAsia="方正小标宋简体"/>
          <w:b w:val="0"/>
          <w:bCs w:val="0"/>
          <w:color w:val="000000"/>
          <w:kern w:val="0"/>
          <w:sz w:val="44"/>
          <w:szCs w:val="44"/>
          <w:highlight w:val="none"/>
          <w:lang w:bidi="ar"/>
        </w:rPr>
        <w:t>关于印发20</w:t>
      </w:r>
      <w:r>
        <w:rPr>
          <w:rFonts w:hint="eastAsia" w:ascii="宋体" w:hAnsi="宋体" w:eastAsia="方正小标宋简体"/>
          <w:b w:val="0"/>
          <w:bCs w:val="0"/>
          <w:color w:val="000000"/>
          <w:kern w:val="0"/>
          <w:sz w:val="44"/>
          <w:szCs w:val="44"/>
          <w:highlight w:val="none"/>
          <w:lang w:val="en-US" w:eastAsia="zh-CN" w:bidi="ar"/>
        </w:rPr>
        <w:t>25</w:t>
      </w:r>
      <w:r>
        <w:rPr>
          <w:rFonts w:ascii="宋体" w:hAnsi="宋体" w:eastAsia="方正小标宋简体"/>
          <w:b w:val="0"/>
          <w:bCs w:val="0"/>
          <w:color w:val="000000"/>
          <w:kern w:val="0"/>
          <w:sz w:val="44"/>
          <w:szCs w:val="44"/>
          <w:highlight w:val="none"/>
          <w:lang w:bidi="ar"/>
        </w:rPr>
        <w:t>年全县政府系统调研课题的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方正小标宋简体"/>
          <w:b w:val="0"/>
          <w:bCs w:val="0"/>
          <w:sz w:val="44"/>
          <w:szCs w:val="44"/>
          <w:highlight w:val="none"/>
        </w:rPr>
      </w:pPr>
      <w:r>
        <w:rPr>
          <w:rFonts w:ascii="宋体" w:hAnsi="宋体" w:eastAsia="方正小标宋简体"/>
          <w:b w:val="0"/>
          <w:bCs w:val="0"/>
          <w:color w:val="000000"/>
          <w:kern w:val="0"/>
          <w:sz w:val="44"/>
          <w:szCs w:val="44"/>
          <w:highlight w:val="none"/>
          <w:lang w:bidi="ar"/>
        </w:rPr>
        <w:t>通 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各镇人民政府、街道办事处，县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eastAsia="zh-CN" w:bidi="ar"/>
        </w:rPr>
        <w:t>政府有关部门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为全面落实县委经济工作会议、县“两会”和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全县绿色低碳高质量发展大会部署要求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，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eastAsia="zh-CN" w:bidi="ar"/>
        </w:rPr>
        <w:t>进一步加强调查研究工作，提高工作的前瞻性、针对性、时效性，更好地服务全县经济社会发展，经广泛征集和认真筛选，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确定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2025年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全县政府系统调研课题</w:t>
      </w:r>
      <w:r>
        <w:rPr>
          <w:rFonts w:hint="eastAsia" w:ascii="宋体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54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个，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eastAsia="zh-CN" w:bidi="ar"/>
        </w:rPr>
        <w:t>现印发给你们，请认真组织实施。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各镇（街道）人民政府（办事处）、县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eastAsia="zh-CN" w:bidi="ar"/>
        </w:rPr>
        <w:t>政府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有关部门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要认真贯彻落实中央八项规定和实施细则精神以及省、市、县委实施办法，严格遵守调研工作纪律，倡导以“四不两直”方式开展调研，广泛听取各方面意见，摸透实情，找准问题，掌握第一手资料。要坚持问题导向，认真总结实践经验，深入剖析矛盾症结，探索行之有效的具体办法和措施，形成一批高质量、高水准的调研成果。要把课题调研与推动工作紧密结合起来，加强课题成果的转换与应用，及时将研究成果应用于决策服务需求，并落地为推动实际工作的具体举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highlight w:val="none"/>
          <w:lang w:bidi="ar"/>
        </w:rPr>
        <w:t>课题调研结束后，要按时限要求形成调研报告，及时报送县政府办公室。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highlight w:val="none"/>
          <w:lang w:bidi="ar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highlight w:val="none"/>
          <w:lang w:bidi="ar"/>
        </w:rPr>
        <w:t>联系人：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highlight w:val="none"/>
          <w:lang w:eastAsia="zh-CN" w:bidi="ar"/>
        </w:rPr>
        <w:t>王波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highlight w:val="none"/>
          <w:lang w:bidi="ar"/>
        </w:rPr>
        <w:t>，联系电话：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highlight w:val="none"/>
          <w:lang w:val="en-US" w:eastAsia="zh-CN" w:bidi="ar"/>
        </w:rPr>
        <w:t>19862773250、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highlight w:val="none"/>
          <w:lang w:bidi="ar"/>
        </w:rPr>
        <w:t>4222216，电子邮箱：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sszb2006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附件：202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年全县政府系统调研课题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840" w:rightChars="400" w:firstLine="4480" w:firstLineChars="1400"/>
        <w:jc w:val="center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840" w:rightChars="400" w:firstLine="4480" w:firstLineChars="1400"/>
        <w:jc w:val="center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840" w:rightChars="400" w:firstLine="4480" w:firstLineChars="1400"/>
        <w:jc w:val="center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840" w:rightChars="400" w:firstLine="4480" w:firstLineChars="1400"/>
        <w:jc w:val="center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泗水县人民政府办公室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840" w:rightChars="400" w:firstLine="4480" w:firstLineChars="1400"/>
        <w:jc w:val="center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20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25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年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4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月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27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bidi="ar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highlight w:val="none"/>
          <w:lang w:bidi="ar"/>
        </w:rPr>
        <w:t>（此件公开发布）</w:t>
      </w:r>
    </w:p>
    <w:p>
      <w:pPr>
        <w:rPr>
          <w:rFonts w:hint="eastAsia" w:ascii="宋体" w:hAnsi="宋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方正黑体简体" w:cs="方正黑体简体"/>
          <w:b w:val="0"/>
          <w:bCs w:val="0"/>
          <w:sz w:val="44"/>
          <w:szCs w:val="44"/>
          <w:highlight w:val="none"/>
        </w:rPr>
      </w:pPr>
      <w:r>
        <w:rPr>
          <w:rFonts w:hint="eastAsia" w:ascii="宋体" w:hAnsi="宋体" w:eastAsia="方正黑体简体" w:cs="方正黑体简体"/>
          <w:b w:val="0"/>
          <w:bCs w:val="0"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宋体" w:hAnsi="宋体" w:eastAsia="方正小标宋简体" w:cs="Times New Roman"/>
          <w:b w:val="0"/>
          <w:bCs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宋体" w:hAnsi="宋体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宋体" w:hAnsi="宋体" w:eastAsia="方正小标宋简体" w:cs="Times New Roman"/>
          <w:b w:val="0"/>
          <w:bCs w:val="0"/>
          <w:sz w:val="44"/>
          <w:szCs w:val="44"/>
          <w:highlight w:val="none"/>
        </w:rPr>
        <w:t>202</w:t>
      </w:r>
      <w:r>
        <w:rPr>
          <w:rFonts w:hint="default" w:ascii="宋体" w:hAnsi="宋体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宋体" w:hAnsi="宋体" w:eastAsia="方正小标宋简体" w:cs="Times New Roman"/>
          <w:b w:val="0"/>
          <w:bCs w:val="0"/>
          <w:sz w:val="44"/>
          <w:szCs w:val="44"/>
          <w:highlight w:val="none"/>
        </w:rPr>
        <w:t>年全县政府系统调研课题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 w:ascii="宋体" w:hAnsi="宋体" w:eastAsia="黑体" w:cs="Times New Roman"/>
          <w:b w:val="0"/>
          <w:bCs w:val="0"/>
          <w:color w:val="000000"/>
          <w:spacing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方正黑体简体" w:cs="方正黑体简体"/>
          <w:b w:val="0"/>
          <w:bC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宋体" w:hAnsi="宋体" w:eastAsia="方正黑体简体" w:cs="方正黑体简体"/>
          <w:b w:val="0"/>
          <w:bCs w:val="0"/>
          <w:color w:val="000000"/>
          <w:spacing w:val="0"/>
          <w:sz w:val="32"/>
          <w:szCs w:val="32"/>
          <w:highlight w:val="none"/>
        </w:rPr>
        <w:t>一、专项调研课题（县直部门、单位）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楷体_GB2312" w:cs="楷体_GB2312"/>
          <w:b w:val="0"/>
          <w:bCs w:val="0"/>
          <w:color w:val="000000"/>
          <w:spacing w:val="-6"/>
          <w:sz w:val="32"/>
          <w:szCs w:val="32"/>
          <w:highlight w:val="none"/>
          <w:lang w:val="en-US" w:eastAsia="zh-CN"/>
        </w:rPr>
        <w:t>关于泗水县“十四五”期间经济社会发展情况的调研报告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</w:rPr>
        <w:t>承担单位：</w:t>
      </w: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县发展改革局</w:t>
      </w: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</w:rPr>
        <w:t>；完成时限：</w:t>
      </w: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2.全县人口结构变化对未来五年教育布局的影响和应对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</w:rPr>
        <w:t>承担单位：</w:t>
      </w: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县教育体育局</w:t>
      </w: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</w:rPr>
        <w:t>；完成时限：</w:t>
      </w: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3.关于本土科技型中小企业创新能力提升的调研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承担单位：县科技局；完成时限：6月底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4.泗水县机械制造产业调研分析报告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</w:t>
      </w:r>
      <w:r>
        <w:rPr>
          <w:rFonts w:hint="eastAsia" w:ascii="宋体" w:hAnsi="宋体" w:eastAsia="仿宋_GB2312"/>
          <w:sz w:val="32"/>
          <w:szCs w:val="32"/>
        </w:rPr>
        <w:t>县工业和信息化局</w:t>
      </w: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；完成时限：7月底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楷体_GB2312" w:cs="楷体_GB2312"/>
          <w:b w:val="0"/>
          <w:bCs w:val="0"/>
          <w:color w:val="000000"/>
          <w:spacing w:val="-6"/>
          <w:sz w:val="32"/>
          <w:szCs w:val="32"/>
          <w:highlight w:val="none"/>
          <w:lang w:val="en-US" w:eastAsia="zh-CN"/>
        </w:rPr>
        <w:t>县级公安机关建设“1+N”“N归一”合成侦查机制的路径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承担单位：县公安局；完成时限：7月底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6.“助老食堂”带动农村养老事业发展的调研报告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承担单位：县民政局；完成时限：6月底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7.探索涉企行政执法案件经济影响评估制度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承担单位：县司法局；完成时限：7月底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8.关于进一步推进财政零基预算改革的探讨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承担单位：县财政局；完成时限：7月底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9.泗水县企业技能人才队伍建设情况调研报告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承担单位：县人力资源社会保障局；完成时限：6月底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10.土地市场情况调研分析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承担单位：县自然资源和规划局；完成时限：6月底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11.关于房地产市场的调研报告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承担单位：县住房城乡建设局；完成时限：6月底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12.泗水县货运行业发展调研报告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承担单位：县交通运输局；完成时限：6月底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13.泗水县水库产权制度改革专题调研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承担单位：县水务局；完成时限：6月底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14.关于我县农业综合执法工作的思考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承担单位：县农业农村局；完成时限：6月底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15.泗水县扩内需促消费实现途径研究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承担单位：县商务局；完成时限：7月底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16.新媒体环境下泗水县旅游品牌传播策略研究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</w:t>
      </w:r>
      <w:r>
        <w:rPr>
          <w:rFonts w:hint="eastAsia" w:ascii="宋体" w:hAnsi="宋体" w:eastAsia="仿宋_GB2312"/>
          <w:sz w:val="32"/>
          <w:szCs w:val="32"/>
        </w:rPr>
        <w:t>县文化和旅游局</w:t>
      </w: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；完成时限：7月底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17.关于医养结合工作在卫健领域的发展方向的探索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承担单位：县卫生健康局；完成时限：6月底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18.关于提升安全生产基层基础的调研与思考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承担单位：县应急局；完成时限：6月底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19.关于审计推进乡村振兴补助资金使用管理情况的调研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承担单位：县审计局；完成时限：6月底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20.以“高效办成一件事”推动县域经济高质量发展的调研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承担单位：县行政审批服务局；完成时限：6月底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21.关于“规范化药房”建设助推医疗机构药品使用质量提升的调研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承担单位：县市场监管局；完成时限：7月底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22.“城管进社区”助推城市精细治理的调研报告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承担单位：县综合行政执法局；完成时限：7月底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23.发展通道经济，打造县域经济腾飞新引擎——泗水县双循环背景下的通道经济建设路径研究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承担单位：县统计局；完成时限：7月底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24.关于紧密型县域医共体医保基金总额付费试点工作的调研与思考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承担单位：县医保局；完成时限：6月底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25.关于从源头有效预防和化解信访问题的调研报告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承担单位：县信访局；完成时限：6月底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26.关于乡村振兴之生态振兴的调研报告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承担单位：市生态环境局泗水县分局；完成时限：6月底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27.关于我县农产品收购发票疑点数据的分析报告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承担单位：县税务局；完成时限：6月底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28.全县普通国省道交通安全综合治理现状分析及建议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承担单位：县公路局；完成时限：7月底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29.加强农村寄递物流基础建设，助力乡村振兴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承担单位：泗水邮政管理局；完成时限：7月底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30.关于优化残疾人证办理服务的调研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承担单位：县残疾人联合会；完成时限：7月底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31.关于完善基层供销组织体系的调研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承担单位：县供销合作社联合社；完成时限：6月底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32.开发区土地资源利用与可持续发展研究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承担单位：泗水经济开发区管理委员会；完成时限：6月底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33.泗水县水泥行业减污降碳协同增效路径研究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承担单位：县建材产业发展促进中心；完成时限：6月底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34.关于打造全国重要食品生产加工基地的调查与思考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承担单位：县食品产业发展促进中心；完成时限：6月底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35.关于城投公司改革转型的思考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承担单位：县国有企业发展促进中心；完成时限：6月底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36.关于新形势下如何灵活运用招商方式激发招商活力的思考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承担单位：县投资促进中心；完成时限：6月底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37.关于我县蛋鸡养殖现状的调研报告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承担单位：县畜牧兽医事业发展中心；完成时限：6月底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38.“党建+银龄”助老志愿服务品牌孵化机制探索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承担单位：县老龄事业服务中心；完成时限：6月底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39.关于工程建设项目多点分散评标的实践与思考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承担单位：市公共资源交易服务中心泗水分中心；完成时限：6月底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40.提升农业机械化装备助力乡村振兴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承担单位：县农业机械现代化发展促进中心；完成时限：7月底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41.“双碳”背景下做好公共机构节能工作的几点思考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承担单位：县机关事务服务中心；完成时限：7月底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方正黑体简体" w:cs="方正黑体简体"/>
          <w:b w:val="0"/>
          <w:bCs w:val="0"/>
          <w:color w:val="000000"/>
          <w:spacing w:val="0"/>
          <w:sz w:val="32"/>
          <w:szCs w:val="32"/>
          <w:highlight w:val="none"/>
        </w:rPr>
      </w:pPr>
      <w:r>
        <w:rPr>
          <w:rFonts w:hint="eastAsia" w:ascii="宋体" w:hAnsi="宋体" w:eastAsia="方正黑体简体" w:cs="方正黑体简体"/>
          <w:b w:val="0"/>
          <w:bCs w:val="0"/>
          <w:color w:val="000000"/>
          <w:spacing w:val="0"/>
          <w:sz w:val="32"/>
          <w:szCs w:val="32"/>
          <w:highlight w:val="none"/>
        </w:rPr>
        <w:t>二、专项调研课题（镇</w:t>
      </w:r>
      <w:r>
        <w:rPr>
          <w:rFonts w:hint="eastAsia" w:ascii="宋体" w:hAnsi="宋体" w:eastAsia="方正黑体简体" w:cs="方正黑体简体"/>
          <w:b w:val="0"/>
          <w:bCs w:val="0"/>
          <w:color w:val="000000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宋体" w:hAnsi="宋体" w:eastAsia="方正黑体简体" w:cs="方正黑体简体"/>
          <w:b w:val="0"/>
          <w:bCs w:val="0"/>
          <w:color w:val="000000"/>
          <w:spacing w:val="0"/>
          <w:sz w:val="32"/>
          <w:szCs w:val="32"/>
          <w:highlight w:val="none"/>
        </w:rPr>
        <w:t>街道）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1.关于擦亮“曲泗西瓜”品牌推动乡村振兴的思考与建议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承担单位：泗河街道；完成时限：6月底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2.关于“社区+公司”基层治理创新实践的调研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承担单位：济河街道；完成时限：6月底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3.工业产业集群发展现状、问题与对策研究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承担单位：泉林镇；完成时限：6月底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4.乡村振兴战略背景下乡镇政府治理能力现代化路径研究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承担单位：星村镇；完成时限：6月底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5.特色产业升级与融合发展路径研究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承担单位：柘沟镇；完成时限：6月底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6.关于杨柳镇产业融合与城镇功能协调发展的调研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承担单位：杨柳镇；完成时限：6月底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7.乡村振兴战略下宜居宜业和美乡村建设实践与思考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承担单位：中册镇；完成时限：6月底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8.关于推进乡村全面振兴、促进农民增收的建议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承担单位：高峪镇；完成时限：6月底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9.关于推进源网荷储一体化建设，打造镇域经济差异化竞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争优势的调研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承担单位：苗馆镇；完成时限：6月底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10.关于以招商引资打造产业链，推动工业经济倍增的调研报告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承担单位：金庄镇；完成时限：6月底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11.</w:t>
      </w:r>
      <w:r>
        <w:rPr>
          <w:rFonts w:hint="eastAsia" w:ascii="宋体" w:hAnsi="宋体" w:eastAsia="楷体_GB2312" w:cs="楷体_GB2312"/>
          <w:b w:val="0"/>
          <w:bCs w:val="0"/>
          <w:color w:val="000000"/>
          <w:spacing w:val="-6"/>
          <w:sz w:val="32"/>
          <w:szCs w:val="32"/>
          <w:highlight w:val="none"/>
          <w:lang w:val="en-US" w:eastAsia="zh-CN"/>
        </w:rPr>
        <w:t>探索建立桃花源“农旅融合·赋能共富”乡村振兴新模式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承担单位：泗张镇；完成时限：6月底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12.抓产业、强链条，让“土特产”成为“金招牌”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承担单位：圣水峪镇；完成时限：6月底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13.关于绿色生态循环产业体系的调研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承担单位：华村镇；完成时限：6月底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pacing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pacing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pacing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pacing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pacing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pacing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highlight w:val="none"/>
        </w:rPr>
      </w:pPr>
    </w:p>
    <w:tbl>
      <w:tblPr>
        <w:tblStyle w:val="11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9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9" w:type="dxa"/>
          </w:tcPr>
          <w:p>
            <w:pPr>
              <w:pStyle w:val="16"/>
              <w:ind w:firstLine="280" w:firstLineChars="100"/>
              <w:jc w:val="both"/>
              <w:rPr>
                <w:rFonts w:ascii="宋体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  <w:highlight w:val="none"/>
              </w:rPr>
              <w:t>抄送：</w:t>
            </w:r>
            <w:r>
              <w:rPr>
                <w:rFonts w:hint="eastAsia" w:ascii="宋体" w:hAnsi="宋体" w:eastAsia="仿宋_GB2312"/>
                <w:spacing w:val="10"/>
                <w:sz w:val="28"/>
                <w:szCs w:val="28"/>
                <w:highlight w:val="none"/>
              </w:rPr>
              <w:t>县委各部门，县人大常委会办公室，县政协办公室，</w:t>
            </w:r>
          </w:p>
          <w:p>
            <w:pPr>
              <w:pStyle w:val="16"/>
              <w:ind w:right="666"/>
              <w:jc w:val="both"/>
              <w:rPr>
                <w:rFonts w:ascii="宋体" w:hAnsi="宋体" w:eastAsia="仿宋_GB2312"/>
                <w:spacing w:val="1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  <w:highlight w:val="none"/>
              </w:rPr>
              <w:t>　　　　</w:t>
            </w:r>
            <w:r>
              <w:rPr>
                <w:rFonts w:hint="eastAsia" w:ascii="宋体" w:hAnsi="宋体" w:eastAsia="仿宋_GB2312"/>
                <w:spacing w:val="10"/>
                <w:sz w:val="28"/>
                <w:szCs w:val="28"/>
                <w:highlight w:val="none"/>
              </w:rPr>
              <w:t>县法院，县检察院，县人武部。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9" w:type="dxa"/>
          </w:tcPr>
          <w:p>
            <w:pPr>
              <w:pStyle w:val="16"/>
              <w:jc w:val="center"/>
              <w:rPr>
                <w:rFonts w:ascii="宋体" w:hAnsi="宋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  <w:highlight w:val="none"/>
              </w:rPr>
              <w:t>泗水县人民政府办公室　　　    　</w:t>
            </w:r>
            <w:r>
              <w:rPr>
                <w:rFonts w:hint="eastAsia" w:ascii="宋体" w:hAnsi="宋体" w:eastAsia="仿宋_GB2312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/>
                <w:sz w:val="28"/>
                <w:szCs w:val="28"/>
                <w:highlight w:val="none"/>
              </w:rPr>
              <w:t xml:space="preserve">   　　202</w:t>
            </w:r>
            <w:r>
              <w:rPr>
                <w:rFonts w:hint="eastAsia" w:ascii="宋体" w:hAnsi="宋体" w:eastAsia="仿宋_GB2312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仿宋_GB2312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eastAsia="仿宋_GB2312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仿宋_GB2312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eastAsia="仿宋_GB2312"/>
                <w:sz w:val="28"/>
                <w:szCs w:val="28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 w:eastAsia="仿宋_GB2312"/>
                <w:sz w:val="28"/>
                <w:szCs w:val="28"/>
                <w:highlight w:val="none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 w:eastAsia="仿宋_GB2312" w:cs="仿宋_GB2312"/>
          <w:b w:val="0"/>
          <w:bCs w:val="0"/>
          <w:spacing w:val="0"/>
          <w:sz w:val="32"/>
          <w:szCs w:val="32"/>
          <w:highlight w:val="none"/>
        </w:rPr>
      </w:pPr>
    </w:p>
    <w:sectPr>
      <w:footerReference r:id="rId3" w:type="default"/>
      <w:footerReference r:id="rId4" w:type="even"/>
      <w:pgSz w:w="11906" w:h="16838"/>
      <w:pgMar w:top="1871" w:right="1587" w:bottom="1814" w:left="1587" w:header="0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88"/>
    <w:family w:val="moder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dobeHeitiStd-Regular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w:rPr>
        <w:rStyle w:val="14"/>
        <w:rFonts w:hint="eastAsia" w:ascii="宋体" w:hAnsi="宋体"/>
        <w:sz w:val="28"/>
        <w:szCs w:val="28"/>
      </w:rPr>
      <w:t xml:space="preserve">— </w:t>
    </w:r>
    <w:r>
      <w:rPr>
        <w:rStyle w:val="14"/>
        <w:rFonts w:ascii="宋体" w:hAnsi="宋体"/>
        <w:sz w:val="28"/>
        <w:szCs w:val="28"/>
      </w:rPr>
      <w:fldChar w:fldCharType="begin"/>
    </w:r>
    <w:r>
      <w:rPr>
        <w:rStyle w:val="14"/>
        <w:rFonts w:ascii="宋体" w:hAnsi="宋体"/>
        <w:sz w:val="28"/>
        <w:szCs w:val="28"/>
      </w:rPr>
      <w:instrText xml:space="preserve">PAGE  </w:instrText>
    </w:r>
    <w:r>
      <w:rPr>
        <w:rStyle w:val="14"/>
        <w:rFonts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</w:rPr>
      <w:t>1</w:t>
    </w:r>
    <w:r>
      <w:rPr>
        <w:rStyle w:val="14"/>
        <w:rFonts w:ascii="宋体" w:hAnsi="宋体"/>
        <w:sz w:val="28"/>
        <w:szCs w:val="28"/>
      </w:rPr>
      <w:fldChar w:fldCharType="end"/>
    </w:r>
    <w:r>
      <w:rPr>
        <w:rStyle w:val="14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</w:pPr>
    <w:r>
      <w:rPr>
        <w:rStyle w:val="14"/>
        <w:rFonts w:hint="eastAsia" w:ascii="宋体" w:hAnsi="宋体"/>
        <w:sz w:val="28"/>
        <w:szCs w:val="28"/>
      </w:rPr>
      <w:t xml:space="preserve">— </w:t>
    </w:r>
    <w:r>
      <w:rPr>
        <w:rStyle w:val="14"/>
        <w:rFonts w:ascii="宋体" w:hAnsi="宋体"/>
        <w:sz w:val="28"/>
        <w:szCs w:val="28"/>
      </w:rPr>
      <w:fldChar w:fldCharType="begin"/>
    </w:r>
    <w:r>
      <w:rPr>
        <w:rStyle w:val="14"/>
        <w:rFonts w:ascii="宋体" w:hAnsi="宋体"/>
        <w:sz w:val="28"/>
        <w:szCs w:val="28"/>
      </w:rPr>
      <w:instrText xml:space="preserve">PAGE  </w:instrText>
    </w:r>
    <w:r>
      <w:rPr>
        <w:rStyle w:val="14"/>
        <w:rFonts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</w:rPr>
      <w:t>1</w:t>
    </w:r>
    <w:r>
      <w:rPr>
        <w:rStyle w:val="14"/>
        <w:rFonts w:ascii="宋体" w:hAnsi="宋体"/>
        <w:sz w:val="28"/>
        <w:szCs w:val="28"/>
      </w:rPr>
      <w:fldChar w:fldCharType="end"/>
    </w:r>
    <w:r>
      <w:rPr>
        <w:rStyle w:val="14"/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hyphenationZone w:val="36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NzE0MDhkMjUwNDdlNDVlY2FkM2UxMGQ3N2U3YTkifQ=="/>
    <w:docVar w:name="KSO_WPS_MARK_KEY" w:val="e8f530ab-2901-4599-8583-c2ccc46c54e9"/>
  </w:docVars>
  <w:rsids>
    <w:rsidRoot w:val="00EA2131"/>
    <w:rsid w:val="000E1B63"/>
    <w:rsid w:val="00133102"/>
    <w:rsid w:val="001942C3"/>
    <w:rsid w:val="001E77B9"/>
    <w:rsid w:val="00286F13"/>
    <w:rsid w:val="00436423"/>
    <w:rsid w:val="007203E2"/>
    <w:rsid w:val="007D1394"/>
    <w:rsid w:val="00890A5D"/>
    <w:rsid w:val="00D06EC5"/>
    <w:rsid w:val="00D92DF5"/>
    <w:rsid w:val="00DA73B0"/>
    <w:rsid w:val="00EA2131"/>
    <w:rsid w:val="00EA421B"/>
    <w:rsid w:val="01172A03"/>
    <w:rsid w:val="02E05CFE"/>
    <w:rsid w:val="047907DA"/>
    <w:rsid w:val="0563090D"/>
    <w:rsid w:val="06C673A5"/>
    <w:rsid w:val="072D7113"/>
    <w:rsid w:val="074031E6"/>
    <w:rsid w:val="08E3740E"/>
    <w:rsid w:val="08F91C4A"/>
    <w:rsid w:val="091E4585"/>
    <w:rsid w:val="0B3B4C1E"/>
    <w:rsid w:val="0B450895"/>
    <w:rsid w:val="0B6B1104"/>
    <w:rsid w:val="0C156785"/>
    <w:rsid w:val="0C1B7D22"/>
    <w:rsid w:val="0C6E4AA5"/>
    <w:rsid w:val="0D5323DA"/>
    <w:rsid w:val="0DB41FD0"/>
    <w:rsid w:val="0EA877B2"/>
    <w:rsid w:val="0F7F00F1"/>
    <w:rsid w:val="0FC53C06"/>
    <w:rsid w:val="10676E7B"/>
    <w:rsid w:val="134D0817"/>
    <w:rsid w:val="13CF061D"/>
    <w:rsid w:val="13D2309B"/>
    <w:rsid w:val="163E67C5"/>
    <w:rsid w:val="164A46DD"/>
    <w:rsid w:val="16882E59"/>
    <w:rsid w:val="18795D58"/>
    <w:rsid w:val="19B60BB4"/>
    <w:rsid w:val="1D1B1DAF"/>
    <w:rsid w:val="1DBA6FC8"/>
    <w:rsid w:val="1EBA2EF4"/>
    <w:rsid w:val="20735A00"/>
    <w:rsid w:val="209666BD"/>
    <w:rsid w:val="214F3427"/>
    <w:rsid w:val="233F60BE"/>
    <w:rsid w:val="24BA20CD"/>
    <w:rsid w:val="256C5420"/>
    <w:rsid w:val="261711DD"/>
    <w:rsid w:val="26212FB8"/>
    <w:rsid w:val="26E01966"/>
    <w:rsid w:val="27AE3812"/>
    <w:rsid w:val="27CDB10F"/>
    <w:rsid w:val="29DA36D1"/>
    <w:rsid w:val="29DD45C2"/>
    <w:rsid w:val="29EF3702"/>
    <w:rsid w:val="2AD2496B"/>
    <w:rsid w:val="2AFA7602"/>
    <w:rsid w:val="2B304910"/>
    <w:rsid w:val="2C3713E9"/>
    <w:rsid w:val="2D821633"/>
    <w:rsid w:val="2E123E6D"/>
    <w:rsid w:val="2E180E33"/>
    <w:rsid w:val="2E7FB06F"/>
    <w:rsid w:val="2FE342AD"/>
    <w:rsid w:val="30922223"/>
    <w:rsid w:val="30F40463"/>
    <w:rsid w:val="30F4652A"/>
    <w:rsid w:val="31616640"/>
    <w:rsid w:val="31E00823"/>
    <w:rsid w:val="323007E2"/>
    <w:rsid w:val="32FD0797"/>
    <w:rsid w:val="33B006D5"/>
    <w:rsid w:val="345D1783"/>
    <w:rsid w:val="34702241"/>
    <w:rsid w:val="362A054B"/>
    <w:rsid w:val="36557564"/>
    <w:rsid w:val="37DFF862"/>
    <w:rsid w:val="37FDB9D8"/>
    <w:rsid w:val="38C93FF5"/>
    <w:rsid w:val="38DB37E8"/>
    <w:rsid w:val="395E2659"/>
    <w:rsid w:val="39865E7C"/>
    <w:rsid w:val="3A2145A0"/>
    <w:rsid w:val="3AD33708"/>
    <w:rsid w:val="3B9B5A04"/>
    <w:rsid w:val="3C981203"/>
    <w:rsid w:val="3DCB25D0"/>
    <w:rsid w:val="3E7E5891"/>
    <w:rsid w:val="3EAB0813"/>
    <w:rsid w:val="3F5B7984"/>
    <w:rsid w:val="3FD646FD"/>
    <w:rsid w:val="3FF65C12"/>
    <w:rsid w:val="40561A81"/>
    <w:rsid w:val="409C46A6"/>
    <w:rsid w:val="41380917"/>
    <w:rsid w:val="41F5529F"/>
    <w:rsid w:val="43F4192E"/>
    <w:rsid w:val="44C96C43"/>
    <w:rsid w:val="44E5584A"/>
    <w:rsid w:val="45C61DF2"/>
    <w:rsid w:val="463137DF"/>
    <w:rsid w:val="467D3A43"/>
    <w:rsid w:val="48825891"/>
    <w:rsid w:val="48FB4A3C"/>
    <w:rsid w:val="498350E5"/>
    <w:rsid w:val="4D7F9487"/>
    <w:rsid w:val="4EF60354"/>
    <w:rsid w:val="4F0E4379"/>
    <w:rsid w:val="4F74069E"/>
    <w:rsid w:val="4FF04118"/>
    <w:rsid w:val="4FFFEE1F"/>
    <w:rsid w:val="50004ACB"/>
    <w:rsid w:val="50E447D2"/>
    <w:rsid w:val="50FD367D"/>
    <w:rsid w:val="510B3534"/>
    <w:rsid w:val="511D10F8"/>
    <w:rsid w:val="51E065E0"/>
    <w:rsid w:val="52397FF8"/>
    <w:rsid w:val="5392496E"/>
    <w:rsid w:val="54264825"/>
    <w:rsid w:val="557D0BFA"/>
    <w:rsid w:val="561B5DD3"/>
    <w:rsid w:val="570F6B44"/>
    <w:rsid w:val="58C27998"/>
    <w:rsid w:val="59E35862"/>
    <w:rsid w:val="5AF437EF"/>
    <w:rsid w:val="5C2E04A2"/>
    <w:rsid w:val="5E443FAD"/>
    <w:rsid w:val="5E956065"/>
    <w:rsid w:val="5FFA5409"/>
    <w:rsid w:val="600B0876"/>
    <w:rsid w:val="604C539B"/>
    <w:rsid w:val="60D41179"/>
    <w:rsid w:val="60E71912"/>
    <w:rsid w:val="64C37C7C"/>
    <w:rsid w:val="659C657D"/>
    <w:rsid w:val="66136560"/>
    <w:rsid w:val="66867A32"/>
    <w:rsid w:val="6755533A"/>
    <w:rsid w:val="675C1B2D"/>
    <w:rsid w:val="67BB49D4"/>
    <w:rsid w:val="67D578AF"/>
    <w:rsid w:val="682A7953"/>
    <w:rsid w:val="687A43E5"/>
    <w:rsid w:val="69C364F9"/>
    <w:rsid w:val="6A231360"/>
    <w:rsid w:val="6AE0227F"/>
    <w:rsid w:val="6AFDF2FE"/>
    <w:rsid w:val="6B0D3804"/>
    <w:rsid w:val="6B5A2D59"/>
    <w:rsid w:val="6BB8600B"/>
    <w:rsid w:val="6C30351D"/>
    <w:rsid w:val="6C706A4E"/>
    <w:rsid w:val="6E361438"/>
    <w:rsid w:val="6E3E76AB"/>
    <w:rsid w:val="6FF9D1FB"/>
    <w:rsid w:val="6FFFE9D4"/>
    <w:rsid w:val="721D6676"/>
    <w:rsid w:val="724A5EAE"/>
    <w:rsid w:val="735812F5"/>
    <w:rsid w:val="740D5AB9"/>
    <w:rsid w:val="74CC6472"/>
    <w:rsid w:val="74EA340C"/>
    <w:rsid w:val="75AD3D8E"/>
    <w:rsid w:val="75D13FC1"/>
    <w:rsid w:val="76D074B3"/>
    <w:rsid w:val="76EA2DC0"/>
    <w:rsid w:val="76ED844C"/>
    <w:rsid w:val="772F1E60"/>
    <w:rsid w:val="775EB4F6"/>
    <w:rsid w:val="79C36276"/>
    <w:rsid w:val="79CD0EA3"/>
    <w:rsid w:val="7BE9EC2F"/>
    <w:rsid w:val="7C917897"/>
    <w:rsid w:val="7D255054"/>
    <w:rsid w:val="7DBD4BE2"/>
    <w:rsid w:val="7DF5BCA0"/>
    <w:rsid w:val="7E36F69D"/>
    <w:rsid w:val="7EC03489"/>
    <w:rsid w:val="7EEB21F1"/>
    <w:rsid w:val="7EEFEE83"/>
    <w:rsid w:val="7EFCDA16"/>
    <w:rsid w:val="7F6F1A4E"/>
    <w:rsid w:val="7F6FCB97"/>
    <w:rsid w:val="BD711FCE"/>
    <w:rsid w:val="BEB595BF"/>
    <w:rsid w:val="BFCF7D4C"/>
    <w:rsid w:val="CAFE04C6"/>
    <w:rsid w:val="CE4BD024"/>
    <w:rsid w:val="D3EF590B"/>
    <w:rsid w:val="DFDF6D5D"/>
    <w:rsid w:val="EBE7AD6C"/>
    <w:rsid w:val="EFFF39BA"/>
    <w:rsid w:val="F5FE7FA2"/>
    <w:rsid w:val="F6E9E8F7"/>
    <w:rsid w:val="FACFB540"/>
    <w:rsid w:val="FBDB6C28"/>
    <w:rsid w:val="FCBFD992"/>
    <w:rsid w:val="FCCE2DFC"/>
    <w:rsid w:val="FCDC0C50"/>
    <w:rsid w:val="FDEF6B80"/>
    <w:rsid w:val="FEFF2715"/>
    <w:rsid w:val="FFE6C377"/>
    <w:rsid w:val="FFF7C6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Body Text First Indent"/>
    <w:basedOn w:val="4"/>
    <w:qFormat/>
    <w:uiPriority w:val="0"/>
    <w:pPr>
      <w:ind w:firstLine="420" w:firstLineChars="100"/>
    </w:pPr>
  </w:style>
  <w:style w:type="paragraph" w:styleId="10">
    <w:name w:val="Body Text First Indent 2"/>
    <w:basedOn w:val="5"/>
    <w:next w:val="9"/>
    <w:qFormat/>
    <w:uiPriority w:val="0"/>
    <w:pPr>
      <w:spacing w:after="0"/>
      <w:ind w:firstLine="420" w:firstLineChars="200"/>
    </w:pPr>
  </w:style>
  <w:style w:type="character" w:styleId="13">
    <w:name w:val="Strong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customStyle="1" w:styleId="15">
    <w:name w:val="fontstyle41"/>
    <w:qFormat/>
    <w:uiPriority w:val="99"/>
    <w:rPr>
      <w:rFonts w:cs="Times New Roman"/>
    </w:rPr>
  </w:style>
  <w:style w:type="paragraph" w:customStyle="1" w:styleId="16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2842</Words>
  <Characters>2989</Characters>
  <Lines>27</Lines>
  <Paragraphs>7</Paragraphs>
  <TotalTime>0</TotalTime>
  <ScaleCrop>false</ScaleCrop>
  <LinksUpToDate>false</LinksUpToDate>
  <CharactersWithSpaces>3010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2014-11-05T12:08:00Z</dcterms:created>
  <dc:creator>Administrator</dc:creator>
  <cp:lastModifiedBy>Serena</cp:lastModifiedBy>
  <cp:lastPrinted>2023-05-24T17:53:00Z</cp:lastPrinted>
  <dcterms:modified xsi:type="dcterms:W3CDTF">2025-05-15T15:51:08Z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0DA1C96F95AA462C90DEDEE1D2828CC2</vt:lpwstr>
  </property>
  <property fmtid="{D5CDD505-2E9C-101B-9397-08002B2CF9AE}" pid="4" name="KSOTemplateDocerSaveRecord">
    <vt:lpwstr>eyJoZGlkIjoiNDU0ZTA0ZmQyOTlkODVmMjc2N2E1YTQ2ZGFkNzk3OWIiLCJ1c2VySWQiOiIxMzk2NDg5MTM2In0=</vt:lpwstr>
  </property>
</Properties>
</file>