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63FFC">
      <w:pPr>
        <w:spacing w:line="590" w:lineRule="exact"/>
        <w:ind w:right="-105" w:rightChars="-50"/>
        <w:jc w:val="center"/>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pPr>
    </w:p>
    <w:p w14:paraId="5ED9735A">
      <w:pPr>
        <w:spacing w:line="590" w:lineRule="exact"/>
        <w:ind w:right="-105" w:rightChars="-50"/>
        <w:jc w:val="cente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t>泗水县高峪镇</w:t>
      </w: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202</w:t>
      </w:r>
      <w:r>
        <w:rPr>
          <w:rFonts w:hint="eastAsia"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t>5</w:t>
      </w: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年政府信息公开</w:t>
      </w:r>
    </w:p>
    <w:p w14:paraId="67A590AA">
      <w:pPr>
        <w:spacing w:line="590" w:lineRule="exact"/>
        <w:ind w:right="-105" w:rightChars="-50"/>
        <w:jc w:val="cente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工作年度报告</w:t>
      </w:r>
    </w:p>
    <w:p w14:paraId="44709D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cente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pPr>
    </w:p>
    <w:p w14:paraId="67B5ACB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7"/>
          <w:rFonts w:hint="eastAsia" w:ascii="Times New Roman" w:hAnsi="Times New Roman" w:eastAsia="方正仿宋简体" w:cs="方正仿宋简体"/>
          <w:b/>
          <w:bCs w:val="0"/>
          <w:i w:val="0"/>
          <w:iCs w:val="0"/>
          <w:caps w:val="0"/>
          <w:color w:val="auto"/>
          <w:spacing w:val="0"/>
          <w:sz w:val="32"/>
          <w:szCs w:val="32"/>
        </w:rPr>
      </w:pPr>
      <w:r>
        <w:rPr>
          <w:rStyle w:val="7"/>
          <w:rFonts w:hint="eastAsia" w:ascii="Times New Roman" w:hAnsi="Times New Roman" w:eastAsia="方正仿宋简体" w:cs="方正仿宋简体"/>
          <w:b/>
          <w:bCs w:val="0"/>
          <w:i w:val="0"/>
          <w:iCs w:val="0"/>
          <w:caps w:val="0"/>
          <w:color w:val="auto"/>
          <w:spacing w:val="0"/>
          <w:kern w:val="2"/>
          <w:sz w:val="32"/>
          <w:szCs w:val="32"/>
          <w:lang w:bidi="ar-SA"/>
        </w:rPr>
        <w:t>本报告由</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泗水县高峪镇人民政府</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按照《中华人民共和国政府信息公开条例》（以下简称《条例》）和《中华人民共和国政府信息公开工作年度报告格式》（国办公开办函〔2021〕30号）要求编制。</w:t>
      </w:r>
    </w:p>
    <w:p w14:paraId="2CB0A98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7"/>
          <w:rFonts w:hint="eastAsia" w:ascii="Times New Roman" w:hAnsi="Times New Roman" w:eastAsia="方正仿宋简体" w:cs="方正仿宋简体"/>
          <w:b/>
          <w:bCs w:val="0"/>
          <w:i w:val="0"/>
          <w:iCs w:val="0"/>
          <w:caps w:val="0"/>
          <w:color w:val="auto"/>
          <w:spacing w:val="0"/>
          <w:kern w:val="2"/>
          <w:sz w:val="32"/>
          <w:szCs w:val="32"/>
          <w:lang w:bidi="ar-SA"/>
        </w:rPr>
      </w:pPr>
      <w:r>
        <w:rPr>
          <w:rStyle w:val="7"/>
          <w:rFonts w:hint="eastAsia" w:ascii="Times New Roman" w:hAnsi="Times New Roman" w:eastAsia="方正仿宋简体" w:cs="方正仿宋简体"/>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14:paraId="456961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7"/>
          <w:rFonts w:hint="eastAsia" w:ascii="Times New Roman" w:hAnsi="Times New Roman" w:eastAsia="方正仿宋简体" w:cs="方正仿宋简体"/>
          <w:b/>
          <w:bCs w:val="0"/>
          <w:i w:val="0"/>
          <w:iCs w:val="0"/>
          <w:caps w:val="0"/>
          <w:color w:val="auto"/>
          <w:spacing w:val="0"/>
          <w:kern w:val="2"/>
          <w:sz w:val="32"/>
          <w:szCs w:val="32"/>
          <w:lang w:bidi="ar-SA"/>
        </w:rPr>
      </w:pPr>
      <w:r>
        <w:rPr>
          <w:rStyle w:val="7"/>
          <w:rFonts w:hint="eastAsia" w:ascii="Times New Roman" w:hAnsi="Times New Roman" w:eastAsia="方正仿宋简体" w:cs="方正仿宋简体"/>
          <w:b/>
          <w:bCs w:val="0"/>
          <w:i w:val="0"/>
          <w:iCs w:val="0"/>
          <w:caps w:val="0"/>
          <w:color w:val="auto"/>
          <w:spacing w:val="0"/>
          <w:kern w:val="2"/>
          <w:sz w:val="32"/>
          <w:szCs w:val="32"/>
          <w:lang w:bidi="ar-SA"/>
        </w:rPr>
        <w:t>本报告所列数据的统计期限自202</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5</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年1月1日起至202</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5</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年12月31日止。本报告电子版可在“中国·</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泗水</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”政府门户网站</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（www.sishui.gov.cn）</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查阅或下载。</w:t>
      </w:r>
      <w:r>
        <w:rPr>
          <w:rFonts w:hint="eastAsia" w:ascii="Times New Roman" w:hAnsi="Times New Roman" w:eastAsia="方正仿宋简体" w:cs="方正仿宋简体"/>
          <w:b/>
          <w:bCs w:val="0"/>
          <w:i w:val="0"/>
          <w:iCs w:val="0"/>
          <w:caps w:val="0"/>
          <w:color w:val="auto"/>
          <w:spacing w:val="0"/>
          <w:sz w:val="32"/>
          <w:szCs w:val="32"/>
          <w:shd w:val="clear" w:color="auto" w:fill="FFFFFF"/>
        </w:rPr>
        <w:t>如对本报告有疑问，请与</w:t>
      </w:r>
      <w:r>
        <w:rPr>
          <w:rFonts w:hint="eastAsia" w:ascii="Times New Roman" w:hAnsi="Times New Roman" w:eastAsia="方正仿宋简体" w:cs="方正仿宋简体"/>
          <w:b/>
          <w:bCs w:val="0"/>
          <w:i w:val="0"/>
          <w:iCs w:val="0"/>
          <w:caps w:val="0"/>
          <w:color w:val="auto"/>
          <w:spacing w:val="0"/>
          <w:sz w:val="32"/>
          <w:szCs w:val="32"/>
          <w:shd w:val="clear" w:color="auto" w:fill="FFFFFF"/>
          <w:lang w:eastAsia="zh-CN"/>
        </w:rPr>
        <w:t>泗水县高峪镇</w:t>
      </w:r>
      <w:r>
        <w:rPr>
          <w:rFonts w:hint="eastAsia" w:ascii="Times New Roman" w:hAnsi="Times New Roman" w:eastAsia="方正仿宋简体" w:cs="方正仿宋简体"/>
          <w:b/>
          <w:bCs w:val="0"/>
          <w:i w:val="0"/>
          <w:iCs w:val="0"/>
          <w:caps w:val="0"/>
          <w:color w:val="auto"/>
          <w:spacing w:val="0"/>
          <w:sz w:val="32"/>
          <w:szCs w:val="32"/>
          <w:shd w:val="clear" w:color="auto" w:fill="FFFFFF"/>
        </w:rPr>
        <w:t>联系（地址：</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泗水县高峪镇兴峪村</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，联系电话：0537-</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4111016</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w:t>
      </w:r>
    </w:p>
    <w:p w14:paraId="5BE4E7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rightChars="0" w:firstLine="622" w:firstLineChars="200"/>
        <w:jc w:val="both"/>
        <w:textAlignment w:val="auto"/>
        <w:rPr>
          <w:rFonts w:hint="default" w:ascii="Times New Roman" w:hAnsi="Times New Roman" w:eastAsia="微软雅黑" w:cs="Times New Roman"/>
          <w:i w:val="0"/>
          <w:iCs w:val="0"/>
          <w:caps w:val="0"/>
          <w:color w:val="000000" w:themeColor="text1"/>
          <w:spacing w:val="0"/>
          <w:sz w:val="21"/>
          <w:szCs w:val="21"/>
          <w14:textFill>
            <w14:solidFill>
              <w14:schemeClr w14:val="tx1"/>
            </w14:solidFill>
          </w14:textFill>
        </w:rPr>
      </w:pPr>
      <w:r>
        <w:rPr>
          <w:rStyle w:val="7"/>
          <w:rFonts w:hint="default" w:ascii="Times New Roman" w:hAnsi="Times New Roman" w:eastAsia="方正黑体简体" w:cs="Times New Roman"/>
          <w:i w:val="0"/>
          <w:iCs w:val="0"/>
          <w:caps w:val="0"/>
          <w:color w:val="000000" w:themeColor="text1"/>
          <w:spacing w:val="0"/>
          <w:sz w:val="31"/>
          <w:szCs w:val="31"/>
          <w14:textFill>
            <w14:solidFill>
              <w14:schemeClr w14:val="tx1"/>
            </w14:solidFill>
          </w14:textFill>
        </w:rPr>
        <w:t>一、总体情况</w:t>
      </w:r>
    </w:p>
    <w:p w14:paraId="772E029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rightChars="0" w:firstLine="643" w:firstLineChars="200"/>
        <w:jc w:val="both"/>
        <w:textAlignment w:val="auto"/>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202</w:t>
      </w:r>
      <w:r>
        <w:rPr>
          <w:rFonts w:hint="eastAsia"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年，高峪镇按照县委、县政府统一部署，加强组织领导，健全工作机制，认真贯彻《中华人民共和国政府信息公开条例》的各项要求，坚持深化政府信息公开工作，推进了政府信息公开工作规范、有序、健康发展</w:t>
      </w:r>
      <w:r>
        <w:rPr>
          <w:rFonts w:hint="eastAsia"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切实提升政府工作透明度与公信力</w:t>
      </w:r>
      <w:r>
        <w:rPr>
          <w:rFonts w:hint="eastAsia"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组织开展“政府开放日”活动，深入</w:t>
      </w:r>
      <w:r>
        <w:rPr>
          <w:rFonts w:hint="eastAsia"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各</w:t>
      </w:r>
      <w:r>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村开展政务服务工作，进一步提升基层政务公开工作质量和实效。</w:t>
      </w:r>
    </w:p>
    <w:p w14:paraId="109B9CE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rightChars="0" w:firstLine="622" w:firstLineChars="200"/>
        <w:jc w:val="both"/>
        <w:textAlignment w:val="auto"/>
        <w:rPr>
          <w:rFonts w:hint="default" w:ascii="Times New Roman" w:hAnsi="Times New Roman" w:eastAsia="微软雅黑" w:cs="Times New Roman"/>
          <w:i w:val="0"/>
          <w:iCs w:val="0"/>
          <w:caps w:val="0"/>
          <w:color w:val="000000" w:themeColor="text1"/>
          <w:spacing w:val="0"/>
          <w:sz w:val="21"/>
          <w:szCs w:val="21"/>
          <w14:textFill>
            <w14:solidFill>
              <w14:schemeClr w14:val="tx1"/>
            </w14:solidFill>
          </w14:textFill>
        </w:rPr>
      </w:pPr>
      <w:r>
        <w:rPr>
          <w:rStyle w:val="7"/>
          <w:rFonts w:hint="default" w:ascii="Times New Roman" w:hAnsi="Times New Roman" w:eastAsia="方正楷体简体" w:cs="Times New Roman"/>
          <w:i w:val="0"/>
          <w:iCs w:val="0"/>
          <w:caps w:val="0"/>
          <w:color w:val="000000" w:themeColor="text1"/>
          <w:spacing w:val="0"/>
          <w:sz w:val="31"/>
          <w:szCs w:val="31"/>
          <w14:textFill>
            <w14:solidFill>
              <w14:schemeClr w14:val="tx1"/>
            </w14:solidFill>
          </w14:textFill>
        </w:rPr>
        <w:t>（一）主动公开情况</w:t>
      </w:r>
    </w:p>
    <w:p w14:paraId="0131B77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年度，高峪镇按照泗水县政府信息公开要求，及时对信息进行更新。通过网站主动公开政府信息共</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14</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条，其中镇街动态</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条，</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通知</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公告</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条，</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图文</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解读1条，部门预算2条，部门决算</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条</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，事前公开</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1条，信息公开年报1条</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，法治政府报告1条</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w:t>
      </w:r>
    </w:p>
    <w:p w14:paraId="67E2DC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drawing>
          <wp:inline distT="0" distB="0" distL="114300" distR="114300">
            <wp:extent cx="4826000" cy="3620770"/>
            <wp:effectExtent l="4445" t="4445" r="8255" b="1333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2F334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default" w:ascii="Times New Roman" w:hAnsi="Times New Roman" w:eastAsia="微软雅黑" w:cs="Times New Roman"/>
          <w:i w:val="0"/>
          <w:iCs w:val="0"/>
          <w:caps w:val="0"/>
          <w:color w:val="000000" w:themeColor="text1"/>
          <w:spacing w:val="0"/>
          <w:sz w:val="21"/>
          <w:szCs w:val="21"/>
          <w14:textFill>
            <w14:solidFill>
              <w14:schemeClr w14:val="tx1"/>
            </w14:solidFill>
          </w14:textFill>
        </w:rPr>
      </w:pPr>
      <w:r>
        <w:rPr>
          <w:rStyle w:val="7"/>
          <w:rFonts w:hint="default" w:ascii="Times New Roman" w:hAnsi="Times New Roman" w:eastAsia="方正楷体简体" w:cs="Times New Roman"/>
          <w:i w:val="0"/>
          <w:iCs w:val="0"/>
          <w:caps w:val="0"/>
          <w:color w:val="000000" w:themeColor="text1"/>
          <w:spacing w:val="0"/>
          <w:sz w:val="31"/>
          <w:szCs w:val="31"/>
          <w14:textFill>
            <w14:solidFill>
              <w14:schemeClr w14:val="tx1"/>
            </w14:solidFill>
          </w14:textFill>
        </w:rPr>
        <w:t>（二）依申请公开情况</w:t>
      </w:r>
    </w:p>
    <w:p w14:paraId="2C34A1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p>
    <w:p w14:paraId="1329EBE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right="0" w:rightChars="0" w:firstLine="643" w:firstLineChars="200"/>
        <w:jc w:val="both"/>
        <w:textAlignment w:val="auto"/>
        <w:rPr>
          <w:rFonts w:hint="default" w:ascii="Times New Roman" w:hAnsi="Times New Roman" w:eastAsia="方正仿宋简体" w:cs="Times New Roman"/>
          <w:b/>
          <w:color w:val="000000" w:themeColor="text1"/>
          <w:sz w:val="32"/>
          <w:szCs w:val="32"/>
          <w:highlight w:val="yellow"/>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年，高峪镇通过网站渠道收到依申请公</w:t>
      </w:r>
      <w:r>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开</w:t>
      </w:r>
      <w:r>
        <w:rPr>
          <w:rFonts w:hint="eastAsia"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件，均按照要求在法定期限内及时予以答复，办结率100%。</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年，高峪镇政府信息公开申请未向申请人收取任何费用。</w:t>
      </w:r>
      <w:r>
        <w:drawing>
          <wp:anchor distT="0" distB="0" distL="114300" distR="114300" simplePos="0" relativeHeight="251659264" behindDoc="0" locked="0" layoutInCell="1" allowOverlap="1">
            <wp:simplePos x="0" y="0"/>
            <wp:positionH relativeFrom="column">
              <wp:posOffset>248920</wp:posOffset>
            </wp:positionH>
            <wp:positionV relativeFrom="page">
              <wp:posOffset>2639695</wp:posOffset>
            </wp:positionV>
            <wp:extent cx="5280660" cy="2955925"/>
            <wp:effectExtent l="4445" t="4445" r="10795" b="11430"/>
            <wp:wrapTopAndBottom/>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C2D5C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rPr>
          <w:rFonts w:hint="default" w:ascii="Times New Roman" w:hAnsi="Times New Roman" w:eastAsia="微软雅黑"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楷体简体" w:cs="Times New Roman"/>
          <w:b/>
          <w:bCs/>
          <w:i w:val="0"/>
          <w:iCs w:val="0"/>
          <w:caps w:val="0"/>
          <w:color w:val="000000" w:themeColor="text1"/>
          <w:spacing w:val="0"/>
          <w:sz w:val="32"/>
          <w:szCs w:val="32"/>
          <w14:textFill>
            <w14:solidFill>
              <w14:schemeClr w14:val="tx1"/>
            </w14:solidFill>
          </w14:textFill>
        </w:rPr>
        <w:t>（三）</w:t>
      </w:r>
      <w:r>
        <w:rPr>
          <w:rStyle w:val="7"/>
          <w:rFonts w:hint="default" w:ascii="Times New Roman" w:hAnsi="Times New Roman" w:eastAsia="方正楷体简体" w:cs="Times New Roman"/>
          <w:i w:val="0"/>
          <w:iCs w:val="0"/>
          <w:caps w:val="0"/>
          <w:color w:val="000000" w:themeColor="text1"/>
          <w:spacing w:val="0"/>
          <w:sz w:val="32"/>
          <w:szCs w:val="32"/>
          <w14:textFill>
            <w14:solidFill>
              <w14:schemeClr w14:val="tx1"/>
            </w14:solidFill>
          </w14:textFill>
        </w:rPr>
        <w:t>政府信息管理情况</w:t>
      </w:r>
    </w:p>
    <w:p w14:paraId="09D6FF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rPr>
          <w:rStyle w:val="7"/>
          <w:rFonts w:hint="default" w:ascii="Times New Roman" w:hAnsi="Times New Roman" w:eastAsia="方正仿宋简体" w:cs="Times New Roman"/>
          <w:i w:val="0"/>
          <w:iCs w:val="0"/>
          <w:caps w:val="0"/>
          <w:color w:val="000000" w:themeColor="text1"/>
          <w:spacing w:val="0"/>
          <w:sz w:val="32"/>
          <w:szCs w:val="32"/>
          <w:lang w:val="en-US" w:eastAsia="zh-CN"/>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sz w:val="32"/>
          <w:szCs w:val="32"/>
          <w:lang w:eastAsia="zh-CN"/>
          <w14:textFill>
            <w14:solidFill>
              <w14:schemeClr w14:val="tx1"/>
            </w14:solidFill>
          </w14:textFill>
        </w:rPr>
        <w:t>高峪镇</w:t>
      </w:r>
      <w:r>
        <w:rPr>
          <w:rStyle w:val="7"/>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t>根据上级要求和本镇实际，贯彻落实信息公开相关政策，严格落实信息发布“三审”制度，加大信息公开力度，及时公开年度预算决算、政务服务办理情况等信息。不断优化完善</w:t>
      </w:r>
      <w:r>
        <w:rPr>
          <w:rStyle w:val="7"/>
          <w:rFonts w:hint="eastAsia" w:ascii="Times New Roman" w:hAnsi="Times New Roman" w:eastAsia="方正仿宋简体" w:cs="Times New Roman"/>
          <w:i w:val="0"/>
          <w:iCs w:val="0"/>
          <w:caps w:val="0"/>
          <w:color w:val="000000" w:themeColor="text1"/>
          <w:spacing w:val="0"/>
          <w:sz w:val="32"/>
          <w:szCs w:val="32"/>
          <w:lang w:eastAsia="zh-CN"/>
          <w14:textFill>
            <w14:solidFill>
              <w14:schemeClr w14:val="tx1"/>
            </w14:solidFill>
          </w14:textFill>
        </w:rPr>
        <w:t>高峪镇</w:t>
      </w:r>
      <w:r>
        <w:rPr>
          <w:rStyle w:val="7"/>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t>专栏，及时公开</w:t>
      </w:r>
      <w:r>
        <w:rPr>
          <w:rStyle w:val="7"/>
          <w:rFonts w:hint="eastAsia" w:ascii="Times New Roman" w:hAnsi="Times New Roman" w:eastAsia="方正仿宋简体" w:cs="Times New Roman"/>
          <w:i w:val="0"/>
          <w:iCs w:val="0"/>
          <w:caps w:val="0"/>
          <w:color w:val="000000" w:themeColor="text1"/>
          <w:spacing w:val="0"/>
          <w:sz w:val="32"/>
          <w:szCs w:val="32"/>
          <w:lang w:eastAsia="zh-CN"/>
          <w14:textFill>
            <w14:solidFill>
              <w14:schemeClr w14:val="tx1"/>
            </w14:solidFill>
          </w14:textFill>
        </w:rPr>
        <w:t>高峪镇</w:t>
      </w:r>
      <w:r>
        <w:rPr>
          <w:rStyle w:val="7"/>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t>政策文件和相关信息。扎实推动“互联网+政务服务”，不断提升人民群众的获得感，幸福感。</w:t>
      </w:r>
      <w:r>
        <w:rPr>
          <w:rStyle w:val="7"/>
          <w:rFonts w:hint="default" w:ascii="Times New Roman" w:hAnsi="Times New Roman" w:eastAsia="方正仿宋简体" w:cs="Times New Roman"/>
          <w:i w:val="0"/>
          <w:iCs w:val="0"/>
          <w:caps w:val="0"/>
          <w:color w:val="000000" w:themeColor="text1"/>
          <w:spacing w:val="0"/>
          <w:sz w:val="32"/>
          <w:szCs w:val="32"/>
          <w:lang w:val="en-US" w:eastAsia="zh-CN"/>
          <w14:textFill>
            <w14:solidFill>
              <w14:schemeClr w14:val="tx1"/>
            </w14:solidFill>
          </w14:textFill>
        </w:rPr>
        <w:t xml:space="preserve">    </w:t>
      </w:r>
    </w:p>
    <w:p w14:paraId="474C8C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rPr>
          <w:rFonts w:hint="default" w:ascii="Times New Roman" w:hAnsi="Times New Roman" w:eastAsia="微软雅黑" w:cs="Times New Roman"/>
          <w:i w:val="0"/>
          <w:iCs w:val="0"/>
          <w:caps w:val="0"/>
          <w:color w:val="000000" w:themeColor="text1"/>
          <w:spacing w:val="0"/>
          <w:sz w:val="32"/>
          <w:szCs w:val="32"/>
          <w:highlight w:val="none"/>
          <w14:textFill>
            <w14:solidFill>
              <w14:schemeClr w14:val="tx1"/>
            </w14:solidFill>
          </w14:textFill>
        </w:rPr>
      </w:pPr>
      <w:r>
        <w:rPr>
          <w:rStyle w:val="7"/>
          <w:rFonts w:hint="default" w:ascii="Times New Roman" w:hAnsi="Times New Roman" w:eastAsia="方正楷体简体" w:cs="Times New Roman"/>
          <w:i w:val="0"/>
          <w:iCs w:val="0"/>
          <w:caps w:val="0"/>
          <w:color w:val="000000" w:themeColor="text1"/>
          <w:spacing w:val="0"/>
          <w:sz w:val="32"/>
          <w:szCs w:val="32"/>
          <w:highlight w:val="none"/>
          <w14:textFill>
            <w14:solidFill>
              <w14:schemeClr w14:val="tx1"/>
            </w14:solidFill>
          </w14:textFill>
        </w:rPr>
        <w:t>（四）政府信息公开平台建设情况</w:t>
      </w:r>
    </w:p>
    <w:p w14:paraId="799792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rightChars="0" w:firstLine="643" w:firstLineChars="200"/>
        <w:jc w:val="both"/>
        <w:textAlignment w:val="auto"/>
        <w:rPr>
          <w:rStyle w:val="7"/>
          <w:rFonts w:hint="default" w:ascii="Times New Roman" w:hAnsi="Times New Roman" w:eastAsia="方正仿宋简体" w:cs="Times New Roman"/>
          <w:i w:val="0"/>
          <w:iCs w:val="0"/>
          <w:caps w:val="0"/>
          <w:color w:val="0000FF"/>
          <w:spacing w:val="0"/>
          <w:sz w:val="32"/>
          <w:szCs w:val="32"/>
        </w:rPr>
      </w:pPr>
      <w:r>
        <w:rPr>
          <w:rStyle w:val="7"/>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t>加强信息公开平台建设，提升公开质量，</w:t>
      </w:r>
      <w:r>
        <w:rPr>
          <w:rStyle w:val="7"/>
          <w:rFonts w:hint="eastAsia"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高峪镇</w:t>
      </w:r>
      <w:r>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扎实推进政府信息公开平台建设，依托</w:t>
      </w:r>
      <w:r>
        <w:rPr>
          <w:rStyle w:val="7"/>
          <w:rFonts w:hint="eastAsia"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w:t>
      </w:r>
      <w:r>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泗水县人民政府</w:t>
      </w:r>
      <w:r>
        <w:rPr>
          <w:rStyle w:val="7"/>
          <w:rFonts w:hint="eastAsia"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w:t>
      </w:r>
      <w:r>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门户网站作为我街道政府信息公开的主渠道，</w:t>
      </w:r>
      <w:r>
        <w:rPr>
          <w:rStyle w:val="7"/>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t>并安排专职信息员定时对平台信息报送和更新，确保政府工作动态的时效性</w:t>
      </w:r>
      <w:r>
        <w:rPr>
          <w:rStyle w:val="7"/>
          <w:rFonts w:hint="eastAsia" w:ascii="Times New Roman" w:hAnsi="Times New Roman" w:eastAsia="方正仿宋简体" w:cs="Times New Roman"/>
          <w:i w:val="0"/>
          <w:iCs w:val="0"/>
          <w:caps w:val="0"/>
          <w:color w:val="000000" w:themeColor="text1"/>
          <w:spacing w:val="0"/>
          <w:sz w:val="32"/>
          <w:szCs w:val="32"/>
          <w:lang w:eastAsia="zh-CN"/>
          <w14:textFill>
            <w14:solidFill>
              <w14:schemeClr w14:val="tx1"/>
            </w14:solidFill>
          </w14:textFill>
        </w:rPr>
        <w:t>，</w:t>
      </w:r>
      <w:r>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及时更新维护各栏目工作动态。</w:t>
      </w:r>
      <w:r>
        <w:rPr>
          <w:rStyle w:val="7"/>
          <w:rFonts w:hint="eastAsia"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此外，高峪镇</w:t>
      </w:r>
      <w:r>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充分利用宣传栏、条幅等形式，将政府信息公开、惠企惠民政策和办事服务等内容，向企业、居民宣传到位，为公众提供优质便捷的办事指引和多元化办事渠道。</w:t>
      </w:r>
    </w:p>
    <w:p w14:paraId="2F67AA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rPr>
          <w:rFonts w:hint="default" w:ascii="Times New Roman" w:hAnsi="Times New Roman" w:eastAsia="微软雅黑"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楷体简体" w:cs="Times New Roman"/>
          <w:b/>
          <w:bCs/>
          <w:i w:val="0"/>
          <w:iCs w:val="0"/>
          <w:caps w:val="0"/>
          <w:color w:val="000000" w:themeColor="text1"/>
          <w:spacing w:val="0"/>
          <w:sz w:val="32"/>
          <w:szCs w:val="32"/>
          <w:highlight w:val="none"/>
          <w14:textFill>
            <w14:solidFill>
              <w14:schemeClr w14:val="tx1"/>
            </w14:solidFill>
          </w14:textFill>
        </w:rPr>
        <w:t>（五）</w:t>
      </w:r>
      <w:r>
        <w:rPr>
          <w:rStyle w:val="7"/>
          <w:rFonts w:hint="default" w:ascii="Times New Roman" w:hAnsi="Times New Roman" w:eastAsia="方正楷体简体" w:cs="Times New Roman"/>
          <w:i w:val="0"/>
          <w:iCs w:val="0"/>
          <w:caps w:val="0"/>
          <w:color w:val="000000" w:themeColor="text1"/>
          <w:spacing w:val="0"/>
          <w:sz w:val="32"/>
          <w:szCs w:val="32"/>
          <w:highlight w:val="none"/>
          <w14:textFill>
            <w14:solidFill>
              <w14:schemeClr w14:val="tx1"/>
            </w14:solidFill>
          </w14:textFill>
        </w:rPr>
        <w:t>监督保障情况</w:t>
      </w:r>
    </w:p>
    <w:p w14:paraId="657AE7B0">
      <w:pPr>
        <w:ind w:firstLine="643" w:firstLineChars="200"/>
        <w:rPr>
          <w:rStyle w:val="7"/>
          <w:rFonts w:hint="default" w:ascii="Times New Roman" w:hAnsi="Times New Roman" w:eastAsia="方正仿宋简体" w:cs="Times New Roman"/>
          <w:i w:val="0"/>
          <w:iCs w:val="0"/>
          <w:caps w:val="0"/>
          <w:color w:val="000000" w:themeColor="text1"/>
          <w:spacing w:val="0"/>
          <w:kern w:val="0"/>
          <w:sz w:val="32"/>
          <w:szCs w:val="32"/>
          <w:lang w:val="en-US" w:eastAsia="zh-CN" w:bidi="ar"/>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kern w:val="0"/>
          <w:sz w:val="32"/>
          <w:szCs w:val="32"/>
          <w:lang w:val="en-US" w:eastAsia="zh-CN" w:bidi="ar"/>
          <w14:textFill>
            <w14:solidFill>
              <w14:schemeClr w14:val="tx1"/>
            </w14:solidFill>
          </w14:textFill>
        </w:rPr>
        <w:t>为畅通信息公开渠道，规范和加强举报投诉监督工作，高峪镇设置政府信息公开电话0537-4111016，保证工作时间正常接听并解答政务公开相关资讯，自觉接受广大人民群众的监督。2025年，我镇致力于将政府工作公开透明化，认真做好信息公开工作，尤其是在财政</w:t>
      </w:r>
      <w:bookmarkStart w:id="0" w:name="_GoBack"/>
      <w:bookmarkEnd w:id="0"/>
      <w:r>
        <w:rPr>
          <w:rStyle w:val="7"/>
          <w:rFonts w:hint="default" w:ascii="Times New Roman" w:hAnsi="Times New Roman" w:eastAsia="方正仿宋简体" w:cs="Times New Roman"/>
          <w:i w:val="0"/>
          <w:iCs w:val="0"/>
          <w:caps w:val="0"/>
          <w:color w:val="000000" w:themeColor="text1"/>
          <w:spacing w:val="0"/>
          <w:kern w:val="0"/>
          <w:sz w:val="32"/>
          <w:szCs w:val="32"/>
          <w:lang w:val="en-US" w:eastAsia="zh-CN" w:bidi="ar"/>
          <w14:textFill>
            <w14:solidFill>
              <w14:schemeClr w14:val="tx1"/>
            </w14:solidFill>
          </w14:textFill>
        </w:rPr>
        <w:t>收支方面及时做好公开工作，接受广大人民群众的监督。同时，加强对信息公开工作的监督检查，定期对信息公开情况进行通报和整改。202</w:t>
      </w:r>
      <w:r>
        <w:rPr>
          <w:rStyle w:val="7"/>
          <w:rFonts w:hint="eastAsia" w:ascii="Times New Roman" w:hAnsi="Times New Roman" w:eastAsia="方正仿宋简体" w:cs="Times New Roman"/>
          <w:i w:val="0"/>
          <w:iCs w:val="0"/>
          <w:caps w:val="0"/>
          <w:color w:val="000000" w:themeColor="text1"/>
          <w:spacing w:val="0"/>
          <w:kern w:val="0"/>
          <w:sz w:val="32"/>
          <w:szCs w:val="32"/>
          <w:lang w:val="en-US" w:eastAsia="zh-CN" w:bidi="ar"/>
          <w14:textFill>
            <w14:solidFill>
              <w14:schemeClr w14:val="tx1"/>
            </w14:solidFill>
          </w14:textFill>
        </w:rPr>
        <w:t>5</w:t>
      </w:r>
      <w:r>
        <w:rPr>
          <w:rStyle w:val="7"/>
          <w:rFonts w:hint="default" w:ascii="Times New Roman" w:hAnsi="Times New Roman" w:eastAsia="方正仿宋简体" w:cs="Times New Roman"/>
          <w:i w:val="0"/>
          <w:iCs w:val="0"/>
          <w:caps w:val="0"/>
          <w:color w:val="000000" w:themeColor="text1"/>
          <w:spacing w:val="0"/>
          <w:kern w:val="0"/>
          <w:sz w:val="32"/>
          <w:szCs w:val="32"/>
          <w:lang w:val="en-US" w:eastAsia="zh-CN" w:bidi="ar"/>
          <w14:textFill>
            <w14:solidFill>
              <w14:schemeClr w14:val="tx1"/>
            </w14:solidFill>
          </w14:textFill>
        </w:rPr>
        <w:t>年度无发现违反有关法律法规规定和造成不良影响或者严重后果的情况。</w:t>
      </w:r>
    </w:p>
    <w:p w14:paraId="41EB73FD">
      <w:pPr>
        <w:keepNext w:val="0"/>
        <w:keepLines w:val="0"/>
        <w:pageBreakBefore w:val="0"/>
        <w:numPr>
          <w:ilvl w:val="0"/>
          <w:numId w:val="1"/>
        </w:numPr>
        <w:kinsoku/>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主动公开政府信息情况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16D2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316279AE">
            <w:pPr>
              <w:widowControl/>
              <w:spacing w:line="340" w:lineRule="exact"/>
              <w:jc w:val="center"/>
              <w:rPr>
                <w:rFonts w:hint="default" w:ascii="Times New Roman" w:hAnsi="Times New Roman" w:eastAsia="方正黑体简体" w:cs="Times New Roman"/>
                <w:b/>
                <w:color w:val="000000" w:themeColor="text1"/>
                <w:sz w:val="24"/>
                <w:szCs w:val="24"/>
                <w14:textFill>
                  <w14:solidFill>
                    <w14:schemeClr w14:val="tx1"/>
                  </w14:solidFill>
                </w14:textFill>
              </w:rPr>
            </w:pPr>
            <w:r>
              <w:rPr>
                <w:rFonts w:hint="default" w:ascii="Times New Roman" w:hAnsi="Times New Roman" w:eastAsia="方正黑体简体" w:cs="Times New Roman"/>
                <w:b/>
                <w:color w:val="000000" w:themeColor="text1"/>
                <w:sz w:val="24"/>
                <w:szCs w:val="24"/>
                <w:lang w:bidi="ar"/>
                <w14:textFill>
                  <w14:solidFill>
                    <w14:schemeClr w14:val="tx1"/>
                  </w14:solidFill>
                </w14:textFill>
              </w:rPr>
              <w:t>第二十条第（一）项</w:t>
            </w:r>
          </w:p>
        </w:tc>
      </w:tr>
      <w:tr w14:paraId="5032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6D2E3FCC">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信息内容</w:t>
            </w:r>
          </w:p>
        </w:tc>
        <w:tc>
          <w:tcPr>
            <w:tcW w:w="2133" w:type="dxa"/>
            <w:shd w:val="clear" w:color="auto" w:fill="FFFFFF"/>
            <w:tcMar>
              <w:left w:w="57" w:type="dxa"/>
              <w:right w:w="57" w:type="dxa"/>
            </w:tcMar>
            <w:vAlign w:val="center"/>
          </w:tcPr>
          <w:p w14:paraId="13083738">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本年制发件数</w:t>
            </w:r>
          </w:p>
        </w:tc>
        <w:tc>
          <w:tcPr>
            <w:tcW w:w="2216" w:type="dxa"/>
            <w:shd w:val="clear" w:color="auto" w:fill="FFFFFF"/>
            <w:tcMar>
              <w:left w:w="57" w:type="dxa"/>
              <w:right w:w="57" w:type="dxa"/>
            </w:tcMar>
            <w:vAlign w:val="center"/>
          </w:tcPr>
          <w:p w14:paraId="4C73CDB1">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本年废止件数</w:t>
            </w:r>
          </w:p>
        </w:tc>
        <w:tc>
          <w:tcPr>
            <w:tcW w:w="1989" w:type="dxa"/>
            <w:shd w:val="clear" w:color="auto" w:fill="FFFFFF"/>
            <w:tcMar>
              <w:left w:w="57" w:type="dxa"/>
              <w:right w:w="57" w:type="dxa"/>
            </w:tcMar>
            <w:vAlign w:val="center"/>
          </w:tcPr>
          <w:p w14:paraId="44EAE13E">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现行有效件数</w:t>
            </w:r>
          </w:p>
        </w:tc>
      </w:tr>
      <w:tr w14:paraId="13BC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291BDA04">
            <w:pPr>
              <w:widowControl/>
              <w:spacing w:line="340" w:lineRule="exact"/>
              <w:jc w:val="left"/>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规章</w:t>
            </w:r>
          </w:p>
        </w:tc>
        <w:tc>
          <w:tcPr>
            <w:tcW w:w="2133" w:type="dxa"/>
            <w:shd w:val="clear" w:color="auto" w:fill="FFFFFF"/>
            <w:tcMar>
              <w:left w:w="57" w:type="dxa"/>
              <w:right w:w="57" w:type="dxa"/>
            </w:tcMar>
            <w:vAlign w:val="center"/>
          </w:tcPr>
          <w:p w14:paraId="4086699C">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c>
          <w:tcPr>
            <w:tcW w:w="2216" w:type="dxa"/>
            <w:shd w:val="clear" w:color="auto" w:fill="FFFFFF"/>
            <w:tcMar>
              <w:left w:w="57" w:type="dxa"/>
              <w:right w:w="57" w:type="dxa"/>
            </w:tcMar>
            <w:vAlign w:val="center"/>
          </w:tcPr>
          <w:p w14:paraId="1E806C0C">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c>
          <w:tcPr>
            <w:tcW w:w="1989" w:type="dxa"/>
            <w:shd w:val="clear" w:color="auto" w:fill="FFFFFF"/>
            <w:tcMar>
              <w:left w:w="57" w:type="dxa"/>
              <w:right w:w="57" w:type="dxa"/>
            </w:tcMar>
            <w:vAlign w:val="center"/>
          </w:tcPr>
          <w:p w14:paraId="1A20FF28">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14:paraId="5EF1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63EDB56C">
            <w:pPr>
              <w:widowControl/>
              <w:spacing w:line="340" w:lineRule="exact"/>
              <w:jc w:val="left"/>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行政规范性文件</w:t>
            </w:r>
          </w:p>
        </w:tc>
        <w:tc>
          <w:tcPr>
            <w:tcW w:w="2133" w:type="dxa"/>
            <w:shd w:val="clear" w:color="auto" w:fill="FFFFFF"/>
            <w:tcMar>
              <w:left w:w="57" w:type="dxa"/>
              <w:right w:w="57" w:type="dxa"/>
            </w:tcMar>
            <w:vAlign w:val="center"/>
          </w:tcPr>
          <w:p w14:paraId="6DED96A4">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c>
          <w:tcPr>
            <w:tcW w:w="2216" w:type="dxa"/>
            <w:shd w:val="clear" w:color="auto" w:fill="FFFFFF"/>
            <w:tcMar>
              <w:left w:w="57" w:type="dxa"/>
              <w:right w:w="57" w:type="dxa"/>
            </w:tcMar>
            <w:vAlign w:val="center"/>
          </w:tcPr>
          <w:p w14:paraId="16A4E05E">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c>
          <w:tcPr>
            <w:tcW w:w="1989" w:type="dxa"/>
            <w:shd w:val="clear" w:color="auto" w:fill="FFFFFF"/>
            <w:tcMar>
              <w:left w:w="57" w:type="dxa"/>
              <w:right w:w="57" w:type="dxa"/>
            </w:tcMar>
            <w:vAlign w:val="center"/>
          </w:tcPr>
          <w:p w14:paraId="006A359E">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14:paraId="5889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52BCFD33">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黑体简体" w:cs="Times New Roman"/>
                <w:b/>
                <w:color w:val="000000" w:themeColor="text1"/>
                <w:sz w:val="24"/>
                <w:szCs w:val="24"/>
                <w:lang w:bidi="ar"/>
                <w14:textFill>
                  <w14:solidFill>
                    <w14:schemeClr w14:val="tx1"/>
                  </w14:solidFill>
                </w14:textFill>
              </w:rPr>
              <w:t>第二十条第（五）项</w:t>
            </w:r>
          </w:p>
        </w:tc>
      </w:tr>
      <w:tr w14:paraId="745D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7EAE0E8C">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信息内容</w:t>
            </w:r>
          </w:p>
        </w:tc>
        <w:tc>
          <w:tcPr>
            <w:tcW w:w="6338" w:type="dxa"/>
            <w:gridSpan w:val="3"/>
            <w:shd w:val="clear" w:color="auto" w:fill="FFFFFF"/>
            <w:tcMar>
              <w:left w:w="57" w:type="dxa"/>
              <w:right w:w="57" w:type="dxa"/>
            </w:tcMar>
            <w:vAlign w:val="center"/>
          </w:tcPr>
          <w:p w14:paraId="080A677B">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本年处理决定数量</w:t>
            </w:r>
          </w:p>
        </w:tc>
      </w:tr>
      <w:tr w14:paraId="6A14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33E899A2">
            <w:pPr>
              <w:widowControl/>
              <w:spacing w:line="340" w:lineRule="exact"/>
              <w:jc w:val="left"/>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行政许可</w:t>
            </w:r>
          </w:p>
        </w:tc>
        <w:tc>
          <w:tcPr>
            <w:tcW w:w="6338" w:type="dxa"/>
            <w:gridSpan w:val="3"/>
            <w:shd w:val="clear" w:color="auto" w:fill="FFFFFF"/>
            <w:tcMar>
              <w:left w:w="57" w:type="dxa"/>
              <w:right w:w="57" w:type="dxa"/>
            </w:tcMar>
            <w:vAlign w:val="center"/>
          </w:tcPr>
          <w:p w14:paraId="4A66D94C">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14:paraId="6679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0C5AD96F">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黑体简体" w:cs="Times New Roman"/>
                <w:b/>
                <w:color w:val="000000" w:themeColor="text1"/>
                <w:sz w:val="24"/>
                <w:szCs w:val="24"/>
                <w:lang w:bidi="ar"/>
                <w14:textFill>
                  <w14:solidFill>
                    <w14:schemeClr w14:val="tx1"/>
                  </w14:solidFill>
                </w14:textFill>
              </w:rPr>
              <w:t>第二十条第（六）项</w:t>
            </w:r>
          </w:p>
        </w:tc>
      </w:tr>
      <w:tr w14:paraId="6A0A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5DF8A9EE">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信息内容</w:t>
            </w:r>
          </w:p>
        </w:tc>
        <w:tc>
          <w:tcPr>
            <w:tcW w:w="6338" w:type="dxa"/>
            <w:gridSpan w:val="3"/>
            <w:shd w:val="clear" w:color="auto" w:fill="FFFFFF"/>
            <w:tcMar>
              <w:left w:w="57" w:type="dxa"/>
              <w:right w:w="57" w:type="dxa"/>
            </w:tcMar>
            <w:vAlign w:val="center"/>
          </w:tcPr>
          <w:p w14:paraId="53F0F71F">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本年处理决定数量</w:t>
            </w:r>
          </w:p>
        </w:tc>
      </w:tr>
      <w:tr w14:paraId="4225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5D72DE92">
            <w:pPr>
              <w:widowControl/>
              <w:spacing w:line="340" w:lineRule="exact"/>
              <w:jc w:val="left"/>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行政处罚</w:t>
            </w:r>
          </w:p>
        </w:tc>
        <w:tc>
          <w:tcPr>
            <w:tcW w:w="6338" w:type="dxa"/>
            <w:gridSpan w:val="3"/>
            <w:shd w:val="clear" w:color="auto" w:fill="FFFFFF"/>
            <w:tcMar>
              <w:left w:w="57" w:type="dxa"/>
              <w:right w:w="57" w:type="dxa"/>
            </w:tcMar>
            <w:vAlign w:val="center"/>
          </w:tcPr>
          <w:p w14:paraId="2314C5BA">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14:paraId="376C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4DF495A6">
            <w:pPr>
              <w:widowControl/>
              <w:spacing w:line="340" w:lineRule="exact"/>
              <w:jc w:val="left"/>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行政强制</w:t>
            </w:r>
          </w:p>
        </w:tc>
        <w:tc>
          <w:tcPr>
            <w:tcW w:w="6338" w:type="dxa"/>
            <w:gridSpan w:val="3"/>
            <w:shd w:val="clear" w:color="auto" w:fill="FFFFFF"/>
            <w:tcMar>
              <w:left w:w="57" w:type="dxa"/>
              <w:right w:w="57" w:type="dxa"/>
            </w:tcMar>
            <w:vAlign w:val="center"/>
          </w:tcPr>
          <w:p w14:paraId="2D162B0C">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14:paraId="3145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00CCD86C">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黑体简体" w:cs="Times New Roman"/>
                <w:b/>
                <w:color w:val="000000" w:themeColor="text1"/>
                <w:sz w:val="24"/>
                <w:szCs w:val="24"/>
                <w:lang w:bidi="ar"/>
                <w14:textFill>
                  <w14:solidFill>
                    <w14:schemeClr w14:val="tx1"/>
                  </w14:solidFill>
                </w14:textFill>
              </w:rPr>
              <w:t>第二十条第（八）项</w:t>
            </w:r>
          </w:p>
        </w:tc>
      </w:tr>
      <w:tr w14:paraId="7846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48E105E9">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信息内容</w:t>
            </w:r>
          </w:p>
        </w:tc>
        <w:tc>
          <w:tcPr>
            <w:tcW w:w="6338" w:type="dxa"/>
            <w:gridSpan w:val="3"/>
            <w:shd w:val="clear" w:color="auto" w:fill="FFFFFF"/>
            <w:tcMar>
              <w:left w:w="57" w:type="dxa"/>
              <w:right w:w="57" w:type="dxa"/>
            </w:tcMar>
            <w:vAlign w:val="center"/>
          </w:tcPr>
          <w:p w14:paraId="7D33C192">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本年收费金额（单位：万元）</w:t>
            </w:r>
          </w:p>
        </w:tc>
      </w:tr>
      <w:tr w14:paraId="7E7F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57927FB0">
            <w:pPr>
              <w:widowControl/>
              <w:spacing w:line="340" w:lineRule="exact"/>
              <w:jc w:val="left"/>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行政事业性收费</w:t>
            </w:r>
          </w:p>
        </w:tc>
        <w:tc>
          <w:tcPr>
            <w:tcW w:w="6338" w:type="dxa"/>
            <w:gridSpan w:val="3"/>
            <w:shd w:val="clear" w:color="auto" w:fill="FFFFFF"/>
            <w:tcMar>
              <w:left w:w="57" w:type="dxa"/>
              <w:right w:w="57" w:type="dxa"/>
            </w:tcMar>
            <w:vAlign w:val="center"/>
          </w:tcPr>
          <w:p w14:paraId="012E2455">
            <w:pPr>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t>0</w:t>
            </w:r>
          </w:p>
        </w:tc>
      </w:tr>
    </w:tbl>
    <w:p w14:paraId="59C0AFCF">
      <w:pPr>
        <w:spacing w:before="62" w:beforeLines="10" w:after="62" w:afterLines="10" w:line="600" w:lineRule="exact"/>
        <w:ind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三、收到和处理政府信息公开申请情况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68"/>
        <w:gridCol w:w="725"/>
        <w:gridCol w:w="3558"/>
        <w:gridCol w:w="478"/>
        <w:gridCol w:w="599"/>
        <w:gridCol w:w="590"/>
        <w:gridCol w:w="598"/>
        <w:gridCol w:w="571"/>
        <w:gridCol w:w="559"/>
        <w:gridCol w:w="521"/>
      </w:tblGrid>
      <w:tr w14:paraId="43668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051" w:type="dxa"/>
            <w:gridSpan w:val="3"/>
            <w:vMerge w:val="restart"/>
            <w:tcBorders>
              <w:tl2br w:val="nil"/>
              <w:tr2bl w:val="nil"/>
            </w:tcBorders>
            <w:tcMar>
              <w:left w:w="108" w:type="dxa"/>
              <w:right w:w="108" w:type="dxa"/>
            </w:tcMar>
            <w:vAlign w:val="center"/>
          </w:tcPr>
          <w:p w14:paraId="429C9C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（本列数据的勾稽关系为：第一项加第二项之和，等于第三项加第四项之和）</w:t>
            </w:r>
          </w:p>
        </w:tc>
        <w:tc>
          <w:tcPr>
            <w:tcW w:w="3916" w:type="dxa"/>
            <w:gridSpan w:val="7"/>
            <w:tcBorders>
              <w:tl2br w:val="nil"/>
              <w:tr2bl w:val="nil"/>
            </w:tcBorders>
            <w:tcMar>
              <w:left w:w="57" w:type="dxa"/>
              <w:right w:w="57" w:type="dxa"/>
            </w:tcMar>
            <w:vAlign w:val="center"/>
          </w:tcPr>
          <w:p w14:paraId="18A437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申请人情况</w:t>
            </w:r>
          </w:p>
        </w:tc>
      </w:tr>
      <w:tr w14:paraId="0C7B8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051" w:type="dxa"/>
            <w:gridSpan w:val="3"/>
            <w:vMerge w:val="continue"/>
            <w:tcBorders>
              <w:tl2br w:val="nil"/>
              <w:tr2bl w:val="nil"/>
            </w:tcBorders>
            <w:tcMar>
              <w:left w:w="108" w:type="dxa"/>
              <w:right w:w="108" w:type="dxa"/>
            </w:tcMar>
            <w:vAlign w:val="center"/>
          </w:tcPr>
          <w:p w14:paraId="258A44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p>
        </w:tc>
        <w:tc>
          <w:tcPr>
            <w:tcW w:w="478" w:type="dxa"/>
            <w:vMerge w:val="restart"/>
            <w:tcBorders>
              <w:tl2br w:val="nil"/>
              <w:tr2bl w:val="nil"/>
            </w:tcBorders>
            <w:tcMar>
              <w:left w:w="57" w:type="dxa"/>
              <w:right w:w="57" w:type="dxa"/>
            </w:tcMar>
            <w:vAlign w:val="center"/>
          </w:tcPr>
          <w:p w14:paraId="6C824E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自然人</w:t>
            </w:r>
          </w:p>
        </w:tc>
        <w:tc>
          <w:tcPr>
            <w:tcW w:w="2917" w:type="dxa"/>
            <w:gridSpan w:val="5"/>
            <w:tcBorders>
              <w:tl2br w:val="nil"/>
              <w:tr2bl w:val="nil"/>
            </w:tcBorders>
            <w:tcMar>
              <w:left w:w="57" w:type="dxa"/>
              <w:right w:w="57" w:type="dxa"/>
            </w:tcMar>
            <w:vAlign w:val="center"/>
          </w:tcPr>
          <w:p w14:paraId="0F774A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法人或其他组织</w:t>
            </w:r>
          </w:p>
        </w:tc>
        <w:tc>
          <w:tcPr>
            <w:tcW w:w="521" w:type="dxa"/>
            <w:vMerge w:val="restart"/>
            <w:tcBorders>
              <w:tl2br w:val="nil"/>
              <w:tr2bl w:val="nil"/>
            </w:tcBorders>
            <w:tcMar>
              <w:left w:w="57" w:type="dxa"/>
              <w:right w:w="57" w:type="dxa"/>
            </w:tcMar>
            <w:vAlign w:val="center"/>
          </w:tcPr>
          <w:p w14:paraId="79B740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总计</w:t>
            </w:r>
          </w:p>
        </w:tc>
      </w:tr>
      <w:tr w14:paraId="607B6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051" w:type="dxa"/>
            <w:gridSpan w:val="3"/>
            <w:vMerge w:val="continue"/>
            <w:tcBorders>
              <w:tl2br w:val="nil"/>
              <w:tr2bl w:val="nil"/>
            </w:tcBorders>
            <w:tcMar>
              <w:left w:w="108" w:type="dxa"/>
              <w:right w:w="108" w:type="dxa"/>
            </w:tcMar>
            <w:vAlign w:val="center"/>
          </w:tcPr>
          <w:p w14:paraId="3F03044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c>
          <w:tcPr>
            <w:tcW w:w="478" w:type="dxa"/>
            <w:vMerge w:val="continue"/>
            <w:tcBorders>
              <w:tl2br w:val="nil"/>
              <w:tr2bl w:val="nil"/>
            </w:tcBorders>
            <w:tcMar>
              <w:left w:w="57" w:type="dxa"/>
              <w:right w:w="57" w:type="dxa"/>
            </w:tcMar>
            <w:vAlign w:val="center"/>
          </w:tcPr>
          <w:p w14:paraId="05C215C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c>
          <w:tcPr>
            <w:tcW w:w="599" w:type="dxa"/>
            <w:tcBorders>
              <w:tl2br w:val="nil"/>
              <w:tr2bl w:val="nil"/>
            </w:tcBorders>
            <w:tcMar>
              <w:left w:w="57" w:type="dxa"/>
              <w:right w:w="57" w:type="dxa"/>
            </w:tcMar>
            <w:vAlign w:val="center"/>
          </w:tcPr>
          <w:p w14:paraId="75C8AE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商业</w:t>
            </w:r>
          </w:p>
          <w:p w14:paraId="23D24A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企业</w:t>
            </w:r>
          </w:p>
        </w:tc>
        <w:tc>
          <w:tcPr>
            <w:tcW w:w="590" w:type="dxa"/>
            <w:tcBorders>
              <w:tl2br w:val="nil"/>
              <w:tr2bl w:val="nil"/>
            </w:tcBorders>
            <w:tcMar>
              <w:left w:w="57" w:type="dxa"/>
              <w:right w:w="57" w:type="dxa"/>
            </w:tcMar>
            <w:vAlign w:val="center"/>
          </w:tcPr>
          <w:p w14:paraId="525B96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科研</w:t>
            </w:r>
          </w:p>
          <w:p w14:paraId="59AF84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机构</w:t>
            </w:r>
          </w:p>
        </w:tc>
        <w:tc>
          <w:tcPr>
            <w:tcW w:w="598" w:type="dxa"/>
            <w:tcBorders>
              <w:tl2br w:val="nil"/>
              <w:tr2bl w:val="nil"/>
            </w:tcBorders>
            <w:tcMar>
              <w:left w:w="57" w:type="dxa"/>
              <w:right w:w="57" w:type="dxa"/>
            </w:tcMar>
            <w:vAlign w:val="center"/>
          </w:tcPr>
          <w:p w14:paraId="49E4BB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社会公益组织</w:t>
            </w:r>
          </w:p>
        </w:tc>
        <w:tc>
          <w:tcPr>
            <w:tcW w:w="571" w:type="dxa"/>
            <w:tcBorders>
              <w:tl2br w:val="nil"/>
              <w:tr2bl w:val="nil"/>
            </w:tcBorders>
            <w:tcMar>
              <w:left w:w="57" w:type="dxa"/>
              <w:right w:w="57" w:type="dxa"/>
            </w:tcMar>
            <w:vAlign w:val="center"/>
          </w:tcPr>
          <w:p w14:paraId="5180E6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法律服务机构</w:t>
            </w:r>
          </w:p>
        </w:tc>
        <w:tc>
          <w:tcPr>
            <w:tcW w:w="559" w:type="dxa"/>
            <w:tcBorders>
              <w:tl2br w:val="nil"/>
              <w:tr2bl w:val="nil"/>
            </w:tcBorders>
            <w:tcMar>
              <w:left w:w="57" w:type="dxa"/>
              <w:right w:w="57" w:type="dxa"/>
            </w:tcMar>
            <w:vAlign w:val="center"/>
          </w:tcPr>
          <w:p w14:paraId="1DB984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其他</w:t>
            </w:r>
          </w:p>
        </w:tc>
        <w:tc>
          <w:tcPr>
            <w:tcW w:w="521" w:type="dxa"/>
            <w:vMerge w:val="continue"/>
            <w:tcBorders>
              <w:tl2br w:val="nil"/>
              <w:tr2bl w:val="nil"/>
            </w:tcBorders>
            <w:tcMar>
              <w:left w:w="57" w:type="dxa"/>
              <w:right w:w="57" w:type="dxa"/>
            </w:tcMar>
            <w:vAlign w:val="center"/>
          </w:tcPr>
          <w:p w14:paraId="1768C82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r>
      <w:tr w14:paraId="30A15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5051" w:type="dxa"/>
            <w:gridSpan w:val="3"/>
            <w:tcBorders>
              <w:tl2br w:val="nil"/>
              <w:tr2bl w:val="nil"/>
            </w:tcBorders>
            <w:tcMar>
              <w:left w:w="57" w:type="dxa"/>
              <w:right w:w="57" w:type="dxa"/>
            </w:tcMar>
            <w:vAlign w:val="center"/>
          </w:tcPr>
          <w:p w14:paraId="7B0E394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一、本年新收政府信息公开申请数量</w:t>
            </w:r>
          </w:p>
        </w:tc>
        <w:tc>
          <w:tcPr>
            <w:tcW w:w="478" w:type="dxa"/>
            <w:tcBorders>
              <w:tl2br w:val="nil"/>
              <w:tr2bl w:val="nil"/>
            </w:tcBorders>
            <w:tcMar>
              <w:left w:w="57" w:type="dxa"/>
              <w:right w:w="57" w:type="dxa"/>
            </w:tcMar>
            <w:vAlign w:val="center"/>
          </w:tcPr>
          <w:p w14:paraId="2EE9CE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1</w:t>
            </w:r>
          </w:p>
        </w:tc>
        <w:tc>
          <w:tcPr>
            <w:tcW w:w="599" w:type="dxa"/>
            <w:tcBorders>
              <w:tl2br w:val="nil"/>
              <w:tr2bl w:val="nil"/>
            </w:tcBorders>
            <w:tcMar>
              <w:left w:w="57" w:type="dxa"/>
              <w:right w:w="57" w:type="dxa"/>
            </w:tcMar>
            <w:vAlign w:val="center"/>
          </w:tcPr>
          <w:p w14:paraId="5A968A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7C4A6E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3F1DF6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1E251B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094231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0F373C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1</w:t>
            </w:r>
          </w:p>
        </w:tc>
      </w:tr>
      <w:tr w14:paraId="15E3E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051" w:type="dxa"/>
            <w:gridSpan w:val="3"/>
            <w:tcBorders>
              <w:tl2br w:val="nil"/>
              <w:tr2bl w:val="nil"/>
            </w:tcBorders>
            <w:tcMar>
              <w:left w:w="57" w:type="dxa"/>
              <w:right w:w="57" w:type="dxa"/>
            </w:tcMar>
            <w:vAlign w:val="center"/>
          </w:tcPr>
          <w:p w14:paraId="417B87A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二、上年结转政府信息公开申请数量</w:t>
            </w:r>
          </w:p>
        </w:tc>
        <w:tc>
          <w:tcPr>
            <w:tcW w:w="478" w:type="dxa"/>
            <w:tcBorders>
              <w:tl2br w:val="nil"/>
              <w:tr2bl w:val="nil"/>
            </w:tcBorders>
            <w:tcMar>
              <w:left w:w="57" w:type="dxa"/>
              <w:right w:w="57" w:type="dxa"/>
            </w:tcMar>
            <w:vAlign w:val="center"/>
          </w:tcPr>
          <w:p w14:paraId="745BC1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581DBA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490D1A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4AB56A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2EAC62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796CC1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7CA577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31E9D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Borders>
              <w:tl2br w:val="nil"/>
              <w:tr2bl w:val="nil"/>
            </w:tcBorders>
            <w:tcMar>
              <w:left w:w="57" w:type="dxa"/>
              <w:right w:w="57" w:type="dxa"/>
            </w:tcMar>
            <w:vAlign w:val="center"/>
          </w:tcPr>
          <w:p w14:paraId="081371A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三、本年度办理结果</w:t>
            </w:r>
          </w:p>
        </w:tc>
        <w:tc>
          <w:tcPr>
            <w:tcW w:w="4283" w:type="dxa"/>
            <w:gridSpan w:val="2"/>
            <w:tcBorders>
              <w:tl2br w:val="nil"/>
              <w:tr2bl w:val="nil"/>
            </w:tcBorders>
            <w:tcMar>
              <w:left w:w="57" w:type="dxa"/>
              <w:right w:w="57" w:type="dxa"/>
            </w:tcMar>
            <w:vAlign w:val="center"/>
          </w:tcPr>
          <w:p w14:paraId="29A00FE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（一）予以公开</w:t>
            </w:r>
          </w:p>
        </w:tc>
        <w:tc>
          <w:tcPr>
            <w:tcW w:w="478" w:type="dxa"/>
            <w:tcBorders>
              <w:tl2br w:val="nil"/>
              <w:tr2bl w:val="nil"/>
            </w:tcBorders>
            <w:tcMar>
              <w:left w:w="57" w:type="dxa"/>
              <w:right w:w="57" w:type="dxa"/>
            </w:tcMar>
            <w:vAlign w:val="center"/>
          </w:tcPr>
          <w:p w14:paraId="476C1C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1</w:t>
            </w:r>
          </w:p>
        </w:tc>
        <w:tc>
          <w:tcPr>
            <w:tcW w:w="599" w:type="dxa"/>
            <w:tcBorders>
              <w:tl2br w:val="nil"/>
              <w:tr2bl w:val="nil"/>
            </w:tcBorders>
            <w:tcMar>
              <w:left w:w="57" w:type="dxa"/>
              <w:right w:w="57" w:type="dxa"/>
            </w:tcMar>
            <w:vAlign w:val="center"/>
          </w:tcPr>
          <w:p w14:paraId="6DF17E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291BA9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76CE88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327094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6B64D2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4BF49A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1</w:t>
            </w:r>
          </w:p>
        </w:tc>
      </w:tr>
      <w:tr w14:paraId="615EB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68" w:type="dxa"/>
            <w:vMerge w:val="continue"/>
            <w:tcBorders>
              <w:tl2br w:val="nil"/>
              <w:tr2bl w:val="nil"/>
            </w:tcBorders>
            <w:tcMar>
              <w:left w:w="57" w:type="dxa"/>
              <w:right w:w="57" w:type="dxa"/>
            </w:tcMar>
            <w:vAlign w:val="center"/>
          </w:tcPr>
          <w:p w14:paraId="78A7AFA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4283" w:type="dxa"/>
            <w:gridSpan w:val="2"/>
            <w:tcBorders>
              <w:tl2br w:val="nil"/>
              <w:tr2bl w:val="nil"/>
            </w:tcBorders>
            <w:tcMar>
              <w:left w:w="57" w:type="dxa"/>
              <w:right w:w="57" w:type="dxa"/>
            </w:tcMar>
            <w:vAlign w:val="center"/>
          </w:tcPr>
          <w:p w14:paraId="056D6E8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（二）部分公开（区分处理的，只计这一情形，不计其他情形）</w:t>
            </w:r>
          </w:p>
        </w:tc>
        <w:tc>
          <w:tcPr>
            <w:tcW w:w="478" w:type="dxa"/>
            <w:tcBorders>
              <w:tl2br w:val="nil"/>
              <w:tr2bl w:val="nil"/>
            </w:tcBorders>
            <w:tcMar>
              <w:left w:w="57" w:type="dxa"/>
              <w:right w:w="57" w:type="dxa"/>
            </w:tcMar>
            <w:vAlign w:val="center"/>
          </w:tcPr>
          <w:p w14:paraId="7BD5C9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2F5752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560717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588063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6346F5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1C3D0A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24D8CB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01AD3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62FB294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14:paraId="5A15ED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（三）不予公开</w:t>
            </w:r>
          </w:p>
        </w:tc>
        <w:tc>
          <w:tcPr>
            <w:tcW w:w="3558" w:type="dxa"/>
            <w:tcBorders>
              <w:tl2br w:val="nil"/>
              <w:tr2bl w:val="nil"/>
            </w:tcBorders>
            <w:tcMar>
              <w:left w:w="57" w:type="dxa"/>
              <w:right w:w="57" w:type="dxa"/>
            </w:tcMar>
            <w:vAlign w:val="center"/>
          </w:tcPr>
          <w:p w14:paraId="5C246FD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1.属于国家秘密</w:t>
            </w:r>
          </w:p>
        </w:tc>
        <w:tc>
          <w:tcPr>
            <w:tcW w:w="478" w:type="dxa"/>
            <w:tcBorders>
              <w:tl2br w:val="nil"/>
              <w:tr2bl w:val="nil"/>
            </w:tcBorders>
            <w:tcMar>
              <w:left w:w="57" w:type="dxa"/>
              <w:right w:w="57" w:type="dxa"/>
            </w:tcMar>
            <w:vAlign w:val="center"/>
          </w:tcPr>
          <w:p w14:paraId="2F1794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2C6E24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10AB57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47B911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2B9A6D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012FE8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343F52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6D693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776AF16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7153D0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60DBFE2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2.其他法律行政法规禁止公开</w:t>
            </w:r>
          </w:p>
        </w:tc>
        <w:tc>
          <w:tcPr>
            <w:tcW w:w="478" w:type="dxa"/>
            <w:tcBorders>
              <w:tl2br w:val="nil"/>
              <w:tr2bl w:val="nil"/>
            </w:tcBorders>
            <w:tcMar>
              <w:left w:w="57" w:type="dxa"/>
              <w:right w:w="57" w:type="dxa"/>
            </w:tcMar>
            <w:vAlign w:val="center"/>
          </w:tcPr>
          <w:p w14:paraId="71145E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0F4BB0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132DC5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3F87CC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6EB453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0A300C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2514C5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3DA41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27C60C7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F9B36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0FC2BEE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3.危及“三安全一稳定”</w:t>
            </w:r>
          </w:p>
        </w:tc>
        <w:tc>
          <w:tcPr>
            <w:tcW w:w="478" w:type="dxa"/>
            <w:tcBorders>
              <w:tl2br w:val="nil"/>
              <w:tr2bl w:val="nil"/>
            </w:tcBorders>
            <w:tcMar>
              <w:left w:w="57" w:type="dxa"/>
              <w:right w:w="57" w:type="dxa"/>
            </w:tcMar>
            <w:vAlign w:val="center"/>
          </w:tcPr>
          <w:p w14:paraId="58D8A3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438890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4F1052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4796BC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478250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6BF8E8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08C6C7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5DF1D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7906BC4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0423AE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6514A6C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4.保护第三方合法权益</w:t>
            </w:r>
          </w:p>
        </w:tc>
        <w:tc>
          <w:tcPr>
            <w:tcW w:w="478" w:type="dxa"/>
            <w:tcBorders>
              <w:tl2br w:val="nil"/>
              <w:tr2bl w:val="nil"/>
            </w:tcBorders>
            <w:tcMar>
              <w:left w:w="57" w:type="dxa"/>
              <w:right w:w="57" w:type="dxa"/>
            </w:tcMar>
            <w:vAlign w:val="center"/>
          </w:tcPr>
          <w:p w14:paraId="3C5F80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42216E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48CEC3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47497F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631CDE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3E64F4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1EB8A2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489B5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00109AB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2F00CC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4771333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5.属于三类内部事务信息</w:t>
            </w:r>
          </w:p>
        </w:tc>
        <w:tc>
          <w:tcPr>
            <w:tcW w:w="478" w:type="dxa"/>
            <w:tcBorders>
              <w:tl2br w:val="nil"/>
              <w:tr2bl w:val="nil"/>
            </w:tcBorders>
            <w:tcMar>
              <w:left w:w="57" w:type="dxa"/>
              <w:right w:w="57" w:type="dxa"/>
            </w:tcMar>
            <w:vAlign w:val="center"/>
          </w:tcPr>
          <w:p w14:paraId="12AEDB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649182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2B2E78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0CDD16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35B56B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1D22D0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0B2563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12275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784AB02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71B3A6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2721B0C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6.属于四类过程性信息</w:t>
            </w:r>
          </w:p>
        </w:tc>
        <w:tc>
          <w:tcPr>
            <w:tcW w:w="478" w:type="dxa"/>
            <w:tcBorders>
              <w:tl2br w:val="nil"/>
              <w:tr2bl w:val="nil"/>
            </w:tcBorders>
            <w:tcMar>
              <w:left w:w="57" w:type="dxa"/>
              <w:right w:w="57" w:type="dxa"/>
            </w:tcMar>
            <w:vAlign w:val="center"/>
          </w:tcPr>
          <w:p w14:paraId="5B8EF4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34B633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5828C3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487F99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573445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7EB600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62DF37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0F219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48E70FB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01F8A7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765CB82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7.属于行政执法案卷</w:t>
            </w:r>
          </w:p>
        </w:tc>
        <w:tc>
          <w:tcPr>
            <w:tcW w:w="478" w:type="dxa"/>
            <w:tcBorders>
              <w:tl2br w:val="nil"/>
              <w:tr2bl w:val="nil"/>
            </w:tcBorders>
            <w:tcMar>
              <w:left w:w="57" w:type="dxa"/>
              <w:right w:w="57" w:type="dxa"/>
            </w:tcMar>
            <w:vAlign w:val="center"/>
          </w:tcPr>
          <w:p w14:paraId="7F0F12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4B2249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1156A5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2DC758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1547CA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6B9F16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4C8D4C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3B19B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2CFF07E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7DFCC8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5862F19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8.属于行政查询事项</w:t>
            </w:r>
          </w:p>
        </w:tc>
        <w:tc>
          <w:tcPr>
            <w:tcW w:w="478" w:type="dxa"/>
            <w:tcBorders>
              <w:tl2br w:val="nil"/>
              <w:tr2bl w:val="nil"/>
            </w:tcBorders>
            <w:tcMar>
              <w:left w:w="57" w:type="dxa"/>
              <w:right w:w="57" w:type="dxa"/>
            </w:tcMar>
            <w:vAlign w:val="center"/>
          </w:tcPr>
          <w:p w14:paraId="7BCD96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5459B5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3978A3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17B43C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0D7510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44E957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4A978A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39D38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010C044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14:paraId="3C5176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（四）无法提供</w:t>
            </w:r>
          </w:p>
        </w:tc>
        <w:tc>
          <w:tcPr>
            <w:tcW w:w="3558" w:type="dxa"/>
            <w:tcBorders>
              <w:tl2br w:val="nil"/>
              <w:tr2bl w:val="nil"/>
            </w:tcBorders>
            <w:tcMar>
              <w:left w:w="57" w:type="dxa"/>
              <w:right w:w="57" w:type="dxa"/>
            </w:tcMar>
            <w:vAlign w:val="center"/>
          </w:tcPr>
          <w:p w14:paraId="69916D2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1.本机关不掌握相关政府信息</w:t>
            </w:r>
          </w:p>
        </w:tc>
        <w:tc>
          <w:tcPr>
            <w:tcW w:w="478" w:type="dxa"/>
            <w:tcBorders>
              <w:tl2br w:val="nil"/>
              <w:tr2bl w:val="nil"/>
            </w:tcBorders>
            <w:tcMar>
              <w:left w:w="57" w:type="dxa"/>
              <w:right w:w="57" w:type="dxa"/>
            </w:tcMar>
            <w:vAlign w:val="center"/>
          </w:tcPr>
          <w:p w14:paraId="251AD0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4F0491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44ED62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22B1B2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4F8613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4A9FBE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0A93FB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3095D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0ABD5A6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25045B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0936731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2.没有现成信息需要另行制作</w:t>
            </w:r>
          </w:p>
        </w:tc>
        <w:tc>
          <w:tcPr>
            <w:tcW w:w="478" w:type="dxa"/>
            <w:tcBorders>
              <w:tl2br w:val="nil"/>
              <w:tr2bl w:val="nil"/>
            </w:tcBorders>
            <w:tcMar>
              <w:left w:w="57" w:type="dxa"/>
              <w:right w:w="57" w:type="dxa"/>
            </w:tcMar>
            <w:vAlign w:val="center"/>
          </w:tcPr>
          <w:p w14:paraId="0FD934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52056F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537264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2BEE0E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753037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1E38D2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59D8BD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04C15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0A035C9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2029C2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767E031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3.补正后申请内容仍不明确</w:t>
            </w:r>
          </w:p>
        </w:tc>
        <w:tc>
          <w:tcPr>
            <w:tcW w:w="478" w:type="dxa"/>
            <w:tcBorders>
              <w:tl2br w:val="nil"/>
              <w:tr2bl w:val="nil"/>
            </w:tcBorders>
            <w:tcMar>
              <w:left w:w="57" w:type="dxa"/>
              <w:right w:w="57" w:type="dxa"/>
            </w:tcMar>
            <w:vAlign w:val="center"/>
          </w:tcPr>
          <w:p w14:paraId="60C74B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66FC10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406EF8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4142DC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2352B4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6B6577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6F8C73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7B850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2B2478C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14:paraId="158E20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（五）不予处理</w:t>
            </w:r>
          </w:p>
        </w:tc>
        <w:tc>
          <w:tcPr>
            <w:tcW w:w="3558" w:type="dxa"/>
            <w:tcBorders>
              <w:tl2br w:val="nil"/>
              <w:tr2bl w:val="nil"/>
            </w:tcBorders>
            <w:tcMar>
              <w:left w:w="57" w:type="dxa"/>
              <w:right w:w="57" w:type="dxa"/>
            </w:tcMar>
            <w:vAlign w:val="center"/>
          </w:tcPr>
          <w:p w14:paraId="165D0A3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1.信访举报投诉类申请</w:t>
            </w:r>
          </w:p>
        </w:tc>
        <w:tc>
          <w:tcPr>
            <w:tcW w:w="478" w:type="dxa"/>
            <w:tcBorders>
              <w:tl2br w:val="nil"/>
              <w:tr2bl w:val="nil"/>
            </w:tcBorders>
            <w:tcMar>
              <w:left w:w="57" w:type="dxa"/>
              <w:right w:w="57" w:type="dxa"/>
            </w:tcMar>
            <w:vAlign w:val="center"/>
          </w:tcPr>
          <w:p w14:paraId="4BEE24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7A99BF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375BA5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1F1DD6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36DD3E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65CDEF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35A0C8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13C70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6861825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5C9852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77A991F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2.重复申请</w:t>
            </w:r>
          </w:p>
        </w:tc>
        <w:tc>
          <w:tcPr>
            <w:tcW w:w="478" w:type="dxa"/>
            <w:tcBorders>
              <w:tl2br w:val="nil"/>
              <w:tr2bl w:val="nil"/>
            </w:tcBorders>
            <w:tcMar>
              <w:left w:w="57" w:type="dxa"/>
              <w:right w:w="57" w:type="dxa"/>
            </w:tcMar>
            <w:vAlign w:val="center"/>
          </w:tcPr>
          <w:p w14:paraId="65121E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2BCF23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321C74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372C1A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010A7B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57CAE7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675C1C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79D74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20B144C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A2125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6454D3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3.要求提供公开出版物</w:t>
            </w:r>
          </w:p>
        </w:tc>
        <w:tc>
          <w:tcPr>
            <w:tcW w:w="478" w:type="dxa"/>
            <w:tcBorders>
              <w:tl2br w:val="nil"/>
              <w:tr2bl w:val="nil"/>
            </w:tcBorders>
            <w:tcMar>
              <w:left w:w="57" w:type="dxa"/>
              <w:right w:w="57" w:type="dxa"/>
            </w:tcMar>
            <w:vAlign w:val="center"/>
          </w:tcPr>
          <w:p w14:paraId="19A5F8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1DB7F1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2FA4B2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26DE4F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49AB0F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2BDFBC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1FA460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68B8F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78F55F0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042F2E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1BF80F9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4.无正当理由大量反复申请</w:t>
            </w:r>
          </w:p>
        </w:tc>
        <w:tc>
          <w:tcPr>
            <w:tcW w:w="478" w:type="dxa"/>
            <w:tcBorders>
              <w:tl2br w:val="nil"/>
              <w:tr2bl w:val="nil"/>
            </w:tcBorders>
            <w:tcMar>
              <w:left w:w="57" w:type="dxa"/>
              <w:right w:w="57" w:type="dxa"/>
            </w:tcMar>
            <w:vAlign w:val="center"/>
          </w:tcPr>
          <w:p w14:paraId="183FDE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267E30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547A6E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4B787C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3AC781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2F279A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1FFA03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7F4A2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0DA11C7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22EDE8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1239D59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5.要求行政机关确认或重新出具已获取信息</w:t>
            </w:r>
          </w:p>
        </w:tc>
        <w:tc>
          <w:tcPr>
            <w:tcW w:w="478" w:type="dxa"/>
            <w:tcBorders>
              <w:tl2br w:val="nil"/>
              <w:tr2bl w:val="nil"/>
            </w:tcBorders>
            <w:tcMar>
              <w:left w:w="57" w:type="dxa"/>
              <w:right w:w="57" w:type="dxa"/>
            </w:tcMar>
            <w:vAlign w:val="center"/>
          </w:tcPr>
          <w:p w14:paraId="6E93C5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625EC2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394DA6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71489E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777548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0E29C7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0EFDF3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0773C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3B42D27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14:paraId="5E702A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（六）其他处理</w:t>
            </w:r>
          </w:p>
        </w:tc>
        <w:tc>
          <w:tcPr>
            <w:tcW w:w="3558" w:type="dxa"/>
            <w:tcBorders>
              <w:tl2br w:val="nil"/>
              <w:tr2bl w:val="nil"/>
            </w:tcBorders>
            <w:tcMar>
              <w:left w:w="57" w:type="dxa"/>
              <w:right w:w="57" w:type="dxa"/>
            </w:tcMar>
            <w:vAlign w:val="center"/>
          </w:tcPr>
          <w:p w14:paraId="02EF9A1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1.申请人无正当理由逾期不补正、行政机关不再处理其政府信息公开申请</w:t>
            </w:r>
          </w:p>
        </w:tc>
        <w:tc>
          <w:tcPr>
            <w:tcW w:w="478" w:type="dxa"/>
            <w:tcBorders>
              <w:tl2br w:val="nil"/>
              <w:tr2bl w:val="nil"/>
            </w:tcBorders>
            <w:tcMar>
              <w:left w:w="57" w:type="dxa"/>
              <w:right w:w="57" w:type="dxa"/>
            </w:tcMar>
            <w:vAlign w:val="center"/>
          </w:tcPr>
          <w:p w14:paraId="079C0F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6A09A2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1ECA93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71CE80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424F64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0AC133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351937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3206E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581A871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A22A83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6525EDF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478" w:type="dxa"/>
            <w:tcBorders>
              <w:tl2br w:val="nil"/>
              <w:tr2bl w:val="nil"/>
            </w:tcBorders>
            <w:tcMar>
              <w:left w:w="57" w:type="dxa"/>
              <w:right w:w="57" w:type="dxa"/>
            </w:tcMar>
            <w:vAlign w:val="center"/>
          </w:tcPr>
          <w:p w14:paraId="7D5148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34DADF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16DF49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1933B1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22E736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0D7216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1A5A5D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00FED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2577BAF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76FD2E3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76CFCD3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3.其他</w:t>
            </w:r>
          </w:p>
        </w:tc>
        <w:tc>
          <w:tcPr>
            <w:tcW w:w="478" w:type="dxa"/>
            <w:tcBorders>
              <w:tl2br w:val="nil"/>
              <w:tr2bl w:val="nil"/>
            </w:tcBorders>
            <w:tcMar>
              <w:left w:w="57" w:type="dxa"/>
              <w:right w:w="57" w:type="dxa"/>
            </w:tcMar>
            <w:vAlign w:val="center"/>
          </w:tcPr>
          <w:p w14:paraId="3DF8F4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2BA607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2E8212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5F6844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69F889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1A194A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1682AA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158E8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077A5BB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4283" w:type="dxa"/>
            <w:gridSpan w:val="2"/>
            <w:tcBorders>
              <w:tl2br w:val="nil"/>
              <w:tr2bl w:val="nil"/>
            </w:tcBorders>
            <w:tcMar>
              <w:left w:w="57" w:type="dxa"/>
              <w:right w:w="57" w:type="dxa"/>
            </w:tcMar>
            <w:vAlign w:val="center"/>
          </w:tcPr>
          <w:p w14:paraId="2D7C211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（七）总计</w:t>
            </w:r>
          </w:p>
        </w:tc>
        <w:tc>
          <w:tcPr>
            <w:tcW w:w="478" w:type="dxa"/>
            <w:tcBorders>
              <w:tl2br w:val="nil"/>
              <w:tr2bl w:val="nil"/>
            </w:tcBorders>
            <w:tcMar>
              <w:left w:w="57" w:type="dxa"/>
              <w:right w:w="57" w:type="dxa"/>
            </w:tcMar>
            <w:vAlign w:val="center"/>
          </w:tcPr>
          <w:p w14:paraId="18E077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1</w:t>
            </w:r>
          </w:p>
        </w:tc>
        <w:tc>
          <w:tcPr>
            <w:tcW w:w="599" w:type="dxa"/>
            <w:tcBorders>
              <w:tl2br w:val="nil"/>
              <w:tr2bl w:val="nil"/>
            </w:tcBorders>
            <w:tcMar>
              <w:left w:w="57" w:type="dxa"/>
              <w:right w:w="57" w:type="dxa"/>
            </w:tcMar>
            <w:vAlign w:val="center"/>
          </w:tcPr>
          <w:p w14:paraId="0D01F5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164F73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7D048D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01659D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5FD735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2E5A7A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1</w:t>
            </w:r>
          </w:p>
        </w:tc>
      </w:tr>
      <w:tr w14:paraId="3CDB9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51" w:type="dxa"/>
            <w:gridSpan w:val="3"/>
            <w:tcBorders>
              <w:tl2br w:val="nil"/>
              <w:tr2bl w:val="nil"/>
            </w:tcBorders>
            <w:tcMar>
              <w:left w:w="57" w:type="dxa"/>
              <w:right w:w="57" w:type="dxa"/>
            </w:tcMar>
            <w:vAlign w:val="center"/>
          </w:tcPr>
          <w:p w14:paraId="55C478B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四、结转下年度继续办理</w:t>
            </w:r>
          </w:p>
        </w:tc>
        <w:tc>
          <w:tcPr>
            <w:tcW w:w="478" w:type="dxa"/>
            <w:tcBorders>
              <w:tl2br w:val="nil"/>
              <w:tr2bl w:val="nil"/>
            </w:tcBorders>
            <w:tcMar>
              <w:left w:w="57" w:type="dxa"/>
              <w:right w:w="57" w:type="dxa"/>
            </w:tcMar>
            <w:vAlign w:val="center"/>
          </w:tcPr>
          <w:p w14:paraId="35DAAB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5F9713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12E96B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6977B6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452B97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40DA41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50B9F3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bl>
    <w:p w14:paraId="5716DD9D">
      <w:pPr>
        <w:spacing w:line="590" w:lineRule="exact"/>
        <w:ind w:right="-105"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p>
    <w:p w14:paraId="1ECCEB7C">
      <w:pPr>
        <w:spacing w:line="590" w:lineRule="exact"/>
        <w:ind w:right="-105"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四、政府信息公开行政复议、行政诉讼情况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623EE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88" w:type="dxa"/>
            <w:gridSpan w:val="5"/>
            <w:tcBorders>
              <w:tl2br w:val="nil"/>
              <w:tr2bl w:val="nil"/>
            </w:tcBorders>
            <w:tcMar>
              <w:left w:w="108" w:type="dxa"/>
              <w:right w:w="108" w:type="dxa"/>
            </w:tcMar>
            <w:vAlign w:val="center"/>
          </w:tcPr>
          <w:p w14:paraId="2387801D">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行政复议</w:t>
            </w:r>
          </w:p>
        </w:tc>
        <w:tc>
          <w:tcPr>
            <w:tcW w:w="5922" w:type="dxa"/>
            <w:gridSpan w:val="10"/>
            <w:tcBorders>
              <w:tl2br w:val="nil"/>
              <w:tr2bl w:val="nil"/>
            </w:tcBorders>
            <w:tcMar>
              <w:left w:w="108" w:type="dxa"/>
              <w:right w:w="108" w:type="dxa"/>
            </w:tcMar>
            <w:vAlign w:val="center"/>
          </w:tcPr>
          <w:p w14:paraId="1D8E2E8D">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行政诉讼</w:t>
            </w:r>
          </w:p>
        </w:tc>
      </w:tr>
      <w:tr w14:paraId="0C8DE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5" w:type="dxa"/>
            <w:vMerge w:val="restart"/>
            <w:tcBorders>
              <w:tl2br w:val="nil"/>
              <w:tr2bl w:val="nil"/>
            </w:tcBorders>
            <w:tcMar>
              <w:left w:w="108" w:type="dxa"/>
              <w:right w:w="108" w:type="dxa"/>
            </w:tcMar>
            <w:vAlign w:val="center"/>
          </w:tcPr>
          <w:p w14:paraId="172E418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21" w:type="dxa"/>
            <w:vMerge w:val="restart"/>
            <w:tcBorders>
              <w:tl2br w:val="nil"/>
              <w:tr2bl w:val="nil"/>
            </w:tcBorders>
            <w:tcMar>
              <w:left w:w="108" w:type="dxa"/>
              <w:right w:w="108" w:type="dxa"/>
            </w:tcMar>
            <w:vAlign w:val="center"/>
          </w:tcPr>
          <w:p w14:paraId="2F18FEA1">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00" w:type="dxa"/>
            <w:vMerge w:val="restart"/>
            <w:tcBorders>
              <w:tl2br w:val="nil"/>
              <w:tr2bl w:val="nil"/>
            </w:tcBorders>
            <w:tcMar>
              <w:left w:w="108" w:type="dxa"/>
              <w:right w:w="108" w:type="dxa"/>
            </w:tcMar>
            <w:vAlign w:val="center"/>
          </w:tcPr>
          <w:p w14:paraId="432BFF0E">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591" w:type="dxa"/>
            <w:vMerge w:val="restart"/>
            <w:tcBorders>
              <w:tl2br w:val="nil"/>
              <w:tr2bl w:val="nil"/>
            </w:tcBorders>
            <w:tcMar>
              <w:left w:w="108" w:type="dxa"/>
              <w:right w:w="108" w:type="dxa"/>
            </w:tcMar>
            <w:vAlign w:val="center"/>
          </w:tcPr>
          <w:p w14:paraId="0C52F277">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61" w:type="dxa"/>
            <w:vMerge w:val="restart"/>
            <w:tcBorders>
              <w:tl2br w:val="nil"/>
              <w:tr2bl w:val="nil"/>
            </w:tcBorders>
            <w:tcMar>
              <w:left w:w="108" w:type="dxa"/>
              <w:right w:w="108" w:type="dxa"/>
            </w:tcMar>
            <w:vAlign w:val="center"/>
          </w:tcPr>
          <w:p w14:paraId="217A5356">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c>
          <w:tcPr>
            <w:tcW w:w="3010" w:type="dxa"/>
            <w:gridSpan w:val="5"/>
            <w:tcBorders>
              <w:tl2br w:val="nil"/>
              <w:tr2bl w:val="nil"/>
            </w:tcBorders>
            <w:tcMar>
              <w:left w:w="108" w:type="dxa"/>
              <w:right w:w="108" w:type="dxa"/>
            </w:tcMar>
            <w:vAlign w:val="center"/>
          </w:tcPr>
          <w:p w14:paraId="61B24D1B">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未经复议直接起诉</w:t>
            </w:r>
          </w:p>
        </w:tc>
        <w:tc>
          <w:tcPr>
            <w:tcW w:w="2912" w:type="dxa"/>
            <w:gridSpan w:val="5"/>
            <w:tcBorders>
              <w:tl2br w:val="nil"/>
              <w:tr2bl w:val="nil"/>
            </w:tcBorders>
            <w:tcMar>
              <w:left w:w="108" w:type="dxa"/>
              <w:right w:w="108" w:type="dxa"/>
            </w:tcMar>
            <w:vAlign w:val="center"/>
          </w:tcPr>
          <w:p w14:paraId="1EF0A8A1">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复议后起诉</w:t>
            </w:r>
          </w:p>
        </w:tc>
      </w:tr>
      <w:tr w14:paraId="5A76E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615" w:type="dxa"/>
            <w:vMerge w:val="continue"/>
            <w:tcBorders>
              <w:tl2br w:val="nil"/>
              <w:tr2bl w:val="nil"/>
            </w:tcBorders>
            <w:tcMar>
              <w:left w:w="108" w:type="dxa"/>
              <w:right w:w="108" w:type="dxa"/>
            </w:tcMar>
            <w:vAlign w:val="center"/>
          </w:tcPr>
          <w:p w14:paraId="30AE5711">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21" w:type="dxa"/>
            <w:vMerge w:val="continue"/>
            <w:tcBorders>
              <w:tl2br w:val="nil"/>
              <w:tr2bl w:val="nil"/>
            </w:tcBorders>
            <w:tcMar>
              <w:left w:w="108" w:type="dxa"/>
              <w:right w:w="108" w:type="dxa"/>
            </w:tcMar>
            <w:vAlign w:val="center"/>
          </w:tcPr>
          <w:p w14:paraId="3A9D5294">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00" w:type="dxa"/>
            <w:vMerge w:val="continue"/>
            <w:tcBorders>
              <w:tl2br w:val="nil"/>
              <w:tr2bl w:val="nil"/>
            </w:tcBorders>
            <w:tcMar>
              <w:left w:w="108" w:type="dxa"/>
              <w:right w:w="108" w:type="dxa"/>
            </w:tcMar>
            <w:vAlign w:val="center"/>
          </w:tcPr>
          <w:p w14:paraId="3710512F">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591" w:type="dxa"/>
            <w:vMerge w:val="continue"/>
            <w:tcBorders>
              <w:tl2br w:val="nil"/>
              <w:tr2bl w:val="nil"/>
            </w:tcBorders>
            <w:tcMar>
              <w:left w:w="108" w:type="dxa"/>
              <w:right w:w="108" w:type="dxa"/>
            </w:tcMar>
            <w:vAlign w:val="center"/>
          </w:tcPr>
          <w:p w14:paraId="519FF263">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461" w:type="dxa"/>
            <w:vMerge w:val="continue"/>
            <w:tcBorders>
              <w:tl2br w:val="nil"/>
              <w:tr2bl w:val="nil"/>
            </w:tcBorders>
            <w:tcMar>
              <w:left w:w="108" w:type="dxa"/>
              <w:right w:w="108" w:type="dxa"/>
            </w:tcMar>
            <w:vAlign w:val="center"/>
          </w:tcPr>
          <w:p w14:paraId="21F1BD2B">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49" w:type="dxa"/>
            <w:tcBorders>
              <w:tl2br w:val="nil"/>
              <w:tr2bl w:val="nil"/>
            </w:tcBorders>
            <w:tcMar>
              <w:left w:w="108" w:type="dxa"/>
              <w:right w:w="108" w:type="dxa"/>
            </w:tcMar>
            <w:vAlign w:val="center"/>
          </w:tcPr>
          <w:p w14:paraId="43B6942E">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49" w:type="dxa"/>
            <w:tcBorders>
              <w:tl2br w:val="nil"/>
              <w:tr2bl w:val="nil"/>
            </w:tcBorders>
            <w:tcMar>
              <w:left w:w="108" w:type="dxa"/>
              <w:right w:w="108" w:type="dxa"/>
            </w:tcMar>
            <w:vAlign w:val="center"/>
          </w:tcPr>
          <w:p w14:paraId="5D472184">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50" w:type="dxa"/>
            <w:tcBorders>
              <w:tl2br w:val="nil"/>
              <w:tr2bl w:val="nil"/>
            </w:tcBorders>
            <w:tcMar>
              <w:left w:w="108" w:type="dxa"/>
              <w:right w:w="108" w:type="dxa"/>
            </w:tcMar>
            <w:vAlign w:val="center"/>
          </w:tcPr>
          <w:p w14:paraId="178A7F0F">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636" w:type="dxa"/>
            <w:tcBorders>
              <w:tl2br w:val="nil"/>
              <w:tr2bl w:val="nil"/>
            </w:tcBorders>
            <w:tcMar>
              <w:left w:w="108" w:type="dxa"/>
              <w:right w:w="108" w:type="dxa"/>
            </w:tcMar>
            <w:vAlign w:val="center"/>
          </w:tcPr>
          <w:p w14:paraId="36D61C97">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26" w:type="dxa"/>
            <w:tcBorders>
              <w:tl2br w:val="nil"/>
              <w:tr2bl w:val="nil"/>
            </w:tcBorders>
            <w:tcMar>
              <w:left w:w="108" w:type="dxa"/>
              <w:right w:w="108" w:type="dxa"/>
            </w:tcMar>
            <w:vAlign w:val="center"/>
          </w:tcPr>
          <w:p w14:paraId="36BC6378">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c>
          <w:tcPr>
            <w:tcW w:w="650" w:type="dxa"/>
            <w:tcBorders>
              <w:tl2br w:val="nil"/>
              <w:tr2bl w:val="nil"/>
            </w:tcBorders>
            <w:tcMar>
              <w:left w:w="108" w:type="dxa"/>
              <w:right w:w="108" w:type="dxa"/>
            </w:tcMar>
            <w:vAlign w:val="center"/>
          </w:tcPr>
          <w:p w14:paraId="10A32FCB">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50" w:type="dxa"/>
            <w:tcBorders>
              <w:tl2br w:val="nil"/>
              <w:tr2bl w:val="nil"/>
            </w:tcBorders>
            <w:tcMar>
              <w:left w:w="108" w:type="dxa"/>
              <w:right w:w="108" w:type="dxa"/>
            </w:tcMar>
            <w:vAlign w:val="center"/>
          </w:tcPr>
          <w:p w14:paraId="30031B13">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50" w:type="dxa"/>
            <w:tcBorders>
              <w:tl2br w:val="nil"/>
              <w:tr2bl w:val="nil"/>
            </w:tcBorders>
            <w:tcMar>
              <w:left w:w="108" w:type="dxa"/>
              <w:right w:w="108" w:type="dxa"/>
            </w:tcMar>
            <w:vAlign w:val="center"/>
          </w:tcPr>
          <w:p w14:paraId="70441EBB">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555" w:type="dxa"/>
            <w:tcBorders>
              <w:tl2br w:val="nil"/>
              <w:tr2bl w:val="nil"/>
            </w:tcBorders>
            <w:tcMar>
              <w:left w:w="108" w:type="dxa"/>
              <w:right w:w="108" w:type="dxa"/>
            </w:tcMar>
            <w:vAlign w:val="center"/>
          </w:tcPr>
          <w:p w14:paraId="6075302E">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07" w:type="dxa"/>
            <w:tcBorders>
              <w:tl2br w:val="nil"/>
              <w:tr2bl w:val="nil"/>
            </w:tcBorders>
            <w:tcMar>
              <w:left w:w="108" w:type="dxa"/>
              <w:right w:w="108" w:type="dxa"/>
            </w:tcMar>
            <w:vAlign w:val="center"/>
          </w:tcPr>
          <w:p w14:paraId="0C810E5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r>
      <w:tr w14:paraId="6E1AB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5" w:type="dxa"/>
            <w:tcBorders>
              <w:tl2br w:val="nil"/>
              <w:tr2bl w:val="nil"/>
            </w:tcBorders>
            <w:tcMar>
              <w:left w:w="108" w:type="dxa"/>
              <w:right w:w="108" w:type="dxa"/>
            </w:tcMar>
            <w:vAlign w:val="center"/>
          </w:tcPr>
          <w:p w14:paraId="1D74D88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21" w:type="dxa"/>
            <w:tcBorders>
              <w:tl2br w:val="nil"/>
              <w:tr2bl w:val="nil"/>
            </w:tcBorders>
            <w:tcMar>
              <w:left w:w="108" w:type="dxa"/>
              <w:right w:w="108" w:type="dxa"/>
            </w:tcMar>
            <w:vAlign w:val="center"/>
          </w:tcPr>
          <w:p w14:paraId="0AB47714">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00" w:type="dxa"/>
            <w:tcBorders>
              <w:tl2br w:val="nil"/>
              <w:tr2bl w:val="nil"/>
            </w:tcBorders>
            <w:tcMar>
              <w:left w:w="108" w:type="dxa"/>
              <w:right w:w="108" w:type="dxa"/>
            </w:tcMar>
            <w:vAlign w:val="center"/>
          </w:tcPr>
          <w:p w14:paraId="27D6E6C0">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591" w:type="dxa"/>
            <w:tcBorders>
              <w:tl2br w:val="nil"/>
              <w:tr2bl w:val="nil"/>
            </w:tcBorders>
            <w:tcMar>
              <w:left w:w="108" w:type="dxa"/>
              <w:right w:w="108" w:type="dxa"/>
            </w:tcMar>
            <w:vAlign w:val="center"/>
          </w:tcPr>
          <w:p w14:paraId="7D26ECD4">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61" w:type="dxa"/>
            <w:tcBorders>
              <w:tl2br w:val="nil"/>
              <w:tr2bl w:val="nil"/>
            </w:tcBorders>
            <w:tcMar>
              <w:left w:w="108" w:type="dxa"/>
              <w:right w:w="108" w:type="dxa"/>
            </w:tcMar>
            <w:vAlign w:val="center"/>
          </w:tcPr>
          <w:p w14:paraId="1B67A9D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49" w:type="dxa"/>
            <w:tcBorders>
              <w:tl2br w:val="nil"/>
              <w:tr2bl w:val="nil"/>
            </w:tcBorders>
            <w:tcMar>
              <w:left w:w="108" w:type="dxa"/>
              <w:right w:w="108" w:type="dxa"/>
            </w:tcMar>
            <w:vAlign w:val="center"/>
          </w:tcPr>
          <w:p w14:paraId="34A45667">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49" w:type="dxa"/>
            <w:tcBorders>
              <w:tl2br w:val="nil"/>
              <w:tr2bl w:val="nil"/>
            </w:tcBorders>
            <w:tcMar>
              <w:left w:w="108" w:type="dxa"/>
              <w:right w:w="108" w:type="dxa"/>
            </w:tcMar>
            <w:vAlign w:val="center"/>
          </w:tcPr>
          <w:p w14:paraId="0D646ED8">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14:paraId="17A0BA7E">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36" w:type="dxa"/>
            <w:tcBorders>
              <w:tl2br w:val="nil"/>
              <w:tr2bl w:val="nil"/>
            </w:tcBorders>
            <w:tcMar>
              <w:left w:w="108" w:type="dxa"/>
              <w:right w:w="108" w:type="dxa"/>
            </w:tcMar>
            <w:vAlign w:val="center"/>
          </w:tcPr>
          <w:p w14:paraId="78A3AF35">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26" w:type="dxa"/>
            <w:tcBorders>
              <w:tl2br w:val="nil"/>
              <w:tr2bl w:val="nil"/>
            </w:tcBorders>
            <w:tcMar>
              <w:left w:w="108" w:type="dxa"/>
              <w:right w:w="108" w:type="dxa"/>
            </w:tcMar>
            <w:vAlign w:val="center"/>
          </w:tcPr>
          <w:p w14:paraId="1E8C8FA6">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14:paraId="5C5A8105">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14:paraId="4C003D9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14:paraId="299CA99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555" w:type="dxa"/>
            <w:tcBorders>
              <w:tl2br w:val="nil"/>
              <w:tr2bl w:val="nil"/>
            </w:tcBorders>
            <w:tcMar>
              <w:left w:w="108" w:type="dxa"/>
              <w:right w:w="108" w:type="dxa"/>
            </w:tcMar>
            <w:vAlign w:val="center"/>
          </w:tcPr>
          <w:p w14:paraId="0D71AD19">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07" w:type="dxa"/>
            <w:tcBorders>
              <w:tl2br w:val="nil"/>
              <w:tr2bl w:val="nil"/>
            </w:tcBorders>
            <w:tcMar>
              <w:left w:w="108" w:type="dxa"/>
              <w:right w:w="108" w:type="dxa"/>
            </w:tcMar>
            <w:vAlign w:val="center"/>
          </w:tcPr>
          <w:p w14:paraId="2143273F">
            <w:pPr>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t>0</w:t>
            </w:r>
          </w:p>
        </w:tc>
      </w:tr>
    </w:tbl>
    <w:p w14:paraId="6F55F94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ascii="Times New Roman" w:hAnsi="Times New Roman" w:eastAsia="微软雅黑" w:cs="Times New Roman"/>
          <w:i w:val="0"/>
          <w:iCs w:val="0"/>
          <w:caps w:val="0"/>
          <w:color w:val="000000" w:themeColor="text1"/>
          <w:spacing w:val="0"/>
          <w:sz w:val="32"/>
          <w:szCs w:val="32"/>
          <w:highlight w:val="none"/>
          <w14:textFill>
            <w14:solidFill>
              <w14:schemeClr w14:val="tx1"/>
            </w14:solidFill>
          </w14:textFill>
        </w:rPr>
      </w:pPr>
      <w:r>
        <w:rPr>
          <w:rStyle w:val="7"/>
          <w:rFonts w:hint="default" w:ascii="Times New Roman" w:hAnsi="Times New Roman" w:eastAsia="方正黑体简体" w:cs="Times New Roman"/>
          <w:i w:val="0"/>
          <w:iCs w:val="0"/>
          <w:caps w:val="0"/>
          <w:color w:val="000000" w:themeColor="text1"/>
          <w:spacing w:val="0"/>
          <w:sz w:val="32"/>
          <w:szCs w:val="32"/>
          <w:highlight w:val="none"/>
          <w14:textFill>
            <w14:solidFill>
              <w14:schemeClr w14:val="tx1"/>
            </w14:solidFill>
          </w14:textFill>
        </w:rPr>
        <w:t>五、存在的主要问题及改进情况</w:t>
      </w:r>
    </w:p>
    <w:p w14:paraId="03EA1B5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虽然我镇在信息公开方面做了大量工作，取得了一定的成效，但与上级的要求相比，还存在一定的差距，主要表现在：一是信息公开内容的深度和广度有待提升，部分领域信息公开不够全面，对政策文件的解读不够深入，形式较为单一；二是公开渠道的融合运用不够充分，线上平台互动性不足，线下公开阵地的信息更新频率有待进一步提高；三是工作人员业务能力仍需加强，部分工作人员对信息公开范围的界定、依申请公开办理流程的把握不够精准，工作效率和服务质量有待提升。</w:t>
      </w:r>
    </w:p>
    <w:p w14:paraId="65E7D69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下一步我镇将本着渠道丰富、内容实用、形式便民、积极主动的原则，强化政府信息公开力度，进一步丰富信息资源，不断推进政府信息公开工作取得新成绩。</w:t>
      </w:r>
      <w:r>
        <w:rPr>
          <w:rStyle w:val="7"/>
          <w:rFonts w:hint="eastAsia"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一是</w:t>
      </w:r>
      <w:r>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深化公开内容，提升信息质量。聚焦群众关切和乡镇</w:t>
      </w:r>
      <w:r>
        <w:rPr>
          <w:rStyle w:val="7"/>
          <w:rFonts w:hint="eastAsia"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重心</w:t>
      </w:r>
      <w:r>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工作，进一步拓展信息公开范围。丰富政策解读形式，采用文字解读、图表解读、现场宣讲等多种方式，增强政策解读的可读性和易懂性。</w:t>
      </w:r>
      <w:r>
        <w:rPr>
          <w:rStyle w:val="7"/>
          <w:rFonts w:hint="eastAsia"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二是</w:t>
      </w:r>
      <w:r>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优化公开渠道，增强互动实效。加强县政府门户网站乡镇专栏</w:t>
      </w:r>
      <w:r>
        <w:rPr>
          <w:rStyle w:val="7"/>
          <w:rFonts w:hint="eastAsia"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运营，</w:t>
      </w:r>
      <w:r>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定期维护更新政务公开栏等线下阵地，提高信息更新频率，为群众提供更加便捷的信息获取服务。</w:t>
      </w:r>
      <w:r>
        <w:rPr>
          <w:rStyle w:val="7"/>
          <w:rFonts w:hint="eastAsia"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三是</w:t>
      </w:r>
      <w:r>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强化队伍建设，提升业务能力。加强政府信息公开工作队伍建设，充实专职工作人员力量，定期组织开展业务培训和交流学习活动。建立健全工作激励和问责机制，对工作成效突出的部门和个人予以表彰，对工作不力、敷衍塞责的予以问责，推动信息公开工作落到实处。</w:t>
      </w:r>
    </w:p>
    <w:p w14:paraId="575E031D">
      <w:pPr>
        <w:pStyle w:val="4"/>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cs="Times New Roman"/>
          <w:color w:val="000000" w:themeColor="text1"/>
          <w:sz w:val="32"/>
          <w:szCs w:val="32"/>
          <w:highlight w:val="none"/>
          <w14:textFill>
            <w14:solidFill>
              <w14:schemeClr w14:val="tx1"/>
            </w14:solidFill>
          </w14:textFill>
        </w:rPr>
      </w:pPr>
      <w:r>
        <w:rPr>
          <w:rStyle w:val="7"/>
          <w:rFonts w:hint="default" w:ascii="Times New Roman" w:hAnsi="Times New Roman" w:eastAsia="方正黑体简体" w:cs="Times New Roman"/>
          <w:i w:val="0"/>
          <w:iCs w:val="0"/>
          <w:caps w:val="0"/>
          <w:color w:val="000000" w:themeColor="text1"/>
          <w:spacing w:val="0"/>
          <w:sz w:val="32"/>
          <w:szCs w:val="32"/>
          <w:highlight w:val="none"/>
          <w14:textFill>
            <w14:solidFill>
              <w14:schemeClr w14:val="tx1"/>
            </w14:solidFill>
          </w14:textFill>
        </w:rPr>
        <w:t>六、其他需要报告的事项</w:t>
      </w:r>
    </w:p>
    <w:p w14:paraId="4EC1F5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cs="方正仿宋简体"/>
          <w:b/>
          <w:color w:val="000000" w:themeColor="text1"/>
          <w:kern w:val="2"/>
          <w:sz w:val="32"/>
          <w:szCs w:val="32"/>
          <w:lang w:val="en-US" w:eastAsia="zh-CN" w:bidi="ar-SA"/>
          <w14:textFill>
            <w14:solidFill>
              <w14:schemeClr w14:val="tx1"/>
            </w14:solidFill>
          </w14:textFill>
        </w:rPr>
        <w:t>（一）</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依据《政府信息公开信息处理费管理办法》收取信息处理费的情况</w:t>
      </w:r>
      <w:r>
        <w:rPr>
          <w:rFonts w:hint="eastAsia" w:ascii="Times New Roman" w:hAnsi="Times New Roman" w:eastAsia="方正仿宋简体" w:cs="方正仿宋简体"/>
          <w:b/>
          <w:color w:val="000000" w:themeColor="text1"/>
          <w:sz w:val="32"/>
          <w:szCs w:val="32"/>
          <w:highlight w:val="none"/>
          <w:lang w:eastAsia="zh-CN"/>
          <w14:textFill>
            <w14:solidFill>
              <w14:schemeClr w14:val="tx1"/>
            </w14:solidFill>
          </w14:textFill>
        </w:rPr>
        <w:t>。</w:t>
      </w:r>
    </w:p>
    <w:p w14:paraId="05AD1D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3" w:firstLineChars="200"/>
        <w:jc w:val="both"/>
        <w:textAlignment w:val="auto"/>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202</w:t>
      </w:r>
      <w:r>
        <w:rPr>
          <w:rFonts w:hint="eastAsia" w:ascii="Times New Roman" w:hAnsi="Times New Roman" w:eastAsia="方正仿宋简体" w:cs="方正仿宋简体"/>
          <w:b/>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年，</w:t>
      </w:r>
      <w:r>
        <w:rPr>
          <w:rFonts w:hint="eastAsia" w:ascii="Times New Roman" w:hAnsi="Times New Roman" w:eastAsia="方正仿宋简体" w:cs="方正仿宋简体"/>
          <w:b/>
          <w:color w:val="000000" w:themeColor="text1"/>
          <w:sz w:val="32"/>
          <w:szCs w:val="32"/>
          <w:highlight w:val="none"/>
          <w:lang w:eastAsia="zh-CN"/>
          <w14:textFill>
            <w14:solidFill>
              <w14:schemeClr w14:val="tx1"/>
            </w14:solidFill>
          </w14:textFill>
        </w:rPr>
        <w:t>高峪镇</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严格落实《国务院办公厅关于印发</w:t>
      </w:r>
      <w:r>
        <w:rPr>
          <w:rFonts w:hint="eastAsia" w:ascii="Times New Roman" w:hAnsi="Times New Roman" w:eastAsia="方正仿宋简体" w:cs="方正仿宋简体"/>
          <w:b/>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政府信息公开信息处理费管理办法</w:t>
      </w:r>
      <w:r>
        <w:rPr>
          <w:rFonts w:hint="eastAsia" w:ascii="Times New Roman" w:hAnsi="Times New Roman" w:eastAsia="方正仿宋简体" w:cs="方正仿宋简体"/>
          <w:b/>
          <w:color w:val="000000" w:themeColor="text1"/>
          <w:sz w:val="32"/>
          <w:szCs w:val="32"/>
          <w:highlight w:val="none"/>
          <w:lang w:eastAsia="zh-CN"/>
          <w14:textFill>
            <w14:solidFill>
              <w14:schemeClr w14:val="tx1"/>
            </w14:solidFill>
          </w14:textFill>
        </w:rPr>
        <w:t>〉的通知》</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（国办函〔2020〕109号）和《山东省人民政府办公厅关于做好政府信息公开信息处理费管理工作有关事项的通知》（鲁政办字〔2020〕179号）规定，未向申请人收取任何费用。</w:t>
      </w:r>
    </w:p>
    <w:p w14:paraId="765067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cs="方正仿宋简体"/>
          <w:b/>
          <w:color w:val="000000" w:themeColor="text1"/>
          <w:kern w:val="2"/>
          <w:sz w:val="32"/>
          <w:szCs w:val="32"/>
          <w:lang w:val="en-US" w:eastAsia="zh-CN" w:bidi="ar-SA"/>
          <w14:textFill>
            <w14:solidFill>
              <w14:schemeClr w14:val="tx1"/>
            </w14:solidFill>
          </w14:textFill>
        </w:rPr>
        <w:t>（二）</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落实上级年度政务公开工作要点情况</w:t>
      </w:r>
      <w:r>
        <w:rPr>
          <w:rFonts w:hint="eastAsia" w:ascii="Times New Roman" w:hAnsi="Times New Roman" w:eastAsia="方正仿宋简体" w:cs="方正仿宋简体"/>
          <w:b/>
          <w:color w:val="000000" w:themeColor="text1"/>
          <w:sz w:val="32"/>
          <w:szCs w:val="32"/>
          <w:highlight w:val="none"/>
          <w:lang w:eastAsia="zh-CN"/>
          <w14:textFill>
            <w14:solidFill>
              <w14:schemeClr w14:val="tx1"/>
            </w14:solidFill>
          </w14:textFill>
        </w:rPr>
        <w:t>。</w:t>
      </w:r>
    </w:p>
    <w:p w14:paraId="6FF9535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Style w:val="7"/>
          <w:rFonts w:hint="eastAsia" w:ascii="Times New Roman" w:hAnsi="Times New Roman" w:eastAsia="方正仿宋简体" w:cs="方正仿宋简体"/>
          <w:i w:val="0"/>
          <w:iCs w:val="0"/>
          <w:caps w:val="0"/>
          <w:color w:val="000000" w:themeColor="text1"/>
          <w:spacing w:val="0"/>
          <w:kern w:val="0"/>
          <w:sz w:val="32"/>
          <w:szCs w:val="32"/>
          <w:highlight w:val="none"/>
          <w:lang w:val="en-US" w:eastAsia="zh-CN" w:bidi="ar"/>
          <w14:textFill>
            <w14:solidFill>
              <w14:schemeClr w14:val="tx1"/>
            </w14:solidFill>
          </w14:textFill>
        </w:rPr>
      </w:pPr>
      <w:r>
        <w:rPr>
          <w:rStyle w:val="7"/>
          <w:rFonts w:hint="eastAsia" w:ascii="Times New Roman" w:hAnsi="Times New Roman" w:eastAsia="方正仿宋简体" w:cs="方正仿宋简体"/>
          <w:i w:val="0"/>
          <w:iCs w:val="0"/>
          <w:caps w:val="0"/>
          <w:color w:val="000000" w:themeColor="text1"/>
          <w:spacing w:val="0"/>
          <w:kern w:val="0"/>
          <w:sz w:val="32"/>
          <w:szCs w:val="32"/>
          <w:highlight w:val="none"/>
          <w:lang w:val="en-US" w:eastAsia="zh-CN" w:bidi="ar"/>
          <w14:textFill>
            <w14:solidFill>
              <w14:schemeClr w14:val="tx1"/>
            </w14:solidFill>
          </w14:textFill>
        </w:rPr>
        <w:t>高峪镇严格落实上级年度政务公开工作要点，按照政府信息公开工作责任清单，把政府信息公开工作要点分类细化，责任到科室、责任到人，定时公开相关信息。</w:t>
      </w:r>
    </w:p>
    <w:p w14:paraId="7010A35F">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Times New Roman" w:hAnsi="Times New Roman" w:eastAsia="方正仿宋简体" w:cs="方正仿宋简体"/>
          <w:b/>
          <w:color w:val="000000" w:themeColor="text1"/>
          <w:sz w:val="32"/>
          <w:szCs w:val="32"/>
          <w:highlight w:val="none"/>
          <w:shd w:val="clear"/>
          <w:lang w:eastAsia="zh-CN"/>
          <w14:textFill>
            <w14:solidFill>
              <w14:schemeClr w14:val="tx1"/>
            </w14:solidFill>
          </w14:textFill>
        </w:rPr>
      </w:pPr>
      <w:r>
        <w:rPr>
          <w:rFonts w:hint="eastAsia" w:ascii="Times New Roman" w:hAnsi="Times New Roman" w:eastAsia="方正仿宋简体" w:cs="方正仿宋简体"/>
          <w:b/>
          <w:color w:val="000000" w:themeColor="text1"/>
          <w:sz w:val="32"/>
          <w:szCs w:val="32"/>
          <w:highlight w:val="none"/>
          <w:shd w:val="clear"/>
          <w:lang w:eastAsia="zh-CN"/>
          <w14:textFill>
            <w14:solidFill>
              <w14:schemeClr w14:val="tx1"/>
            </w14:solidFill>
          </w14:textFill>
        </w:rPr>
        <w:t>（</w:t>
      </w:r>
      <w:r>
        <w:rPr>
          <w:rFonts w:hint="eastAsia" w:ascii="Times New Roman" w:hAnsi="Times New Roman" w:eastAsia="方正仿宋简体" w:cs="方正仿宋简体"/>
          <w:b/>
          <w:color w:val="000000" w:themeColor="text1"/>
          <w:sz w:val="32"/>
          <w:szCs w:val="32"/>
          <w:highlight w:val="none"/>
          <w:shd w:val="clear"/>
          <w:lang w:val="en-US" w:eastAsia="zh-CN"/>
          <w14:textFill>
            <w14:solidFill>
              <w14:schemeClr w14:val="tx1"/>
            </w14:solidFill>
          </w14:textFill>
        </w:rPr>
        <w:t>三</w:t>
      </w:r>
      <w:r>
        <w:rPr>
          <w:rFonts w:hint="eastAsia" w:ascii="Times New Roman" w:hAnsi="Times New Roman" w:eastAsia="方正仿宋简体" w:cs="方正仿宋简体"/>
          <w:b/>
          <w:color w:val="000000" w:themeColor="text1"/>
          <w:sz w:val="32"/>
          <w:szCs w:val="32"/>
          <w:highlight w:val="none"/>
          <w:shd w:val="clear"/>
          <w:lang w:eastAsia="zh-CN"/>
          <w14:textFill>
            <w14:solidFill>
              <w14:schemeClr w14:val="tx1"/>
            </w14:solidFill>
          </w14:textFill>
        </w:rPr>
        <w:t>）</w:t>
      </w:r>
      <w:r>
        <w:rPr>
          <w:rFonts w:hint="eastAsia" w:ascii="Times New Roman" w:hAnsi="Times New Roman" w:eastAsia="方正仿宋简体" w:cs="方正仿宋简体"/>
          <w:b/>
          <w:bCs w:val="0"/>
          <w:color w:val="auto"/>
          <w:sz w:val="32"/>
          <w:szCs w:val="32"/>
        </w:rPr>
        <w:t>人大代表建议和政协提案办理结果公开情况</w:t>
      </w:r>
      <w:r>
        <w:rPr>
          <w:rFonts w:hint="eastAsia" w:ascii="Times New Roman" w:hAnsi="Times New Roman" w:eastAsia="方正仿宋简体" w:cs="方正仿宋简体"/>
          <w:b/>
          <w:color w:val="000000" w:themeColor="text1"/>
          <w:sz w:val="32"/>
          <w:szCs w:val="32"/>
          <w:highlight w:val="none"/>
          <w:shd w:val="clear"/>
          <w:lang w:eastAsia="zh-CN"/>
          <w14:textFill>
            <w14:solidFill>
              <w14:schemeClr w14:val="tx1"/>
            </w14:solidFill>
          </w14:textFill>
        </w:rPr>
        <w:t>。</w:t>
      </w:r>
    </w:p>
    <w:p w14:paraId="125F378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rightChars="0" w:firstLine="643" w:firstLineChars="200"/>
        <w:jc w:val="both"/>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pPr>
      <w:r>
        <w:rPr>
          <w:rFonts w:hint="eastAsia"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2025</w:t>
      </w:r>
      <w:r>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年，</w:t>
      </w:r>
      <w:r>
        <w:rPr>
          <w:rFonts w:hint="eastAsia"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高峪镇</w:t>
      </w:r>
      <w:r>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未收到人大代表建议和政协委员提案。</w:t>
      </w:r>
    </w:p>
    <w:p w14:paraId="693A7581">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leftChars="0" w:right="0" w:rightChars="0" w:firstLine="643" w:firstLineChars="200"/>
        <w:jc w:val="both"/>
        <w:textAlignment w:val="auto"/>
        <w:rPr>
          <w:rStyle w:val="7"/>
          <w:rFonts w:hint="eastAsia" w:ascii="Times New Roman" w:hAnsi="Times New Roman" w:eastAsia="方正仿宋简体" w:cs="方正仿宋简体"/>
          <w:i w:val="0"/>
          <w:iCs w:val="0"/>
          <w:caps w:val="0"/>
          <w:color w:val="0000FF"/>
          <w:spacing w:val="0"/>
          <w:kern w:val="0"/>
          <w:sz w:val="32"/>
          <w:szCs w:val="32"/>
          <w:highlight w:val="none"/>
          <w:lang w:val="en-US" w:eastAsia="zh-CN" w:bidi="ar"/>
        </w:rPr>
      </w:pPr>
    </w:p>
    <w:p w14:paraId="76DAF432">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leftChars="0" w:right="0" w:rightChars="0" w:firstLine="643" w:firstLineChars="200"/>
        <w:jc w:val="both"/>
        <w:textAlignment w:val="auto"/>
        <w:rPr>
          <w:rStyle w:val="7"/>
          <w:rFonts w:hint="eastAsia" w:ascii="Times New Roman" w:hAnsi="Times New Roman" w:eastAsia="方正仿宋简体" w:cs="方正仿宋简体"/>
          <w:i w:val="0"/>
          <w:iCs w:val="0"/>
          <w:caps w:val="0"/>
          <w:color w:val="0000FF"/>
          <w:spacing w:val="0"/>
          <w:kern w:val="0"/>
          <w:sz w:val="32"/>
          <w:szCs w:val="32"/>
          <w:highlight w:val="none"/>
          <w:lang w:val="en-US" w:eastAsia="zh-CN" w:bidi="ar"/>
        </w:rPr>
      </w:pPr>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altName w:val="方正黑体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78EB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6124F">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66124F">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35C6"/>
    <w:multiLevelType w:val="singleLevel"/>
    <w:tmpl w:val="DCBA35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 w:name="KSO_WPS_MARK_KEY" w:val="fbbc752a-b4d1-4fdc-82b7-76f3555a3cfb"/>
  </w:docVars>
  <w:rsids>
    <w:rsidRoot w:val="00000000"/>
    <w:rsid w:val="0046550B"/>
    <w:rsid w:val="01673770"/>
    <w:rsid w:val="01763BCE"/>
    <w:rsid w:val="04155920"/>
    <w:rsid w:val="04DF7CDC"/>
    <w:rsid w:val="05D11D1B"/>
    <w:rsid w:val="069F5975"/>
    <w:rsid w:val="08874912"/>
    <w:rsid w:val="089847E6"/>
    <w:rsid w:val="094E5430"/>
    <w:rsid w:val="0C1C7A68"/>
    <w:rsid w:val="0C4F74F5"/>
    <w:rsid w:val="0C564D28"/>
    <w:rsid w:val="0E1409F6"/>
    <w:rsid w:val="0E3E3638"/>
    <w:rsid w:val="0E6A0C0D"/>
    <w:rsid w:val="108740DF"/>
    <w:rsid w:val="12A83E03"/>
    <w:rsid w:val="158F6EDD"/>
    <w:rsid w:val="15B12FCF"/>
    <w:rsid w:val="1B412331"/>
    <w:rsid w:val="1BAC6712"/>
    <w:rsid w:val="1C1147C7"/>
    <w:rsid w:val="1D6B6159"/>
    <w:rsid w:val="208A2D9A"/>
    <w:rsid w:val="21154D5A"/>
    <w:rsid w:val="25BC39F6"/>
    <w:rsid w:val="2652435A"/>
    <w:rsid w:val="274C0DA9"/>
    <w:rsid w:val="2B2D2CA0"/>
    <w:rsid w:val="2BEFF621"/>
    <w:rsid w:val="2C2C11A9"/>
    <w:rsid w:val="2DB67955"/>
    <w:rsid w:val="2DCC054E"/>
    <w:rsid w:val="30977539"/>
    <w:rsid w:val="3158796C"/>
    <w:rsid w:val="32543208"/>
    <w:rsid w:val="3291620A"/>
    <w:rsid w:val="32BA12BD"/>
    <w:rsid w:val="35D46B3A"/>
    <w:rsid w:val="39CB2002"/>
    <w:rsid w:val="3A695377"/>
    <w:rsid w:val="3B11613A"/>
    <w:rsid w:val="3B892174"/>
    <w:rsid w:val="3D670293"/>
    <w:rsid w:val="3E575DDE"/>
    <w:rsid w:val="3F9335C1"/>
    <w:rsid w:val="3FE0432D"/>
    <w:rsid w:val="413761CE"/>
    <w:rsid w:val="438C2802"/>
    <w:rsid w:val="43BE0430"/>
    <w:rsid w:val="447A6AFE"/>
    <w:rsid w:val="46256620"/>
    <w:rsid w:val="471329AC"/>
    <w:rsid w:val="4C2F6420"/>
    <w:rsid w:val="4CF03E01"/>
    <w:rsid w:val="4F6C1739"/>
    <w:rsid w:val="501C315F"/>
    <w:rsid w:val="518B234A"/>
    <w:rsid w:val="529671F9"/>
    <w:rsid w:val="52AF2069"/>
    <w:rsid w:val="52EA12F3"/>
    <w:rsid w:val="53B67427"/>
    <w:rsid w:val="54AE161E"/>
    <w:rsid w:val="54F40207"/>
    <w:rsid w:val="55711857"/>
    <w:rsid w:val="567F5DAF"/>
    <w:rsid w:val="56A33C92"/>
    <w:rsid w:val="58C44394"/>
    <w:rsid w:val="5C5C1965"/>
    <w:rsid w:val="5DE8241D"/>
    <w:rsid w:val="5F8B5C0B"/>
    <w:rsid w:val="5FF58E24"/>
    <w:rsid w:val="62261C1B"/>
    <w:rsid w:val="6280132C"/>
    <w:rsid w:val="646F1658"/>
    <w:rsid w:val="657D7DA4"/>
    <w:rsid w:val="66E856F1"/>
    <w:rsid w:val="66F11B05"/>
    <w:rsid w:val="67337B39"/>
    <w:rsid w:val="6A2C3B47"/>
    <w:rsid w:val="6B4355EC"/>
    <w:rsid w:val="6B6E08BB"/>
    <w:rsid w:val="6D526B82"/>
    <w:rsid w:val="73836ECE"/>
    <w:rsid w:val="73B03F59"/>
    <w:rsid w:val="73DB2866"/>
    <w:rsid w:val="73E6120B"/>
    <w:rsid w:val="74C96B62"/>
    <w:rsid w:val="74F55BA9"/>
    <w:rsid w:val="75271ADB"/>
    <w:rsid w:val="76165DD7"/>
    <w:rsid w:val="770420D4"/>
    <w:rsid w:val="781F4CEB"/>
    <w:rsid w:val="7A4078C7"/>
    <w:rsid w:val="7C6668FD"/>
    <w:rsid w:val="7E2412AD"/>
    <w:rsid w:val="7EEF3669"/>
    <w:rsid w:val="7F983D01"/>
    <w:rsid w:val="CB3FD0CD"/>
    <w:rsid w:val="CDDCD9F6"/>
    <w:rsid w:val="FDFF58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26700;&#38754;/&#22269;&#20135;&#35745;&#31639;&#26426;&#39046;&#21462;&#21488;&#36134;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26700;&#38754;/&#22269;&#20135;&#35745;&#31639;&#26426;&#39046;&#21462;&#21488;&#36134;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solidFill>
                <a:latin typeface="+mn-lt"/>
                <a:ea typeface="+mn-ea"/>
                <a:cs typeface="+mn-cs"/>
              </a:defRPr>
            </a:pPr>
            <a:r>
              <a:rPr sz="1600">
                <a:latin typeface="方正小标宋简体" panose="02000000000000000000" pitchFamily="4" charset="-122"/>
                <a:ea typeface="方正小标宋简体" panose="02000000000000000000" pitchFamily="4" charset="-122"/>
              </a:rPr>
              <a:t>主动公开情况</a:t>
            </a:r>
            <a:endParaRPr sz="1600">
              <a:latin typeface="方正小标宋简体" panose="02000000000000000000" pitchFamily="4" charset="-122"/>
              <a:ea typeface="方正小标宋简体" panose="02000000000000000000" pitchFamily="4"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636842105263158"/>
          <c:y val="0.168888109435286"/>
          <c:w val="0.881973684210526"/>
          <c:h val="0.600140301648544"/>
        </c:manualLayout>
      </c:layout>
      <c:pie3DChart>
        <c:varyColors val="1"/>
        <c:ser>
          <c:idx val="0"/>
          <c:order val="0"/>
          <c:tx>
            <c:strRef>
              <c:f>[国产计算机领取台账1.xlsx]Sheet2!$A$3</c:f>
              <c:strCache>
                <c:ptCount val="1"/>
                <c:pt idx="0">
                  <c:v>主动公开情况</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Pt>
            <c:idx val="4"/>
            <c:bubble3D val="0"/>
            <c:spPr>
              <a:solidFill>
                <a:schemeClr val="accent5"/>
              </a:solidFill>
              <a:ln>
                <a:solidFill>
                  <a:schemeClr val="bg1"/>
                </a:solidFill>
              </a:ln>
              <a:effectLst/>
              <a:scene3d>
                <a:camera prst="orthographicFront"/>
                <a:lightRig rig="threePt" dir="t"/>
              </a:scene3d>
              <a:sp3d contourW="9525"/>
            </c:spPr>
          </c:dPt>
          <c:dPt>
            <c:idx val="5"/>
            <c:bubble3D val="0"/>
            <c:spPr>
              <a:solidFill>
                <a:schemeClr val="accent6"/>
              </a:solidFill>
              <a:ln>
                <a:solidFill>
                  <a:schemeClr val="bg1"/>
                </a:solidFill>
              </a:ln>
              <a:effectLst/>
              <a:scene3d>
                <a:camera prst="orthographicFront"/>
                <a:lightRig rig="threePt" dir="t"/>
              </a:scene3d>
              <a:sp3d contourW="9525"/>
            </c:spPr>
          </c:dPt>
          <c:dPt>
            <c:idx val="6"/>
            <c:bubble3D val="0"/>
            <c:spPr>
              <a:solidFill>
                <a:schemeClr val="accent1">
                  <a:lumMod val="60000"/>
                </a:schemeClr>
              </a:solidFill>
              <a:ln>
                <a:solidFill>
                  <a:schemeClr val="bg1"/>
                </a:solidFill>
              </a:ln>
              <a:effectLst/>
              <a:scene3d>
                <a:camera prst="orthographicFront"/>
                <a:lightRig rig="threePt" dir="t"/>
              </a:scene3d>
              <a:sp3d contourW="9525"/>
            </c:spPr>
          </c:dPt>
          <c:dPt>
            <c:idx val="7"/>
            <c:bubble3D val="0"/>
            <c:spPr>
              <a:solidFill>
                <a:schemeClr val="accent2">
                  <a:lumMod val="60000"/>
                </a:schemeClr>
              </a:solidFill>
              <a:ln>
                <a:solidFill>
                  <a:schemeClr val="bg1"/>
                </a:solidFill>
              </a:ln>
              <a:effectLst/>
              <a:scene3d>
                <a:camera prst="orthographicFront"/>
                <a:lightRig rig="threePt" dir="t"/>
              </a:scene3d>
              <a:sp3d contourW="9525"/>
            </c:spPr>
          </c:dPt>
          <c:dLbls>
            <c:dLbl>
              <c:idx val="0"/>
              <c:layout>
                <c:manualLayout>
                  <c:x val="-0.0118421052631579"/>
                  <c:y val="0.07986111111111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2820327014522"/>
                  <c:y val="-0.12490857983667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0.0453947368421053"/>
                  <c:y val="0.00347222222222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73684210526316"/>
                  <c:y val="0.0208333333333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375"/>
                  <c:y val="0.04861111111111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97368421052632"/>
                  <c:y val="0.06944444444444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[国产计算机领取台账1.xlsx]Sheet2!$B$1:$I$2</c:f>
              <c:multiLvlStrCache>
                <c:ptCount val="8"/>
                <c:lvl>
                  <c:pt idx="0">
                    <c:v>镇街动态</c:v>
                  </c:pt>
                  <c:pt idx="1">
                    <c:v>通知公告</c:v>
                  </c:pt>
                  <c:pt idx="2">
                    <c:v>图文解读</c:v>
                  </c:pt>
                  <c:pt idx="3">
                    <c:v>部门预算</c:v>
                  </c:pt>
                  <c:pt idx="4">
                    <c:v>部门决算</c:v>
                  </c:pt>
                  <c:pt idx="5">
                    <c:v>事前公开</c:v>
                  </c:pt>
                  <c:pt idx="6">
                    <c:v>信息公开年报</c:v>
                  </c:pt>
                  <c:pt idx="7">
                    <c:v>法治政府报告</c:v>
                  </c:pt>
                </c:lvl>
                <c:lvl/>
              </c:multiLvlStrCache>
            </c:multiLvlStrRef>
          </c:cat>
          <c:val>
            <c:numRef>
              <c:f>[国产计算机领取台账1.xlsx]Sheet2!$B$3:$I$3</c:f>
              <c:numCache>
                <c:formatCode>General</c:formatCode>
                <c:ptCount val="8"/>
                <c:pt idx="0">
                  <c:v>1</c:v>
                </c:pt>
                <c:pt idx="1">
                  <c:v>6</c:v>
                </c:pt>
                <c:pt idx="2">
                  <c:v>1</c:v>
                </c:pt>
                <c:pt idx="3">
                  <c:v>2</c:v>
                </c:pt>
                <c:pt idx="4">
                  <c:v>1</c:v>
                </c:pt>
                <c:pt idx="5">
                  <c:v>1</c:v>
                </c:pt>
                <c:pt idx="6">
                  <c:v>1</c:v>
                </c:pt>
                <c:pt idx="7">
                  <c:v>1</c:v>
                </c:pt>
              </c:numCache>
            </c:numRef>
          </c:val>
        </c:ser>
        <c:dLbls>
          <c:showLegendKey val="0"/>
          <c:showVal val="0"/>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1200" b="1" i="0" u="none" strike="noStrike" kern="1200" cap="none" spc="0" normalizeH="0" baseline="0">
                <a:solidFill>
                  <a:schemeClr val="tx1"/>
                </a:solidFill>
                <a:uFill>
                  <a:solidFill>
                    <a:schemeClr val="tx1"/>
                  </a:solidFill>
                </a:uFill>
                <a:latin typeface="+mn-lt"/>
                <a:ea typeface="方正仿宋简体" panose="02000000000000000000" charset="-122"/>
                <a:cs typeface="+mn-cs"/>
              </a:defRPr>
            </a:pPr>
          </a:p>
        </c:txPr>
      </c:legendEntry>
      <c:legendEntry>
        <c:idx val="1"/>
        <c:txPr>
          <a:bodyPr rot="0" spcFirstLastPara="0" vertOverflow="ellipsis" vert="horz" wrap="square" anchor="ctr" anchorCtr="1"/>
          <a:lstStyle/>
          <a:p>
            <a:pPr>
              <a:defRPr lang="zh-CN" sz="1200" b="1" i="0" u="none" strike="noStrike" kern="1200" cap="none" spc="0" normalizeH="0" baseline="0">
                <a:solidFill>
                  <a:schemeClr val="tx1"/>
                </a:solidFill>
                <a:uFill>
                  <a:solidFill>
                    <a:schemeClr val="tx1"/>
                  </a:solidFill>
                </a:uFill>
                <a:latin typeface="+mn-lt"/>
                <a:ea typeface="方正仿宋简体" panose="02000000000000000000" charset="-122"/>
                <a:cs typeface="+mn-cs"/>
              </a:defRPr>
            </a:pPr>
          </a:p>
        </c:txPr>
      </c:legendEntry>
      <c:legendEntry>
        <c:idx val="2"/>
        <c:txPr>
          <a:bodyPr rot="0" spcFirstLastPara="0" vertOverflow="ellipsis" vert="horz" wrap="square" anchor="ctr" anchorCtr="1"/>
          <a:lstStyle/>
          <a:p>
            <a:pPr>
              <a:defRPr lang="zh-CN" sz="1200" b="1" i="0" u="none" strike="noStrike" kern="1200" cap="none" spc="0" normalizeH="0" baseline="0">
                <a:solidFill>
                  <a:schemeClr val="tx1"/>
                </a:solidFill>
                <a:uFill>
                  <a:solidFill>
                    <a:schemeClr val="tx1"/>
                  </a:solidFill>
                </a:uFill>
                <a:latin typeface="+mn-lt"/>
                <a:ea typeface="方正仿宋简体" panose="02000000000000000000" charset="-122"/>
                <a:cs typeface="+mn-cs"/>
              </a:defRPr>
            </a:pPr>
          </a:p>
        </c:txPr>
      </c:legendEntry>
      <c:legendEntry>
        <c:idx val="3"/>
        <c:txPr>
          <a:bodyPr rot="0" spcFirstLastPara="0" vertOverflow="ellipsis" vert="horz" wrap="square" anchor="ctr" anchorCtr="1"/>
          <a:lstStyle/>
          <a:p>
            <a:pPr>
              <a:defRPr lang="zh-CN" sz="1200" b="1" i="0" u="none" strike="noStrike" kern="1200" cap="none" spc="0" normalizeH="0" baseline="0">
                <a:solidFill>
                  <a:schemeClr val="tx1"/>
                </a:solidFill>
                <a:uFill>
                  <a:solidFill>
                    <a:schemeClr val="tx1"/>
                  </a:solidFill>
                </a:uFill>
                <a:latin typeface="+mn-lt"/>
                <a:ea typeface="方正仿宋简体" panose="02000000000000000000" charset="-122"/>
                <a:cs typeface="+mn-cs"/>
              </a:defRPr>
            </a:pPr>
          </a:p>
        </c:txPr>
      </c:legendEntry>
      <c:legendEntry>
        <c:idx val="4"/>
        <c:txPr>
          <a:bodyPr rot="0" spcFirstLastPara="0" vertOverflow="ellipsis" vert="horz" wrap="square" anchor="ctr" anchorCtr="1"/>
          <a:lstStyle/>
          <a:p>
            <a:pPr>
              <a:defRPr lang="zh-CN" sz="1200" b="1" i="0" u="none" strike="noStrike" kern="1200" cap="none" spc="0" normalizeH="0" baseline="0">
                <a:solidFill>
                  <a:schemeClr val="tx1"/>
                </a:solidFill>
                <a:uFill>
                  <a:solidFill>
                    <a:schemeClr val="tx1"/>
                  </a:solidFill>
                </a:uFill>
                <a:latin typeface="+mn-lt"/>
                <a:ea typeface="方正仿宋简体" panose="02000000000000000000" charset="-122"/>
                <a:cs typeface="+mn-cs"/>
              </a:defRPr>
            </a:pPr>
          </a:p>
        </c:txPr>
      </c:legendEntry>
      <c:legendEntry>
        <c:idx val="5"/>
        <c:txPr>
          <a:bodyPr rot="0" spcFirstLastPara="0" vertOverflow="ellipsis" vert="horz" wrap="square" anchor="ctr" anchorCtr="1"/>
          <a:lstStyle/>
          <a:p>
            <a:pPr>
              <a:defRPr lang="zh-CN" sz="1200" b="1" i="0" u="none" strike="noStrike" kern="1200" cap="none" spc="0" normalizeH="0" baseline="0">
                <a:solidFill>
                  <a:schemeClr val="tx1"/>
                </a:solidFill>
                <a:uFill>
                  <a:solidFill>
                    <a:schemeClr val="tx1"/>
                  </a:solidFill>
                </a:uFill>
                <a:latin typeface="+mn-lt"/>
                <a:ea typeface="方正仿宋简体" panose="02000000000000000000" charset="-122"/>
                <a:cs typeface="+mn-cs"/>
              </a:defRPr>
            </a:pPr>
          </a:p>
        </c:txPr>
      </c:legendEntry>
      <c:legendEntry>
        <c:idx val="6"/>
        <c:txPr>
          <a:bodyPr rot="0" spcFirstLastPara="0" vertOverflow="ellipsis" vert="horz" wrap="square" anchor="ctr" anchorCtr="1"/>
          <a:lstStyle/>
          <a:p>
            <a:pPr>
              <a:defRPr lang="zh-CN" sz="1200" b="1" i="0" u="none" strike="noStrike" kern="1200" cap="none" spc="0" normalizeH="0" baseline="0">
                <a:solidFill>
                  <a:schemeClr val="tx1"/>
                </a:solidFill>
                <a:uFill>
                  <a:solidFill>
                    <a:schemeClr val="tx1"/>
                  </a:solidFill>
                </a:uFill>
                <a:latin typeface="+mn-lt"/>
                <a:ea typeface="方正仿宋简体" panose="02000000000000000000" charset="-122"/>
                <a:cs typeface="+mn-cs"/>
              </a:defRPr>
            </a:pPr>
          </a:p>
        </c:txPr>
      </c:legendEntry>
      <c:legendEntry>
        <c:idx val="7"/>
        <c:txPr>
          <a:bodyPr rot="0" spcFirstLastPara="0" vertOverflow="ellipsis" vert="horz" wrap="square" anchor="ctr" anchorCtr="1"/>
          <a:lstStyle/>
          <a:p>
            <a:pPr>
              <a:defRPr lang="zh-CN" sz="1200" b="1" i="0" u="none" strike="noStrike" kern="1200" cap="none" spc="0" normalizeH="0" baseline="0">
                <a:solidFill>
                  <a:schemeClr val="tx1"/>
                </a:solidFill>
                <a:uFill>
                  <a:solidFill>
                    <a:schemeClr val="tx1"/>
                  </a:solidFill>
                </a:uFill>
                <a:latin typeface="+mn-lt"/>
                <a:ea typeface="方正仿宋简体" panose="02000000000000000000" charset="-122"/>
                <a:cs typeface="+mn-cs"/>
              </a:defRPr>
            </a:pPr>
          </a:p>
        </c:txPr>
      </c:legendEntry>
      <c:layout>
        <c:manualLayout>
          <c:xMode val="edge"/>
          <c:yMode val="edge"/>
          <c:x val="0.0332894736842105"/>
          <c:y val="0.764819361627499"/>
          <c:w val="0.956184210526316"/>
          <c:h val="0.19712381620484"/>
        </c:manualLayout>
      </c:layout>
      <c:overlay val="0"/>
      <c:spPr>
        <a:noFill/>
        <a:ln>
          <a:noFill/>
        </a:ln>
        <a:effectLst/>
      </c:spPr>
      <c:txPr>
        <a:bodyPr rot="0" spcFirstLastPara="0" vertOverflow="ellipsis" vert="horz" wrap="square" anchor="ctr" anchorCtr="1"/>
        <a:lstStyle/>
        <a:p>
          <a:pPr>
            <a:defRPr lang="zh-CN" sz="1200" b="1" i="0" u="none" strike="noStrike" kern="1200" cap="none" spc="0" normalizeH="0" baseline="0">
              <a:solidFill>
                <a:schemeClr val="tx1"/>
              </a:solidFill>
              <a:uFill>
                <a:solidFill>
                  <a:schemeClr val="tx1"/>
                </a:solidFill>
              </a:uFill>
              <a:latin typeface="+mn-lt"/>
              <a:ea typeface="方正仿宋简体" panose="02000000000000000000" charset="-122"/>
              <a:cs typeface="+mn-cs"/>
            </a:defRPr>
          </a:pPr>
        </a:p>
      </c:txPr>
    </c:legend>
    <c:plotVisOnly val="0"/>
    <c:dispBlanksAs val="gap"/>
    <c:showDLblsOverMax val="0"/>
    <c:extLst>
      <c:ext uri="{0b15fc19-7d7d-44ad-8c2d-2c3a37ce22c3}">
        <chartProps xmlns="https://web.wps.cn/et/2018/main" chartId="{60ca8b68-c531-47b1-8f95-1200172691f1}"/>
      </c:ext>
    </c:extLst>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600">
                <a:latin typeface="方正小标宋简体" panose="02000000000000000000" pitchFamily="4" charset="-122"/>
                <a:ea typeface="方正小标宋简体" panose="02000000000000000000" pitchFamily="4" charset="-122"/>
              </a:rPr>
              <a:t>依申请公开件数</a:t>
            </a:r>
            <a:endParaRPr sz="1600">
              <a:latin typeface="方正小标宋简体" panose="02000000000000000000" pitchFamily="4" charset="-122"/>
              <a:ea typeface="方正小标宋简体" panose="02000000000000000000" pitchFamily="4" charset="-122"/>
            </a:endParaRPr>
          </a:p>
        </c:rich>
      </c:tx>
      <c:layout/>
      <c:overlay val="0"/>
      <c:spPr>
        <a:noFill/>
        <a:ln>
          <a:noFill/>
        </a:ln>
        <a:effectLst/>
      </c:spPr>
    </c:title>
    <c:autoTitleDeleted val="0"/>
    <c:plotArea>
      <c:layout>
        <c:manualLayout>
          <c:layoutTarget val="inner"/>
          <c:xMode val="edge"/>
          <c:yMode val="edge"/>
          <c:x val="0.116394736842105"/>
          <c:y val="0.191748099891422"/>
          <c:w val="0.800710526315789"/>
          <c:h val="0.715613463626493"/>
        </c:manualLayout>
      </c:layout>
      <c:barChart>
        <c:barDir val="col"/>
        <c:grouping val="clustered"/>
        <c:varyColors val="0"/>
        <c:ser>
          <c:idx val="0"/>
          <c:order val="0"/>
          <c:tx>
            <c:strRef>
              <c:f>[国产计算机领取台账1.xlsx]Sheet2!$D$39</c:f>
              <c:strCache>
                <c:ptCount val="1"/>
                <c:pt idx="0">
                  <c:v>件数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[国产计算机领取台账1.xlsx]Sheet2!$C$40:$C$42</c:f>
              <c:strCache>
                <c:ptCount val="3"/>
                <c:pt idx="0">
                  <c:v>2023年</c:v>
                </c:pt>
                <c:pt idx="1">
                  <c:v>2024年</c:v>
                </c:pt>
                <c:pt idx="2">
                  <c:v>2025年</c:v>
                </c:pt>
              </c:strCache>
            </c:strRef>
          </c:cat>
          <c:val>
            <c:numRef>
              <c:f>[国产计算机领取台账1.xlsx]Sheet2!$D$40:$D$42</c:f>
              <c:numCache>
                <c:formatCode>General</c:formatCode>
                <c:ptCount val="3"/>
                <c:pt idx="0">
                  <c:v>3</c:v>
                </c:pt>
                <c:pt idx="1">
                  <c:v>3</c:v>
                </c:pt>
                <c:pt idx="2">
                  <c:v>1</c:v>
                </c:pt>
              </c:numCache>
            </c:numRef>
          </c:val>
        </c:ser>
        <c:dLbls>
          <c:showLegendKey val="0"/>
          <c:showVal val="1"/>
          <c:showCatName val="0"/>
          <c:showSerName val="0"/>
          <c:showPercent val="0"/>
          <c:showBubbleSize val="0"/>
        </c:dLbls>
        <c:gapWidth val="150"/>
        <c:overlap val="0"/>
        <c:axId val="955116174"/>
        <c:axId val="251375955"/>
      </c:barChart>
      <c:catAx>
        <c:axId val="9551161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1375955"/>
        <c:crosses val="autoZero"/>
        <c:auto val="1"/>
        <c:lblAlgn val="ctr"/>
        <c:lblOffset val="100"/>
        <c:noMultiLvlLbl val="0"/>
      </c:catAx>
      <c:valAx>
        <c:axId val="25137595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11617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ea250e-48bc-4cc5-962c-5e2b02a525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2294</Words>
  <Characters>2398</Characters>
  <Lines>0</Lines>
  <Paragraphs>0</Paragraphs>
  <TotalTime>1</TotalTime>
  <ScaleCrop>false</ScaleCrop>
  <LinksUpToDate>false</LinksUpToDate>
  <CharactersWithSpaces>2402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2023-01-13T02:39:00Z</dcterms:created>
  <dc:creator>lenovo</dc:creator>
  <cp:lastModifiedBy>孔庆林</cp:lastModifiedBy>
  <cp:lastPrinted>2023-02-09T01:39:00Z</cp:lastPrinted>
  <dcterms:modified xsi:type="dcterms:W3CDTF">2026-01-16T16:58:48Z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AB25A105DEC2FFAA9FE865697F60C03F_43</vt:lpwstr>
  </property>
  <property fmtid="{D5CDD505-2E9C-101B-9397-08002B2CF9AE}" pid="4" name="KSOTemplateDocerSaveRecord">
    <vt:lpwstr>eyJoZGlkIjoiYTM3ZmMyNTg1Nzg4Y2I2Y2RiZTRlZGRmNWM1ODA4OGEiLCJ1c2VySWQiOiIyNjIxOTA1NjUifQ==</vt:lpwstr>
  </property>
</Properties>
</file>